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CF03A">
      <w:pPr>
        <w:pStyle w:val="19"/>
        <w:snapToGrid w:val="0"/>
        <w:spacing w:line="480" w:lineRule="auto"/>
        <w:ind w:left="31" w:leftChars="15" w:right="0" w:firstLine="0" w:firstLineChars="0"/>
        <w:jc w:val="center"/>
        <w:rPr>
          <w:rFonts w:hint="eastAsia" w:ascii="宋体" w:hAnsi="宋体" w:eastAsia="宋体"/>
          <w:b/>
          <w:color w:val="auto"/>
          <w:sz w:val="48"/>
          <w:szCs w:val="48"/>
          <w:highlight w:val="none"/>
        </w:rPr>
      </w:pPr>
    </w:p>
    <w:p w14:paraId="4442B3D5">
      <w:pPr>
        <w:jc w:val="both"/>
        <w:rPr>
          <w:rFonts w:ascii="宋体" w:hAnsi="宋体"/>
          <w:b/>
          <w:color w:val="auto"/>
          <w:sz w:val="44"/>
          <w:szCs w:val="44"/>
          <w:highlight w:val="none"/>
        </w:rPr>
      </w:pPr>
      <w:bookmarkStart w:id="0" w:name="_Toc287620665"/>
    </w:p>
    <w:p w14:paraId="05BC9D8A">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lang w:val="zh-CN"/>
        </w:rPr>
        <w:t>淮远龙街物业中心屋面增加防水及石材铺贴工程</w:t>
      </w:r>
    </w:p>
    <w:p w14:paraId="254F0580">
      <w:pPr>
        <w:autoSpaceDE w:val="0"/>
        <w:autoSpaceDN w:val="0"/>
        <w:adjustRightInd w:val="0"/>
        <w:snapToGrid w:val="0"/>
        <w:spacing w:line="360" w:lineRule="auto"/>
        <w:jc w:val="left"/>
        <w:rPr>
          <w:rFonts w:ascii="宋体" w:hAnsi="宋体"/>
          <w:color w:val="auto"/>
          <w:kern w:val="0"/>
          <w:sz w:val="20"/>
          <w:szCs w:val="20"/>
          <w:highlight w:val="none"/>
        </w:rPr>
      </w:pPr>
    </w:p>
    <w:p w14:paraId="104B8EBE">
      <w:pPr>
        <w:autoSpaceDE w:val="0"/>
        <w:autoSpaceDN w:val="0"/>
        <w:adjustRightInd w:val="0"/>
        <w:snapToGrid w:val="0"/>
        <w:spacing w:line="360" w:lineRule="auto"/>
        <w:jc w:val="left"/>
        <w:rPr>
          <w:rFonts w:ascii="宋体" w:hAnsi="宋体"/>
          <w:color w:val="auto"/>
          <w:kern w:val="0"/>
          <w:sz w:val="20"/>
          <w:szCs w:val="20"/>
          <w:highlight w:val="none"/>
        </w:rPr>
      </w:pPr>
    </w:p>
    <w:p w14:paraId="1ABB0F3E">
      <w:pPr>
        <w:autoSpaceDE w:val="0"/>
        <w:autoSpaceDN w:val="0"/>
        <w:adjustRightInd w:val="0"/>
        <w:snapToGrid w:val="0"/>
        <w:spacing w:line="360" w:lineRule="auto"/>
        <w:jc w:val="left"/>
        <w:rPr>
          <w:rFonts w:ascii="宋体" w:hAnsi="宋体"/>
          <w:color w:val="auto"/>
          <w:kern w:val="0"/>
          <w:sz w:val="20"/>
          <w:szCs w:val="20"/>
          <w:highlight w:val="none"/>
        </w:rPr>
      </w:pPr>
    </w:p>
    <w:p w14:paraId="52AB3635">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4D3C2E69">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058DCE14">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57975886">
      <w:pPr>
        <w:autoSpaceDE w:val="0"/>
        <w:autoSpaceDN w:val="0"/>
        <w:adjustRightInd w:val="0"/>
        <w:snapToGrid w:val="0"/>
        <w:spacing w:line="360" w:lineRule="auto"/>
        <w:jc w:val="center"/>
        <w:rPr>
          <w:rFonts w:ascii="宋体" w:hAnsi="宋体"/>
          <w:color w:val="000000" w:themeColor="text1"/>
          <w:kern w:val="0"/>
          <w:sz w:val="72"/>
          <w:szCs w:val="72"/>
          <w:highlight w:val="none"/>
          <w14:textFill>
            <w14:solidFill>
              <w14:schemeClr w14:val="tx1"/>
            </w14:solidFill>
          </w14:textFill>
        </w:rPr>
      </w:pPr>
      <w:r>
        <w:rPr>
          <w:rFonts w:hint="eastAsia" w:ascii="宋体" w:hAnsi="宋体"/>
          <w:color w:val="000000" w:themeColor="text1"/>
          <w:kern w:val="0"/>
          <w:sz w:val="72"/>
          <w:szCs w:val="72"/>
          <w:highlight w:val="none"/>
          <w:lang w:eastAsia="zh-CN"/>
          <w14:textFill>
            <w14:solidFill>
              <w14:schemeClr w14:val="tx1"/>
            </w14:solidFill>
          </w14:textFill>
        </w:rPr>
        <w:t>竞</w:t>
      </w:r>
      <w:r>
        <w:rPr>
          <w:rFonts w:hint="eastAsia" w:ascii="宋体" w:hAnsi="宋体"/>
          <w:color w:val="000000" w:themeColor="text1"/>
          <w:kern w:val="0"/>
          <w:sz w:val="72"/>
          <w:szCs w:val="72"/>
          <w:highlight w:val="none"/>
          <w:lang w:val="en-US" w:eastAsia="zh-CN"/>
          <w14:textFill>
            <w14:solidFill>
              <w14:schemeClr w14:val="tx1"/>
            </w14:solidFill>
          </w14:textFill>
        </w:rPr>
        <w:t xml:space="preserve"> </w:t>
      </w:r>
      <w:r>
        <w:rPr>
          <w:rFonts w:hint="eastAsia" w:ascii="宋体" w:hAnsi="宋体"/>
          <w:color w:val="000000" w:themeColor="text1"/>
          <w:kern w:val="0"/>
          <w:sz w:val="72"/>
          <w:szCs w:val="72"/>
          <w:highlight w:val="none"/>
          <w:lang w:eastAsia="zh-CN"/>
          <w14:textFill>
            <w14:solidFill>
              <w14:schemeClr w14:val="tx1"/>
            </w14:solidFill>
          </w14:textFill>
        </w:rPr>
        <w:t>争</w:t>
      </w:r>
      <w:r>
        <w:rPr>
          <w:rFonts w:hint="eastAsia" w:ascii="宋体" w:hAnsi="宋体"/>
          <w:color w:val="000000" w:themeColor="text1"/>
          <w:kern w:val="0"/>
          <w:sz w:val="72"/>
          <w:szCs w:val="72"/>
          <w:highlight w:val="none"/>
          <w:lang w:val="en-US" w:eastAsia="zh-CN"/>
          <w14:textFill>
            <w14:solidFill>
              <w14:schemeClr w14:val="tx1"/>
            </w14:solidFill>
          </w14:textFill>
        </w:rPr>
        <w:t xml:space="preserve"> </w:t>
      </w:r>
      <w:r>
        <w:rPr>
          <w:rFonts w:hint="eastAsia" w:ascii="宋体" w:hAnsi="宋体"/>
          <w:color w:val="000000" w:themeColor="text1"/>
          <w:kern w:val="0"/>
          <w:sz w:val="72"/>
          <w:szCs w:val="72"/>
          <w:highlight w:val="none"/>
          <w:lang w:eastAsia="zh-CN"/>
          <w14:textFill>
            <w14:solidFill>
              <w14:schemeClr w14:val="tx1"/>
            </w14:solidFill>
          </w14:textFill>
        </w:rPr>
        <w:t>性</w:t>
      </w:r>
      <w:r>
        <w:rPr>
          <w:rFonts w:hint="eastAsia" w:ascii="宋体" w:hAnsi="宋体"/>
          <w:color w:val="000000" w:themeColor="text1"/>
          <w:kern w:val="0"/>
          <w:sz w:val="72"/>
          <w:szCs w:val="72"/>
          <w:highlight w:val="none"/>
          <w:lang w:val="en-US" w:eastAsia="zh-CN"/>
          <w14:textFill>
            <w14:solidFill>
              <w14:schemeClr w14:val="tx1"/>
            </w14:solidFill>
          </w14:textFill>
        </w:rPr>
        <w:t xml:space="preserve"> </w:t>
      </w:r>
      <w:r>
        <w:rPr>
          <w:rFonts w:hint="eastAsia" w:ascii="宋体" w:hAnsi="宋体"/>
          <w:color w:val="000000" w:themeColor="text1"/>
          <w:kern w:val="0"/>
          <w:sz w:val="72"/>
          <w:szCs w:val="72"/>
          <w:highlight w:val="none"/>
          <w:lang w:eastAsia="zh-CN"/>
          <w14:textFill>
            <w14:solidFill>
              <w14:schemeClr w14:val="tx1"/>
            </w14:solidFill>
          </w14:textFill>
        </w:rPr>
        <w:t>比</w:t>
      </w:r>
      <w:r>
        <w:rPr>
          <w:rFonts w:hint="eastAsia" w:ascii="宋体" w:hAnsi="宋体"/>
          <w:color w:val="000000" w:themeColor="text1"/>
          <w:kern w:val="0"/>
          <w:sz w:val="72"/>
          <w:szCs w:val="72"/>
          <w:highlight w:val="none"/>
          <w:lang w:val="en-US" w:eastAsia="zh-CN"/>
          <w14:textFill>
            <w14:solidFill>
              <w14:schemeClr w14:val="tx1"/>
            </w14:solidFill>
          </w14:textFill>
        </w:rPr>
        <w:t xml:space="preserve"> </w:t>
      </w:r>
      <w:r>
        <w:rPr>
          <w:rFonts w:hint="eastAsia" w:ascii="宋体" w:hAnsi="宋体"/>
          <w:color w:val="000000" w:themeColor="text1"/>
          <w:kern w:val="0"/>
          <w:sz w:val="72"/>
          <w:szCs w:val="72"/>
          <w:highlight w:val="none"/>
          <w:lang w:eastAsia="zh-CN"/>
          <w14:textFill>
            <w14:solidFill>
              <w14:schemeClr w14:val="tx1"/>
            </w14:solidFill>
          </w14:textFill>
        </w:rPr>
        <w:t>选</w:t>
      </w:r>
      <w:r>
        <w:rPr>
          <w:rFonts w:hint="eastAsia" w:ascii="宋体" w:hAnsi="宋体"/>
          <w:color w:val="000000" w:themeColor="text1"/>
          <w:kern w:val="0"/>
          <w:sz w:val="72"/>
          <w:szCs w:val="72"/>
          <w:highlight w:val="none"/>
          <w14:textFill>
            <w14:solidFill>
              <w14:schemeClr w14:val="tx1"/>
            </w14:solidFill>
          </w14:textFill>
        </w:rPr>
        <w:t xml:space="preserve"> </w:t>
      </w:r>
      <w:r>
        <w:rPr>
          <w:rFonts w:ascii="宋体" w:hAnsi="宋体"/>
          <w:color w:val="000000" w:themeColor="text1"/>
          <w:kern w:val="0"/>
          <w:sz w:val="72"/>
          <w:szCs w:val="72"/>
          <w:highlight w:val="none"/>
          <w14:textFill>
            <w14:solidFill>
              <w14:schemeClr w14:val="tx1"/>
            </w14:solidFill>
          </w14:textFill>
        </w:rPr>
        <w:t>文</w:t>
      </w:r>
      <w:r>
        <w:rPr>
          <w:rFonts w:hint="eastAsia" w:ascii="宋体" w:hAnsi="宋体"/>
          <w:color w:val="000000" w:themeColor="text1"/>
          <w:kern w:val="0"/>
          <w:sz w:val="72"/>
          <w:szCs w:val="72"/>
          <w:highlight w:val="none"/>
          <w14:textFill>
            <w14:solidFill>
              <w14:schemeClr w14:val="tx1"/>
            </w14:solidFill>
          </w14:textFill>
        </w:rPr>
        <w:t xml:space="preserve"> </w:t>
      </w:r>
      <w:r>
        <w:rPr>
          <w:rFonts w:ascii="宋体" w:hAnsi="宋体"/>
          <w:color w:val="000000" w:themeColor="text1"/>
          <w:kern w:val="0"/>
          <w:sz w:val="72"/>
          <w:szCs w:val="72"/>
          <w:highlight w:val="none"/>
          <w14:textFill>
            <w14:solidFill>
              <w14:schemeClr w14:val="tx1"/>
            </w14:solidFill>
          </w14:textFill>
        </w:rPr>
        <w:t>件</w:t>
      </w:r>
    </w:p>
    <w:p w14:paraId="62251C6C">
      <w:pPr>
        <w:autoSpaceDE w:val="0"/>
        <w:autoSpaceDN w:val="0"/>
        <w:adjustRightInd w:val="0"/>
        <w:snapToGrid w:val="0"/>
        <w:spacing w:line="360" w:lineRule="auto"/>
        <w:jc w:val="left"/>
        <w:rPr>
          <w:rFonts w:ascii="宋体" w:hAnsi="宋体"/>
          <w:color w:val="000000" w:themeColor="text1"/>
          <w:kern w:val="0"/>
          <w:sz w:val="10"/>
          <w:szCs w:val="10"/>
          <w:highlight w:val="none"/>
          <w14:textFill>
            <w14:solidFill>
              <w14:schemeClr w14:val="tx1"/>
            </w14:solidFill>
          </w14:textFill>
        </w:rPr>
      </w:pPr>
    </w:p>
    <w:p w14:paraId="15A6A711">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62C6F66A">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46DF10B5">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33D482E9">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5404C339">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45C5B154">
      <w:pPr>
        <w:autoSpaceDE w:val="0"/>
        <w:autoSpaceDN w:val="0"/>
        <w:adjustRightInd w:val="0"/>
        <w:snapToGrid w:val="0"/>
        <w:spacing w:line="360" w:lineRule="auto"/>
        <w:jc w:val="left"/>
        <w:rPr>
          <w:rFonts w:hint="eastAsia" w:ascii="宋体" w:hAnsi="宋体"/>
          <w:color w:val="000000" w:themeColor="text1"/>
          <w:kern w:val="0"/>
          <w:sz w:val="20"/>
          <w:szCs w:val="20"/>
          <w:highlight w:val="none"/>
          <w14:textFill>
            <w14:solidFill>
              <w14:schemeClr w14:val="tx1"/>
            </w14:solidFill>
          </w14:textFill>
        </w:rPr>
      </w:pPr>
    </w:p>
    <w:p w14:paraId="1999D574">
      <w:pPr>
        <w:autoSpaceDE w:val="0"/>
        <w:autoSpaceDN w:val="0"/>
        <w:adjustRightInd w:val="0"/>
        <w:snapToGrid w:val="0"/>
        <w:spacing w:line="360" w:lineRule="auto"/>
        <w:jc w:val="left"/>
        <w:rPr>
          <w:rFonts w:hint="eastAsia" w:ascii="宋体" w:hAnsi="宋体"/>
          <w:color w:val="000000" w:themeColor="text1"/>
          <w:kern w:val="0"/>
          <w:sz w:val="20"/>
          <w:szCs w:val="20"/>
          <w:highlight w:val="none"/>
          <w14:textFill>
            <w14:solidFill>
              <w14:schemeClr w14:val="tx1"/>
            </w14:solidFill>
          </w14:textFill>
        </w:rPr>
      </w:pPr>
    </w:p>
    <w:p w14:paraId="6BEAD9AF">
      <w:pPr>
        <w:autoSpaceDE w:val="0"/>
        <w:autoSpaceDN w:val="0"/>
        <w:adjustRightInd w:val="0"/>
        <w:snapToGrid w:val="0"/>
        <w:spacing w:line="360" w:lineRule="auto"/>
        <w:rPr>
          <w:rFonts w:hint="eastAsia" w:ascii="宋体" w:hAnsi="宋体"/>
          <w:color w:val="000000" w:themeColor="text1"/>
          <w:kern w:val="0"/>
          <w:sz w:val="20"/>
          <w:szCs w:val="20"/>
          <w:highlight w:val="none"/>
          <w14:textFill>
            <w14:solidFill>
              <w14:schemeClr w14:val="tx1"/>
            </w14:solidFill>
          </w14:textFill>
        </w:rPr>
      </w:pPr>
    </w:p>
    <w:p w14:paraId="4B94EA00">
      <w:pPr>
        <w:autoSpaceDE w:val="0"/>
        <w:autoSpaceDN w:val="0"/>
        <w:adjustRightInd w:val="0"/>
        <w:snapToGrid w:val="0"/>
        <w:spacing w:line="360" w:lineRule="auto"/>
        <w:jc w:val="left"/>
        <w:rPr>
          <w:rFonts w:hint="eastAsia" w:ascii="宋体" w:hAnsi="宋体"/>
          <w:color w:val="000000" w:themeColor="text1"/>
          <w:kern w:val="0"/>
          <w:sz w:val="20"/>
          <w:szCs w:val="20"/>
          <w:highlight w:val="none"/>
          <w14:textFill>
            <w14:solidFill>
              <w14:schemeClr w14:val="tx1"/>
            </w14:solidFill>
          </w14:textFill>
        </w:rPr>
      </w:pPr>
    </w:p>
    <w:p w14:paraId="29B0A6D1">
      <w:pPr>
        <w:autoSpaceDE w:val="0"/>
        <w:autoSpaceDN w:val="0"/>
        <w:adjustRightInd w:val="0"/>
        <w:snapToGrid w:val="0"/>
        <w:spacing w:line="360" w:lineRule="auto"/>
        <w:rPr>
          <w:rFonts w:hint="eastAsia" w:ascii="宋体" w:hAnsi="宋体"/>
          <w:color w:val="000000" w:themeColor="text1"/>
          <w:kern w:val="0"/>
          <w:sz w:val="20"/>
          <w:szCs w:val="20"/>
          <w:highlight w:val="none"/>
          <w14:textFill>
            <w14:solidFill>
              <w14:schemeClr w14:val="tx1"/>
            </w14:solidFill>
          </w14:textFill>
        </w:rPr>
      </w:pPr>
    </w:p>
    <w:p w14:paraId="2C821C9C">
      <w:pPr>
        <w:autoSpaceDE w:val="0"/>
        <w:autoSpaceDN w:val="0"/>
        <w:adjustRightInd w:val="0"/>
        <w:snapToGrid w:val="0"/>
        <w:spacing w:line="360" w:lineRule="auto"/>
        <w:rPr>
          <w:rFonts w:hint="eastAsia" w:ascii="宋体" w:hAnsi="宋体"/>
          <w:color w:val="000000" w:themeColor="text1"/>
          <w:kern w:val="0"/>
          <w:sz w:val="20"/>
          <w:szCs w:val="20"/>
          <w:highlight w:val="none"/>
          <w14:textFill>
            <w14:solidFill>
              <w14:schemeClr w14:val="tx1"/>
            </w14:solidFill>
          </w14:textFill>
        </w:rPr>
      </w:pPr>
    </w:p>
    <w:p w14:paraId="758D5C37">
      <w:pPr>
        <w:autoSpaceDE w:val="0"/>
        <w:autoSpaceDN w:val="0"/>
        <w:adjustRightInd w:val="0"/>
        <w:snapToGrid w:val="0"/>
        <w:spacing w:line="360" w:lineRule="auto"/>
        <w:rPr>
          <w:rFonts w:ascii="宋体" w:hAnsi="宋体"/>
          <w:color w:val="000000" w:themeColor="text1"/>
          <w:kern w:val="0"/>
          <w:sz w:val="20"/>
          <w:szCs w:val="20"/>
          <w:highlight w:val="none"/>
          <w14:textFill>
            <w14:solidFill>
              <w14:schemeClr w14:val="tx1"/>
            </w14:solidFill>
          </w14:textFill>
        </w:rPr>
      </w:pPr>
    </w:p>
    <w:p w14:paraId="4394209B">
      <w:pPr>
        <w:tabs>
          <w:tab w:val="left" w:pos="6219"/>
        </w:tabs>
        <w:autoSpaceDE w:val="0"/>
        <w:autoSpaceDN w:val="0"/>
        <w:adjustRightInd w:val="0"/>
        <w:snapToGrid w:val="0"/>
        <w:spacing w:line="360" w:lineRule="auto"/>
        <w:jc w:val="center"/>
        <w:rPr>
          <w:rFonts w:ascii="宋体" w:hAnsi="宋体"/>
          <w:b/>
          <w:color w:val="000000" w:themeColor="text1"/>
          <w:w w:val="99"/>
          <w:kern w:val="0"/>
          <w:sz w:val="28"/>
          <w:szCs w:val="28"/>
          <w:highlight w:val="none"/>
          <w14:textFill>
            <w14:solidFill>
              <w14:schemeClr w14:val="tx1"/>
            </w14:solidFill>
          </w14:textFill>
        </w:rPr>
      </w:pPr>
      <w:r>
        <w:rPr>
          <w:rFonts w:hint="eastAsia" w:ascii="宋体" w:hAnsi="宋体"/>
          <w:b/>
          <w:color w:val="000000" w:themeColor="text1"/>
          <w:w w:val="99"/>
          <w:kern w:val="0"/>
          <w:sz w:val="28"/>
          <w:szCs w:val="28"/>
          <w:highlight w:val="none"/>
          <w:lang w:eastAsia="zh-CN"/>
          <w14:textFill>
            <w14:solidFill>
              <w14:schemeClr w14:val="tx1"/>
            </w14:solidFill>
          </w14:textFill>
        </w:rPr>
        <w:t>比</w:t>
      </w:r>
      <w:r>
        <w:rPr>
          <w:rFonts w:hint="eastAsia" w:ascii="宋体" w:hAnsi="宋体"/>
          <w:b/>
          <w:color w:val="000000" w:themeColor="text1"/>
          <w:w w:val="99"/>
          <w:kern w:val="0"/>
          <w:sz w:val="28"/>
          <w:szCs w:val="28"/>
          <w:highlight w:val="none"/>
          <w:lang w:val="en-US" w:eastAsia="zh-CN"/>
          <w14:textFill>
            <w14:solidFill>
              <w14:schemeClr w14:val="tx1"/>
            </w14:solidFill>
          </w14:textFill>
        </w:rPr>
        <w:t xml:space="preserve">   </w:t>
      </w:r>
      <w:r>
        <w:rPr>
          <w:rFonts w:hint="eastAsia" w:ascii="宋体" w:hAnsi="宋体"/>
          <w:b/>
          <w:color w:val="000000" w:themeColor="text1"/>
          <w:w w:val="99"/>
          <w:kern w:val="0"/>
          <w:sz w:val="28"/>
          <w:szCs w:val="28"/>
          <w:highlight w:val="none"/>
          <w:lang w:eastAsia="zh-CN"/>
          <w14:textFill>
            <w14:solidFill>
              <w14:schemeClr w14:val="tx1"/>
            </w14:solidFill>
          </w14:textFill>
        </w:rPr>
        <w:t>选</w:t>
      </w:r>
      <w:r>
        <w:rPr>
          <w:rFonts w:ascii="宋体" w:hAnsi="宋体"/>
          <w:b/>
          <w:color w:val="000000" w:themeColor="text1"/>
          <w:w w:val="99"/>
          <w:kern w:val="0"/>
          <w:sz w:val="28"/>
          <w:szCs w:val="28"/>
          <w:highlight w:val="none"/>
          <w14:textFill>
            <w14:solidFill>
              <w14:schemeClr w14:val="tx1"/>
            </w14:solidFill>
          </w14:textFill>
        </w:rPr>
        <w:t>　 人：</w:t>
      </w:r>
      <w:r>
        <w:rPr>
          <w:rFonts w:hint="eastAsia" w:ascii="宋体" w:hAnsi="宋体"/>
          <w:b/>
          <w:color w:val="000000" w:themeColor="text1"/>
          <w:w w:val="99"/>
          <w:kern w:val="0"/>
          <w:sz w:val="28"/>
          <w:szCs w:val="28"/>
          <w:highlight w:val="none"/>
          <w:u w:val="single"/>
          <w:lang w:val="zh-CN"/>
          <w14:textFill>
            <w14:solidFill>
              <w14:schemeClr w14:val="tx1"/>
            </w14:solidFill>
          </w14:textFill>
        </w:rPr>
        <w:t>重庆玄天湖文化旅游开发有限公司</w:t>
      </w:r>
      <w:r>
        <w:rPr>
          <w:rFonts w:ascii="宋体" w:hAnsi="宋体"/>
          <w:b/>
          <w:color w:val="000000" w:themeColor="text1"/>
          <w:w w:val="99"/>
          <w:kern w:val="0"/>
          <w:sz w:val="28"/>
          <w:szCs w:val="28"/>
          <w:highlight w:val="none"/>
          <w14:textFill>
            <w14:solidFill>
              <w14:schemeClr w14:val="tx1"/>
            </w14:solidFill>
          </w14:textFill>
        </w:rPr>
        <w:t>（盖单位法人章）</w:t>
      </w:r>
    </w:p>
    <w:p w14:paraId="7D8017DF">
      <w:pPr>
        <w:tabs>
          <w:tab w:val="left" w:pos="6219"/>
        </w:tabs>
        <w:autoSpaceDE w:val="0"/>
        <w:autoSpaceDN w:val="0"/>
        <w:adjustRightInd w:val="0"/>
        <w:snapToGrid w:val="0"/>
        <w:spacing w:line="360" w:lineRule="auto"/>
        <w:jc w:val="center"/>
        <w:rPr>
          <w:rFonts w:ascii="宋体" w:hAnsi="宋体"/>
          <w:b/>
          <w:color w:val="000000" w:themeColor="text1"/>
          <w:w w:val="99"/>
          <w:kern w:val="0"/>
          <w:sz w:val="28"/>
          <w:szCs w:val="28"/>
          <w:highlight w:val="none"/>
          <w14:textFill>
            <w14:solidFill>
              <w14:schemeClr w14:val="tx1"/>
            </w14:solidFill>
          </w14:textFill>
        </w:rPr>
      </w:pPr>
      <w:r>
        <w:rPr>
          <w:rFonts w:hint="eastAsia" w:ascii="宋体" w:hAnsi="宋体"/>
          <w:b/>
          <w:color w:val="000000" w:themeColor="text1"/>
          <w:w w:val="99"/>
          <w:kern w:val="0"/>
          <w:sz w:val="28"/>
          <w:szCs w:val="28"/>
          <w:highlight w:val="none"/>
          <w:lang w:eastAsia="zh-CN"/>
          <w14:textFill>
            <w14:solidFill>
              <w14:schemeClr w14:val="tx1"/>
            </w14:solidFill>
          </w14:textFill>
        </w:rPr>
        <w:t>比选</w:t>
      </w:r>
      <w:r>
        <w:rPr>
          <w:rFonts w:ascii="宋体" w:hAnsi="宋体"/>
          <w:b/>
          <w:color w:val="000000" w:themeColor="text1"/>
          <w:w w:val="99"/>
          <w:kern w:val="0"/>
          <w:sz w:val="28"/>
          <w:szCs w:val="28"/>
          <w:highlight w:val="none"/>
          <w14:textFill>
            <w14:solidFill>
              <w14:schemeClr w14:val="tx1"/>
            </w14:solidFill>
          </w14:textFill>
        </w:rPr>
        <w:t>代理机构：</w:t>
      </w:r>
      <w:r>
        <w:rPr>
          <w:rFonts w:hint="eastAsia" w:ascii="宋体" w:hAnsi="宋体"/>
          <w:b/>
          <w:color w:val="000000" w:themeColor="text1"/>
          <w:w w:val="99"/>
          <w:kern w:val="0"/>
          <w:sz w:val="28"/>
          <w:szCs w:val="28"/>
          <w:highlight w:val="none"/>
          <w:u w:val="single"/>
          <w:lang w:eastAsia="zh-CN"/>
          <w14:textFill>
            <w14:solidFill>
              <w14:schemeClr w14:val="tx1"/>
            </w14:solidFill>
          </w14:textFill>
        </w:rPr>
        <w:t>重庆源泰工程造价咨询有限责任公司</w:t>
      </w:r>
      <w:r>
        <w:rPr>
          <w:rFonts w:ascii="宋体" w:hAnsi="宋体"/>
          <w:b/>
          <w:color w:val="000000" w:themeColor="text1"/>
          <w:w w:val="99"/>
          <w:kern w:val="0"/>
          <w:sz w:val="28"/>
          <w:szCs w:val="28"/>
          <w:highlight w:val="none"/>
          <w14:textFill>
            <w14:solidFill>
              <w14:schemeClr w14:val="tx1"/>
            </w14:solidFill>
          </w14:textFill>
        </w:rPr>
        <w:t>（盖单位法人章）</w:t>
      </w:r>
    </w:p>
    <w:p w14:paraId="3BD31DB4">
      <w:pPr>
        <w:autoSpaceDE w:val="0"/>
        <w:autoSpaceDN w:val="0"/>
        <w:adjustRightInd w:val="0"/>
        <w:snapToGrid w:val="0"/>
        <w:spacing w:line="360" w:lineRule="auto"/>
        <w:jc w:val="center"/>
        <w:rPr>
          <w:rFonts w:ascii="宋体" w:hAnsi="宋体"/>
          <w:b/>
          <w:color w:val="000000" w:themeColor="text1"/>
          <w:kern w:val="0"/>
          <w:sz w:val="20"/>
          <w:szCs w:val="20"/>
          <w:highlight w:val="none"/>
          <w14:textFill>
            <w14:solidFill>
              <w14:schemeClr w14:val="tx1"/>
            </w14:solidFill>
          </w14:textFill>
        </w:rPr>
      </w:pPr>
    </w:p>
    <w:p w14:paraId="601FA2D6">
      <w:pPr>
        <w:autoSpaceDE w:val="0"/>
        <w:autoSpaceDN w:val="0"/>
        <w:adjustRightInd w:val="0"/>
        <w:snapToGrid w:val="0"/>
        <w:spacing w:line="360" w:lineRule="auto"/>
        <w:jc w:val="center"/>
        <w:rPr>
          <w:rFonts w:ascii="宋体" w:hAnsi="宋体"/>
          <w:b/>
          <w:color w:val="000000" w:themeColor="text1"/>
          <w:kern w:val="0"/>
          <w:sz w:val="28"/>
          <w:szCs w:val="28"/>
          <w:highlight w:val="none"/>
          <w14:textFill>
            <w14:solidFill>
              <w14:schemeClr w14:val="tx1"/>
            </w14:solidFill>
          </w14:textFill>
        </w:rPr>
      </w:pPr>
    </w:p>
    <w:p w14:paraId="2BD209C7">
      <w:pPr>
        <w:autoSpaceDE w:val="0"/>
        <w:autoSpaceDN w:val="0"/>
        <w:adjustRightInd w:val="0"/>
        <w:snapToGrid w:val="0"/>
        <w:spacing w:line="360" w:lineRule="auto"/>
        <w:rPr>
          <w:rFonts w:ascii="宋体" w:hAnsi="宋体"/>
          <w:b/>
          <w:color w:val="000000" w:themeColor="text1"/>
          <w:kern w:val="0"/>
          <w:sz w:val="20"/>
          <w:szCs w:val="20"/>
          <w:highlight w:val="none"/>
          <w14:textFill>
            <w14:solidFill>
              <w14:schemeClr w14:val="tx1"/>
            </w14:solidFill>
          </w14:textFill>
        </w:rPr>
      </w:pPr>
    </w:p>
    <w:p w14:paraId="61C22C6B">
      <w:pPr>
        <w:tabs>
          <w:tab w:val="left" w:pos="6252"/>
        </w:tabs>
        <w:autoSpaceDE w:val="0"/>
        <w:autoSpaceDN w:val="0"/>
        <w:adjustRightInd w:val="0"/>
        <w:snapToGrid w:val="0"/>
        <w:spacing w:line="360" w:lineRule="auto"/>
        <w:jc w:val="center"/>
        <w:rPr>
          <w:rFonts w:ascii="宋体" w:hAnsi="宋体"/>
          <w:bCs/>
          <w:color w:val="000000" w:themeColor="text1"/>
          <w:spacing w:val="8"/>
          <w:kern w:val="0"/>
          <w:sz w:val="28"/>
          <w:szCs w:val="28"/>
          <w:highlight w:val="none"/>
          <w14:textFill>
            <w14:solidFill>
              <w14:schemeClr w14:val="tx1"/>
            </w14:solidFill>
          </w14:textFill>
        </w:rPr>
      </w:pPr>
      <w:bookmarkStart w:id="1" w:name="_Toc536796736"/>
      <w:bookmarkStart w:id="2" w:name="_Toc509218549"/>
      <w:bookmarkStart w:id="3" w:name="_Toc536797277"/>
      <w:bookmarkStart w:id="4" w:name="_Toc536621766"/>
      <w:bookmarkStart w:id="5" w:name="_Toc13210649"/>
      <w:r>
        <w:rPr>
          <w:rFonts w:hint="eastAsia" w:ascii="宋体" w:hAnsi="宋体"/>
          <w:b/>
          <w:color w:val="000000" w:themeColor="text1"/>
          <w:spacing w:val="8"/>
          <w:kern w:val="0"/>
          <w:sz w:val="28"/>
          <w:szCs w:val="28"/>
          <w:highlight w:val="none"/>
          <w:u w:val="single"/>
          <w:lang w:val="en-US" w:eastAsia="zh-CN"/>
          <w14:textFill>
            <w14:solidFill>
              <w14:schemeClr w14:val="tx1"/>
            </w14:solidFill>
          </w14:textFill>
        </w:rPr>
        <w:t>2026</w:t>
      </w:r>
      <w:r>
        <w:rPr>
          <w:rFonts w:ascii="宋体" w:hAnsi="宋体"/>
          <w:b/>
          <w:color w:val="000000" w:themeColor="text1"/>
          <w:spacing w:val="8"/>
          <w:kern w:val="0"/>
          <w:sz w:val="28"/>
          <w:szCs w:val="28"/>
          <w:highlight w:val="none"/>
          <w14:textFill>
            <w14:solidFill>
              <w14:schemeClr w14:val="tx1"/>
            </w14:solidFill>
          </w14:textFill>
        </w:rPr>
        <w:t>年</w:t>
      </w:r>
      <w:r>
        <w:rPr>
          <w:rFonts w:hint="eastAsia" w:ascii="宋体" w:hAnsi="宋体"/>
          <w:b/>
          <w:color w:val="000000" w:themeColor="text1"/>
          <w:spacing w:val="8"/>
          <w:kern w:val="0"/>
          <w:sz w:val="28"/>
          <w:szCs w:val="28"/>
          <w:highlight w:val="none"/>
          <w:u w:val="single"/>
          <w:lang w:val="en-US" w:eastAsia="zh-CN"/>
          <w14:textFill>
            <w14:solidFill>
              <w14:schemeClr w14:val="tx1"/>
            </w14:solidFill>
          </w14:textFill>
        </w:rPr>
        <w:t>3</w:t>
      </w:r>
      <w:r>
        <w:rPr>
          <w:rFonts w:ascii="宋体" w:hAnsi="宋体"/>
          <w:b/>
          <w:color w:val="000000" w:themeColor="text1"/>
          <w:spacing w:val="8"/>
          <w:kern w:val="0"/>
          <w:sz w:val="28"/>
          <w:szCs w:val="28"/>
          <w:highlight w:val="none"/>
          <w14:textFill>
            <w14:solidFill>
              <w14:schemeClr w14:val="tx1"/>
            </w14:solidFill>
          </w14:textFill>
        </w:rPr>
        <w:t>月</w:t>
      </w:r>
      <w:bookmarkEnd w:id="1"/>
      <w:bookmarkEnd w:id="2"/>
      <w:bookmarkEnd w:id="3"/>
      <w:bookmarkEnd w:id="4"/>
      <w:bookmarkEnd w:id="5"/>
    </w:p>
    <w:p w14:paraId="6DBCC309">
      <w:pPr>
        <w:pStyle w:val="3"/>
        <w:spacing w:line="360" w:lineRule="auto"/>
        <w:jc w:val="center"/>
        <w:rPr>
          <w:rFonts w:hint="eastAsia" w:ascii="宋体" w:hAnsi="宋体"/>
          <w:color w:val="000000" w:themeColor="text1"/>
          <w:w w:val="99"/>
          <w:kern w:val="0"/>
          <w:sz w:val="24"/>
          <w:highlight w:val="none"/>
          <w14:textFill>
            <w14:solidFill>
              <w14:schemeClr w14:val="tx1"/>
            </w14:solidFill>
          </w14:textFill>
        </w:rPr>
        <w:sectPr>
          <w:headerReference r:id="rId4" w:type="default"/>
          <w:footerReference r:id="rId5" w:type="default"/>
          <w:pgSz w:w="11907" w:h="16840"/>
          <w:pgMar w:top="1304" w:right="1134" w:bottom="1304" w:left="1304" w:header="851" w:footer="992" w:gutter="0"/>
          <w:pgNumType w:fmt="numberInDash" w:start="1"/>
          <w:cols w:space="720" w:num="1"/>
          <w:docGrid w:linePitch="312" w:charSpace="0"/>
        </w:sectPr>
      </w:pPr>
    </w:p>
    <w:p w14:paraId="48047B85">
      <w:pPr>
        <w:pStyle w:val="119"/>
        <w:jc w:val="center"/>
        <w:rPr>
          <w:rFonts w:ascii="宋体" w:hAnsi="宋体"/>
          <w:i w:val="0"/>
          <w:iCs w:val="0"/>
          <w:color w:val="000000" w:themeColor="text1"/>
          <w:sz w:val="44"/>
          <w:szCs w:val="44"/>
          <w:highlight w:val="none"/>
          <w:u w:val="none"/>
          <w14:textFill>
            <w14:solidFill>
              <w14:schemeClr w14:val="tx1"/>
            </w14:solidFill>
          </w14:textFill>
        </w:rPr>
      </w:pPr>
      <w:bookmarkStart w:id="6" w:name="_Toc28843"/>
      <w:bookmarkStart w:id="7" w:name="_Toc5767"/>
      <w:r>
        <w:rPr>
          <w:rFonts w:ascii="宋体" w:hAnsi="宋体"/>
          <w:i w:val="0"/>
          <w:iCs w:val="0"/>
          <w:color w:val="000000" w:themeColor="text1"/>
          <w:sz w:val="44"/>
          <w:szCs w:val="44"/>
          <w:highlight w:val="none"/>
          <w:u w:val="none"/>
          <w:lang w:val="zh-CN"/>
          <w14:textFill>
            <w14:solidFill>
              <w14:schemeClr w14:val="tx1"/>
            </w14:solidFill>
          </w14:textFill>
        </w:rPr>
        <w:t>目</w:t>
      </w:r>
      <w:r>
        <w:rPr>
          <w:rFonts w:hint="eastAsia" w:ascii="宋体" w:hAnsi="宋体"/>
          <w:i w:val="0"/>
          <w:iCs w:val="0"/>
          <w:color w:val="000000" w:themeColor="text1"/>
          <w:sz w:val="44"/>
          <w:szCs w:val="44"/>
          <w:highlight w:val="none"/>
          <w:u w:val="none"/>
          <w:lang w:val="zh-CN"/>
          <w14:textFill>
            <w14:solidFill>
              <w14:schemeClr w14:val="tx1"/>
            </w14:solidFill>
          </w14:textFill>
        </w:rPr>
        <w:t xml:space="preserve"> </w:t>
      </w:r>
      <w:r>
        <w:rPr>
          <w:rFonts w:ascii="宋体" w:hAnsi="宋体"/>
          <w:i w:val="0"/>
          <w:iCs w:val="0"/>
          <w:color w:val="000000" w:themeColor="text1"/>
          <w:sz w:val="44"/>
          <w:szCs w:val="44"/>
          <w:highlight w:val="none"/>
          <w:u w:val="none"/>
          <w:lang w:val="zh-CN"/>
          <w14:textFill>
            <w14:solidFill>
              <w14:schemeClr w14:val="tx1"/>
            </w14:solidFill>
          </w14:textFill>
        </w:rPr>
        <w:t>录</w:t>
      </w:r>
      <w:bookmarkEnd w:id="6"/>
      <w:bookmarkEnd w:id="7"/>
    </w:p>
    <w:p w14:paraId="79F1F75A">
      <w:pPr>
        <w:pStyle w:val="31"/>
        <w:tabs>
          <w:tab w:val="right" w:leader="dot" w:pos="9469"/>
        </w:tabs>
        <w:rPr>
          <w:i w:val="0"/>
          <w:iCs w:val="0"/>
          <w:color w:val="000000" w:themeColor="text1"/>
          <w14:textFill>
            <w14:solidFill>
              <w14:schemeClr w14:val="tx1"/>
            </w14:solidFill>
          </w14:textFill>
        </w:rPr>
      </w:pPr>
      <w:r>
        <w:rPr>
          <w:rFonts w:ascii="宋体" w:hAnsi="宋体"/>
          <w:i w:val="0"/>
          <w:iCs w:val="0"/>
          <w:color w:val="000000" w:themeColor="text1"/>
          <w:highlight w:val="none"/>
          <w:u w:val="none"/>
          <w14:textFill>
            <w14:solidFill>
              <w14:schemeClr w14:val="tx1"/>
            </w14:solidFill>
          </w14:textFill>
        </w:rPr>
        <w:fldChar w:fldCharType="begin"/>
      </w:r>
      <w:r>
        <w:rPr>
          <w:rFonts w:ascii="宋体" w:hAnsi="宋体"/>
          <w:i w:val="0"/>
          <w:iCs w:val="0"/>
          <w:color w:val="000000" w:themeColor="text1"/>
          <w:highlight w:val="none"/>
          <w:u w:val="none"/>
          <w14:textFill>
            <w14:solidFill>
              <w14:schemeClr w14:val="tx1"/>
            </w14:solidFill>
          </w14:textFill>
        </w:rPr>
        <w:instrText xml:space="preserve"> TOC \o "1-3" \h \z \u </w:instrText>
      </w:r>
      <w:r>
        <w:rPr>
          <w:rFonts w:ascii="宋体" w:hAnsi="宋体"/>
          <w:i w:val="0"/>
          <w:iCs w:val="0"/>
          <w:color w:val="000000" w:themeColor="text1"/>
          <w:highlight w:val="none"/>
          <w:u w:val="none"/>
          <w14:textFill>
            <w14:solidFill>
              <w14:schemeClr w14:val="tx1"/>
            </w14:solidFill>
          </w14:textFill>
        </w:rPr>
        <w:fldChar w:fldCharType="separate"/>
      </w:r>
      <w:r>
        <w:rPr>
          <w:rFonts w:ascii="宋体" w:hAnsi="宋体"/>
          <w:i w:val="0"/>
          <w:iCs w:val="0"/>
          <w:color w:val="000000" w:themeColor="text1"/>
          <w:highlight w:val="none"/>
          <w:u w:val="none"/>
          <w14:textFill>
            <w14:solidFill>
              <w14:schemeClr w14:val="tx1"/>
            </w14:solidFill>
          </w14:textFill>
        </w:rPr>
        <w:fldChar w:fldCharType="begin"/>
      </w:r>
      <w:r>
        <w:rPr>
          <w:rFonts w:ascii="宋体" w:hAnsi="宋体"/>
          <w:i w:val="0"/>
          <w:iCs w:val="0"/>
          <w:color w:val="000000" w:themeColor="text1"/>
          <w:highlight w:val="none"/>
          <w14:textFill>
            <w14:solidFill>
              <w14:schemeClr w14:val="tx1"/>
            </w14:solidFill>
          </w14:textFill>
        </w:rPr>
        <w:instrText xml:space="preserve"> HYPERLINK \l _Toc28233 </w:instrText>
      </w:r>
      <w:r>
        <w:rPr>
          <w:rFonts w:ascii="宋体" w:hAnsi="宋体"/>
          <w:i w:val="0"/>
          <w:iCs w:val="0"/>
          <w:color w:val="000000" w:themeColor="text1"/>
          <w:highlight w:val="none"/>
          <w14:textFill>
            <w14:solidFill>
              <w14:schemeClr w14:val="tx1"/>
            </w14:solidFill>
          </w14:textFill>
        </w:rPr>
        <w:fldChar w:fldCharType="separate"/>
      </w:r>
      <w:r>
        <w:rPr>
          <w:rFonts w:hint="eastAsia" w:ascii="宋体" w:hAnsi="宋体"/>
          <w:i w:val="0"/>
          <w:iCs w:val="0"/>
          <w:color w:val="000000" w:themeColor="text1"/>
          <w:szCs w:val="52"/>
          <w:highlight w:val="none"/>
          <w14:textFill>
            <w14:solidFill>
              <w14:schemeClr w14:val="tx1"/>
            </w14:solidFill>
          </w14:textFill>
        </w:rPr>
        <w:t>第 一 卷</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_Toc28233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w:t>
      </w:r>
      <w:r>
        <w:rPr>
          <w:i w:val="0"/>
          <w:iCs w:val="0"/>
          <w:color w:val="000000" w:themeColor="text1"/>
          <w14:textFill>
            <w14:solidFill>
              <w14:schemeClr w14:val="tx1"/>
            </w14:solidFill>
          </w14:textFill>
        </w:rPr>
        <w:fldChar w:fldCharType="end"/>
      </w:r>
      <w:r>
        <w:rPr>
          <w:rFonts w:ascii="宋体" w:hAnsi="宋体"/>
          <w:i w:val="0"/>
          <w:iCs w:val="0"/>
          <w:color w:val="000000" w:themeColor="text1"/>
          <w:highlight w:val="none"/>
          <w:u w:val="none"/>
          <w14:textFill>
            <w14:solidFill>
              <w14:schemeClr w14:val="tx1"/>
            </w14:solidFill>
          </w14:textFill>
        </w:rPr>
        <w:fldChar w:fldCharType="end"/>
      </w:r>
    </w:p>
    <w:p w14:paraId="6E01AB02">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_Toc12536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kern w:val="0"/>
          <w:highlight w:val="none"/>
          <w14:textFill>
            <w14:solidFill>
              <w14:schemeClr w14:val="tx1"/>
            </w14:solidFill>
          </w14:textFill>
        </w:rPr>
        <w:t xml:space="preserve">第一章  </w:t>
      </w:r>
      <w:r>
        <w:rPr>
          <w:rFonts w:hint="eastAsia" w:ascii="宋体" w:hAnsi="宋体"/>
          <w:i w:val="0"/>
          <w:iCs w:val="0"/>
          <w:snapToGrid w:val="0"/>
          <w:color w:val="000000" w:themeColor="text1"/>
          <w:kern w:val="0"/>
          <w:highlight w:val="none"/>
          <w:lang w:eastAsia="zh-CN"/>
          <w14:textFill>
            <w14:solidFill>
              <w14:schemeClr w14:val="tx1"/>
            </w14:solidFill>
          </w14:textFill>
        </w:rPr>
        <w:t>比选</w:t>
      </w:r>
      <w:r>
        <w:rPr>
          <w:rFonts w:ascii="宋体" w:hAnsi="宋体"/>
          <w:i w:val="0"/>
          <w:iCs w:val="0"/>
          <w:snapToGrid w:val="0"/>
          <w:color w:val="000000" w:themeColor="text1"/>
          <w:kern w:val="0"/>
          <w:highlight w:val="none"/>
          <w14:textFill>
            <w14:solidFill>
              <w14:schemeClr w14:val="tx1"/>
            </w14:solidFill>
          </w14:textFill>
        </w:rPr>
        <w:t>公告</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_Toc12536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A273C8B">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_Toc11288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8"/>
          <w:highlight w:val="none"/>
          <w14:textFill>
            <w14:solidFill>
              <w14:schemeClr w14:val="tx1"/>
            </w14:solidFill>
          </w14:textFill>
        </w:rPr>
        <w:t xml:space="preserve">1. </w:t>
      </w:r>
      <w:r>
        <w:rPr>
          <w:rFonts w:hint="eastAsia" w:ascii="宋体" w:hAnsi="宋体"/>
          <w:i w:val="0"/>
          <w:iCs w:val="0"/>
          <w:snapToGrid w:val="0"/>
          <w:color w:val="000000" w:themeColor="text1"/>
          <w:szCs w:val="28"/>
          <w:highlight w:val="none"/>
          <w14:textFill>
            <w14:solidFill>
              <w14:schemeClr w14:val="tx1"/>
            </w14:solidFill>
          </w14:textFill>
        </w:rPr>
        <w:t xml:space="preserve"> </w:t>
      </w:r>
      <w:r>
        <w:rPr>
          <w:rFonts w:hint="eastAsia" w:ascii="宋体" w:hAnsi="宋体"/>
          <w:i w:val="0"/>
          <w:iCs w:val="0"/>
          <w:snapToGrid w:val="0"/>
          <w:color w:val="000000" w:themeColor="text1"/>
          <w:szCs w:val="28"/>
          <w:highlight w:val="none"/>
          <w:lang w:eastAsia="zh-CN"/>
          <w14:textFill>
            <w14:solidFill>
              <w14:schemeClr w14:val="tx1"/>
            </w14:solidFill>
          </w14:textFill>
        </w:rPr>
        <w:t>比选</w:t>
      </w:r>
      <w:r>
        <w:rPr>
          <w:rFonts w:ascii="宋体" w:hAnsi="宋体"/>
          <w:i w:val="0"/>
          <w:iCs w:val="0"/>
          <w:snapToGrid w:val="0"/>
          <w:color w:val="000000" w:themeColor="text1"/>
          <w:szCs w:val="28"/>
          <w:highlight w:val="none"/>
          <w14:textFill>
            <w14:solidFill>
              <w14:schemeClr w14:val="tx1"/>
            </w14:solidFill>
          </w14:textFill>
        </w:rPr>
        <w:t>条件</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_Toc11288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4FAA1EF6">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_Toc19875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8"/>
          <w:highlight w:val="none"/>
          <w14:textFill>
            <w14:solidFill>
              <w14:schemeClr w14:val="tx1"/>
            </w14:solidFill>
          </w14:textFill>
        </w:rPr>
        <w:t>2.</w:t>
      </w:r>
      <w:r>
        <w:rPr>
          <w:rFonts w:hint="eastAsia" w:ascii="宋体" w:hAnsi="宋体"/>
          <w:i w:val="0"/>
          <w:iCs w:val="0"/>
          <w:snapToGrid w:val="0"/>
          <w:color w:val="000000" w:themeColor="text1"/>
          <w:szCs w:val="28"/>
          <w:highlight w:val="none"/>
          <w14:textFill>
            <w14:solidFill>
              <w14:schemeClr w14:val="tx1"/>
            </w14:solidFill>
          </w14:textFill>
        </w:rPr>
        <w:t xml:space="preserve"> </w:t>
      </w:r>
      <w:r>
        <w:rPr>
          <w:rFonts w:ascii="宋体" w:hAnsi="宋体"/>
          <w:i w:val="0"/>
          <w:iCs w:val="0"/>
          <w:snapToGrid w:val="0"/>
          <w:color w:val="000000" w:themeColor="text1"/>
          <w:szCs w:val="28"/>
          <w:highlight w:val="none"/>
          <w14:textFill>
            <w14:solidFill>
              <w14:schemeClr w14:val="tx1"/>
            </w14:solidFill>
          </w14:textFill>
        </w:rPr>
        <w:t xml:space="preserve"> 项目概况与</w:t>
      </w:r>
      <w:r>
        <w:rPr>
          <w:rFonts w:hint="eastAsia" w:ascii="宋体" w:hAnsi="宋体"/>
          <w:i w:val="0"/>
          <w:iCs w:val="0"/>
          <w:snapToGrid w:val="0"/>
          <w:color w:val="000000" w:themeColor="text1"/>
          <w:szCs w:val="28"/>
          <w:highlight w:val="none"/>
          <w:lang w:eastAsia="zh-CN"/>
          <w14:textFill>
            <w14:solidFill>
              <w14:schemeClr w14:val="tx1"/>
            </w14:solidFill>
          </w14:textFill>
        </w:rPr>
        <w:t>比选</w:t>
      </w:r>
      <w:r>
        <w:rPr>
          <w:rFonts w:ascii="宋体" w:hAnsi="宋体"/>
          <w:i w:val="0"/>
          <w:iCs w:val="0"/>
          <w:snapToGrid w:val="0"/>
          <w:color w:val="000000" w:themeColor="text1"/>
          <w:szCs w:val="28"/>
          <w:highlight w:val="none"/>
          <w14:textFill>
            <w14:solidFill>
              <w14:schemeClr w14:val="tx1"/>
            </w14:solidFill>
          </w14:textFill>
        </w:rPr>
        <w:t>范围</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_Toc19875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44771B38">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_Toc23281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8"/>
          <w:highlight w:val="none"/>
          <w14:textFill>
            <w14:solidFill>
              <w14:schemeClr w14:val="tx1"/>
            </w14:solidFill>
          </w14:textFill>
        </w:rPr>
        <w:t xml:space="preserve">3. </w:t>
      </w:r>
      <w:r>
        <w:rPr>
          <w:rFonts w:hint="eastAsia" w:ascii="宋体" w:hAnsi="宋体"/>
          <w:i w:val="0"/>
          <w:iCs w:val="0"/>
          <w:snapToGrid w:val="0"/>
          <w:color w:val="000000" w:themeColor="text1"/>
          <w:szCs w:val="28"/>
          <w:highlight w:val="none"/>
          <w14:textFill>
            <w14:solidFill>
              <w14:schemeClr w14:val="tx1"/>
            </w14:solidFill>
          </w14:textFill>
        </w:rPr>
        <w:t xml:space="preserve"> </w:t>
      </w:r>
      <w:r>
        <w:rPr>
          <w:rFonts w:ascii="宋体" w:hAnsi="宋体"/>
          <w:i w:val="0"/>
          <w:iCs w:val="0"/>
          <w:snapToGrid w:val="0"/>
          <w:color w:val="000000" w:themeColor="text1"/>
          <w:szCs w:val="28"/>
          <w:highlight w:val="none"/>
          <w14:textFill>
            <w14:solidFill>
              <w14:schemeClr w14:val="tx1"/>
            </w14:solidFill>
          </w14:textFill>
        </w:rPr>
        <w:t>投标人资格要求</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_Toc23281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53A1A80">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_Toc7464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8"/>
          <w:highlight w:val="none"/>
          <w14:textFill>
            <w14:solidFill>
              <w14:schemeClr w14:val="tx1"/>
            </w14:solidFill>
          </w14:textFill>
        </w:rPr>
        <w:t xml:space="preserve">4. </w:t>
      </w:r>
      <w:r>
        <w:rPr>
          <w:rFonts w:hint="eastAsia" w:ascii="宋体" w:hAnsi="宋体"/>
          <w:i w:val="0"/>
          <w:iCs w:val="0"/>
          <w:snapToGrid w:val="0"/>
          <w:color w:val="000000" w:themeColor="text1"/>
          <w:szCs w:val="28"/>
          <w:highlight w:val="none"/>
          <w14:textFill>
            <w14:solidFill>
              <w14:schemeClr w14:val="tx1"/>
            </w14:solidFill>
          </w14:textFill>
        </w:rPr>
        <w:t xml:space="preserve"> </w:t>
      </w:r>
      <w:r>
        <w:rPr>
          <w:rFonts w:hint="eastAsia" w:ascii="宋体" w:hAnsi="宋体"/>
          <w:i w:val="0"/>
          <w:iCs w:val="0"/>
          <w:snapToGrid w:val="0"/>
          <w:color w:val="000000" w:themeColor="text1"/>
          <w:szCs w:val="28"/>
          <w:highlight w:val="none"/>
          <w:lang w:eastAsia="zh-CN"/>
          <w14:textFill>
            <w14:solidFill>
              <w14:schemeClr w14:val="tx1"/>
            </w14:solidFill>
          </w14:textFill>
        </w:rPr>
        <w:t>比选</w:t>
      </w:r>
      <w:r>
        <w:rPr>
          <w:rFonts w:ascii="宋体" w:hAnsi="宋体"/>
          <w:i w:val="0"/>
          <w:iCs w:val="0"/>
          <w:snapToGrid w:val="0"/>
          <w:color w:val="000000" w:themeColor="text1"/>
          <w:szCs w:val="28"/>
          <w:highlight w:val="none"/>
          <w14:textFill>
            <w14:solidFill>
              <w14:schemeClr w14:val="tx1"/>
            </w14:solidFill>
          </w14:textFill>
        </w:rPr>
        <w:t>文件的获取</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_Toc7464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20C17C2">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_Toc6222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8"/>
          <w:highlight w:val="none"/>
          <w14:textFill>
            <w14:solidFill>
              <w14:schemeClr w14:val="tx1"/>
            </w14:solidFill>
          </w14:textFill>
        </w:rPr>
        <w:t xml:space="preserve">5. </w:t>
      </w:r>
      <w:r>
        <w:rPr>
          <w:rFonts w:hint="eastAsia" w:ascii="宋体" w:hAnsi="宋体"/>
          <w:i w:val="0"/>
          <w:iCs w:val="0"/>
          <w:snapToGrid w:val="0"/>
          <w:color w:val="000000" w:themeColor="text1"/>
          <w:szCs w:val="28"/>
          <w:highlight w:val="none"/>
          <w14:textFill>
            <w14:solidFill>
              <w14:schemeClr w14:val="tx1"/>
            </w14:solidFill>
          </w14:textFill>
        </w:rPr>
        <w:t xml:space="preserve"> </w:t>
      </w:r>
      <w:r>
        <w:rPr>
          <w:rFonts w:ascii="宋体" w:hAnsi="宋体"/>
          <w:i w:val="0"/>
          <w:iCs w:val="0"/>
          <w:snapToGrid w:val="0"/>
          <w:color w:val="000000" w:themeColor="text1"/>
          <w:szCs w:val="28"/>
          <w:highlight w:val="none"/>
          <w14:textFill>
            <w14:solidFill>
              <w14:schemeClr w14:val="tx1"/>
            </w14:solidFill>
          </w14:textFill>
        </w:rPr>
        <w:t>投标文件的递交</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_Toc6222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9F30C1E">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_Toc8432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8"/>
          <w:highlight w:val="none"/>
          <w14:textFill>
            <w14:solidFill>
              <w14:schemeClr w14:val="tx1"/>
            </w14:solidFill>
          </w14:textFill>
        </w:rPr>
        <w:t xml:space="preserve">6. </w:t>
      </w:r>
      <w:r>
        <w:rPr>
          <w:rFonts w:hint="eastAsia" w:ascii="宋体" w:hAnsi="宋体"/>
          <w:i w:val="0"/>
          <w:iCs w:val="0"/>
          <w:snapToGrid w:val="0"/>
          <w:color w:val="000000" w:themeColor="text1"/>
          <w:szCs w:val="28"/>
          <w:highlight w:val="none"/>
          <w14:textFill>
            <w14:solidFill>
              <w14:schemeClr w14:val="tx1"/>
            </w14:solidFill>
          </w14:textFill>
        </w:rPr>
        <w:t xml:space="preserve"> </w:t>
      </w:r>
      <w:r>
        <w:rPr>
          <w:rFonts w:ascii="宋体" w:hAnsi="宋体"/>
          <w:i w:val="0"/>
          <w:iCs w:val="0"/>
          <w:snapToGrid w:val="0"/>
          <w:color w:val="000000" w:themeColor="text1"/>
          <w:szCs w:val="28"/>
          <w:highlight w:val="none"/>
          <w14:textFill>
            <w14:solidFill>
              <w14:schemeClr w14:val="tx1"/>
            </w14:solidFill>
          </w14:textFill>
        </w:rPr>
        <w:t>发布公告的媒介</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_Toc8432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25BC1F5">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_Toc6780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snapToGrid w:val="0"/>
          <w:color w:val="000000" w:themeColor="text1"/>
          <w:szCs w:val="28"/>
          <w:highlight w:val="none"/>
          <w:lang w:val="en-US" w:eastAsia="zh-CN"/>
          <w14:textFill>
            <w14:solidFill>
              <w14:schemeClr w14:val="tx1"/>
            </w14:solidFill>
          </w14:textFill>
        </w:rPr>
        <w:t>7</w:t>
      </w:r>
      <w:r>
        <w:rPr>
          <w:rFonts w:ascii="宋体" w:hAnsi="宋体"/>
          <w:i w:val="0"/>
          <w:iCs w:val="0"/>
          <w:snapToGrid w:val="0"/>
          <w:color w:val="000000" w:themeColor="text1"/>
          <w:szCs w:val="28"/>
          <w:highlight w:val="none"/>
          <w14:textFill>
            <w14:solidFill>
              <w14:schemeClr w14:val="tx1"/>
            </w14:solidFill>
          </w14:textFill>
        </w:rPr>
        <w:t xml:space="preserve">. </w:t>
      </w:r>
      <w:r>
        <w:rPr>
          <w:rFonts w:hint="eastAsia" w:ascii="宋体" w:hAnsi="宋体"/>
          <w:i w:val="0"/>
          <w:iCs w:val="0"/>
          <w:snapToGrid w:val="0"/>
          <w:color w:val="000000" w:themeColor="text1"/>
          <w:szCs w:val="28"/>
          <w:highlight w:val="none"/>
          <w14:textFill>
            <w14:solidFill>
              <w14:schemeClr w14:val="tx1"/>
            </w14:solidFill>
          </w14:textFill>
        </w:rPr>
        <w:t xml:space="preserve"> </w:t>
      </w:r>
      <w:r>
        <w:rPr>
          <w:rFonts w:ascii="宋体" w:hAnsi="宋体"/>
          <w:i w:val="0"/>
          <w:iCs w:val="0"/>
          <w:snapToGrid w:val="0"/>
          <w:color w:val="000000" w:themeColor="text1"/>
          <w:szCs w:val="28"/>
          <w:highlight w:val="none"/>
          <w14:textFill>
            <w14:solidFill>
              <w14:schemeClr w14:val="tx1"/>
            </w14:solidFill>
          </w14:textFill>
        </w:rPr>
        <w:t>联系方式</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_Toc6780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25AA37C">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_Toc11889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kern w:val="0"/>
          <w:highlight w:val="none"/>
          <w14:textFill>
            <w14:solidFill>
              <w14:schemeClr w14:val="tx1"/>
            </w14:solidFill>
          </w14:textFill>
        </w:rPr>
        <w:t>第二章  投标人须知</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_Toc11889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6</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733654C">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_Toc32756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color w:val="000000" w:themeColor="text1"/>
          <w:highlight w:val="none"/>
          <w14:textFill>
            <w14:solidFill>
              <w14:schemeClr w14:val="tx1"/>
            </w14:solidFill>
          </w14:textFill>
        </w:rPr>
        <w:t>投标人须知前附表</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_Toc32756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6</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D1FACC1">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_Toc30133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highlight w:val="none"/>
          <w14:textFill>
            <w14:solidFill>
              <w14:schemeClr w14:val="tx1"/>
            </w14:solidFill>
          </w14:textFill>
        </w:rPr>
        <w:t>1.  总则</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_Toc30133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18</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AB609CD">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_Toc24132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1.1  项目概况</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_Toc24132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18</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07F0256">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_Toc27923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1.2  资金来源和落实情况</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_Toc27923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18</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3D69A39A">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_Toc13661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 xml:space="preserve">1.3  </w:t>
      </w:r>
      <w:r>
        <w:rPr>
          <w:rFonts w:hint="eastAsia" w:ascii="宋体" w:hAnsi="宋体"/>
          <w:i w:val="0"/>
          <w:iCs w:val="0"/>
          <w:snapToGrid w:val="0"/>
          <w:color w:val="000000" w:themeColor="text1"/>
          <w:szCs w:val="24"/>
          <w:highlight w:val="none"/>
          <w:lang w:eastAsia="zh-CN"/>
          <w14:textFill>
            <w14:solidFill>
              <w14:schemeClr w14:val="tx1"/>
            </w14:solidFill>
          </w14:textFill>
        </w:rPr>
        <w:t>比选</w:t>
      </w:r>
      <w:r>
        <w:rPr>
          <w:rFonts w:ascii="宋体" w:hAnsi="宋体"/>
          <w:i w:val="0"/>
          <w:iCs w:val="0"/>
          <w:snapToGrid w:val="0"/>
          <w:color w:val="000000" w:themeColor="text1"/>
          <w:szCs w:val="24"/>
          <w:highlight w:val="none"/>
          <w14:textFill>
            <w14:solidFill>
              <w14:schemeClr w14:val="tx1"/>
            </w14:solidFill>
          </w14:textFill>
        </w:rPr>
        <w:t>范围、计划工期和质量要求</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_Toc13661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18</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39240D9F">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_Toc21453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1.4</w:t>
      </w:r>
      <w:r>
        <w:rPr>
          <w:rFonts w:hint="eastAsia" w:ascii="宋体" w:hAnsi="宋体"/>
          <w:i w:val="0"/>
          <w:iCs w:val="0"/>
          <w:snapToGrid w:val="0"/>
          <w:color w:val="000000" w:themeColor="text1"/>
          <w:szCs w:val="24"/>
          <w:highlight w:val="none"/>
          <w:lang w:val="en-US" w:eastAsia="zh-CN"/>
          <w14:textFill>
            <w14:solidFill>
              <w14:schemeClr w14:val="tx1"/>
            </w14:solidFill>
          </w14:textFill>
        </w:rPr>
        <w:t xml:space="preserve">  </w:t>
      </w:r>
      <w:r>
        <w:rPr>
          <w:rFonts w:ascii="宋体" w:hAnsi="宋体"/>
          <w:i w:val="0"/>
          <w:iCs w:val="0"/>
          <w:snapToGrid w:val="0"/>
          <w:color w:val="000000" w:themeColor="text1"/>
          <w:szCs w:val="24"/>
          <w:highlight w:val="none"/>
          <w14:textFill>
            <w14:solidFill>
              <w14:schemeClr w14:val="tx1"/>
            </w14:solidFill>
          </w14:textFill>
        </w:rPr>
        <w:t>投标人资格要求</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_Toc21453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18</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8228683">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_Toc21063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1.5  费用承担</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_Toc21063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19</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BB7BBA4">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_Toc19048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1.6  保密</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_Toc19048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19</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6A2056FE">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_Toc17548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1.7  语言文字</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_Toc17548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19</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20D917D">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_Toc14072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1.8  计量单位</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_Toc14072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19</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4FC2427">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_Toc25559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1.9  踏勘现场</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_Toc25559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19</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4C57A53">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_Toc7364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1.10  投标预备会</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_Toc7364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19</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329B8EB">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_Toc3986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1.11  分包</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_Toc3986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20</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AFC81C9">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_Toc2524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1.12  偏离</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_Toc2524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20</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66C33AC">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_Toc24723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highlight w:val="none"/>
          <w14:textFill>
            <w14:solidFill>
              <w14:schemeClr w14:val="tx1"/>
            </w14:solidFill>
          </w14:textFill>
        </w:rPr>
        <w:t xml:space="preserve">2.  </w:t>
      </w:r>
      <w:r>
        <w:rPr>
          <w:rFonts w:hint="eastAsia" w:ascii="宋体" w:hAnsi="宋体"/>
          <w:i w:val="0"/>
          <w:iCs w:val="0"/>
          <w:snapToGrid w:val="0"/>
          <w:color w:val="000000" w:themeColor="text1"/>
          <w:highlight w:val="none"/>
          <w:lang w:eastAsia="zh-CN"/>
          <w14:textFill>
            <w14:solidFill>
              <w14:schemeClr w14:val="tx1"/>
            </w14:solidFill>
          </w14:textFill>
        </w:rPr>
        <w:t>比选</w:t>
      </w:r>
      <w:r>
        <w:rPr>
          <w:rFonts w:ascii="宋体" w:hAnsi="宋体"/>
          <w:i w:val="0"/>
          <w:iCs w:val="0"/>
          <w:snapToGrid w:val="0"/>
          <w:color w:val="000000" w:themeColor="text1"/>
          <w:highlight w:val="none"/>
          <w14:textFill>
            <w14:solidFill>
              <w14:schemeClr w14:val="tx1"/>
            </w14:solidFill>
          </w14:textFill>
        </w:rPr>
        <w:t>文件</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_Toc24723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20</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1E7DCD0">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_Toc4767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 xml:space="preserve">2.1  </w:t>
      </w:r>
      <w:r>
        <w:rPr>
          <w:rFonts w:hint="eastAsia" w:ascii="宋体" w:hAnsi="宋体"/>
          <w:i w:val="0"/>
          <w:iCs w:val="0"/>
          <w:snapToGrid w:val="0"/>
          <w:color w:val="000000" w:themeColor="text1"/>
          <w:szCs w:val="24"/>
          <w:highlight w:val="none"/>
          <w:lang w:eastAsia="zh-CN"/>
          <w14:textFill>
            <w14:solidFill>
              <w14:schemeClr w14:val="tx1"/>
            </w14:solidFill>
          </w14:textFill>
        </w:rPr>
        <w:t>比选</w:t>
      </w:r>
      <w:r>
        <w:rPr>
          <w:rFonts w:ascii="宋体" w:hAnsi="宋体"/>
          <w:i w:val="0"/>
          <w:iCs w:val="0"/>
          <w:snapToGrid w:val="0"/>
          <w:color w:val="000000" w:themeColor="text1"/>
          <w:szCs w:val="24"/>
          <w:highlight w:val="none"/>
          <w14:textFill>
            <w14:solidFill>
              <w14:schemeClr w14:val="tx1"/>
            </w14:solidFill>
          </w14:textFill>
        </w:rPr>
        <w:t>文件的组成</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_Toc4767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20</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45E5376E">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_Toc1303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 xml:space="preserve">2.2  </w:t>
      </w:r>
      <w:r>
        <w:rPr>
          <w:rFonts w:hint="eastAsia" w:ascii="宋体" w:hAnsi="宋体"/>
          <w:i w:val="0"/>
          <w:iCs w:val="0"/>
          <w:snapToGrid w:val="0"/>
          <w:color w:val="000000" w:themeColor="text1"/>
          <w:szCs w:val="24"/>
          <w:highlight w:val="none"/>
          <w:lang w:eastAsia="zh-CN"/>
          <w14:textFill>
            <w14:solidFill>
              <w14:schemeClr w14:val="tx1"/>
            </w14:solidFill>
          </w14:textFill>
        </w:rPr>
        <w:t>比选</w:t>
      </w:r>
      <w:r>
        <w:rPr>
          <w:rFonts w:ascii="宋体" w:hAnsi="宋体"/>
          <w:i w:val="0"/>
          <w:iCs w:val="0"/>
          <w:snapToGrid w:val="0"/>
          <w:color w:val="000000" w:themeColor="text1"/>
          <w:szCs w:val="24"/>
          <w:highlight w:val="none"/>
          <w14:textFill>
            <w14:solidFill>
              <w14:schemeClr w14:val="tx1"/>
            </w14:solidFill>
          </w14:textFill>
        </w:rPr>
        <w:t>文件的澄清</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_Toc1303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20</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5790956">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_Toc21065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 xml:space="preserve">2.3  </w:t>
      </w:r>
      <w:r>
        <w:rPr>
          <w:rFonts w:hint="eastAsia" w:ascii="宋体" w:hAnsi="宋体"/>
          <w:i w:val="0"/>
          <w:iCs w:val="0"/>
          <w:snapToGrid w:val="0"/>
          <w:color w:val="000000" w:themeColor="text1"/>
          <w:szCs w:val="24"/>
          <w:highlight w:val="none"/>
          <w:lang w:eastAsia="zh-CN"/>
          <w14:textFill>
            <w14:solidFill>
              <w14:schemeClr w14:val="tx1"/>
            </w14:solidFill>
          </w14:textFill>
        </w:rPr>
        <w:t>比选</w:t>
      </w:r>
      <w:r>
        <w:rPr>
          <w:rFonts w:ascii="宋体" w:hAnsi="宋体"/>
          <w:i w:val="0"/>
          <w:iCs w:val="0"/>
          <w:snapToGrid w:val="0"/>
          <w:color w:val="000000" w:themeColor="text1"/>
          <w:szCs w:val="24"/>
          <w:highlight w:val="none"/>
          <w14:textFill>
            <w14:solidFill>
              <w14:schemeClr w14:val="tx1"/>
            </w14:solidFill>
          </w14:textFill>
        </w:rPr>
        <w:t>文件的修改</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_Toc21065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20</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44F3BBD">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_Toc405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highlight w:val="none"/>
          <w14:textFill>
            <w14:solidFill>
              <w14:schemeClr w14:val="tx1"/>
            </w14:solidFill>
          </w14:textFill>
        </w:rPr>
        <w:t>3.  投标文件</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_Toc405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21</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0B0B38C">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_Toc24822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3.1  投标文件的组成</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_Toc24822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21</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AAFD289">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_Toc9526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3.2  投标报价</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_Toc9526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21</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55F12A0">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_Toc29377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3.3  投标有效期</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_Toc29377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21</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9AA90D7">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_Toc14061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3.4  投标</w:t>
      </w:r>
      <w:r>
        <w:rPr>
          <w:rFonts w:hint="eastAsia" w:ascii="宋体" w:hAnsi="宋体"/>
          <w:i w:val="0"/>
          <w:iCs w:val="0"/>
          <w:snapToGrid w:val="0"/>
          <w:color w:val="000000" w:themeColor="text1"/>
          <w:szCs w:val="24"/>
          <w:highlight w:val="none"/>
          <w14:textFill>
            <w14:solidFill>
              <w14:schemeClr w14:val="tx1"/>
            </w14:solidFill>
          </w14:textFill>
        </w:rPr>
        <w:t>保证金</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_Toc14061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21</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A205C5B">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_Toc12526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3.5  资格审查资料</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_Toc12526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22</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DE671B3">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_Toc18574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3.6  备选投标方案</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_Toc18574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22</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4529C59">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_Toc9528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3.7  投标文件的编制</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_Toc9528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22</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E97D2A3">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_Toc18254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highlight w:val="none"/>
          <w14:textFill>
            <w14:solidFill>
              <w14:schemeClr w14:val="tx1"/>
            </w14:solidFill>
          </w14:textFill>
        </w:rPr>
        <w:t>4.  投标</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_Toc18254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22</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65E12C3F">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_Toc4283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4.1  投标文件的密封和标记</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_Toc4283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22</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5865BD4">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_Toc23957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4.2  投标文件的递交</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_Toc23957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22</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7D501B0">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_Toc4888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4.3  投标文件的修改与撤回</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_Toc4888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23</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1A415FA">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_Toc6152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highlight w:val="none"/>
          <w14:textFill>
            <w14:solidFill>
              <w14:schemeClr w14:val="tx1"/>
            </w14:solidFill>
          </w14:textFill>
        </w:rPr>
        <w:t>5.  开标</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_Toc6152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23</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FC11339">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_Toc27584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5.1  开标时间和地点</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_Toc27584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23</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6D6709C2">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_Toc4144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5.2  开标程序</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_Toc4144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23</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BF0B5A7">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_Toc11912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5.</w:t>
      </w:r>
      <w:r>
        <w:rPr>
          <w:rFonts w:hint="eastAsia" w:ascii="宋体" w:hAnsi="宋体"/>
          <w:i w:val="0"/>
          <w:iCs w:val="0"/>
          <w:snapToGrid w:val="0"/>
          <w:color w:val="000000" w:themeColor="text1"/>
          <w:szCs w:val="24"/>
          <w:highlight w:val="none"/>
          <w14:textFill>
            <w14:solidFill>
              <w14:schemeClr w14:val="tx1"/>
            </w14:solidFill>
          </w14:textFill>
        </w:rPr>
        <w:t>3</w:t>
      </w:r>
      <w:r>
        <w:rPr>
          <w:rFonts w:ascii="宋体" w:hAnsi="宋体"/>
          <w:i w:val="0"/>
          <w:iCs w:val="0"/>
          <w:snapToGrid w:val="0"/>
          <w:color w:val="000000" w:themeColor="text1"/>
          <w:szCs w:val="24"/>
          <w:highlight w:val="none"/>
          <w14:textFill>
            <w14:solidFill>
              <w14:schemeClr w14:val="tx1"/>
            </w14:solidFill>
          </w14:textFill>
        </w:rPr>
        <w:t xml:space="preserve">  </w:t>
      </w:r>
      <w:r>
        <w:rPr>
          <w:rFonts w:hint="eastAsia" w:ascii="宋体" w:hAnsi="宋体"/>
          <w:i w:val="0"/>
          <w:iCs w:val="0"/>
          <w:snapToGrid w:val="0"/>
          <w:color w:val="000000" w:themeColor="text1"/>
          <w:szCs w:val="24"/>
          <w:highlight w:val="none"/>
          <w14:textFill>
            <w14:solidFill>
              <w14:schemeClr w14:val="tx1"/>
            </w14:solidFill>
          </w14:textFill>
        </w:rPr>
        <w:t>开标异议</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_Toc11912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23</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459D218">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_Toc12598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highlight w:val="none"/>
          <w14:textFill>
            <w14:solidFill>
              <w14:schemeClr w14:val="tx1"/>
            </w14:solidFill>
          </w14:textFill>
        </w:rPr>
        <w:t>6.  评标</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_Toc12598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23</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5F02764">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_Toc19959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6.1  评标委员会</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_Toc19959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23</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AC94CEB">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_Toc3969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6.2  评标原则</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_Toc3969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23</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CC7879B">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_Toc21049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6.3  评标</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_Toc21049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23</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4E4CD25D">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_Toc30356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highlight w:val="none"/>
          <w14:textFill>
            <w14:solidFill>
              <w14:schemeClr w14:val="tx1"/>
            </w14:solidFill>
          </w14:textFill>
        </w:rPr>
        <w:t>7.  合同授予</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_Toc30356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6EC8D3C">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_Toc26112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7.1  定标方式</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_Toc26112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9F0E710">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_Toc25266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7.2  中标公示及中标通知</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_Toc25266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420B526">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_Toc10853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7.3  履约担保</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_Toc10853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C59AA65">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_Toc32229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7.4  签订合同</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_Toc32229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0A7C5F0">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_Toc6094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highlight w:val="none"/>
          <w14:textFill>
            <w14:solidFill>
              <w14:schemeClr w14:val="tx1"/>
            </w14:solidFill>
          </w14:textFill>
        </w:rPr>
        <w:t>8.  重新</w:t>
      </w:r>
      <w:r>
        <w:rPr>
          <w:rFonts w:hint="eastAsia" w:ascii="宋体" w:hAnsi="宋体"/>
          <w:i w:val="0"/>
          <w:iCs w:val="0"/>
          <w:snapToGrid w:val="0"/>
          <w:color w:val="000000" w:themeColor="text1"/>
          <w:highlight w:val="none"/>
          <w:lang w:eastAsia="zh-CN"/>
          <w14:textFill>
            <w14:solidFill>
              <w14:schemeClr w14:val="tx1"/>
            </w14:solidFill>
          </w14:textFill>
        </w:rPr>
        <w:t>比选</w:t>
      </w:r>
      <w:r>
        <w:rPr>
          <w:rFonts w:ascii="宋体" w:hAnsi="宋体"/>
          <w:i w:val="0"/>
          <w:iCs w:val="0"/>
          <w:snapToGrid w:val="0"/>
          <w:color w:val="000000" w:themeColor="text1"/>
          <w:highlight w:val="none"/>
          <w14:textFill>
            <w14:solidFill>
              <w14:schemeClr w14:val="tx1"/>
            </w14:solidFill>
          </w14:textFill>
        </w:rPr>
        <w:t>和不再</w:t>
      </w:r>
      <w:r>
        <w:rPr>
          <w:rFonts w:hint="eastAsia" w:ascii="宋体" w:hAnsi="宋体"/>
          <w:i w:val="0"/>
          <w:iCs w:val="0"/>
          <w:snapToGrid w:val="0"/>
          <w:color w:val="000000" w:themeColor="text1"/>
          <w:highlight w:val="none"/>
          <w:lang w:eastAsia="zh-CN"/>
          <w14:textFill>
            <w14:solidFill>
              <w14:schemeClr w14:val="tx1"/>
            </w14:solidFill>
          </w14:textFill>
        </w:rPr>
        <w:t>比选</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_Toc6094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4A1E43A2">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_Toc4166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8.1  重新</w:t>
      </w:r>
      <w:r>
        <w:rPr>
          <w:rFonts w:hint="eastAsia" w:ascii="宋体" w:hAnsi="宋体"/>
          <w:i w:val="0"/>
          <w:iCs w:val="0"/>
          <w:snapToGrid w:val="0"/>
          <w:color w:val="000000" w:themeColor="text1"/>
          <w:szCs w:val="24"/>
          <w:highlight w:val="none"/>
          <w:lang w:eastAsia="zh-CN"/>
          <w14:textFill>
            <w14:solidFill>
              <w14:schemeClr w14:val="tx1"/>
            </w14:solidFill>
          </w14:textFill>
        </w:rPr>
        <w:t>比选</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_Toc4166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BD1E560">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_Toc2553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8.2  二次</w:t>
      </w:r>
      <w:r>
        <w:rPr>
          <w:rFonts w:hint="eastAsia" w:ascii="宋体" w:hAnsi="宋体"/>
          <w:i w:val="0"/>
          <w:iCs w:val="0"/>
          <w:snapToGrid w:val="0"/>
          <w:color w:val="000000" w:themeColor="text1"/>
          <w:szCs w:val="24"/>
          <w:highlight w:val="none"/>
          <w:lang w:eastAsia="zh-CN"/>
          <w14:textFill>
            <w14:solidFill>
              <w14:schemeClr w14:val="tx1"/>
            </w14:solidFill>
          </w14:textFill>
        </w:rPr>
        <w:t>比选</w:t>
      </w:r>
      <w:r>
        <w:rPr>
          <w:rFonts w:ascii="宋体" w:hAnsi="宋体"/>
          <w:i w:val="0"/>
          <w:iCs w:val="0"/>
          <w:snapToGrid w:val="0"/>
          <w:color w:val="000000" w:themeColor="text1"/>
          <w:szCs w:val="24"/>
          <w:highlight w:val="none"/>
          <w14:textFill>
            <w14:solidFill>
              <w14:schemeClr w14:val="tx1"/>
            </w14:solidFill>
          </w14:textFill>
        </w:rPr>
        <w:t>和不再</w:t>
      </w:r>
      <w:r>
        <w:rPr>
          <w:rFonts w:hint="eastAsia" w:ascii="宋体" w:hAnsi="宋体"/>
          <w:i w:val="0"/>
          <w:iCs w:val="0"/>
          <w:snapToGrid w:val="0"/>
          <w:color w:val="000000" w:themeColor="text1"/>
          <w:szCs w:val="24"/>
          <w:highlight w:val="none"/>
          <w:lang w:eastAsia="zh-CN"/>
          <w14:textFill>
            <w14:solidFill>
              <w14:schemeClr w14:val="tx1"/>
            </w14:solidFill>
          </w14:textFill>
        </w:rPr>
        <w:t>比选</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_Toc2553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4989FD2">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_Toc4733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highlight w:val="none"/>
          <w14:textFill>
            <w14:solidFill>
              <w14:schemeClr w14:val="tx1"/>
            </w14:solidFill>
          </w14:textFill>
        </w:rPr>
        <w:t>9.  纪律和监督</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_Toc4733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3AAE418D">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_Toc31558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9.1  对</w:t>
      </w:r>
      <w:r>
        <w:rPr>
          <w:rFonts w:hint="eastAsia" w:ascii="宋体" w:hAnsi="宋体"/>
          <w:i w:val="0"/>
          <w:iCs w:val="0"/>
          <w:snapToGrid w:val="0"/>
          <w:color w:val="000000" w:themeColor="text1"/>
          <w:szCs w:val="24"/>
          <w:highlight w:val="none"/>
          <w:lang w:eastAsia="zh-CN"/>
          <w14:textFill>
            <w14:solidFill>
              <w14:schemeClr w14:val="tx1"/>
            </w14:solidFill>
          </w14:textFill>
        </w:rPr>
        <w:t>比选</w:t>
      </w:r>
      <w:r>
        <w:rPr>
          <w:rFonts w:ascii="宋体" w:hAnsi="宋体"/>
          <w:i w:val="0"/>
          <w:iCs w:val="0"/>
          <w:snapToGrid w:val="0"/>
          <w:color w:val="000000" w:themeColor="text1"/>
          <w:szCs w:val="24"/>
          <w:highlight w:val="none"/>
          <w14:textFill>
            <w14:solidFill>
              <w14:schemeClr w14:val="tx1"/>
            </w14:solidFill>
          </w14:textFill>
        </w:rPr>
        <w:t>人的纪律要求</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_Toc31558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B20F5E7">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_Toc20579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9.2  对投标人的纪律要求</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_Toc20579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36244DBF">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_Toc8021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9.3  对评标委员会成员的纪律要求</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_Toc8021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26</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6D711818">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_Toc4497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9.4  对与评标活动有关的工作人员的纪律要求</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_Toc4497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26</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3CD69B09">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_Toc32724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szCs w:val="24"/>
          <w:highlight w:val="none"/>
          <w14:textFill>
            <w14:solidFill>
              <w14:schemeClr w14:val="tx1"/>
            </w14:solidFill>
          </w14:textFill>
        </w:rPr>
        <w:t>9.5  投诉</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_Toc32724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26</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11B45EB">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_Toc32661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highlight w:val="none"/>
          <w14:textFill>
            <w14:solidFill>
              <w14:schemeClr w14:val="tx1"/>
            </w14:solidFill>
          </w14:textFill>
        </w:rPr>
        <w:t>10. 需要补充的其他内容</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_Toc32661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26</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3BEE5E76">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_Toc5223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kern w:val="0"/>
          <w14:textFill>
            <w14:solidFill>
              <w14:schemeClr w14:val="tx1"/>
            </w14:solidFill>
          </w14:textFill>
        </w:rPr>
        <w:t xml:space="preserve">第三章 </w:t>
      </w:r>
      <w:r>
        <w:rPr>
          <w:rFonts w:hint="eastAsia" w:ascii="宋体" w:hAnsi="宋体"/>
          <w:i w:val="0"/>
          <w:iCs w:val="0"/>
          <w:snapToGrid w:val="0"/>
          <w:color w:val="000000" w:themeColor="text1"/>
          <w:kern w:val="0"/>
          <w14:textFill>
            <w14:solidFill>
              <w14:schemeClr w14:val="tx1"/>
            </w14:solidFill>
          </w14:textFill>
        </w:rPr>
        <w:t xml:space="preserve"> </w:t>
      </w:r>
      <w:r>
        <w:rPr>
          <w:rFonts w:ascii="宋体" w:hAnsi="宋体"/>
          <w:i w:val="0"/>
          <w:iCs w:val="0"/>
          <w:snapToGrid w:val="0"/>
          <w:color w:val="000000" w:themeColor="text1"/>
          <w:kern w:val="0"/>
          <w14:textFill>
            <w14:solidFill>
              <w14:schemeClr w14:val="tx1"/>
            </w14:solidFill>
          </w14:textFill>
        </w:rPr>
        <w:t>评标办法（</w:t>
      </w:r>
      <w:r>
        <w:rPr>
          <w:rFonts w:hint="eastAsia" w:ascii="宋体" w:hAnsi="宋体"/>
          <w:i w:val="0"/>
          <w:iCs w:val="0"/>
          <w:snapToGrid w:val="0"/>
          <w:color w:val="000000" w:themeColor="text1"/>
          <w:kern w:val="0"/>
          <w14:textFill>
            <w14:solidFill>
              <w14:schemeClr w14:val="tx1"/>
            </w14:solidFill>
          </w14:textFill>
        </w:rPr>
        <w:t>经评审的最低投标价法</w:t>
      </w:r>
      <w:r>
        <w:rPr>
          <w:rFonts w:ascii="宋体" w:hAnsi="宋体"/>
          <w:i w:val="0"/>
          <w:iCs w:val="0"/>
          <w:snapToGrid w:val="0"/>
          <w:color w:val="000000" w:themeColor="text1"/>
          <w:kern w:val="0"/>
          <w14:textFill>
            <w14:solidFill>
              <w14:schemeClr w14:val="tx1"/>
            </w14:solidFill>
          </w14:textFill>
        </w:rPr>
        <w:t>）</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_Toc5223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31</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3C6924F">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_Toc32418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color w:val="000000" w:themeColor="text1"/>
          <w:szCs w:val="32"/>
          <w14:textFill>
            <w14:solidFill>
              <w14:schemeClr w14:val="tx1"/>
            </w14:solidFill>
          </w14:textFill>
        </w:rPr>
        <w:t>评标办法前附表</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_Toc32418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31</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8460562">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_Toc22282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14:textFill>
            <w14:solidFill>
              <w14:schemeClr w14:val="tx1"/>
            </w14:solidFill>
          </w14:textFill>
        </w:rPr>
        <w:t>1.  评标方法</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_Toc22282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663A3FC4">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_Toc5369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14:textFill>
            <w14:solidFill>
              <w14:schemeClr w14:val="tx1"/>
            </w14:solidFill>
          </w14:textFill>
        </w:rPr>
        <w:t>2.  评审标准</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_Toc5369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25E149C">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_Toc8295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cs="宋体"/>
          <w:i w:val="0"/>
          <w:iCs w:val="0"/>
          <w:color w:val="000000" w:themeColor="text1"/>
          <w:szCs w:val="21"/>
          <w14:textFill>
            <w14:solidFill>
              <w14:schemeClr w14:val="tx1"/>
            </w14:solidFill>
          </w14:textFill>
        </w:rPr>
        <w:t>2.1</w:t>
      </w:r>
      <w:r>
        <w:rPr>
          <w:rFonts w:hint="eastAsia" w:ascii="宋体" w:hAnsi="宋体" w:cs="宋体"/>
          <w:i w:val="0"/>
          <w:iCs w:val="0"/>
          <w:color w:val="000000" w:themeColor="text1"/>
          <w:szCs w:val="21"/>
          <w14:textFill>
            <w14:solidFill>
              <w14:schemeClr w14:val="tx1"/>
            </w14:solidFill>
          </w14:textFill>
        </w:rPr>
        <w:t>报价</w:t>
      </w:r>
      <w:r>
        <w:rPr>
          <w:rFonts w:ascii="宋体" w:hAnsi="宋体" w:cs="宋体"/>
          <w:i w:val="0"/>
          <w:iCs w:val="0"/>
          <w:color w:val="000000" w:themeColor="text1"/>
          <w:szCs w:val="21"/>
          <w14:textFill>
            <w14:solidFill>
              <w14:schemeClr w14:val="tx1"/>
            </w14:solidFill>
          </w14:textFill>
        </w:rPr>
        <w:t>排序</w:t>
      </w:r>
      <w:r>
        <w:rPr>
          <w:rFonts w:hint="eastAsia" w:ascii="宋体" w:hAnsi="宋体" w:cs="宋体"/>
          <w:i w:val="0"/>
          <w:iCs w:val="0"/>
          <w:color w:val="000000" w:themeColor="text1"/>
          <w:szCs w:val="21"/>
          <w14:textFill>
            <w14:solidFill>
              <w14:schemeClr w14:val="tx1"/>
            </w14:solidFill>
          </w14:textFill>
        </w:rPr>
        <w:t>标准</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_Toc8295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A954968">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_Toc7772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cs="宋体"/>
          <w:i w:val="0"/>
          <w:iCs w:val="0"/>
          <w:color w:val="000000" w:themeColor="text1"/>
          <w:szCs w:val="21"/>
          <w14:textFill>
            <w14:solidFill>
              <w14:schemeClr w14:val="tx1"/>
            </w14:solidFill>
          </w14:textFill>
        </w:rPr>
        <w:t>2.</w:t>
      </w:r>
      <w:r>
        <w:rPr>
          <w:rFonts w:hint="eastAsia" w:ascii="宋体" w:hAnsi="宋体" w:cs="宋体"/>
          <w:i w:val="0"/>
          <w:iCs w:val="0"/>
          <w:color w:val="000000" w:themeColor="text1"/>
          <w:szCs w:val="21"/>
          <w14:textFill>
            <w14:solidFill>
              <w14:schemeClr w14:val="tx1"/>
            </w14:solidFill>
          </w14:textFill>
        </w:rPr>
        <w:t>2符合性审查标准</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_Toc7772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BA0E286">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_Toc13296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snapToGrid w:val="0"/>
          <w:color w:val="000000" w:themeColor="text1"/>
          <w14:textFill>
            <w14:solidFill>
              <w14:schemeClr w14:val="tx1"/>
            </w14:solidFill>
          </w14:textFill>
        </w:rPr>
        <w:t>3.  评标程序</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_Toc13296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EDCEC72">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_Toc13381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cs="宋体"/>
          <w:i w:val="0"/>
          <w:iCs w:val="0"/>
          <w:color w:val="000000" w:themeColor="text1"/>
          <w:szCs w:val="21"/>
          <w14:textFill>
            <w14:solidFill>
              <w14:schemeClr w14:val="tx1"/>
            </w14:solidFill>
          </w14:textFill>
        </w:rPr>
        <w:t>3.1</w:t>
      </w:r>
      <w:r>
        <w:rPr>
          <w:rFonts w:hint="eastAsia" w:ascii="宋体" w:hAnsi="宋体" w:cs="宋体"/>
          <w:i w:val="0"/>
          <w:iCs w:val="0"/>
          <w:color w:val="000000" w:themeColor="text1"/>
          <w:szCs w:val="21"/>
          <w14:textFill>
            <w14:solidFill>
              <w14:schemeClr w14:val="tx1"/>
            </w14:solidFill>
          </w14:textFill>
        </w:rPr>
        <w:t>报价排序</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_Toc13381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AB03609">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_Toc25028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cs="宋体"/>
          <w:i w:val="0"/>
          <w:iCs w:val="0"/>
          <w:color w:val="000000" w:themeColor="text1"/>
          <w:szCs w:val="21"/>
          <w14:textFill>
            <w14:solidFill>
              <w14:schemeClr w14:val="tx1"/>
            </w14:solidFill>
          </w14:textFill>
        </w:rPr>
        <w:t>3.</w:t>
      </w:r>
      <w:r>
        <w:rPr>
          <w:rFonts w:hint="eastAsia" w:ascii="宋体" w:hAnsi="宋体" w:cs="宋体"/>
          <w:i w:val="0"/>
          <w:iCs w:val="0"/>
          <w:color w:val="000000" w:themeColor="text1"/>
          <w:szCs w:val="21"/>
          <w14:textFill>
            <w14:solidFill>
              <w14:schemeClr w14:val="tx1"/>
            </w14:solidFill>
          </w14:textFill>
        </w:rPr>
        <w:t>2符合性审查</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_Toc25028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4B6C2485">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_Toc14527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cs="宋体"/>
          <w:i w:val="0"/>
          <w:iCs w:val="0"/>
          <w:color w:val="000000" w:themeColor="text1"/>
          <w:szCs w:val="21"/>
          <w14:textFill>
            <w14:solidFill>
              <w14:schemeClr w14:val="tx1"/>
            </w14:solidFill>
          </w14:textFill>
        </w:rPr>
        <w:t>3.</w:t>
      </w:r>
      <w:r>
        <w:rPr>
          <w:rFonts w:hint="eastAsia" w:ascii="宋体" w:hAnsi="宋体" w:cs="宋体"/>
          <w:i w:val="0"/>
          <w:iCs w:val="0"/>
          <w:color w:val="000000" w:themeColor="text1"/>
          <w:szCs w:val="21"/>
          <w14:textFill>
            <w14:solidFill>
              <w14:schemeClr w14:val="tx1"/>
            </w14:solidFill>
          </w14:textFill>
        </w:rPr>
        <w:t>3</w:t>
      </w:r>
      <w:r>
        <w:rPr>
          <w:rFonts w:ascii="宋体" w:hAnsi="宋体" w:cs="宋体"/>
          <w:i w:val="0"/>
          <w:iCs w:val="0"/>
          <w:color w:val="000000" w:themeColor="text1"/>
          <w:szCs w:val="21"/>
          <w14:textFill>
            <w14:solidFill>
              <w14:schemeClr w14:val="tx1"/>
            </w14:solidFill>
          </w14:textFill>
        </w:rPr>
        <w:t xml:space="preserve"> </w:t>
      </w:r>
      <w:r>
        <w:rPr>
          <w:rFonts w:hint="eastAsia" w:ascii="宋体" w:hAnsi="宋体" w:cs="宋体"/>
          <w:i w:val="0"/>
          <w:iCs w:val="0"/>
          <w:color w:val="000000" w:themeColor="text1"/>
          <w:szCs w:val="21"/>
          <w14:textFill>
            <w14:solidFill>
              <w14:schemeClr w14:val="tx1"/>
            </w14:solidFill>
          </w14:textFill>
        </w:rPr>
        <w:t>投标文件的澄清和补正</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_Toc14527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A17301E">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_Toc5276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cs="宋体"/>
          <w:i w:val="0"/>
          <w:iCs w:val="0"/>
          <w:color w:val="000000" w:themeColor="text1"/>
          <w:szCs w:val="21"/>
          <w14:textFill>
            <w14:solidFill>
              <w14:schemeClr w14:val="tx1"/>
            </w14:solidFill>
          </w14:textFill>
        </w:rPr>
        <w:t>3.</w:t>
      </w:r>
      <w:r>
        <w:rPr>
          <w:rFonts w:hint="eastAsia" w:ascii="宋体" w:hAnsi="宋体" w:cs="宋体"/>
          <w:i w:val="0"/>
          <w:iCs w:val="0"/>
          <w:color w:val="000000" w:themeColor="text1"/>
          <w:szCs w:val="21"/>
          <w14:textFill>
            <w14:solidFill>
              <w14:schemeClr w14:val="tx1"/>
            </w14:solidFill>
          </w14:textFill>
        </w:rPr>
        <w:t>4</w:t>
      </w:r>
      <w:r>
        <w:rPr>
          <w:rFonts w:ascii="宋体" w:hAnsi="宋体" w:cs="宋体"/>
          <w:i w:val="0"/>
          <w:iCs w:val="0"/>
          <w:color w:val="000000" w:themeColor="text1"/>
          <w:szCs w:val="21"/>
          <w14:textFill>
            <w14:solidFill>
              <w14:schemeClr w14:val="tx1"/>
            </w14:solidFill>
          </w14:textFill>
        </w:rPr>
        <w:t xml:space="preserve"> </w:t>
      </w:r>
      <w:r>
        <w:rPr>
          <w:rFonts w:hint="eastAsia" w:ascii="宋体" w:hAnsi="宋体" w:cs="宋体"/>
          <w:i w:val="0"/>
          <w:iCs w:val="0"/>
          <w:color w:val="000000" w:themeColor="text1"/>
          <w:szCs w:val="21"/>
          <w14:textFill>
            <w14:solidFill>
              <w14:schemeClr w14:val="tx1"/>
            </w14:solidFill>
          </w14:textFill>
        </w:rPr>
        <w:t>评标结果</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_Toc5276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8A28BC4">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_Toc8458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color w:val="000000" w:themeColor="text1"/>
          <w:kern w:val="0"/>
          <w:highlight w:val="none"/>
          <w14:textFill>
            <w14:solidFill>
              <w14:schemeClr w14:val="tx1"/>
            </w14:solidFill>
          </w14:textFill>
        </w:rPr>
        <w:t>第四章  合同条款及格式</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_Toc8458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39</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1597F5E">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_Toc5214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color w:val="000000" w:themeColor="text1"/>
          <w:szCs w:val="44"/>
          <w:highlight w:val="none"/>
          <w14:textFill>
            <w14:solidFill>
              <w14:schemeClr w14:val="tx1"/>
            </w14:solidFill>
          </w14:textFill>
        </w:rPr>
        <w:t>第一部分 合同协议书</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_Toc5214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41</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54CC21F9">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_Toc18044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color w:val="000000" w:themeColor="text1"/>
          <w:szCs w:val="44"/>
          <w:highlight w:val="none"/>
          <w14:textFill>
            <w14:solidFill>
              <w14:schemeClr w14:val="tx1"/>
            </w14:solidFill>
          </w14:textFill>
        </w:rPr>
        <w:t>第二部分 通用合同条款</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_Toc18044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45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6374191F">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_Toc18947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color w:val="000000" w:themeColor="text1"/>
          <w:szCs w:val="44"/>
          <w:highlight w:val="none"/>
          <w14:textFill>
            <w14:solidFill>
              <w14:schemeClr w14:val="tx1"/>
            </w14:solidFill>
          </w14:textFill>
        </w:rPr>
        <w:t>第三部分 专用合同条款</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_Toc18947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98</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A9F6421">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_Toc30518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color w:val="000000" w:themeColor="text1"/>
          <w:highlight w:val="none"/>
          <w14:textFill>
            <w14:solidFill>
              <w14:schemeClr w14:val="tx1"/>
            </w14:solidFill>
          </w14:textFill>
        </w:rPr>
        <w:t>第五章  工程量清单</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_Toc30518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163</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9B13637">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_Toc30709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color w:val="000000" w:themeColor="text1"/>
          <w:szCs w:val="52"/>
          <w:highlight w:val="none"/>
          <w14:textFill>
            <w14:solidFill>
              <w14:schemeClr w14:val="tx1"/>
            </w14:solidFill>
          </w14:textFill>
        </w:rPr>
        <w:t>第 二 卷</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_Toc30709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164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A3A296E">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_Toc3490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color w:val="000000" w:themeColor="text1"/>
          <w:highlight w:val="none"/>
          <w14:textFill>
            <w14:solidFill>
              <w14:schemeClr w14:val="tx1"/>
            </w14:solidFill>
          </w14:textFill>
        </w:rPr>
        <w:t>第六章  图纸</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_Toc3490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165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6A3EF07">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_Toc12815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color w:val="000000" w:themeColor="text1"/>
          <w:szCs w:val="52"/>
          <w:highlight w:val="none"/>
          <w14:textFill>
            <w14:solidFill>
              <w14:schemeClr w14:val="tx1"/>
            </w14:solidFill>
          </w14:textFill>
        </w:rPr>
        <w:t>第 三 卷</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_Toc12815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166</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6CD5D289">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_Toc19677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color w:val="000000" w:themeColor="text1"/>
          <w:highlight w:val="none"/>
          <w14:textFill>
            <w14:solidFill>
              <w14:schemeClr w14:val="tx1"/>
            </w14:solidFill>
          </w14:textFill>
        </w:rPr>
        <w:t>第七章</w:t>
      </w:r>
      <w:r>
        <w:rPr>
          <w:rFonts w:hint="eastAsia" w:ascii="宋体" w:hAnsi="宋体"/>
          <w:i w:val="0"/>
          <w:iCs w:val="0"/>
          <w:color w:val="000000" w:themeColor="text1"/>
          <w:highlight w:val="none"/>
          <w14:textFill>
            <w14:solidFill>
              <w14:schemeClr w14:val="tx1"/>
            </w14:solidFill>
          </w14:textFill>
        </w:rPr>
        <w:t xml:space="preserve">  </w:t>
      </w:r>
      <w:r>
        <w:rPr>
          <w:rFonts w:ascii="宋体" w:hAnsi="宋体"/>
          <w:i w:val="0"/>
          <w:iCs w:val="0"/>
          <w:color w:val="000000" w:themeColor="text1"/>
          <w:highlight w:val="none"/>
          <w14:textFill>
            <w14:solidFill>
              <w14:schemeClr w14:val="tx1"/>
            </w14:solidFill>
          </w14:textFill>
        </w:rPr>
        <w:t>技术标准和要求</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_Toc19677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167</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412D8A54">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_Toc31457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color w:val="000000" w:themeColor="text1"/>
          <w:szCs w:val="52"/>
          <w:highlight w:val="none"/>
          <w14:textFill>
            <w14:solidFill>
              <w14:schemeClr w14:val="tx1"/>
            </w14:solidFill>
          </w14:textFill>
        </w:rPr>
        <w:t>第 四 卷</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_Toc31457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168</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3C0AF53">
      <w:pPr>
        <w:pStyle w:val="31"/>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_Toc29049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color w:val="000000" w:themeColor="text1"/>
          <w:highlight w:val="none"/>
          <w14:textFill>
            <w14:solidFill>
              <w14:schemeClr w14:val="tx1"/>
            </w14:solidFill>
          </w14:textFill>
        </w:rPr>
        <w:t>第八章  投标文件格式</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_Toc29049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169</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30C6ABEA">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_Toc22514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bCs w:val="0"/>
          <w:i w:val="0"/>
          <w:iCs w:val="0"/>
          <w:color w:val="000000" w:themeColor="text1"/>
          <w:szCs w:val="44"/>
          <w:highlight w:val="none"/>
          <w:lang w:eastAsia="zh-CN"/>
          <w14:textFill>
            <w14:solidFill>
              <w14:schemeClr w14:val="tx1"/>
            </w14:solidFill>
          </w14:textFill>
        </w:rPr>
        <w:t>一</w:t>
      </w:r>
      <w:r>
        <w:rPr>
          <w:rFonts w:hint="eastAsia" w:ascii="宋体" w:hAnsi="宋体"/>
          <w:bCs w:val="0"/>
          <w:i w:val="0"/>
          <w:iCs w:val="0"/>
          <w:color w:val="000000" w:themeColor="text1"/>
          <w:szCs w:val="44"/>
          <w:highlight w:val="none"/>
          <w14:textFill>
            <w14:solidFill>
              <w14:schemeClr w14:val="tx1"/>
            </w14:solidFill>
          </w14:textFill>
        </w:rPr>
        <w:t>、投标函部分</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_Toc22514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171</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4A243D18">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_Toc8505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i w:val="0"/>
          <w:iCs w:val="0"/>
          <w:color w:val="000000" w:themeColor="text1"/>
          <w:highlight w:val="none"/>
          <w14:textFill>
            <w14:solidFill>
              <w14:schemeClr w14:val="tx1"/>
            </w14:solidFill>
          </w14:textFill>
        </w:rPr>
        <w:t>（一）投标函</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_Toc8505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174</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678BF1B5">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_Toc32004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i w:val="0"/>
          <w:iCs w:val="0"/>
          <w:color w:val="000000" w:themeColor="text1"/>
          <w:highlight w:val="none"/>
          <w14:textFill>
            <w14:solidFill>
              <w14:schemeClr w14:val="tx1"/>
            </w14:solidFill>
          </w14:textFill>
        </w:rPr>
        <w:t>（二）投标函附录</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_Toc32004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175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9B49269">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_Toc31150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i w:val="0"/>
          <w:iCs w:val="0"/>
          <w:color w:val="000000" w:themeColor="text1"/>
          <w:szCs w:val="30"/>
          <w:highlight w:val="none"/>
          <w14:textFill>
            <w14:solidFill>
              <w14:schemeClr w14:val="tx1"/>
            </w14:solidFill>
          </w14:textFill>
        </w:rPr>
        <w:t>（三）</w:t>
      </w:r>
      <w:r>
        <w:rPr>
          <w:rFonts w:hint="eastAsia"/>
          <w:i w:val="0"/>
          <w:iCs w:val="0"/>
          <w:color w:val="000000" w:themeColor="text1"/>
          <w:szCs w:val="30"/>
          <w:highlight w:val="none"/>
          <w14:textFill>
            <w14:solidFill>
              <w14:schemeClr w14:val="tx1"/>
            </w14:solidFill>
          </w14:textFill>
        </w:rPr>
        <w:t>法定代表人身份证明或附有法定代表人身份证明的授权委托书</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_Toc31150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176</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22D9461D">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_Toc28345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bCs w:val="0"/>
          <w:i w:val="0"/>
          <w:iCs w:val="0"/>
          <w:color w:val="000000" w:themeColor="text1"/>
          <w:szCs w:val="44"/>
          <w:highlight w:val="none"/>
          <w:lang w:eastAsia="zh-CN"/>
          <w14:textFill>
            <w14:solidFill>
              <w14:schemeClr w14:val="tx1"/>
            </w14:solidFill>
          </w14:textFill>
        </w:rPr>
        <w:t>二</w:t>
      </w:r>
      <w:r>
        <w:rPr>
          <w:rFonts w:hint="eastAsia" w:ascii="宋体" w:hAnsi="宋体"/>
          <w:bCs w:val="0"/>
          <w:i w:val="0"/>
          <w:iCs w:val="0"/>
          <w:color w:val="000000" w:themeColor="text1"/>
          <w:szCs w:val="44"/>
          <w:highlight w:val="none"/>
          <w14:textFill>
            <w14:solidFill>
              <w14:schemeClr w14:val="tx1"/>
            </w14:solidFill>
          </w14:textFill>
        </w:rPr>
        <w:t>、经济部分</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_Toc28345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178</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FF8B81C">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_Toc15599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i w:val="0"/>
          <w:iCs w:val="0"/>
          <w:color w:val="000000" w:themeColor="text1"/>
          <w:highlight w:val="none"/>
          <w14:textFill>
            <w14:solidFill>
              <w14:schemeClr w14:val="tx1"/>
            </w14:solidFill>
          </w14:textFill>
        </w:rPr>
        <w:t>（一）已标价工程量清单</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_Toc15599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181</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148304B">
      <w:pPr>
        <w:pStyle w:val="37"/>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_Toc16126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bCs w:val="0"/>
          <w:i w:val="0"/>
          <w:iCs w:val="0"/>
          <w:color w:val="000000" w:themeColor="text1"/>
          <w:szCs w:val="44"/>
          <w:highlight w:val="none"/>
          <w:lang w:eastAsia="zh-CN"/>
          <w14:textFill>
            <w14:solidFill>
              <w14:schemeClr w14:val="tx1"/>
            </w14:solidFill>
          </w14:textFill>
        </w:rPr>
        <w:t>三</w:t>
      </w:r>
      <w:r>
        <w:rPr>
          <w:rFonts w:hint="eastAsia" w:ascii="宋体" w:hAnsi="宋体"/>
          <w:bCs w:val="0"/>
          <w:i w:val="0"/>
          <w:iCs w:val="0"/>
          <w:color w:val="000000" w:themeColor="text1"/>
          <w:szCs w:val="44"/>
          <w:highlight w:val="none"/>
          <w14:textFill>
            <w14:solidFill>
              <w14:schemeClr w14:val="tx1"/>
            </w14:solidFill>
          </w14:textFill>
        </w:rPr>
        <w:t>、资格审查部分</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_Toc16126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182</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47258D94">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_Toc21681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i w:val="0"/>
          <w:iCs w:val="0"/>
          <w:color w:val="000000" w:themeColor="text1"/>
          <w:szCs w:val="30"/>
          <w:highlight w:val="none"/>
          <w14:textFill>
            <w14:solidFill>
              <w14:schemeClr w14:val="tx1"/>
            </w14:solidFill>
          </w14:textFill>
        </w:rPr>
        <w:t>（一）</w:t>
      </w:r>
      <w:r>
        <w:rPr>
          <w:rFonts w:hint="eastAsia"/>
          <w:i w:val="0"/>
          <w:iCs w:val="0"/>
          <w:color w:val="000000" w:themeColor="text1"/>
          <w:szCs w:val="30"/>
          <w:highlight w:val="none"/>
          <w14:textFill>
            <w14:solidFill>
              <w14:schemeClr w14:val="tx1"/>
            </w14:solidFill>
          </w14:textFill>
        </w:rPr>
        <w:t>法定代表人身份证明或附有法定代表人身份证明的授权委托书</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_Toc21681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185</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7C1B0F2C">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_Toc23076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bCs w:val="0"/>
          <w:i w:val="0"/>
          <w:iCs w:val="0"/>
          <w:color w:val="000000" w:themeColor="text1"/>
          <w:highlight w:val="none"/>
          <w14:textFill>
            <w14:solidFill>
              <w14:schemeClr w14:val="tx1"/>
            </w14:solidFill>
          </w14:textFill>
        </w:rPr>
        <w:t>（</w:t>
      </w:r>
      <w:r>
        <w:rPr>
          <w:rFonts w:hint="eastAsia" w:ascii="宋体" w:hAnsi="宋体"/>
          <w:bCs w:val="0"/>
          <w:i w:val="0"/>
          <w:iCs w:val="0"/>
          <w:color w:val="000000" w:themeColor="text1"/>
          <w:highlight w:val="none"/>
          <w:lang w:eastAsia="zh-CN"/>
          <w14:textFill>
            <w14:solidFill>
              <w14:schemeClr w14:val="tx1"/>
            </w14:solidFill>
          </w14:textFill>
        </w:rPr>
        <w:t>二</w:t>
      </w:r>
      <w:r>
        <w:rPr>
          <w:rFonts w:hint="eastAsia" w:ascii="宋体" w:hAnsi="宋体"/>
          <w:bCs w:val="0"/>
          <w:i w:val="0"/>
          <w:iCs w:val="0"/>
          <w:color w:val="000000" w:themeColor="text1"/>
          <w:highlight w:val="none"/>
          <w14:textFill>
            <w14:solidFill>
              <w14:schemeClr w14:val="tx1"/>
            </w14:solidFill>
          </w14:textFill>
        </w:rPr>
        <w:t>）投标人基本情况表</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_Toc23076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187</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3F0AE00F">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_Toc26515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bCs w:val="0"/>
          <w:i w:val="0"/>
          <w:iCs w:val="0"/>
          <w:color w:val="000000" w:themeColor="text1"/>
          <w:highlight w:val="none"/>
          <w14:textFill>
            <w14:solidFill>
              <w14:schemeClr w14:val="tx1"/>
            </w14:solidFill>
          </w14:textFill>
        </w:rPr>
        <w:t>（</w:t>
      </w:r>
      <w:r>
        <w:rPr>
          <w:rFonts w:hint="eastAsia" w:ascii="宋体" w:hAnsi="宋体"/>
          <w:bCs w:val="0"/>
          <w:i w:val="0"/>
          <w:iCs w:val="0"/>
          <w:color w:val="000000" w:themeColor="text1"/>
          <w:highlight w:val="none"/>
          <w:lang w:eastAsia="zh-CN"/>
          <w14:textFill>
            <w14:solidFill>
              <w14:schemeClr w14:val="tx1"/>
            </w14:solidFill>
          </w14:textFill>
        </w:rPr>
        <w:t>三</w:t>
      </w:r>
      <w:r>
        <w:rPr>
          <w:rFonts w:hint="eastAsia" w:ascii="宋体" w:hAnsi="宋体"/>
          <w:bCs w:val="0"/>
          <w:i w:val="0"/>
          <w:iCs w:val="0"/>
          <w:color w:val="000000" w:themeColor="text1"/>
          <w:highlight w:val="none"/>
          <w14:textFill>
            <w14:solidFill>
              <w14:schemeClr w14:val="tx1"/>
            </w14:solidFill>
          </w14:textFill>
        </w:rPr>
        <w:t>）项目管理机构</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_Toc26515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188</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07FC5D2C">
      <w:pPr>
        <w:pStyle w:val="22"/>
        <w:tabs>
          <w:tab w:val="right" w:leader="dot" w:pos="9469"/>
        </w:tabs>
        <w:rPr>
          <w:i w:val="0"/>
          <w:iCs w:val="0"/>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_Toc20895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ascii="宋体" w:hAnsi="宋体"/>
          <w:i w:val="0"/>
          <w:iCs w:val="0"/>
          <w:color w:val="000000" w:themeColor="text1"/>
          <w:highlight w:val="none"/>
          <w14:textFill>
            <w14:solidFill>
              <w14:schemeClr w14:val="tx1"/>
            </w14:solidFill>
          </w14:textFill>
        </w:rPr>
        <w:t>（</w:t>
      </w:r>
      <w:r>
        <w:rPr>
          <w:rFonts w:hint="eastAsia" w:ascii="宋体" w:hAnsi="宋体"/>
          <w:i w:val="0"/>
          <w:iCs w:val="0"/>
          <w:color w:val="000000" w:themeColor="text1"/>
          <w:highlight w:val="none"/>
          <w:lang w:eastAsia="zh-CN"/>
          <w14:textFill>
            <w14:solidFill>
              <w14:schemeClr w14:val="tx1"/>
            </w14:solidFill>
          </w14:textFill>
        </w:rPr>
        <w:t>四</w:t>
      </w:r>
      <w:r>
        <w:rPr>
          <w:rFonts w:ascii="宋体" w:hAnsi="宋体"/>
          <w:i w:val="0"/>
          <w:iCs w:val="0"/>
          <w:color w:val="000000" w:themeColor="text1"/>
          <w:highlight w:val="none"/>
          <w14:textFill>
            <w14:solidFill>
              <w14:schemeClr w14:val="tx1"/>
            </w14:solidFill>
          </w14:textFill>
        </w:rPr>
        <w:t>）</w:t>
      </w:r>
      <w:r>
        <w:rPr>
          <w:rFonts w:hint="eastAsia" w:ascii="宋体" w:hAnsi="宋体"/>
          <w:i w:val="0"/>
          <w:iCs w:val="0"/>
          <w:color w:val="000000" w:themeColor="text1"/>
          <w:highlight w:val="none"/>
          <w14:textFill>
            <w14:solidFill>
              <w14:schemeClr w14:val="tx1"/>
            </w14:solidFill>
          </w14:textFill>
        </w:rPr>
        <w:t>承诺</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_Toc20895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190</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6FAF50D7">
      <w:pPr>
        <w:pStyle w:val="22"/>
        <w:tabs>
          <w:tab w:val="right" w:leader="dot" w:pos="9469"/>
        </w:tabs>
        <w:rPr>
          <w:color w:val="000000" w:themeColor="text1"/>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begin"/>
      </w:r>
      <w:r>
        <w:rPr>
          <w:rFonts w:ascii="宋体" w:hAnsi="宋体"/>
          <w:bCs/>
          <w:i w:val="0"/>
          <w:iCs w:val="0"/>
          <w:color w:val="000000" w:themeColor="text1"/>
          <w:szCs w:val="20"/>
          <w:highlight w:val="none"/>
          <w:lang w:val="zh-CN"/>
          <w14:textFill>
            <w14:solidFill>
              <w14:schemeClr w14:val="tx1"/>
            </w14:solidFill>
          </w14:textFill>
        </w:rPr>
        <w:instrText xml:space="preserve"> HYPERLINK \l _Toc22876 </w:instrText>
      </w:r>
      <w:r>
        <w:rPr>
          <w:rFonts w:ascii="宋体" w:hAnsi="宋体"/>
          <w:bCs/>
          <w:i w:val="0"/>
          <w:iCs w:val="0"/>
          <w:color w:val="000000" w:themeColor="text1"/>
          <w:szCs w:val="20"/>
          <w:highlight w:val="none"/>
          <w:lang w:val="zh-CN"/>
          <w14:textFill>
            <w14:solidFill>
              <w14:schemeClr w14:val="tx1"/>
            </w14:solidFill>
          </w14:textFill>
        </w:rPr>
        <w:fldChar w:fldCharType="separate"/>
      </w:r>
      <w:r>
        <w:rPr>
          <w:rFonts w:hint="eastAsia" w:ascii="宋体" w:hAnsi="宋体"/>
          <w:i w:val="0"/>
          <w:iCs w:val="0"/>
          <w:color w:val="000000" w:themeColor="text1"/>
          <w:highlight w:val="none"/>
          <w14:textFill>
            <w14:solidFill>
              <w14:schemeClr w14:val="tx1"/>
            </w14:solidFill>
          </w14:textFill>
        </w:rPr>
        <w:t>（</w:t>
      </w:r>
      <w:r>
        <w:rPr>
          <w:rFonts w:hint="eastAsia" w:ascii="宋体" w:hAnsi="宋体"/>
          <w:i w:val="0"/>
          <w:iCs w:val="0"/>
          <w:color w:val="000000" w:themeColor="text1"/>
          <w:highlight w:val="none"/>
          <w:lang w:eastAsia="zh-CN"/>
          <w14:textFill>
            <w14:solidFill>
              <w14:schemeClr w14:val="tx1"/>
            </w14:solidFill>
          </w14:textFill>
        </w:rPr>
        <w:t>五</w:t>
      </w:r>
      <w:r>
        <w:rPr>
          <w:rFonts w:hint="eastAsia" w:ascii="宋体" w:hAnsi="宋体"/>
          <w:i w:val="0"/>
          <w:iCs w:val="0"/>
          <w:color w:val="000000" w:themeColor="text1"/>
          <w:highlight w:val="none"/>
          <w14:textFill>
            <w14:solidFill>
              <w14:schemeClr w14:val="tx1"/>
            </w14:solidFill>
          </w14:textFill>
        </w:rPr>
        <w:t>）其他资料</w:t>
      </w:r>
      <w:r>
        <w:rPr>
          <w:i w:val="0"/>
          <w:iCs w:val="0"/>
          <w:color w:val="000000" w:themeColor="text1"/>
          <w14:textFill>
            <w14:solidFill>
              <w14:schemeClr w14:val="tx1"/>
            </w14:solidFill>
          </w14:textFill>
        </w:rPr>
        <w:tab/>
      </w:r>
      <w:r>
        <w:rPr>
          <w:i w:val="0"/>
          <w:iCs w:val="0"/>
          <w:color w:val="000000" w:themeColor="text1"/>
          <w14:textFill>
            <w14:solidFill>
              <w14:schemeClr w14:val="tx1"/>
            </w14:solidFill>
          </w14:textFill>
        </w:rPr>
        <w:fldChar w:fldCharType="begin"/>
      </w:r>
      <w:r>
        <w:rPr>
          <w:i w:val="0"/>
          <w:iCs w:val="0"/>
          <w:color w:val="000000" w:themeColor="text1"/>
          <w14:textFill>
            <w14:solidFill>
              <w14:schemeClr w14:val="tx1"/>
            </w14:solidFill>
          </w14:textFill>
        </w:rPr>
        <w:instrText xml:space="preserve"> PAGEREF _Toc22876 \h </w:instrText>
      </w:r>
      <w:r>
        <w:rPr>
          <w:i w:val="0"/>
          <w:iCs w:val="0"/>
          <w:color w:val="000000" w:themeColor="text1"/>
          <w14:textFill>
            <w14:solidFill>
              <w14:schemeClr w14:val="tx1"/>
            </w14:solidFill>
          </w14:textFill>
        </w:rPr>
        <w:fldChar w:fldCharType="separate"/>
      </w:r>
      <w:r>
        <w:rPr>
          <w:i w:val="0"/>
          <w:iCs w:val="0"/>
          <w:color w:val="000000" w:themeColor="text1"/>
          <w14:textFill>
            <w14:solidFill>
              <w14:schemeClr w14:val="tx1"/>
            </w14:solidFill>
          </w14:textFill>
        </w:rPr>
        <w:t>192</w:t>
      </w:r>
      <w:r>
        <w:rPr>
          <w:i w:val="0"/>
          <w:iCs w:val="0"/>
          <w:color w:val="000000" w:themeColor="text1"/>
          <w14:textFill>
            <w14:solidFill>
              <w14:schemeClr w14:val="tx1"/>
            </w14:solidFill>
          </w14:textFill>
        </w:rPr>
        <w:fldChar w:fldCharType="end"/>
      </w:r>
      <w:r>
        <w:rPr>
          <w:rFonts w:ascii="宋体" w:hAnsi="宋体"/>
          <w:bCs/>
          <w:i w:val="0"/>
          <w:iCs w:val="0"/>
          <w:color w:val="000000" w:themeColor="text1"/>
          <w:szCs w:val="20"/>
          <w:highlight w:val="none"/>
          <w:u w:val="none"/>
          <w:lang w:val="zh-CN"/>
          <w14:textFill>
            <w14:solidFill>
              <w14:schemeClr w14:val="tx1"/>
            </w14:solidFill>
          </w14:textFill>
        </w:rPr>
        <w:fldChar w:fldCharType="end"/>
      </w:r>
    </w:p>
    <w:p w14:paraId="1F1AD592">
      <w:pPr>
        <w:rPr>
          <w:rFonts w:ascii="宋体" w:hAnsi="宋体"/>
          <w:i w:val="0"/>
          <w:iCs w:val="0"/>
          <w:color w:val="000000" w:themeColor="text1"/>
          <w:highlight w:val="none"/>
          <w14:textFill>
            <w14:solidFill>
              <w14:schemeClr w14:val="tx1"/>
            </w14:solidFill>
          </w14:textFill>
        </w:rPr>
      </w:pPr>
      <w:r>
        <w:rPr>
          <w:rFonts w:ascii="宋体" w:hAnsi="宋体"/>
          <w:bCs/>
          <w:i w:val="0"/>
          <w:iCs w:val="0"/>
          <w:color w:val="000000" w:themeColor="text1"/>
          <w:szCs w:val="20"/>
          <w:highlight w:val="none"/>
          <w:u w:val="none"/>
          <w:lang w:val="zh-CN"/>
          <w14:textFill>
            <w14:solidFill>
              <w14:schemeClr w14:val="tx1"/>
            </w14:solidFill>
          </w14:textFill>
        </w:rPr>
        <w:fldChar w:fldCharType="end"/>
      </w:r>
    </w:p>
    <w:bookmarkEnd w:id="0"/>
    <w:p w14:paraId="1AF8313B">
      <w:pPr>
        <w:spacing w:line="20" w:lineRule="exact"/>
        <w:rPr>
          <w:rFonts w:hint="eastAsia" w:ascii="宋体" w:hAnsi="宋体"/>
          <w:i w:val="0"/>
          <w:iCs w:val="0"/>
          <w:color w:val="000000" w:themeColor="text1"/>
          <w:highlight w:val="none"/>
          <w14:textFill>
            <w14:solidFill>
              <w14:schemeClr w14:val="tx1"/>
            </w14:solidFill>
          </w14:textFill>
        </w:rPr>
      </w:pPr>
      <w:bookmarkStart w:id="8" w:name="_Toc430530414"/>
    </w:p>
    <w:p w14:paraId="32F62163">
      <w:pPr>
        <w:spacing w:line="20" w:lineRule="exact"/>
        <w:jc w:val="left"/>
        <w:rPr>
          <w:rFonts w:hint="eastAsia" w:ascii="宋体" w:hAnsi="宋体"/>
          <w:i w:val="0"/>
          <w:iCs w:val="0"/>
          <w:color w:val="000000" w:themeColor="text1"/>
          <w:highlight w:val="none"/>
          <w14:textFill>
            <w14:solidFill>
              <w14:schemeClr w14:val="tx1"/>
            </w14:solidFill>
          </w14:textFill>
        </w:rPr>
        <w:sectPr>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09F069BD">
      <w:pPr>
        <w:spacing w:line="360" w:lineRule="auto"/>
        <w:rPr>
          <w:rFonts w:hint="eastAsia" w:ascii="宋体" w:hAnsi="宋体"/>
          <w:color w:val="000000" w:themeColor="text1"/>
          <w:highlight w:val="none"/>
          <w14:textFill>
            <w14:solidFill>
              <w14:schemeClr w14:val="tx1"/>
            </w14:solidFill>
          </w14:textFill>
        </w:rPr>
      </w:pPr>
    </w:p>
    <w:p w14:paraId="68E39804">
      <w:pPr>
        <w:pStyle w:val="3"/>
        <w:spacing w:before="0" w:after="0" w:line="480" w:lineRule="auto"/>
        <w:jc w:val="center"/>
        <w:rPr>
          <w:rFonts w:hint="eastAsia" w:ascii="宋体" w:hAnsi="宋体"/>
          <w:color w:val="000000" w:themeColor="text1"/>
          <w:sz w:val="52"/>
          <w:szCs w:val="52"/>
          <w:highlight w:val="none"/>
          <w14:textFill>
            <w14:solidFill>
              <w14:schemeClr w14:val="tx1"/>
            </w14:solidFill>
          </w14:textFill>
        </w:rPr>
      </w:pPr>
      <w:bookmarkStart w:id="9" w:name="_Toc28233"/>
      <w:bookmarkStart w:id="10" w:name="_Toc509218690"/>
      <w:bookmarkStart w:id="11" w:name="_Toc9936"/>
      <w:r>
        <w:rPr>
          <w:rFonts w:hint="eastAsia" w:ascii="宋体" w:hAnsi="宋体"/>
          <w:color w:val="000000" w:themeColor="text1"/>
          <w:sz w:val="52"/>
          <w:szCs w:val="52"/>
          <w:highlight w:val="none"/>
          <w14:textFill>
            <w14:solidFill>
              <w14:schemeClr w14:val="tx1"/>
            </w14:solidFill>
          </w14:textFill>
        </w:rPr>
        <w:t>第 一 卷</w:t>
      </w:r>
      <w:bookmarkEnd w:id="9"/>
      <w:bookmarkEnd w:id="10"/>
      <w:bookmarkEnd w:id="11"/>
    </w:p>
    <w:p w14:paraId="087869C1">
      <w:pPr>
        <w:spacing w:line="2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09EF8CD8">
      <w:pPr>
        <w:pStyle w:val="3"/>
        <w:spacing w:line="360" w:lineRule="auto"/>
        <w:jc w:val="center"/>
        <w:rPr>
          <w:rFonts w:ascii="宋体" w:hAnsi="宋体"/>
          <w:snapToGrid w:val="0"/>
          <w:color w:val="000000" w:themeColor="text1"/>
          <w:kern w:val="0"/>
          <w:highlight w:val="none"/>
          <w14:textFill>
            <w14:solidFill>
              <w14:schemeClr w14:val="tx1"/>
            </w14:solidFill>
          </w14:textFill>
        </w:rPr>
      </w:pPr>
      <w:bookmarkStart w:id="12" w:name="_Toc430530415"/>
      <w:bookmarkStart w:id="13" w:name="_Toc224103298"/>
      <w:bookmarkStart w:id="14" w:name="_Toc287620666"/>
      <w:bookmarkStart w:id="15" w:name="_Toc509218691"/>
      <w:bookmarkStart w:id="16" w:name="_Toc287607727"/>
      <w:bookmarkStart w:id="17" w:name="_Toc12819"/>
      <w:bookmarkStart w:id="18" w:name="_Toc277082535"/>
      <w:bookmarkStart w:id="19" w:name="_Toc12536"/>
      <w:r>
        <w:rPr>
          <w:rFonts w:ascii="宋体" w:hAnsi="宋体"/>
          <w:snapToGrid w:val="0"/>
          <w:color w:val="000000" w:themeColor="text1"/>
          <w:kern w:val="0"/>
          <w:highlight w:val="none"/>
          <w14:textFill>
            <w14:solidFill>
              <w14:schemeClr w14:val="tx1"/>
            </w14:solidFill>
          </w14:textFill>
        </w:rPr>
        <w:t xml:space="preserve">第一章  </w:t>
      </w:r>
      <w:bookmarkEnd w:id="12"/>
      <w:bookmarkEnd w:id="13"/>
      <w:bookmarkEnd w:id="14"/>
      <w:bookmarkEnd w:id="15"/>
      <w:bookmarkEnd w:id="16"/>
      <w:bookmarkEnd w:id="17"/>
      <w:bookmarkEnd w:id="18"/>
      <w:r>
        <w:rPr>
          <w:rFonts w:hint="eastAsia" w:ascii="宋体" w:hAnsi="宋体"/>
          <w:snapToGrid w:val="0"/>
          <w:color w:val="000000" w:themeColor="text1"/>
          <w:kern w:val="0"/>
          <w:highlight w:val="none"/>
          <w:lang w:eastAsia="zh-CN"/>
          <w14:textFill>
            <w14:solidFill>
              <w14:schemeClr w14:val="tx1"/>
            </w14:solidFill>
          </w14:textFill>
        </w:rPr>
        <w:t>比选</w:t>
      </w:r>
      <w:r>
        <w:rPr>
          <w:rFonts w:ascii="宋体" w:hAnsi="宋体"/>
          <w:snapToGrid w:val="0"/>
          <w:color w:val="000000" w:themeColor="text1"/>
          <w:kern w:val="0"/>
          <w:highlight w:val="none"/>
          <w14:textFill>
            <w14:solidFill>
              <w14:schemeClr w14:val="tx1"/>
            </w14:solidFill>
          </w14:textFill>
        </w:rPr>
        <w:t>公告</w:t>
      </w:r>
      <w:bookmarkEnd w:id="19"/>
    </w:p>
    <w:p w14:paraId="6E71D4AB">
      <w:pPr>
        <w:autoSpaceDE w:val="0"/>
        <w:autoSpaceDN w:val="0"/>
        <w:adjustRightInd w:val="0"/>
        <w:snapToGrid w:val="0"/>
        <w:spacing w:line="360" w:lineRule="auto"/>
        <w:jc w:val="center"/>
        <w:rPr>
          <w:rFonts w:ascii="宋体" w:hAnsi="宋体"/>
          <w:snapToGrid w:val="0"/>
          <w:color w:val="000000" w:themeColor="text1"/>
          <w:kern w:val="0"/>
          <w:sz w:val="28"/>
          <w:szCs w:val="28"/>
          <w:highlight w:val="none"/>
          <w14:textFill>
            <w14:solidFill>
              <w14:schemeClr w14:val="tx1"/>
            </w14:solidFill>
          </w14:textFill>
        </w:rPr>
      </w:pPr>
      <w:r>
        <w:rPr>
          <w:rFonts w:hint="eastAsia" w:ascii="宋体" w:hAnsi="宋体"/>
          <w:snapToGrid w:val="0"/>
          <w:color w:val="000000" w:themeColor="text1"/>
          <w:w w:val="99"/>
          <w:kern w:val="0"/>
          <w:sz w:val="28"/>
          <w:szCs w:val="28"/>
          <w:highlight w:val="none"/>
          <w:u w:val="single"/>
          <w:lang w:val="zh-CN"/>
          <w14:textFill>
            <w14:solidFill>
              <w14:schemeClr w14:val="tx1"/>
            </w14:solidFill>
          </w14:textFill>
        </w:rPr>
        <w:t>淮远龙街物业中心屋面增加防水及石材铺贴工程</w:t>
      </w:r>
      <w:r>
        <w:rPr>
          <w:rFonts w:hint="eastAsia" w:ascii="宋体" w:hAnsi="宋体"/>
          <w:snapToGrid w:val="0"/>
          <w:color w:val="000000" w:themeColor="text1"/>
          <w:w w:val="99"/>
          <w:kern w:val="0"/>
          <w:sz w:val="28"/>
          <w:szCs w:val="28"/>
          <w:highlight w:val="none"/>
          <w:lang w:eastAsia="zh-CN"/>
          <w14:textFill>
            <w14:solidFill>
              <w14:schemeClr w14:val="tx1"/>
            </w14:solidFill>
          </w14:textFill>
        </w:rPr>
        <w:t>比选</w:t>
      </w:r>
      <w:r>
        <w:rPr>
          <w:rFonts w:ascii="宋体" w:hAnsi="宋体"/>
          <w:snapToGrid w:val="0"/>
          <w:color w:val="000000" w:themeColor="text1"/>
          <w:w w:val="99"/>
          <w:kern w:val="0"/>
          <w:sz w:val="28"/>
          <w:szCs w:val="28"/>
          <w:highlight w:val="none"/>
          <w14:textFill>
            <w14:solidFill>
              <w14:schemeClr w14:val="tx1"/>
            </w14:solidFill>
          </w14:textFill>
        </w:rPr>
        <w:t>公告</w:t>
      </w:r>
    </w:p>
    <w:p w14:paraId="56A80DEF">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20" w:name="_Toc287620667"/>
      <w:bookmarkStart w:id="21" w:name="_Toc509218692"/>
      <w:bookmarkStart w:id="22" w:name="_Toc27491"/>
      <w:bookmarkStart w:id="23" w:name="_Toc200359238"/>
      <w:bookmarkStart w:id="24" w:name="_Toc200359427"/>
      <w:bookmarkStart w:id="25" w:name="_Toc287607728"/>
      <w:bookmarkStart w:id="26" w:name="_Toc430530416"/>
      <w:bookmarkStart w:id="27" w:name="_Toc11288"/>
      <w:bookmarkStart w:id="28" w:name="_Toc224103299"/>
      <w:bookmarkStart w:id="29" w:name="_Toc277082536"/>
      <w:r>
        <w:rPr>
          <w:rFonts w:ascii="宋体" w:hAnsi="宋体"/>
          <w:snapToGrid w:val="0"/>
          <w:color w:val="000000" w:themeColor="text1"/>
          <w:sz w:val="28"/>
          <w:szCs w:val="28"/>
          <w:highlight w:val="none"/>
          <w14:textFill>
            <w14:solidFill>
              <w14:schemeClr w14:val="tx1"/>
            </w14:solidFill>
          </w14:textFill>
        </w:rPr>
        <w:t xml:space="preserve">1.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条件</w:t>
      </w:r>
      <w:bookmarkEnd w:id="20"/>
      <w:bookmarkEnd w:id="21"/>
      <w:bookmarkEnd w:id="22"/>
      <w:bookmarkEnd w:id="23"/>
      <w:bookmarkEnd w:id="24"/>
      <w:bookmarkEnd w:id="25"/>
      <w:bookmarkEnd w:id="26"/>
      <w:bookmarkEnd w:id="27"/>
      <w:bookmarkEnd w:id="28"/>
      <w:bookmarkEnd w:id="29"/>
    </w:p>
    <w:p w14:paraId="4787DF2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cs="宋体"/>
          <w:snapToGrid w:val="0"/>
          <w:color w:val="000000" w:themeColor="text1"/>
          <w:kern w:val="0"/>
          <w:szCs w:val="21"/>
          <w:lang w:val="en-US" w:eastAsia="zh-CN"/>
          <w14:textFill>
            <w14:solidFill>
              <w14:schemeClr w14:val="tx1"/>
            </w14:solidFill>
          </w14:textFill>
        </w:rPr>
      </w:pPr>
      <w:r>
        <w:rPr>
          <w:rFonts w:hint="eastAsia" w:ascii="宋体" w:hAnsi="宋体" w:cs="宋体"/>
          <w:snapToGrid w:val="0"/>
          <w:color w:val="000000" w:themeColor="text1"/>
          <w:kern w:val="0"/>
          <w:szCs w:val="21"/>
          <w:lang w:val="en-US" w:eastAsia="zh-CN"/>
          <w14:textFill>
            <w14:solidFill>
              <w14:schemeClr w14:val="tx1"/>
            </w14:solidFill>
          </w14:textFill>
        </w:rPr>
        <w:t>本比选项目</w:t>
      </w:r>
      <w:r>
        <w:rPr>
          <w:rFonts w:hint="eastAsia" w:ascii="宋体" w:hAnsi="宋体" w:cs="宋体"/>
          <w:snapToGrid w:val="0"/>
          <w:color w:val="000000" w:themeColor="text1"/>
          <w:kern w:val="0"/>
          <w:szCs w:val="21"/>
          <w:u w:val="single"/>
          <w:lang w:val="zh-CN" w:eastAsia="zh-CN"/>
          <w14:textFill>
            <w14:solidFill>
              <w14:schemeClr w14:val="tx1"/>
            </w14:solidFill>
          </w14:textFill>
        </w:rPr>
        <w:t>淮远龙街物业中心屋面增加防水及石材铺贴工程</w:t>
      </w:r>
      <w:r>
        <w:rPr>
          <w:rFonts w:hint="eastAsia" w:ascii="宋体" w:hAnsi="宋体" w:cs="宋体"/>
          <w:snapToGrid w:val="0"/>
          <w:color w:val="000000" w:themeColor="text1"/>
          <w:kern w:val="0"/>
          <w:szCs w:val="21"/>
          <w:lang w:val="zh-CN" w:eastAsia="zh-CN"/>
          <w14:textFill>
            <w14:solidFill>
              <w14:schemeClr w14:val="tx1"/>
            </w14:solidFill>
          </w14:textFill>
        </w:rPr>
        <w:t>，项目业主为</w:t>
      </w:r>
      <w:r>
        <w:rPr>
          <w:rFonts w:hint="eastAsia" w:ascii="宋体" w:hAnsi="宋体" w:cs="宋体"/>
          <w:snapToGrid w:val="0"/>
          <w:color w:val="000000" w:themeColor="text1"/>
          <w:kern w:val="0"/>
          <w:szCs w:val="21"/>
          <w:u w:val="single"/>
          <w:lang w:val="zh-CN" w:eastAsia="zh-CN"/>
          <w14:textFill>
            <w14:solidFill>
              <w14:schemeClr w14:val="tx1"/>
            </w14:solidFill>
          </w14:textFill>
        </w:rPr>
        <w:t>重庆玄天湖文化旅游开发有限公司</w:t>
      </w:r>
      <w:r>
        <w:rPr>
          <w:rFonts w:hint="eastAsia" w:ascii="宋体" w:hAnsi="宋体" w:cs="宋体"/>
          <w:snapToGrid w:val="0"/>
          <w:color w:val="000000" w:themeColor="text1"/>
          <w:kern w:val="0"/>
          <w:szCs w:val="21"/>
          <w:lang w:val="zh-CN" w:eastAsia="zh-CN"/>
          <w14:textFill>
            <w14:solidFill>
              <w14:schemeClr w14:val="tx1"/>
            </w14:solidFill>
          </w14:textFill>
        </w:rPr>
        <w:t>，建设资金来自</w:t>
      </w:r>
      <w:r>
        <w:rPr>
          <w:rFonts w:hint="eastAsia" w:ascii="宋体" w:hAnsi="宋体" w:cs="宋体"/>
          <w:snapToGrid w:val="0"/>
          <w:color w:val="000000" w:themeColor="text1"/>
          <w:kern w:val="0"/>
          <w:szCs w:val="21"/>
          <w:u w:val="single"/>
          <w:lang w:val="zh-CN" w:eastAsia="zh-CN"/>
          <w14:textFill>
            <w14:solidFill>
              <w14:schemeClr w14:val="tx1"/>
            </w14:solidFill>
          </w14:textFill>
        </w:rPr>
        <w:t>业主自筹</w:t>
      </w:r>
      <w:r>
        <w:rPr>
          <w:rFonts w:hint="eastAsia" w:ascii="宋体" w:hAnsi="宋体" w:cs="宋体"/>
          <w:snapToGrid w:val="0"/>
          <w:color w:val="000000" w:themeColor="text1"/>
          <w:kern w:val="0"/>
          <w:szCs w:val="21"/>
          <w:lang w:val="zh-CN" w:eastAsia="zh-CN"/>
          <w14:textFill>
            <w14:solidFill>
              <w14:schemeClr w14:val="tx1"/>
            </w14:solidFill>
          </w14:textFill>
        </w:rPr>
        <w:t>，项目出资比例为</w:t>
      </w:r>
      <w:r>
        <w:rPr>
          <w:rFonts w:hint="eastAsia" w:ascii="宋体" w:hAnsi="宋体" w:cs="宋体"/>
          <w:snapToGrid w:val="0"/>
          <w:color w:val="000000" w:themeColor="text1"/>
          <w:kern w:val="0"/>
          <w:szCs w:val="21"/>
          <w:u w:val="single"/>
          <w:lang w:val="en-US" w:eastAsia="zh-CN"/>
          <w14:textFill>
            <w14:solidFill>
              <w14:schemeClr w14:val="tx1"/>
            </w14:solidFill>
          </w14:textFill>
        </w:rPr>
        <w:t>100%</w:t>
      </w:r>
      <w:r>
        <w:rPr>
          <w:rFonts w:hint="eastAsia" w:ascii="宋体" w:hAnsi="宋体" w:cs="宋体"/>
          <w:snapToGrid w:val="0"/>
          <w:color w:val="000000" w:themeColor="text1"/>
          <w:kern w:val="0"/>
          <w:szCs w:val="21"/>
          <w:lang w:val="zh-CN" w:eastAsia="zh-CN"/>
          <w14:textFill>
            <w14:solidFill>
              <w14:schemeClr w14:val="tx1"/>
            </w14:solidFill>
          </w14:textFill>
        </w:rPr>
        <w:t>，比选人为</w:t>
      </w:r>
      <w:r>
        <w:rPr>
          <w:rFonts w:hint="eastAsia" w:ascii="宋体" w:hAnsi="宋体" w:cs="宋体"/>
          <w:snapToGrid w:val="0"/>
          <w:color w:val="000000" w:themeColor="text1"/>
          <w:kern w:val="0"/>
          <w:szCs w:val="21"/>
          <w:u w:val="single"/>
          <w:lang w:val="zh-CN" w:eastAsia="zh-CN"/>
          <w14:textFill>
            <w14:solidFill>
              <w14:schemeClr w14:val="tx1"/>
            </w14:solidFill>
          </w14:textFill>
        </w:rPr>
        <w:t>重庆玄天湖文化旅游开发有限公司</w:t>
      </w:r>
      <w:r>
        <w:rPr>
          <w:rFonts w:hint="eastAsia" w:ascii="宋体" w:hAnsi="宋体" w:cs="宋体"/>
          <w:snapToGrid w:val="0"/>
          <w:color w:val="000000" w:themeColor="text1"/>
          <w:kern w:val="0"/>
          <w:szCs w:val="21"/>
          <w:lang w:val="en-US" w:eastAsia="zh-CN"/>
          <w14:textFill>
            <w14:solidFill>
              <w14:schemeClr w14:val="tx1"/>
            </w14:solidFill>
          </w14:textFill>
        </w:rPr>
        <w:t>。项目已具备比选条件，现对该项目的施工进行公开竞争性比选。</w:t>
      </w:r>
    </w:p>
    <w:p w14:paraId="51BBC7B8">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30" w:name="_Toc287607729"/>
      <w:bookmarkStart w:id="31" w:name="_Toc277082537"/>
      <w:bookmarkStart w:id="32" w:name="_Toc200359239"/>
      <w:bookmarkStart w:id="33" w:name="_Toc200359428"/>
      <w:bookmarkStart w:id="34" w:name="_Toc16344"/>
      <w:bookmarkStart w:id="35" w:name="_Toc19875"/>
      <w:bookmarkStart w:id="36" w:name="_Toc287620668"/>
      <w:bookmarkStart w:id="37" w:name="_Toc509218693"/>
      <w:bookmarkStart w:id="38" w:name="_Toc224103300"/>
      <w:bookmarkStart w:id="39" w:name="_Toc430530417"/>
      <w:r>
        <w:rPr>
          <w:rFonts w:ascii="宋体" w:hAnsi="宋体"/>
          <w:snapToGrid w:val="0"/>
          <w:color w:val="000000" w:themeColor="text1"/>
          <w:sz w:val="28"/>
          <w:szCs w:val="28"/>
          <w:highlight w:val="none"/>
          <w14:textFill>
            <w14:solidFill>
              <w14:schemeClr w14:val="tx1"/>
            </w14:solidFill>
          </w14:textFill>
        </w:rPr>
        <w:t>2.</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 xml:space="preserve"> 项目概况与</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范围</w:t>
      </w:r>
      <w:bookmarkEnd w:id="30"/>
      <w:bookmarkEnd w:id="31"/>
      <w:bookmarkEnd w:id="32"/>
      <w:bookmarkEnd w:id="33"/>
      <w:bookmarkEnd w:id="34"/>
      <w:bookmarkEnd w:id="35"/>
      <w:bookmarkEnd w:id="36"/>
      <w:bookmarkEnd w:id="37"/>
      <w:bookmarkEnd w:id="38"/>
      <w:bookmarkEnd w:id="39"/>
    </w:p>
    <w:p w14:paraId="58ED076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000000" w:themeColor="text1"/>
          <w:kern w:val="0"/>
          <w:szCs w:val="21"/>
          <w:highlight w:val="none"/>
          <w:u w:val="single"/>
          <w:lang w:eastAsia="zh-CN"/>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2.1 建设地点：</w:t>
      </w:r>
      <w:r>
        <w:rPr>
          <w:rFonts w:hint="eastAsia" w:ascii="宋体" w:hAnsi="宋体"/>
          <w:snapToGrid w:val="0"/>
          <w:color w:val="000000" w:themeColor="text1"/>
          <w:kern w:val="0"/>
          <w:szCs w:val="21"/>
          <w:u w:val="single"/>
          <w:lang w:val="en-US" w:eastAsia="zh-CN"/>
          <w14:textFill>
            <w14:solidFill>
              <w14:schemeClr w14:val="tx1"/>
            </w14:solidFill>
          </w14:textFill>
        </w:rPr>
        <w:t>重庆市铜梁区南城街道淮远古镇</w:t>
      </w:r>
      <w:r>
        <w:rPr>
          <w:rFonts w:hint="eastAsia" w:ascii="宋体" w:hAnsi="宋体"/>
          <w:color w:val="000000" w:themeColor="text1"/>
          <w:szCs w:val="21"/>
          <w:highlight w:val="none"/>
          <w:u w:val="single"/>
          <w:lang w:eastAsia="zh-CN"/>
          <w14:textFill>
            <w14:solidFill>
              <w14:schemeClr w14:val="tx1"/>
            </w14:solidFill>
          </w14:textFill>
        </w:rPr>
        <w:t>。</w:t>
      </w:r>
    </w:p>
    <w:p w14:paraId="1A072A3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2.2 项目概况与建设规模：</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淮远龙街物业中心屋面石材铺贴涉及物业中心屋面增加防水，铺贴青石板等工作，面积约为430m²。</w:t>
      </w:r>
    </w:p>
    <w:p w14:paraId="488EADF6">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2.3 </w:t>
      </w:r>
      <w:r>
        <w:rPr>
          <w:rFonts w:hint="eastAsia" w:ascii="宋体" w:hAnsi="宋体"/>
          <w:snapToGrid w:val="0"/>
          <w:color w:val="000000" w:themeColor="text1"/>
          <w:kern w:val="0"/>
          <w:szCs w:val="21"/>
          <w14:textFill>
            <w14:solidFill>
              <w14:schemeClr w14:val="tx1"/>
            </w14:solidFill>
          </w14:textFill>
        </w:rPr>
        <w:t>本次招标项目</w:t>
      </w:r>
      <w:r>
        <w:rPr>
          <w:rFonts w:hint="eastAsia" w:ascii="宋体" w:hAnsi="宋体"/>
          <w:snapToGrid w:val="0"/>
          <w:color w:val="000000" w:themeColor="text1"/>
          <w:kern w:val="0"/>
          <w:szCs w:val="21"/>
          <w:lang w:val="en-US" w:eastAsia="zh-CN"/>
          <w14:textFill>
            <w14:solidFill>
              <w14:schemeClr w14:val="tx1"/>
            </w14:solidFill>
          </w14:textFill>
        </w:rPr>
        <w:t>招标最高限价</w:t>
      </w:r>
      <w:r>
        <w:rPr>
          <w:rFonts w:hint="eastAsia" w:ascii="宋体" w:hAnsi="宋体" w:eastAsia="宋体" w:cs="Times New Roman"/>
          <w:snapToGrid w:val="0"/>
          <w:color w:val="000000" w:themeColor="text1"/>
          <w:kern w:val="0"/>
          <w:szCs w:val="21"/>
          <w:highlight w:val="none"/>
          <w:u w:val="none"/>
          <w:lang w:val="en-US" w:eastAsia="zh-CN"/>
          <w14:textFill>
            <w14:solidFill>
              <w14:schemeClr w14:val="tx1"/>
            </w14:solidFill>
          </w14:textFill>
        </w:rPr>
        <w:t>：</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178411.59</w:t>
      </w:r>
      <w:r>
        <w:rPr>
          <w:rFonts w:hint="eastAsia" w:ascii="宋体" w:hAnsi="宋体" w:eastAsia="宋体" w:cs="Times New Roman"/>
          <w:snapToGrid w:val="0"/>
          <w:color w:val="000000" w:themeColor="text1"/>
          <w:kern w:val="0"/>
          <w:szCs w:val="21"/>
          <w:highlight w:val="none"/>
          <w:u w:val="single"/>
          <w:lang w:val="en-US" w:eastAsia="zh-CN"/>
          <w14:textFill>
            <w14:solidFill>
              <w14:schemeClr w14:val="tx1"/>
            </w14:solidFill>
          </w14:textFill>
        </w:rPr>
        <w:t>元</w:t>
      </w:r>
      <w:bookmarkStart w:id="2272" w:name="_GoBack"/>
      <w:bookmarkEnd w:id="2272"/>
    </w:p>
    <w:p w14:paraId="32F6B1A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2.4 </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范围：</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本项目施工图设计范围内的工程内容，具体以招标人发出的施工图及工程量清单为 </w:t>
      </w:r>
    </w:p>
    <w:p w14:paraId="207BA6B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snapToGrid w:val="0"/>
          <w:color w:val="000000" w:themeColor="text1"/>
          <w:kern w:val="0"/>
          <w:szCs w:val="21"/>
          <w:highlight w:val="none"/>
          <w:u w:val="single"/>
          <w:lang w:val="en-US" w:eastAsia="zh-CN"/>
          <w14:textFill>
            <w14:solidFill>
              <w14:schemeClr w14:val="tx1"/>
            </w14:solidFill>
          </w14:textFill>
        </w:rPr>
        <w:t>准。</w:t>
      </w:r>
    </w:p>
    <w:p w14:paraId="4D16868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2.5 工期要求：</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20日历天</w:t>
      </w:r>
    </w:p>
    <w:p w14:paraId="4D14782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缺陷责任期要求：</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24个月</w:t>
      </w:r>
    </w:p>
    <w:p w14:paraId="5DF162FF">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40" w:name="_Toc19513"/>
      <w:bookmarkStart w:id="41" w:name="_Toc430530418"/>
      <w:bookmarkStart w:id="42" w:name="_Toc23281"/>
      <w:bookmarkStart w:id="43" w:name="_Toc287620669"/>
      <w:bookmarkStart w:id="44" w:name="_Toc200359429"/>
      <w:bookmarkStart w:id="45" w:name="_Toc277082538"/>
      <w:bookmarkStart w:id="46" w:name="_Toc287607730"/>
      <w:bookmarkStart w:id="47" w:name="_Toc200359240"/>
      <w:bookmarkStart w:id="48" w:name="_Toc509218694"/>
      <w:bookmarkStart w:id="49" w:name="_Toc224103301"/>
      <w:r>
        <w:rPr>
          <w:rFonts w:ascii="宋体" w:hAnsi="宋体"/>
          <w:snapToGrid w:val="0"/>
          <w:color w:val="000000" w:themeColor="text1"/>
          <w:sz w:val="28"/>
          <w:szCs w:val="28"/>
          <w:highlight w:val="none"/>
          <w14:textFill>
            <w14:solidFill>
              <w14:schemeClr w14:val="tx1"/>
            </w14:solidFill>
          </w14:textFill>
        </w:rPr>
        <w:t xml:space="preserve">3.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投标人资格要求</w:t>
      </w:r>
      <w:bookmarkEnd w:id="40"/>
      <w:bookmarkEnd w:id="41"/>
      <w:bookmarkEnd w:id="42"/>
      <w:bookmarkEnd w:id="43"/>
      <w:bookmarkEnd w:id="44"/>
      <w:bookmarkEnd w:id="45"/>
      <w:bookmarkEnd w:id="46"/>
      <w:bookmarkEnd w:id="47"/>
      <w:bookmarkEnd w:id="48"/>
      <w:bookmarkEnd w:id="49"/>
    </w:p>
    <w:p w14:paraId="0EC26DAF">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3.1  </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要求投标人须具备</w:t>
      </w:r>
      <w:r>
        <w:rPr>
          <w:rFonts w:hint="eastAsia" w:ascii="宋体" w:hAnsi="宋体"/>
          <w:snapToGrid w:val="0"/>
          <w:color w:val="000000" w:themeColor="text1"/>
          <w:kern w:val="0"/>
          <w:szCs w:val="21"/>
          <w:highlight w:val="none"/>
          <w14:textFill>
            <w14:solidFill>
              <w14:schemeClr w14:val="tx1"/>
            </w14:solidFill>
          </w14:textFill>
        </w:rPr>
        <w:t>以下条件：</w:t>
      </w:r>
    </w:p>
    <w:p w14:paraId="63DB8391">
      <w:pPr>
        <w:tabs>
          <w:tab w:val="left" w:pos="3840"/>
          <w:tab w:val="left" w:pos="5300"/>
        </w:tabs>
        <w:autoSpaceDE w:val="0"/>
        <w:autoSpaceDN w:val="0"/>
        <w:adjustRightInd w:val="0"/>
        <w:snapToGrid w:val="0"/>
        <w:spacing w:line="40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3.1.1 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要求投标人具备的资质条件：</w:t>
      </w:r>
      <w:r>
        <w:rPr>
          <w:rFonts w:hint="eastAsia" w:ascii="宋体" w:hAnsi="宋体"/>
          <w:snapToGrid w:val="0"/>
          <w:color w:val="000000" w:themeColor="text1"/>
          <w:kern w:val="0"/>
          <w:szCs w:val="21"/>
          <w:u w:val="single"/>
          <w14:textFill>
            <w14:solidFill>
              <w14:schemeClr w14:val="tx1"/>
            </w14:solidFill>
          </w14:textFill>
        </w:rPr>
        <w:t>投标人须具备建设行政主管部门颁发的</w:t>
      </w:r>
      <w:r>
        <w:rPr>
          <w:rFonts w:hint="eastAsia" w:ascii="宋体" w:hAnsi="宋体"/>
          <w:snapToGrid w:val="0"/>
          <w:color w:val="000000" w:themeColor="text1"/>
          <w:kern w:val="0"/>
          <w:szCs w:val="21"/>
          <w:u w:val="single"/>
          <w:lang w:eastAsia="zh-CN"/>
          <w14:textFill>
            <w14:solidFill>
              <w14:schemeClr w14:val="tx1"/>
            </w14:solidFill>
          </w14:textFill>
        </w:rPr>
        <w:t>建筑工程施工总承包三级及以上资质</w:t>
      </w:r>
      <w:r>
        <w:rPr>
          <w:rFonts w:hint="eastAsia" w:ascii="宋体" w:hAnsi="宋体"/>
          <w:snapToGrid w:val="0"/>
          <w:color w:val="000000" w:themeColor="text1"/>
          <w:kern w:val="0"/>
          <w:szCs w:val="21"/>
          <w:highlight w:val="none"/>
          <w14:textFill>
            <w14:solidFill>
              <w14:schemeClr w14:val="tx1"/>
            </w14:solidFill>
          </w14:textFill>
        </w:rPr>
        <w:t>；</w:t>
      </w:r>
    </w:p>
    <w:p w14:paraId="0137905D">
      <w:pPr>
        <w:tabs>
          <w:tab w:val="left" w:pos="3840"/>
          <w:tab w:val="left" w:pos="5300"/>
        </w:tabs>
        <w:autoSpaceDE w:val="0"/>
        <w:autoSpaceDN w:val="0"/>
        <w:adjustRightInd w:val="0"/>
        <w:snapToGrid w:val="0"/>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3.1.</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2 </w:t>
      </w:r>
      <w:r>
        <w:rPr>
          <w:rFonts w:hint="eastAsia" w:ascii="宋体" w:hAnsi="宋体"/>
          <w:snapToGrid w:val="0"/>
          <w:color w:val="000000" w:themeColor="text1"/>
          <w:kern w:val="0"/>
          <w:szCs w:val="21"/>
          <w:highlight w:val="none"/>
          <w14:textFill>
            <w14:solidFill>
              <w14:schemeClr w14:val="tx1"/>
            </w14:solidFill>
          </w14:textFill>
        </w:rPr>
        <w:t>投标人还应在人员、设备、资金等方面具有相应的施工能力，详见</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文件第二章投标人须知前附表第1.4.1项内容。</w:t>
      </w:r>
    </w:p>
    <w:p w14:paraId="40B25C77">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3.2  </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不接受</w:t>
      </w:r>
      <w:r>
        <w:rPr>
          <w:rFonts w:ascii="宋体" w:hAnsi="宋体"/>
          <w:snapToGrid w:val="0"/>
          <w:color w:val="000000" w:themeColor="text1"/>
          <w:kern w:val="0"/>
          <w:szCs w:val="21"/>
          <w:highlight w:val="none"/>
          <w14:textFill>
            <w14:solidFill>
              <w14:schemeClr w14:val="tx1"/>
            </w14:solidFill>
          </w14:textFill>
        </w:rPr>
        <w:t>联合体投标。</w:t>
      </w:r>
    </w:p>
    <w:p w14:paraId="4772C668">
      <w:pPr>
        <w:pStyle w:val="4"/>
        <w:spacing w:before="100" w:after="100" w:line="460" w:lineRule="exact"/>
        <w:rPr>
          <w:rFonts w:hint="eastAsia" w:ascii="宋体" w:hAnsi="宋体"/>
          <w:snapToGrid w:val="0"/>
          <w:color w:val="000000" w:themeColor="text1"/>
          <w:sz w:val="28"/>
          <w:szCs w:val="28"/>
          <w:highlight w:val="none"/>
          <w14:textFill>
            <w14:solidFill>
              <w14:schemeClr w14:val="tx1"/>
            </w14:solidFill>
          </w14:textFill>
        </w:rPr>
      </w:pPr>
      <w:bookmarkStart w:id="50" w:name="_Toc224103302"/>
      <w:bookmarkStart w:id="51" w:name="_Toc277082539"/>
      <w:bookmarkStart w:id="52" w:name="_Toc7464"/>
      <w:bookmarkStart w:id="53" w:name="_Toc200359241"/>
      <w:bookmarkStart w:id="54" w:name="_Toc287607731"/>
      <w:bookmarkStart w:id="55" w:name="_Toc200359430"/>
      <w:bookmarkStart w:id="56" w:name="_Toc10508"/>
      <w:bookmarkStart w:id="57" w:name="_Toc509218695"/>
      <w:bookmarkStart w:id="58" w:name="_Toc430530419"/>
      <w:bookmarkStart w:id="59" w:name="_Toc287620670"/>
      <w:r>
        <w:rPr>
          <w:rFonts w:ascii="宋体" w:hAnsi="宋体"/>
          <w:snapToGrid w:val="0"/>
          <w:color w:val="000000" w:themeColor="text1"/>
          <w:sz w:val="28"/>
          <w:szCs w:val="28"/>
          <w:highlight w:val="none"/>
          <w14:textFill>
            <w14:solidFill>
              <w14:schemeClr w14:val="tx1"/>
            </w14:solidFill>
          </w14:textFill>
        </w:rPr>
        <w:t xml:space="preserve">4.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文件的获取</w:t>
      </w:r>
      <w:bookmarkEnd w:id="50"/>
      <w:bookmarkEnd w:id="51"/>
      <w:bookmarkEnd w:id="52"/>
      <w:bookmarkEnd w:id="53"/>
      <w:bookmarkEnd w:id="54"/>
      <w:bookmarkEnd w:id="55"/>
      <w:bookmarkEnd w:id="56"/>
      <w:bookmarkEnd w:id="57"/>
      <w:bookmarkEnd w:id="58"/>
      <w:bookmarkEnd w:id="59"/>
    </w:p>
    <w:p w14:paraId="2919339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w:t>
      </w:r>
      <w:r>
        <w:rPr>
          <w:rFonts w:hint="eastAsia" w:ascii="宋体" w:hAnsi="宋体" w:cs="宋体"/>
          <w:snapToGrid w:val="0"/>
          <w:color w:val="000000" w:themeColor="text1"/>
          <w:kern w:val="0"/>
          <w:szCs w:val="21"/>
          <w14:textFill>
            <w14:solidFill>
              <w14:schemeClr w14:val="tx1"/>
            </w14:solidFill>
          </w14:textFill>
        </w:rPr>
        <w:t>凡有意参加投标的投标人，</w:t>
      </w:r>
      <w:r>
        <w:rPr>
          <w:rFonts w:hint="eastAsia" w:ascii="宋体" w:hAnsi="宋体" w:cs="宋体"/>
          <w:snapToGrid w:val="0"/>
          <w:color w:val="000000" w:themeColor="text1"/>
          <w:kern w:val="0"/>
          <w:szCs w:val="21"/>
          <w:lang w:val="en-US" w:eastAsia="zh-CN"/>
          <w14:textFill>
            <w14:solidFill>
              <w14:schemeClr w14:val="tx1"/>
            </w14:solidFill>
          </w14:textFill>
        </w:rPr>
        <w:t>请于</w:t>
      </w:r>
      <w:r>
        <w:rPr>
          <w:rFonts w:hint="eastAsia" w:ascii="宋体" w:hAnsi="宋体" w:cs="宋体"/>
          <w:snapToGrid w:val="0"/>
          <w:color w:val="000000" w:themeColor="text1"/>
          <w:kern w:val="0"/>
          <w:szCs w:val="21"/>
          <w:highlight w:val="none"/>
          <w:lang w:val="en-US" w:eastAsia="zh-CN"/>
          <w14:textFill>
            <w14:solidFill>
              <w14:schemeClr w14:val="tx1"/>
            </w14:solidFill>
          </w14:textFill>
        </w:rPr>
        <w:t>2026年3月27日</w:t>
      </w:r>
      <w:r>
        <w:rPr>
          <w:rFonts w:hint="eastAsia" w:ascii="宋体" w:hAnsi="宋体" w:cs="宋体"/>
          <w:snapToGrid w:val="0"/>
          <w:color w:val="000000" w:themeColor="text1"/>
          <w:kern w:val="0"/>
          <w:szCs w:val="21"/>
          <w:lang w:val="en-US" w:eastAsia="zh-CN"/>
          <w14:textFill>
            <w14:solidFill>
              <w14:schemeClr w14:val="tx1"/>
            </w14:solidFill>
          </w14:textFill>
        </w:rPr>
        <w:t>起至</w:t>
      </w:r>
      <w:r>
        <w:rPr>
          <w:rFonts w:hint="eastAsia" w:ascii="宋体" w:hAnsi="宋体" w:cs="宋体"/>
          <w:snapToGrid w:val="0"/>
          <w:color w:val="000000" w:themeColor="text1"/>
          <w:kern w:val="0"/>
          <w:szCs w:val="21"/>
          <w:highlight w:val="none"/>
          <w:lang w:val="en-US" w:eastAsia="zh-CN"/>
          <w14:textFill>
            <w14:solidFill>
              <w14:schemeClr w14:val="tx1"/>
            </w14:solidFill>
          </w14:textFill>
        </w:rPr>
        <w:t>2026年</w:t>
      </w:r>
      <w:r>
        <w:rPr>
          <w:rFonts w:hint="eastAsia" w:ascii="宋体" w:hAnsi="宋体" w:cs="宋体"/>
          <w:snapToGrid w:val="0"/>
          <w:color w:val="000000" w:themeColor="text1"/>
          <w:kern w:val="0"/>
          <w:szCs w:val="21"/>
          <w:lang w:val="en-US" w:eastAsia="zh-CN"/>
          <w14:textFill>
            <w14:solidFill>
              <w14:schemeClr w14:val="tx1"/>
            </w14:solidFill>
          </w14:textFill>
        </w:rPr>
        <w:t>3月31日17时00分止，在重庆源泰工程造价咨询有限责任公司获取本项目比选文件、工程量清单、澄清、修改、补充通知等全部内容并报名，获取资料并报名时请持法定代表人身份证明书或法定代表人授权委托书（原件），未按要求报名的比选人和比选代理机构将不予接收其投标文件。</w:t>
      </w:r>
    </w:p>
    <w:p w14:paraId="1DA1867D">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60" w:name="_Toc430530420"/>
      <w:bookmarkStart w:id="61" w:name="_Toc287620671"/>
      <w:bookmarkStart w:id="62" w:name="_Toc277082540"/>
      <w:bookmarkStart w:id="63" w:name="_Toc6222"/>
      <w:bookmarkStart w:id="64" w:name="_Toc28449"/>
      <w:bookmarkStart w:id="65" w:name="_Toc509218696"/>
      <w:bookmarkStart w:id="66" w:name="_Toc224103303"/>
      <w:bookmarkStart w:id="67" w:name="_Toc287607732"/>
      <w:bookmarkStart w:id="68" w:name="_Toc200359431"/>
      <w:bookmarkStart w:id="69" w:name="_Toc200359242"/>
      <w:r>
        <w:rPr>
          <w:rFonts w:ascii="宋体" w:hAnsi="宋体"/>
          <w:snapToGrid w:val="0"/>
          <w:color w:val="000000" w:themeColor="text1"/>
          <w:sz w:val="28"/>
          <w:szCs w:val="28"/>
          <w:highlight w:val="none"/>
          <w14:textFill>
            <w14:solidFill>
              <w14:schemeClr w14:val="tx1"/>
            </w14:solidFill>
          </w14:textFill>
        </w:rPr>
        <w:t xml:space="preserve">5.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投标文件的递交</w:t>
      </w:r>
      <w:bookmarkEnd w:id="60"/>
      <w:bookmarkEnd w:id="61"/>
      <w:bookmarkEnd w:id="62"/>
      <w:bookmarkEnd w:id="63"/>
      <w:bookmarkEnd w:id="64"/>
      <w:bookmarkEnd w:id="65"/>
      <w:bookmarkEnd w:id="66"/>
      <w:bookmarkEnd w:id="67"/>
      <w:bookmarkEnd w:id="68"/>
      <w:bookmarkEnd w:id="69"/>
    </w:p>
    <w:p w14:paraId="27778F0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5.1  </w:t>
      </w:r>
      <w:r>
        <w:rPr>
          <w:rFonts w:ascii="宋体" w:hAnsi="宋体"/>
          <w:snapToGrid w:val="0"/>
          <w:color w:val="000000" w:themeColor="text1"/>
          <w:kern w:val="0"/>
          <w:szCs w:val="21"/>
          <w14:textFill>
            <w14:solidFill>
              <w14:schemeClr w14:val="tx1"/>
            </w14:solidFill>
          </w14:textFill>
        </w:rPr>
        <w:t>投标文件递交的</w:t>
      </w:r>
      <w:r>
        <w:rPr>
          <w:rFonts w:hint="eastAsia" w:ascii="宋体" w:hAnsi="宋体"/>
          <w:snapToGrid w:val="0"/>
          <w:color w:val="000000" w:themeColor="text1"/>
          <w:kern w:val="0"/>
          <w:szCs w:val="21"/>
          <w14:textFill>
            <w14:solidFill>
              <w14:schemeClr w14:val="tx1"/>
            </w14:solidFill>
          </w14:textFill>
        </w:rPr>
        <w:t>开始时间为</w:t>
      </w:r>
      <w:r>
        <w:rPr>
          <w:rFonts w:hint="eastAsia" w:ascii="宋体" w:hAnsi="宋体"/>
          <w:snapToGrid w:val="0"/>
          <w:color w:val="000000" w:themeColor="text1"/>
          <w:kern w:val="0"/>
          <w:szCs w:val="21"/>
          <w:u w:val="single"/>
          <w14:textFill>
            <w14:solidFill>
              <w14:schemeClr w14:val="tx1"/>
            </w14:solidFill>
          </w14:textFill>
        </w:rPr>
        <w:t>202</w:t>
      </w:r>
      <w:r>
        <w:rPr>
          <w:rFonts w:hint="eastAsia" w:ascii="宋体" w:hAnsi="宋体"/>
          <w:snapToGrid w:val="0"/>
          <w:color w:val="000000" w:themeColor="text1"/>
          <w:kern w:val="0"/>
          <w:szCs w:val="21"/>
          <w:u w:val="single"/>
          <w:lang w:val="en-US" w:eastAsia="zh-CN"/>
          <w14:textFill>
            <w14:solidFill>
              <w14:schemeClr w14:val="tx1"/>
            </w14:solidFill>
          </w14:textFill>
        </w:rPr>
        <w:t>6</w:t>
      </w:r>
      <w:r>
        <w:rPr>
          <w:rFonts w:hint="eastAsia"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4 </w:t>
      </w:r>
      <w:r>
        <w:rPr>
          <w:rFonts w:hint="eastAsia"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1 </w:t>
      </w:r>
      <w:r>
        <w:rPr>
          <w:rFonts w:hint="eastAsia" w:ascii="宋体" w:hAnsi="宋体"/>
          <w:snapToGrid w:val="0"/>
          <w:color w:val="000000" w:themeColor="text1"/>
          <w:kern w:val="0"/>
          <w:szCs w:val="21"/>
          <w14:textFill>
            <w14:solidFill>
              <w14:schemeClr w14:val="tx1"/>
            </w14:solidFill>
          </w14:textFill>
        </w:rPr>
        <w:t>日</w:t>
      </w:r>
      <w:r>
        <w:rPr>
          <w:rFonts w:hint="eastAsia" w:ascii="宋体" w:hAnsi="宋体"/>
          <w:snapToGrid w:val="0"/>
          <w:color w:val="000000" w:themeColor="text1"/>
          <w:kern w:val="0"/>
          <w:szCs w:val="21"/>
          <w:u w:val="single"/>
          <w:lang w:val="en-US" w:eastAsia="zh-CN"/>
          <w14:textFill>
            <w14:solidFill>
              <w14:schemeClr w14:val="tx1"/>
            </w14:solidFill>
          </w14:textFill>
        </w:rPr>
        <w:t>09</w:t>
      </w:r>
      <w:r>
        <w:rPr>
          <w:rFonts w:hint="eastAsia" w:ascii="宋体" w:hAnsi="宋体"/>
          <w:snapToGrid w:val="0"/>
          <w:color w:val="000000" w:themeColor="text1"/>
          <w:kern w:val="0"/>
          <w:szCs w:val="21"/>
          <w14:textFill>
            <w14:solidFill>
              <w14:schemeClr w14:val="tx1"/>
            </w14:solidFill>
          </w14:textFill>
        </w:rPr>
        <w:t>时</w:t>
      </w:r>
      <w:r>
        <w:rPr>
          <w:rFonts w:hint="eastAsia" w:ascii="宋体" w:hAnsi="宋体"/>
          <w:snapToGrid w:val="0"/>
          <w:color w:val="000000" w:themeColor="text1"/>
          <w:kern w:val="0"/>
          <w:szCs w:val="21"/>
          <w:u w:val="single"/>
          <w:lang w:val="en-US" w:eastAsia="zh-CN"/>
          <w14:textFill>
            <w14:solidFill>
              <w14:schemeClr w14:val="tx1"/>
            </w14:solidFill>
          </w14:textFill>
        </w:rPr>
        <w:t>30</w:t>
      </w:r>
      <w:r>
        <w:rPr>
          <w:rFonts w:hint="eastAsia" w:ascii="宋体" w:hAnsi="宋体"/>
          <w:snapToGrid w:val="0"/>
          <w:color w:val="000000" w:themeColor="text1"/>
          <w:kern w:val="0"/>
          <w:szCs w:val="21"/>
          <w14:textFill>
            <w14:solidFill>
              <w14:schemeClr w14:val="tx1"/>
            </w14:solidFill>
          </w14:textFill>
        </w:rPr>
        <w:t>分，</w:t>
      </w:r>
      <w:r>
        <w:rPr>
          <w:rFonts w:ascii="宋体" w:hAnsi="宋体"/>
          <w:snapToGrid w:val="0"/>
          <w:color w:val="000000" w:themeColor="text1"/>
          <w:kern w:val="0"/>
          <w:szCs w:val="21"/>
          <w14:textFill>
            <w14:solidFill>
              <w14:schemeClr w14:val="tx1"/>
            </w14:solidFill>
          </w14:textFill>
        </w:rPr>
        <w:t>截止时间（投标截止时间，下同）为</w:t>
      </w:r>
      <w:r>
        <w:rPr>
          <w:rFonts w:hint="eastAsia" w:ascii="宋体" w:hAnsi="宋体"/>
          <w:snapToGrid w:val="0"/>
          <w:color w:val="000000" w:themeColor="text1"/>
          <w:kern w:val="0"/>
          <w:szCs w:val="21"/>
          <w:u w:val="single"/>
          <w14:textFill>
            <w14:solidFill>
              <w14:schemeClr w14:val="tx1"/>
            </w14:solidFill>
          </w14:textFill>
        </w:rPr>
        <w:t>202</w:t>
      </w:r>
      <w:r>
        <w:rPr>
          <w:rFonts w:hint="eastAsia" w:ascii="宋体" w:hAnsi="宋体"/>
          <w:snapToGrid w:val="0"/>
          <w:color w:val="000000" w:themeColor="text1"/>
          <w:kern w:val="0"/>
          <w:szCs w:val="21"/>
          <w:u w:val="single"/>
          <w:lang w:val="en-US" w:eastAsia="zh-CN"/>
          <w14:textFill>
            <w14:solidFill>
              <w14:schemeClr w14:val="tx1"/>
            </w14:solidFill>
          </w14:textFill>
        </w:rPr>
        <w:t>6</w:t>
      </w:r>
      <w:r>
        <w:rPr>
          <w:rFonts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4 </w:t>
      </w:r>
      <w:r>
        <w:rPr>
          <w:rFonts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1 </w:t>
      </w:r>
      <w:r>
        <w:rPr>
          <w:rFonts w:ascii="宋体" w:hAnsi="宋体"/>
          <w:snapToGrid w:val="0"/>
          <w:color w:val="000000" w:themeColor="text1"/>
          <w:kern w:val="0"/>
          <w:szCs w:val="21"/>
          <w14:textFill>
            <w14:solidFill>
              <w14:schemeClr w14:val="tx1"/>
            </w14:solidFill>
          </w14:textFill>
        </w:rPr>
        <w:t>日</w:t>
      </w:r>
      <w:r>
        <w:rPr>
          <w:rFonts w:hint="eastAsia" w:ascii="宋体" w:hAnsi="宋体"/>
          <w:snapToGrid w:val="0"/>
          <w:color w:val="000000" w:themeColor="text1"/>
          <w:kern w:val="0"/>
          <w:szCs w:val="21"/>
          <w:u w:val="single"/>
          <w:lang w:val="en-US" w:eastAsia="zh-CN"/>
          <w14:textFill>
            <w14:solidFill>
              <w14:schemeClr w14:val="tx1"/>
            </w14:solidFill>
          </w14:textFill>
        </w:rPr>
        <w:t>10</w:t>
      </w:r>
      <w:r>
        <w:rPr>
          <w:rFonts w:ascii="宋体" w:hAnsi="宋体"/>
          <w:snapToGrid w:val="0"/>
          <w:color w:val="000000" w:themeColor="text1"/>
          <w:kern w:val="0"/>
          <w:szCs w:val="21"/>
          <w14:textFill>
            <w14:solidFill>
              <w14:schemeClr w14:val="tx1"/>
            </w14:solidFill>
          </w14:textFill>
        </w:rPr>
        <w:t>时</w:t>
      </w:r>
      <w:r>
        <w:rPr>
          <w:rFonts w:hint="eastAsia" w:ascii="宋体" w:hAnsi="宋体"/>
          <w:snapToGrid w:val="0"/>
          <w:color w:val="000000" w:themeColor="text1"/>
          <w:kern w:val="0"/>
          <w:szCs w:val="21"/>
          <w:u w:val="single"/>
          <w:lang w:val="en-US" w:eastAsia="zh-CN"/>
          <w14:textFill>
            <w14:solidFill>
              <w14:schemeClr w14:val="tx1"/>
            </w14:solidFill>
          </w14:textFill>
        </w:rPr>
        <w:t>00</w:t>
      </w:r>
      <w:r>
        <w:rPr>
          <w:rFonts w:ascii="宋体" w:hAnsi="宋体"/>
          <w:snapToGrid w:val="0"/>
          <w:color w:val="000000" w:themeColor="text1"/>
          <w:kern w:val="0"/>
          <w:szCs w:val="21"/>
          <w14:textFill>
            <w14:solidFill>
              <w14:schemeClr w14:val="tx1"/>
            </w14:solidFill>
          </w14:textFill>
        </w:rPr>
        <w:t>分</w:t>
      </w:r>
      <w:r>
        <w:rPr>
          <w:rFonts w:hint="eastAsia" w:ascii="宋体" w:hAnsi="宋体"/>
          <w:snapToGrid w:val="0"/>
          <w:color w:val="000000" w:themeColor="text1"/>
          <w:kern w:val="0"/>
          <w:szCs w:val="21"/>
          <w:lang w:val="en-US" w:eastAsia="zh-CN"/>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地点为</w:t>
      </w:r>
      <w:r>
        <w:rPr>
          <w:rFonts w:hint="eastAsia" w:ascii="宋体" w:hAnsi="宋体"/>
          <w:snapToGrid w:val="0"/>
          <w:color w:val="000000" w:themeColor="text1"/>
          <w:kern w:val="0"/>
          <w:szCs w:val="21"/>
          <w:highlight w:val="none"/>
          <w:u w:val="single"/>
          <w:lang w:eastAsia="zh-CN"/>
          <w14:textFill>
            <w14:solidFill>
              <w14:schemeClr w14:val="tx1"/>
            </w14:solidFill>
          </w14:textFill>
        </w:rPr>
        <w:t>重庆玄天湖文化旅游开发有限公司</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106</w:t>
      </w:r>
      <w:r>
        <w:rPr>
          <w:rFonts w:hint="eastAsia" w:ascii="宋体" w:hAnsi="宋体"/>
          <w:snapToGrid w:val="0"/>
          <w:color w:val="000000" w:themeColor="text1"/>
          <w:kern w:val="0"/>
          <w:szCs w:val="21"/>
          <w:highlight w:val="none"/>
          <w:u w:val="single"/>
          <w:lang w:eastAsia="zh-CN"/>
          <w14:textFill>
            <w14:solidFill>
              <w14:schemeClr w14:val="tx1"/>
            </w14:solidFill>
          </w14:textFill>
        </w:rPr>
        <w:t>会议室</w:t>
      </w:r>
      <w:r>
        <w:rPr>
          <w:rFonts w:ascii="宋体" w:hAnsi="宋体"/>
          <w:snapToGrid w:val="0"/>
          <w:color w:val="000000" w:themeColor="text1"/>
          <w:kern w:val="0"/>
          <w:szCs w:val="21"/>
          <w:highlight w:val="none"/>
          <w14:textFill>
            <w14:solidFill>
              <w14:schemeClr w14:val="tx1"/>
            </w14:solidFill>
          </w14:textFill>
        </w:rPr>
        <w:t>。</w:t>
      </w:r>
    </w:p>
    <w:p w14:paraId="143CCB40">
      <w:pPr>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5.2  逾期送达的或者未送达指定地点的投标文件</w:t>
      </w:r>
      <w:r>
        <w:rPr>
          <w:rFonts w:hint="eastAsia" w:ascii="宋体" w:hAnsi="宋体"/>
          <w:snapToGrid w:val="0"/>
          <w:color w:val="000000" w:themeColor="text1"/>
          <w:kern w:val="0"/>
          <w:szCs w:val="21"/>
          <w:highlight w:val="none"/>
          <w:lang w:val="en-US" w:eastAsia="zh-CN"/>
          <w14:textFill>
            <w14:solidFill>
              <w14:schemeClr w14:val="tx1"/>
            </w14:solidFill>
          </w14:textFill>
        </w:rPr>
        <w:t>的</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人不予受理。</w:t>
      </w:r>
    </w:p>
    <w:p w14:paraId="25D4CB10">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70" w:name="_Toc8166"/>
      <w:bookmarkStart w:id="71" w:name="_Toc287620672"/>
      <w:bookmarkStart w:id="72" w:name="_Toc200359432"/>
      <w:bookmarkStart w:id="73" w:name="_Toc200359243"/>
      <w:bookmarkStart w:id="74" w:name="_Toc8432"/>
      <w:bookmarkStart w:id="75" w:name="_Toc224103304"/>
      <w:bookmarkStart w:id="76" w:name="_Toc287607733"/>
      <w:bookmarkStart w:id="77" w:name="_Toc430530421"/>
      <w:bookmarkStart w:id="78" w:name="_Toc509218697"/>
      <w:bookmarkStart w:id="79" w:name="_Toc277082541"/>
      <w:r>
        <w:rPr>
          <w:rFonts w:ascii="宋体" w:hAnsi="宋体"/>
          <w:snapToGrid w:val="0"/>
          <w:color w:val="000000" w:themeColor="text1"/>
          <w:sz w:val="28"/>
          <w:szCs w:val="28"/>
          <w:highlight w:val="none"/>
          <w14:textFill>
            <w14:solidFill>
              <w14:schemeClr w14:val="tx1"/>
            </w14:solidFill>
          </w14:textFill>
        </w:rPr>
        <w:t xml:space="preserve">6.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发布公告的媒介</w:t>
      </w:r>
      <w:bookmarkEnd w:id="70"/>
      <w:bookmarkEnd w:id="71"/>
      <w:bookmarkEnd w:id="72"/>
      <w:bookmarkEnd w:id="73"/>
      <w:bookmarkEnd w:id="74"/>
      <w:bookmarkEnd w:id="75"/>
      <w:bookmarkEnd w:id="76"/>
      <w:bookmarkEnd w:id="77"/>
      <w:bookmarkEnd w:id="78"/>
      <w:bookmarkEnd w:id="79"/>
    </w:p>
    <w:p w14:paraId="294AB61C">
      <w:pPr>
        <w:tabs>
          <w:tab w:val="left" w:pos="4950"/>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公告在</w:t>
      </w:r>
      <w:r>
        <w:rPr>
          <w:rFonts w:hint="eastAsia" w:ascii="宋体" w:hAnsi="宋体"/>
          <w:snapToGrid w:val="0"/>
          <w:color w:val="000000" w:themeColor="text1"/>
          <w:kern w:val="0"/>
          <w:szCs w:val="21"/>
          <w:highlight w:val="none"/>
          <w:lang w:eastAsia="zh-CN"/>
          <w14:textFill>
            <w14:solidFill>
              <w14:schemeClr w14:val="tx1"/>
            </w14:solidFill>
          </w14:textFill>
        </w:rPr>
        <w:t>重庆市铜梁区人民政府网（http://www.cqstl.gov.cn/）</w:t>
      </w:r>
      <w:r>
        <w:rPr>
          <w:rFonts w:ascii="宋体" w:hAnsi="宋体"/>
          <w:snapToGrid w:val="0"/>
          <w:color w:val="000000" w:themeColor="text1"/>
          <w:kern w:val="0"/>
          <w:szCs w:val="21"/>
          <w:highlight w:val="none"/>
          <w14:textFill>
            <w14:solidFill>
              <w14:schemeClr w14:val="tx1"/>
            </w14:solidFill>
          </w14:textFill>
        </w:rPr>
        <w:t>上发布。</w:t>
      </w:r>
    </w:p>
    <w:p w14:paraId="44DF6482">
      <w:pPr>
        <w:pStyle w:val="2"/>
        <w:rPr>
          <w:rFonts w:hint="eastAsia"/>
          <w:color w:val="000000" w:themeColor="text1"/>
          <w14:textFill>
            <w14:solidFill>
              <w14:schemeClr w14:val="tx1"/>
            </w14:solidFill>
          </w14:textFill>
        </w:rPr>
      </w:pPr>
    </w:p>
    <w:p w14:paraId="7AAB3E27">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80" w:name="_Toc14240"/>
      <w:bookmarkStart w:id="81" w:name="_Toc31352"/>
      <w:bookmarkStart w:id="82" w:name="_Toc430530422"/>
      <w:bookmarkStart w:id="83" w:name="_Toc6780"/>
      <w:bookmarkStart w:id="84" w:name="_Toc287620673"/>
      <w:bookmarkStart w:id="85" w:name="_Toc277082542"/>
      <w:bookmarkStart w:id="86" w:name="_Toc287607734"/>
      <w:bookmarkStart w:id="87" w:name="_Toc224103305"/>
      <w:bookmarkStart w:id="88" w:name="_Toc509218698"/>
      <w:r>
        <w:rPr>
          <w:rFonts w:hint="eastAsia" w:ascii="宋体" w:hAnsi="宋体"/>
          <w:snapToGrid w:val="0"/>
          <w:color w:val="000000" w:themeColor="text1"/>
          <w:sz w:val="28"/>
          <w:szCs w:val="28"/>
          <w:highlight w:val="none"/>
          <w:lang w:val="en-US" w:eastAsia="zh-CN"/>
          <w14:textFill>
            <w14:solidFill>
              <w14:schemeClr w14:val="tx1"/>
            </w14:solidFill>
          </w14:textFill>
        </w:rPr>
        <w:t>7</w:t>
      </w:r>
      <w:r>
        <w:rPr>
          <w:rFonts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14:textFill>
            <w14:solidFill>
              <w14:schemeClr w14:val="tx1"/>
            </w14:solidFill>
          </w14:textFill>
        </w:rPr>
        <w:t xml:space="preserve"> </w:t>
      </w:r>
      <w:bookmarkEnd w:id="80"/>
      <w:bookmarkEnd w:id="81"/>
      <w:bookmarkStart w:id="89" w:name="_Toc589"/>
      <w:r>
        <w:rPr>
          <w:rFonts w:ascii="宋体" w:hAnsi="宋体"/>
          <w:snapToGrid w:val="0"/>
          <w:color w:val="000000" w:themeColor="text1"/>
          <w:sz w:val="28"/>
          <w:szCs w:val="28"/>
          <w:highlight w:val="none"/>
          <w14:textFill>
            <w14:solidFill>
              <w14:schemeClr w14:val="tx1"/>
            </w14:solidFill>
          </w14:textFill>
        </w:rPr>
        <w:t>联系方式</w:t>
      </w:r>
      <w:bookmarkEnd w:id="82"/>
      <w:bookmarkEnd w:id="83"/>
      <w:bookmarkEnd w:id="84"/>
      <w:bookmarkEnd w:id="85"/>
      <w:bookmarkEnd w:id="86"/>
      <w:bookmarkEnd w:id="87"/>
      <w:bookmarkEnd w:id="88"/>
      <w:bookmarkEnd w:id="89"/>
    </w:p>
    <w:p w14:paraId="323247F6">
      <w:pPr>
        <w:tabs>
          <w:tab w:val="left" w:pos="5140"/>
          <w:tab w:val="left" w:pos="8520"/>
        </w:tabs>
        <w:autoSpaceDE w:val="0"/>
        <w:autoSpaceDN w:val="0"/>
        <w:adjustRightInd w:val="0"/>
        <w:snapToGrid w:val="0"/>
        <w:spacing w:line="450" w:lineRule="exact"/>
        <w:ind w:left="5880" w:leftChars="200" w:hanging="5460" w:hangingChars="2600"/>
        <w:jc w:val="left"/>
        <w:rPr>
          <w:rFonts w:hint="eastAsia" w:ascii="宋体" w:hAnsi="宋体" w:eastAsia="宋体"/>
          <w:snapToGrid w:val="0"/>
          <w:color w:val="000000" w:themeColor="text1"/>
          <w:kern w:val="0"/>
          <w:szCs w:val="21"/>
          <w:highlight w:val="yellow"/>
          <w:lang w:eastAsia="zh-CN"/>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招 标 人：</w:t>
      </w:r>
      <w:r>
        <w:rPr>
          <w:rFonts w:hint="eastAsia" w:ascii="宋体" w:hAnsi="宋体"/>
          <w:snapToGrid w:val="0"/>
          <w:color w:val="000000" w:themeColor="text1"/>
          <w:kern w:val="0"/>
          <w:szCs w:val="21"/>
          <w:u w:val="single"/>
          <w:lang w:eastAsia="zh-CN"/>
          <w14:textFill>
            <w14:solidFill>
              <w14:schemeClr w14:val="tx1"/>
            </w14:solidFill>
          </w14:textFill>
        </w:rPr>
        <w:t>重庆玄天湖文化旅游开发有限公司</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比选</w:t>
      </w:r>
      <w:r>
        <w:rPr>
          <w:rFonts w:ascii="宋体" w:hAnsi="宋体"/>
          <w:snapToGrid w:val="0"/>
          <w:color w:val="000000" w:themeColor="text1"/>
          <w:kern w:val="0"/>
          <w:szCs w:val="21"/>
          <w14:textFill>
            <w14:solidFill>
              <w14:schemeClr w14:val="tx1"/>
            </w14:solidFill>
          </w14:textFill>
        </w:rPr>
        <w:t>代理机构：</w:t>
      </w:r>
      <w:r>
        <w:rPr>
          <w:rFonts w:hint="eastAsia" w:ascii="宋体" w:hAnsi="宋体" w:cs="宋体"/>
          <w:snapToGrid w:val="0"/>
          <w:color w:val="000000" w:themeColor="text1"/>
          <w:kern w:val="0"/>
          <w:szCs w:val="21"/>
          <w:u w:val="single"/>
          <w:lang w:val="en-US" w:eastAsia="zh-CN"/>
          <w14:textFill>
            <w14:solidFill>
              <w14:schemeClr w14:val="tx1"/>
            </w14:solidFill>
          </w14:textFill>
        </w:rPr>
        <w:t>重庆源泰工程造价咨询有限责任公司</w:t>
      </w:r>
    </w:p>
    <w:p w14:paraId="3A3A2B6C">
      <w:pPr>
        <w:tabs>
          <w:tab w:val="left" w:pos="5140"/>
          <w:tab w:val="left" w:pos="8420"/>
        </w:tabs>
        <w:autoSpaceDE w:val="0"/>
        <w:autoSpaceDN w:val="0"/>
        <w:adjustRightInd w:val="0"/>
        <w:snapToGrid w:val="0"/>
        <w:spacing w:line="450" w:lineRule="exact"/>
        <w:ind w:left="5880" w:leftChars="200" w:hanging="5460" w:hangingChars="2600"/>
        <w:jc w:val="left"/>
        <w:rPr>
          <w:rFonts w:ascii="宋体" w:hAnsi="宋体"/>
          <w:snapToGrid w:val="0"/>
          <w:color w:val="000000" w:themeColor="text1"/>
          <w:kern w:val="0"/>
          <w:szCs w:val="21"/>
          <w:u w:val="single"/>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地    址：</w:t>
      </w:r>
      <w:r>
        <w:rPr>
          <w:rFonts w:hint="eastAsia" w:ascii="宋体" w:hAnsi="宋体"/>
          <w:snapToGrid w:val="0"/>
          <w:color w:val="000000" w:themeColor="text1"/>
          <w:kern w:val="0"/>
          <w:szCs w:val="21"/>
          <w:u w:val="single"/>
          <w:lang w:eastAsia="zh-CN"/>
          <w14:textFill>
            <w14:solidFill>
              <w14:schemeClr w14:val="tx1"/>
            </w14:solidFill>
          </w14:textFill>
        </w:rPr>
        <w:t xml:space="preserve">重庆市铜梁区南城街道办事处桐梓社区鹿角湾 </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lang w:val="en-US" w:eastAsia="zh-CN"/>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地    址：</w:t>
      </w:r>
      <w:r>
        <w:rPr>
          <w:rFonts w:hint="eastAsia" w:ascii="宋体" w:hAnsi="宋体" w:cs="宋体"/>
          <w:snapToGrid w:val="0"/>
          <w:color w:val="000000" w:themeColor="text1"/>
          <w:kern w:val="0"/>
          <w:szCs w:val="21"/>
          <w:u w:val="single"/>
          <w:lang w:val="en-US" w:eastAsia="zh-CN"/>
          <w14:textFill>
            <w14:solidFill>
              <w14:schemeClr w14:val="tx1"/>
            </w14:solidFill>
          </w14:textFill>
        </w:rPr>
        <w:t>重庆市铜梁区东城街道财富广场南路1号（龙都财富中心）1号楼6-4</w:t>
      </w:r>
    </w:p>
    <w:p w14:paraId="1ECC03B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联 系 人：</w:t>
      </w:r>
      <w:r>
        <w:rPr>
          <w:rFonts w:hint="eastAsia" w:ascii="宋体" w:hAnsi="宋体"/>
          <w:snapToGrid w:val="0"/>
          <w:color w:val="000000" w:themeColor="text1"/>
          <w:kern w:val="0"/>
          <w:szCs w:val="21"/>
          <w:u w:val="single"/>
          <w:lang w:val="en-US" w:eastAsia="zh-CN"/>
          <w14:textFill>
            <w14:solidFill>
              <w14:schemeClr w14:val="tx1"/>
            </w14:solidFill>
          </w14:textFill>
        </w:rPr>
        <w:t>何老师</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联 系 人：</w:t>
      </w:r>
      <w:r>
        <w:rPr>
          <w:rFonts w:hint="eastAsia" w:ascii="宋体" w:hAnsi="宋体"/>
          <w:snapToGrid w:val="0"/>
          <w:color w:val="000000" w:themeColor="text1"/>
          <w:kern w:val="0"/>
          <w:szCs w:val="21"/>
          <w:u w:val="single"/>
          <w14:textFill>
            <w14:solidFill>
              <w14:schemeClr w14:val="tx1"/>
            </w14:solidFill>
          </w14:textFill>
        </w:rPr>
        <w:t>樊老师</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22023C37">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000000" w:themeColor="text1"/>
          <w:kern w:val="0"/>
          <w:szCs w:val="21"/>
          <w:u w:val="single"/>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电    话：</w:t>
      </w:r>
      <w:r>
        <w:rPr>
          <w:rFonts w:hint="eastAsia" w:ascii="宋体" w:hAnsi="宋体"/>
          <w:snapToGrid w:val="0"/>
          <w:color w:val="000000" w:themeColor="text1"/>
          <w:kern w:val="0"/>
          <w:szCs w:val="21"/>
          <w:u w:val="single"/>
          <w:lang w:val="en-US" w:eastAsia="zh-CN"/>
          <w14:textFill>
            <w14:solidFill>
              <w14:schemeClr w14:val="tx1"/>
            </w14:solidFill>
          </w14:textFill>
        </w:rPr>
        <w:t>15823132688</w:t>
      </w:r>
      <w:r>
        <w:rPr>
          <w:rFonts w:hint="eastAsia" w:ascii="宋体" w:hAnsi="宋体"/>
          <w:snapToGrid w:val="0"/>
          <w:color w:val="000000" w:themeColor="text1"/>
          <w:kern w:val="0"/>
          <w:szCs w:val="21"/>
          <w:u w:val="single"/>
          <w:lang w:eastAsia="zh-CN"/>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lang w:val="en-US" w:eastAsia="zh-CN"/>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电    话：</w:t>
      </w:r>
      <w:r>
        <w:rPr>
          <w:rFonts w:hint="eastAsia" w:ascii="宋体" w:hAnsi="宋体"/>
          <w:snapToGrid w:val="0"/>
          <w:color w:val="000000" w:themeColor="text1"/>
          <w:kern w:val="0"/>
          <w:szCs w:val="21"/>
          <w:u w:val="single"/>
          <w:lang w:val="en-US" w:eastAsia="zh-CN"/>
          <w14:textFill>
            <w14:solidFill>
              <w14:schemeClr w14:val="tx1"/>
            </w14:solidFill>
          </w14:textFill>
        </w:rPr>
        <w:t>15223373726</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41371035">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000000" w:themeColor="text1"/>
          <w:kern w:val="0"/>
          <w:szCs w:val="21"/>
          <w:u w:val="single"/>
          <w14:textFill>
            <w14:solidFill>
              <w14:schemeClr w14:val="tx1"/>
            </w14:solidFill>
          </w14:textFill>
        </w:rPr>
      </w:pPr>
    </w:p>
    <w:p w14:paraId="7398B65D">
      <w:pPr>
        <w:tabs>
          <w:tab w:val="left" w:pos="5140"/>
          <w:tab w:val="left" w:pos="8420"/>
        </w:tabs>
        <w:autoSpaceDE w:val="0"/>
        <w:autoSpaceDN w:val="0"/>
        <w:adjustRightInd w:val="0"/>
        <w:snapToGrid w:val="0"/>
        <w:spacing w:line="400" w:lineRule="exact"/>
        <w:jc w:val="left"/>
        <w:rPr>
          <w:rFonts w:ascii="宋体" w:hAnsi="宋体"/>
          <w:snapToGrid w:val="0"/>
          <w:color w:val="000000" w:themeColor="text1"/>
          <w:kern w:val="0"/>
          <w:szCs w:val="21"/>
          <w:u w:val="single"/>
          <w14:textFill>
            <w14:solidFill>
              <w14:schemeClr w14:val="tx1"/>
            </w14:solidFill>
          </w14:textFill>
        </w:rPr>
      </w:pPr>
    </w:p>
    <w:p w14:paraId="62F9CD69">
      <w:pPr>
        <w:autoSpaceDE w:val="0"/>
        <w:autoSpaceDN w:val="0"/>
        <w:adjustRightInd w:val="0"/>
        <w:snapToGrid w:val="0"/>
        <w:spacing w:line="440" w:lineRule="exact"/>
        <w:ind w:firstLine="3906" w:firstLineChars="1860"/>
        <w:jc w:val="right"/>
        <w:rPr>
          <w:rFonts w:hint="eastAsia" w:ascii="宋体" w:hAnsi="宋体"/>
          <w:snapToGrid w:val="0"/>
          <w:color w:val="000000" w:themeColor="text1"/>
          <w:kern w:val="0"/>
          <w:sz w:val="20"/>
          <w:szCs w:val="20"/>
          <w:highlight w:val="none"/>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202</w:t>
      </w:r>
      <w:r>
        <w:rPr>
          <w:rFonts w:hint="eastAsia" w:ascii="宋体" w:hAnsi="宋体"/>
          <w:snapToGrid w:val="0"/>
          <w:color w:val="000000" w:themeColor="text1"/>
          <w:kern w:val="0"/>
          <w:szCs w:val="21"/>
          <w:u w:val="single"/>
          <w:lang w:val="en-US" w:eastAsia="zh-CN"/>
          <w14:textFill>
            <w14:solidFill>
              <w14:schemeClr w14:val="tx1"/>
            </w14:solidFill>
          </w14:textFill>
        </w:rPr>
        <w:t>6</w:t>
      </w:r>
      <w:r>
        <w:rPr>
          <w:rFonts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3 </w:t>
      </w:r>
      <w:r>
        <w:rPr>
          <w:rFonts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27 </w:t>
      </w:r>
      <w:r>
        <w:rPr>
          <w:rFonts w:ascii="宋体" w:hAnsi="宋体"/>
          <w:snapToGrid w:val="0"/>
          <w:color w:val="000000" w:themeColor="text1"/>
          <w:kern w:val="0"/>
          <w:szCs w:val="21"/>
          <w14:textFill>
            <w14:solidFill>
              <w14:schemeClr w14:val="tx1"/>
            </w14:solidFill>
          </w14:textFill>
        </w:rPr>
        <w:t>日</w:t>
      </w:r>
      <w:r>
        <w:rPr>
          <w:rFonts w:hint="eastAsia" w:ascii="宋体" w:hAnsi="宋体"/>
          <w:snapToGrid w:val="0"/>
          <w:color w:val="000000" w:themeColor="text1"/>
          <w:kern w:val="0"/>
          <w:szCs w:val="21"/>
          <w:highlight w:val="none"/>
          <w14:textFill>
            <w14:solidFill>
              <w14:schemeClr w14:val="tx1"/>
            </w14:solidFill>
          </w14:textFill>
        </w:rPr>
        <w:t xml:space="preserve">  </w:t>
      </w:r>
    </w:p>
    <w:p w14:paraId="563D9967">
      <w:pPr>
        <w:pStyle w:val="3"/>
        <w:spacing w:before="0" w:after="0" w:line="200" w:lineRule="exact"/>
        <w:jc w:val="center"/>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br w:type="page"/>
      </w:r>
      <w:bookmarkStart w:id="90" w:name="_Toc430530423"/>
      <w:bookmarkEnd w:id="90"/>
      <w:bookmarkStart w:id="91" w:name="_Toc287620674"/>
      <w:bookmarkEnd w:id="91"/>
      <w:bookmarkStart w:id="92" w:name="_Toc287607735"/>
      <w:bookmarkEnd w:id="92"/>
      <w:bookmarkStart w:id="93" w:name="_Toc224103306"/>
      <w:bookmarkEnd w:id="93"/>
    </w:p>
    <w:p w14:paraId="5A93E370">
      <w:pPr>
        <w:pStyle w:val="3"/>
        <w:spacing w:line="360" w:lineRule="auto"/>
        <w:jc w:val="center"/>
        <w:rPr>
          <w:rFonts w:hint="eastAsia" w:ascii="宋体" w:hAnsi="宋体"/>
          <w:bCs w:val="0"/>
          <w:snapToGrid w:val="0"/>
          <w:color w:val="000000" w:themeColor="text1"/>
          <w:kern w:val="0"/>
          <w:highlight w:val="none"/>
          <w14:textFill>
            <w14:solidFill>
              <w14:schemeClr w14:val="tx1"/>
            </w14:solidFill>
          </w14:textFill>
        </w:rPr>
      </w:pPr>
      <w:bookmarkStart w:id="94" w:name="_Toc224103315"/>
      <w:bookmarkStart w:id="95" w:name="_Toc287607744"/>
      <w:bookmarkStart w:id="96" w:name="_Toc287620683"/>
      <w:bookmarkStart w:id="97" w:name="_Toc32148"/>
      <w:bookmarkStart w:id="98" w:name="_Toc11889"/>
      <w:bookmarkStart w:id="99" w:name="_Toc430530432"/>
      <w:r>
        <w:rPr>
          <w:rFonts w:ascii="宋体" w:hAnsi="宋体"/>
          <w:snapToGrid w:val="0"/>
          <w:color w:val="000000" w:themeColor="text1"/>
          <w:kern w:val="0"/>
          <w:highlight w:val="none"/>
          <w14:textFill>
            <w14:solidFill>
              <w14:schemeClr w14:val="tx1"/>
            </w14:solidFill>
          </w14:textFill>
        </w:rPr>
        <w:t>第二章  投标人须知</w:t>
      </w:r>
      <w:bookmarkEnd w:id="94"/>
      <w:bookmarkEnd w:id="95"/>
      <w:bookmarkEnd w:id="96"/>
      <w:bookmarkEnd w:id="97"/>
      <w:bookmarkEnd w:id="98"/>
      <w:bookmarkEnd w:id="99"/>
      <w:bookmarkStart w:id="100" w:name="_Toc277082551"/>
      <w:bookmarkStart w:id="101" w:name="_Toc287607745"/>
      <w:bookmarkStart w:id="102" w:name="_Toc287620684"/>
      <w:bookmarkStart w:id="103" w:name="_Toc224103316"/>
      <w:bookmarkStart w:id="104" w:name="_Toc430530433"/>
    </w:p>
    <w:p w14:paraId="76B522C9">
      <w:pPr>
        <w:pStyle w:val="4"/>
        <w:spacing w:before="100" w:after="100" w:line="360" w:lineRule="auto"/>
        <w:rPr>
          <w:rFonts w:hint="eastAsia" w:ascii="宋体" w:hAnsi="宋体"/>
          <w:color w:val="000000" w:themeColor="text1"/>
          <w:highlight w:val="none"/>
          <w14:textFill>
            <w14:solidFill>
              <w14:schemeClr w14:val="tx1"/>
            </w14:solidFill>
          </w14:textFill>
        </w:rPr>
      </w:pPr>
      <w:bookmarkStart w:id="105" w:name="_Toc509218708"/>
      <w:bookmarkStart w:id="106" w:name="_Toc8005"/>
      <w:bookmarkStart w:id="107" w:name="_Toc32756"/>
      <w:r>
        <w:rPr>
          <w:rFonts w:hint="eastAsia" w:ascii="宋体" w:hAnsi="宋体"/>
          <w:color w:val="000000" w:themeColor="text1"/>
          <w:highlight w:val="none"/>
          <w14:textFill>
            <w14:solidFill>
              <w14:schemeClr w14:val="tx1"/>
            </w14:solidFill>
          </w14:textFill>
        </w:rPr>
        <w:t>投标人须知前附表</w:t>
      </w:r>
      <w:bookmarkEnd w:id="100"/>
      <w:bookmarkEnd w:id="101"/>
      <w:bookmarkEnd w:id="102"/>
      <w:bookmarkEnd w:id="103"/>
      <w:bookmarkEnd w:id="104"/>
      <w:bookmarkEnd w:id="105"/>
      <w:bookmarkEnd w:id="106"/>
      <w:bookmarkEnd w:id="107"/>
    </w:p>
    <w:p w14:paraId="19919FB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44208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noWrap w:val="0"/>
            <w:vAlign w:val="center"/>
          </w:tcPr>
          <w:p w14:paraId="09438303">
            <w:pPr>
              <w:snapToGrid w:val="0"/>
              <w:spacing w:line="40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条 款 号</w:t>
            </w:r>
          </w:p>
        </w:tc>
        <w:tc>
          <w:tcPr>
            <w:tcW w:w="1644" w:type="dxa"/>
            <w:noWrap w:val="0"/>
            <w:vAlign w:val="center"/>
          </w:tcPr>
          <w:p w14:paraId="5688FF76">
            <w:pPr>
              <w:snapToGrid w:val="0"/>
              <w:spacing w:line="40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条款名称</w:t>
            </w:r>
          </w:p>
        </w:tc>
        <w:tc>
          <w:tcPr>
            <w:tcW w:w="6490" w:type="dxa"/>
            <w:noWrap w:val="0"/>
            <w:vAlign w:val="center"/>
          </w:tcPr>
          <w:p w14:paraId="6E6B7550">
            <w:pPr>
              <w:snapToGrid w:val="0"/>
              <w:spacing w:line="40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kern w:val="0"/>
                <w:szCs w:val="21"/>
                <w:highlight w:val="none"/>
                <w14:textFill>
                  <w14:solidFill>
                    <w14:schemeClr w14:val="tx1"/>
                  </w14:solidFill>
                </w14:textFill>
              </w:rPr>
              <w:t>编  列  内  容</w:t>
            </w:r>
          </w:p>
        </w:tc>
      </w:tr>
      <w:tr w14:paraId="35359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416AC7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1.1.2</w:t>
            </w:r>
          </w:p>
        </w:tc>
        <w:tc>
          <w:tcPr>
            <w:tcW w:w="1644" w:type="dxa"/>
            <w:noWrap w:val="0"/>
            <w:vAlign w:val="center"/>
          </w:tcPr>
          <w:p w14:paraId="2477A04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人</w:t>
            </w:r>
          </w:p>
        </w:tc>
        <w:tc>
          <w:tcPr>
            <w:tcW w:w="6490" w:type="dxa"/>
            <w:noWrap w:val="0"/>
            <w:vAlign w:val="center"/>
          </w:tcPr>
          <w:p w14:paraId="031266B7">
            <w:pPr>
              <w:snapToGrid w:val="0"/>
              <w:spacing w:line="400" w:lineRule="exact"/>
              <w:ind w:firstLine="420" w:firstLineChars="200"/>
              <w:rPr>
                <w:rFonts w:hint="eastAsia" w:ascii="宋体" w:hAnsi="宋体" w:cs="Times New Roman"/>
                <w:snapToGrid w:val="0"/>
                <w:color w:val="000000" w:themeColor="text1"/>
                <w:kern w:val="0"/>
                <w:szCs w:val="21"/>
                <w:highlight w:val="none"/>
                <w:u w:val="none"/>
                <w:lang w:eastAsia="zh-CN"/>
                <w14:textFill>
                  <w14:solidFill>
                    <w14:schemeClr w14:val="tx1"/>
                  </w14:solidFill>
                </w14:textFill>
              </w:rPr>
            </w:pPr>
            <w:r>
              <w:rPr>
                <w:rFonts w:ascii="宋体" w:hAnsi="宋体"/>
                <w:color w:val="000000" w:themeColor="text1"/>
                <w:kern w:val="0"/>
                <w:szCs w:val="21"/>
                <w:highlight w:val="none"/>
                <w:u w:val="none"/>
                <w14:textFill>
                  <w14:solidFill>
                    <w14:schemeClr w14:val="tx1"/>
                  </w14:solidFill>
                </w14:textFill>
              </w:rPr>
              <w:t>名称：</w:t>
            </w:r>
            <w:r>
              <w:rPr>
                <w:rFonts w:hint="eastAsia" w:ascii="宋体" w:hAnsi="宋体" w:cs="Times New Roman"/>
                <w:snapToGrid w:val="0"/>
                <w:color w:val="000000" w:themeColor="text1"/>
                <w:kern w:val="0"/>
                <w:szCs w:val="21"/>
                <w:highlight w:val="none"/>
                <w:u w:val="none"/>
                <w:lang w:eastAsia="zh-CN"/>
                <w14:textFill>
                  <w14:solidFill>
                    <w14:schemeClr w14:val="tx1"/>
                  </w14:solidFill>
                </w14:textFill>
              </w:rPr>
              <w:t>重庆玄天湖文化旅游开发有限公司</w:t>
            </w:r>
          </w:p>
          <w:p w14:paraId="4D9A34EE">
            <w:pPr>
              <w:snapToGrid w:val="0"/>
              <w:spacing w:line="400" w:lineRule="exact"/>
              <w:ind w:firstLine="420" w:firstLineChars="200"/>
              <w:rPr>
                <w:rFonts w:hint="eastAsia" w:ascii="宋体" w:hAnsi="宋体" w:cs="Times New Roman"/>
                <w:snapToGrid w:val="0"/>
                <w:color w:val="000000" w:themeColor="text1"/>
                <w:kern w:val="0"/>
                <w:szCs w:val="21"/>
                <w:highlight w:val="none"/>
                <w:u w:val="none"/>
                <w:lang w:eastAsia="zh-CN"/>
                <w14:textFill>
                  <w14:solidFill>
                    <w14:schemeClr w14:val="tx1"/>
                  </w14:solidFill>
                </w14:textFill>
              </w:rPr>
            </w:pPr>
            <w:r>
              <w:rPr>
                <w:rFonts w:hint="eastAsia" w:ascii="宋体" w:hAnsi="宋体" w:cs="Times New Roman"/>
                <w:snapToGrid w:val="0"/>
                <w:color w:val="000000" w:themeColor="text1"/>
                <w:kern w:val="0"/>
                <w:szCs w:val="21"/>
                <w:highlight w:val="none"/>
                <w:u w:val="none"/>
                <w:lang w:eastAsia="zh-CN"/>
                <w14:textFill>
                  <w14:solidFill>
                    <w14:schemeClr w14:val="tx1"/>
                  </w14:solidFill>
                </w14:textFill>
              </w:rPr>
              <w:t>地址：重庆市铜梁区南城街道办事处桐梓社区鹿角湾</w:t>
            </w:r>
          </w:p>
          <w:p w14:paraId="6ECCEBE4">
            <w:pPr>
              <w:snapToGrid w:val="0"/>
              <w:spacing w:line="400" w:lineRule="exact"/>
              <w:ind w:firstLine="420" w:firstLineChars="200"/>
              <w:rPr>
                <w:rFonts w:hint="eastAsia" w:ascii="宋体" w:hAnsi="宋体"/>
                <w:snapToGrid w:val="0"/>
                <w:color w:val="000000" w:themeColor="text1"/>
                <w:kern w:val="0"/>
                <w:szCs w:val="21"/>
                <w:highlight w:val="none"/>
                <w:u w:val="none"/>
                <w:lang w:eastAsia="zh-CN"/>
                <w14:textFill>
                  <w14:solidFill>
                    <w14:schemeClr w14:val="tx1"/>
                  </w14:solidFill>
                </w14:textFill>
              </w:rPr>
            </w:pPr>
            <w:r>
              <w:rPr>
                <w:rFonts w:hint="eastAsia" w:ascii="宋体" w:hAnsi="宋体"/>
                <w:snapToGrid w:val="0"/>
                <w:color w:val="000000" w:themeColor="text1"/>
                <w:kern w:val="0"/>
                <w:szCs w:val="21"/>
                <w:highlight w:val="none"/>
                <w:u w:val="none"/>
                <w:lang w:eastAsia="zh-CN"/>
                <w14:textFill>
                  <w14:solidFill>
                    <w14:schemeClr w14:val="tx1"/>
                  </w14:solidFill>
                </w14:textFill>
              </w:rPr>
              <w:t>联系人：</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何老师</w:t>
            </w:r>
          </w:p>
          <w:p w14:paraId="0EA8441F">
            <w:pPr>
              <w:snapToGrid w:val="0"/>
              <w:spacing w:line="400" w:lineRule="exact"/>
              <w:ind w:firstLine="420" w:firstLineChars="200"/>
              <w:rPr>
                <w:rFonts w:ascii="宋体" w:hAnsi="宋体"/>
                <w:color w:val="000000" w:themeColor="text1"/>
                <w:kern w:val="0"/>
                <w:szCs w:val="21"/>
                <w:highlight w:val="none"/>
                <w:u w:val="none"/>
                <w14:textFill>
                  <w14:solidFill>
                    <w14:schemeClr w14:val="tx1"/>
                  </w14:solidFill>
                </w14:textFill>
              </w:rPr>
            </w:pPr>
            <w:r>
              <w:rPr>
                <w:rFonts w:hint="eastAsia" w:ascii="宋体" w:hAnsi="宋体"/>
                <w:snapToGrid w:val="0"/>
                <w:color w:val="000000" w:themeColor="text1"/>
                <w:kern w:val="0"/>
                <w:szCs w:val="21"/>
                <w:highlight w:val="none"/>
                <w:u w:val="none"/>
                <w:lang w:eastAsia="zh-CN"/>
                <w14:textFill>
                  <w14:solidFill>
                    <w14:schemeClr w14:val="tx1"/>
                  </w14:solidFill>
                </w14:textFill>
              </w:rPr>
              <w:t>电话：</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15823132688</w:t>
            </w:r>
          </w:p>
        </w:tc>
      </w:tr>
      <w:tr w14:paraId="5AB00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2A2C94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1.1.3</w:t>
            </w:r>
          </w:p>
        </w:tc>
        <w:tc>
          <w:tcPr>
            <w:tcW w:w="1644" w:type="dxa"/>
            <w:noWrap w:val="0"/>
            <w:vAlign w:val="center"/>
          </w:tcPr>
          <w:p w14:paraId="589D6D5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代理机构</w:t>
            </w:r>
          </w:p>
        </w:tc>
        <w:tc>
          <w:tcPr>
            <w:tcW w:w="6490" w:type="dxa"/>
            <w:noWrap w:val="0"/>
            <w:vAlign w:val="center"/>
          </w:tcPr>
          <w:p w14:paraId="5D35E6D7">
            <w:pPr>
              <w:snapToGrid w:val="0"/>
              <w:spacing w:line="400" w:lineRule="exact"/>
              <w:ind w:firstLine="420" w:firstLineChars="200"/>
              <w:rPr>
                <w:rFonts w:hint="eastAsia" w:ascii="宋体" w:hAnsi="宋体" w:cs="Times New Roman"/>
                <w:snapToGrid w:val="0"/>
                <w:color w:val="000000" w:themeColor="text1"/>
                <w:kern w:val="0"/>
                <w:szCs w:val="21"/>
                <w:highlight w:val="none"/>
                <w:u w:val="none"/>
                <w:lang w:eastAsia="zh-CN"/>
                <w14:textFill>
                  <w14:solidFill>
                    <w14:schemeClr w14:val="tx1"/>
                  </w14:solidFill>
                </w14:textFill>
              </w:rPr>
            </w:pPr>
            <w:r>
              <w:rPr>
                <w:rFonts w:ascii="宋体" w:hAnsi="宋体"/>
                <w:color w:val="000000" w:themeColor="text1"/>
                <w:kern w:val="0"/>
                <w:szCs w:val="21"/>
                <w:highlight w:val="none"/>
                <w:u w:val="none"/>
                <w14:textFill>
                  <w14:solidFill>
                    <w14:schemeClr w14:val="tx1"/>
                  </w14:solidFill>
                </w14:textFill>
              </w:rPr>
              <w:t>名称：</w:t>
            </w:r>
            <w:r>
              <w:rPr>
                <w:rFonts w:hint="eastAsia" w:ascii="宋体" w:hAnsi="宋体" w:cs="Times New Roman"/>
                <w:snapToGrid w:val="0"/>
                <w:color w:val="000000" w:themeColor="text1"/>
                <w:kern w:val="0"/>
                <w:szCs w:val="21"/>
                <w:highlight w:val="none"/>
                <w:u w:val="none"/>
                <w:lang w:eastAsia="zh-CN"/>
                <w14:textFill>
                  <w14:solidFill>
                    <w14:schemeClr w14:val="tx1"/>
                  </w14:solidFill>
                </w14:textFill>
              </w:rPr>
              <w:t>重庆源泰工程造价咨询有限责任公司</w:t>
            </w:r>
          </w:p>
          <w:p w14:paraId="7C4A6083">
            <w:pPr>
              <w:snapToGrid w:val="0"/>
              <w:spacing w:line="400" w:lineRule="exact"/>
              <w:ind w:firstLine="420" w:firstLineChars="200"/>
              <w:rPr>
                <w:rFonts w:hint="eastAsia" w:ascii="宋体" w:hAnsi="宋体" w:cs="Times New Roman"/>
                <w:snapToGrid w:val="0"/>
                <w:color w:val="000000" w:themeColor="text1"/>
                <w:kern w:val="0"/>
                <w:szCs w:val="21"/>
                <w:highlight w:val="none"/>
                <w:u w:val="none"/>
                <w:lang w:eastAsia="zh-CN"/>
                <w14:textFill>
                  <w14:solidFill>
                    <w14:schemeClr w14:val="tx1"/>
                  </w14:solidFill>
                </w14:textFill>
              </w:rPr>
            </w:pPr>
            <w:r>
              <w:rPr>
                <w:rFonts w:hint="eastAsia" w:ascii="宋体" w:hAnsi="宋体" w:cs="Times New Roman"/>
                <w:snapToGrid w:val="0"/>
                <w:color w:val="000000" w:themeColor="text1"/>
                <w:kern w:val="0"/>
                <w:szCs w:val="21"/>
                <w:highlight w:val="none"/>
                <w:u w:val="none"/>
                <w:lang w:eastAsia="zh-CN"/>
                <w14:textFill>
                  <w14:solidFill>
                    <w14:schemeClr w14:val="tx1"/>
                  </w14:solidFill>
                </w14:textFill>
              </w:rPr>
              <w:t>地址：</w:t>
            </w:r>
            <w:r>
              <w:rPr>
                <w:rFonts w:hint="eastAsia" w:ascii="宋体" w:hAnsi="宋体" w:cs="Times New Roman"/>
                <w:snapToGrid w:val="0"/>
                <w:color w:val="000000" w:themeColor="text1"/>
                <w:kern w:val="0"/>
                <w:szCs w:val="21"/>
                <w:highlight w:val="none"/>
                <w:u w:val="none"/>
                <w:lang w:val="en-US" w:eastAsia="zh-CN"/>
                <w14:textFill>
                  <w14:solidFill>
                    <w14:schemeClr w14:val="tx1"/>
                  </w14:solidFill>
                </w14:textFill>
              </w:rPr>
              <w:t>重庆市铜梁区东城街道财富广场南路1号（龙都财富中心）1号楼6-4</w:t>
            </w:r>
          </w:p>
          <w:p w14:paraId="34B0C5C4">
            <w:pPr>
              <w:snapToGrid w:val="0"/>
              <w:spacing w:line="400" w:lineRule="exact"/>
              <w:ind w:firstLine="420" w:firstLineChars="200"/>
              <w:rPr>
                <w:rFonts w:hint="eastAsia" w:ascii="宋体" w:hAnsi="宋体" w:cs="Times New Roman"/>
                <w:snapToGrid w:val="0"/>
                <w:color w:val="000000" w:themeColor="text1"/>
                <w:kern w:val="0"/>
                <w:szCs w:val="21"/>
                <w:highlight w:val="none"/>
                <w:u w:val="none"/>
                <w:lang w:eastAsia="zh-CN"/>
                <w14:textFill>
                  <w14:solidFill>
                    <w14:schemeClr w14:val="tx1"/>
                  </w14:solidFill>
                </w14:textFill>
              </w:rPr>
            </w:pPr>
            <w:r>
              <w:rPr>
                <w:rFonts w:hint="eastAsia" w:ascii="宋体" w:hAnsi="宋体" w:cs="Times New Roman"/>
                <w:snapToGrid w:val="0"/>
                <w:color w:val="000000" w:themeColor="text1"/>
                <w:kern w:val="0"/>
                <w:szCs w:val="21"/>
                <w:highlight w:val="none"/>
                <w:u w:val="none"/>
                <w:lang w:eastAsia="zh-CN"/>
                <w14:textFill>
                  <w14:solidFill>
                    <w14:schemeClr w14:val="tx1"/>
                  </w14:solidFill>
                </w14:textFill>
              </w:rPr>
              <w:t>联系人：樊老师</w:t>
            </w:r>
          </w:p>
          <w:p w14:paraId="3FE95F4E">
            <w:pPr>
              <w:snapToGrid w:val="0"/>
              <w:spacing w:line="400" w:lineRule="exact"/>
              <w:ind w:firstLine="420" w:firstLineChars="200"/>
              <w:rPr>
                <w:rFonts w:ascii="宋体" w:hAnsi="宋体"/>
                <w:color w:val="000000" w:themeColor="text1"/>
                <w:kern w:val="0"/>
                <w:szCs w:val="21"/>
                <w:highlight w:val="none"/>
                <w:u w:val="none"/>
                <w14:textFill>
                  <w14:solidFill>
                    <w14:schemeClr w14:val="tx1"/>
                  </w14:solidFill>
                </w14:textFill>
              </w:rPr>
            </w:pPr>
            <w:r>
              <w:rPr>
                <w:rFonts w:ascii="宋体" w:hAnsi="宋体"/>
                <w:color w:val="000000" w:themeColor="text1"/>
                <w:kern w:val="0"/>
                <w:szCs w:val="21"/>
                <w:highlight w:val="none"/>
                <w:u w:val="none"/>
                <w14:textFill>
                  <w14:solidFill>
                    <w14:schemeClr w14:val="tx1"/>
                  </w14:solidFill>
                </w14:textFill>
              </w:rPr>
              <w:t>电话：</w:t>
            </w:r>
            <w:r>
              <w:rPr>
                <w:rFonts w:hint="eastAsia" w:ascii="宋体" w:hAnsi="宋体"/>
                <w:snapToGrid w:val="0"/>
                <w:color w:val="000000" w:themeColor="text1"/>
                <w:kern w:val="0"/>
                <w:szCs w:val="21"/>
                <w:highlight w:val="none"/>
                <w:u w:val="none"/>
                <w:lang w:val="en-US" w:eastAsia="zh-CN"/>
                <w14:textFill>
                  <w14:solidFill>
                    <w14:schemeClr w14:val="tx1"/>
                  </w14:solidFill>
                </w14:textFill>
              </w:rPr>
              <w:t>15223373726</w:t>
            </w:r>
          </w:p>
        </w:tc>
      </w:tr>
      <w:tr w14:paraId="139C9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584F63C">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1.1.4</w:t>
            </w:r>
          </w:p>
        </w:tc>
        <w:tc>
          <w:tcPr>
            <w:tcW w:w="1644" w:type="dxa"/>
            <w:noWrap w:val="0"/>
            <w:vAlign w:val="center"/>
          </w:tcPr>
          <w:p w14:paraId="439BD4E1">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项目名称</w:t>
            </w:r>
          </w:p>
        </w:tc>
        <w:tc>
          <w:tcPr>
            <w:tcW w:w="6490" w:type="dxa"/>
            <w:noWrap w:val="0"/>
            <w:vAlign w:val="center"/>
          </w:tcPr>
          <w:p w14:paraId="3400A38E">
            <w:pPr>
              <w:snapToGrid w:val="0"/>
              <w:spacing w:line="400" w:lineRule="exact"/>
              <w:ind w:firstLine="420" w:firstLineChars="200"/>
              <w:jc w:val="left"/>
              <w:rPr>
                <w:rFonts w:hint="eastAsia" w:ascii="宋体" w:hAnsi="宋体" w:cs="Times New Roman"/>
                <w:snapToGrid w:val="0"/>
                <w:color w:val="000000" w:themeColor="text1"/>
                <w:kern w:val="0"/>
                <w:szCs w:val="21"/>
                <w:highlight w:val="none"/>
                <w:u w:val="none"/>
                <w:lang w:val="zh-CN" w:eastAsia="zh-CN"/>
                <w14:textFill>
                  <w14:solidFill>
                    <w14:schemeClr w14:val="tx1"/>
                  </w14:solidFill>
                </w14:textFill>
              </w:rPr>
            </w:pPr>
            <w:r>
              <w:rPr>
                <w:rFonts w:hint="eastAsia" w:ascii="宋体" w:hAnsi="宋体" w:cs="Times New Roman"/>
                <w:snapToGrid w:val="0"/>
                <w:color w:val="000000" w:themeColor="text1"/>
                <w:kern w:val="0"/>
                <w:szCs w:val="21"/>
                <w:highlight w:val="none"/>
                <w:u w:val="none"/>
                <w:lang w:val="zh-CN" w:eastAsia="zh-CN"/>
                <w14:textFill>
                  <w14:solidFill>
                    <w14:schemeClr w14:val="tx1"/>
                  </w14:solidFill>
                </w14:textFill>
              </w:rPr>
              <w:t>淮远龙街物业中心屋面增加防水及石材铺贴工程</w:t>
            </w:r>
          </w:p>
        </w:tc>
      </w:tr>
      <w:tr w14:paraId="24D23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35" w:type="dxa"/>
            <w:noWrap w:val="0"/>
            <w:vAlign w:val="center"/>
          </w:tcPr>
          <w:p w14:paraId="69EAFB2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1.1.5</w:t>
            </w:r>
          </w:p>
        </w:tc>
        <w:tc>
          <w:tcPr>
            <w:tcW w:w="1644" w:type="dxa"/>
            <w:noWrap w:val="0"/>
            <w:vAlign w:val="center"/>
          </w:tcPr>
          <w:p w14:paraId="16B5827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建设地点</w:t>
            </w:r>
          </w:p>
        </w:tc>
        <w:tc>
          <w:tcPr>
            <w:tcW w:w="6490" w:type="dxa"/>
            <w:noWrap w:val="0"/>
            <w:vAlign w:val="center"/>
          </w:tcPr>
          <w:p w14:paraId="6E40B92F">
            <w:pPr>
              <w:snapToGrid w:val="0"/>
              <w:spacing w:line="400" w:lineRule="exact"/>
              <w:ind w:firstLine="420" w:firstLineChars="200"/>
              <w:jc w:val="left"/>
              <w:rPr>
                <w:rFonts w:hint="eastAsia" w:ascii="宋体" w:hAnsi="宋体" w:cs="Times New Roman"/>
                <w:snapToGrid w:val="0"/>
                <w:color w:val="000000" w:themeColor="text1"/>
                <w:kern w:val="0"/>
                <w:szCs w:val="21"/>
                <w:highlight w:val="none"/>
                <w:u w:val="none"/>
                <w:lang w:val="zh-CN" w:eastAsia="zh-CN"/>
                <w14:textFill>
                  <w14:solidFill>
                    <w14:schemeClr w14:val="tx1"/>
                  </w14:solidFill>
                </w14:textFill>
              </w:rPr>
            </w:pPr>
            <w:r>
              <w:rPr>
                <w:rFonts w:hint="eastAsia" w:ascii="宋体" w:hAnsi="宋体" w:cs="Times New Roman"/>
                <w:snapToGrid w:val="0"/>
                <w:color w:val="000000" w:themeColor="text1"/>
                <w:kern w:val="0"/>
                <w:szCs w:val="21"/>
                <w:highlight w:val="none"/>
                <w:u w:val="none"/>
                <w:lang w:val="en-US" w:eastAsia="zh-CN"/>
                <w14:textFill>
                  <w14:solidFill>
                    <w14:schemeClr w14:val="tx1"/>
                  </w14:solidFill>
                </w14:textFill>
              </w:rPr>
              <w:t>重庆市铜梁区南城街道淮远古镇</w:t>
            </w:r>
          </w:p>
        </w:tc>
      </w:tr>
      <w:tr w14:paraId="0E75A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3B7745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1.1.6</w:t>
            </w:r>
          </w:p>
        </w:tc>
        <w:tc>
          <w:tcPr>
            <w:tcW w:w="1644" w:type="dxa"/>
            <w:noWrap w:val="0"/>
            <w:vAlign w:val="center"/>
          </w:tcPr>
          <w:p w14:paraId="519BBA78">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建设规模</w:t>
            </w:r>
          </w:p>
        </w:tc>
        <w:tc>
          <w:tcPr>
            <w:tcW w:w="6490" w:type="dxa"/>
            <w:noWrap w:val="0"/>
            <w:vAlign w:val="center"/>
          </w:tcPr>
          <w:p w14:paraId="3236472E">
            <w:pPr>
              <w:tabs>
                <w:tab w:val="left" w:pos="3840"/>
                <w:tab w:val="left" w:pos="5300"/>
              </w:tabs>
              <w:autoSpaceDE w:val="0"/>
              <w:autoSpaceDN w:val="0"/>
              <w:adjustRightInd w:val="0"/>
              <w:snapToGrid w:val="0"/>
              <w:spacing w:line="460" w:lineRule="exact"/>
              <w:ind w:firstLine="420" w:firstLineChars="200"/>
              <w:rPr>
                <w:rFonts w:ascii="宋体" w:hAnsi="宋体"/>
                <w:i/>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u w:val="single"/>
                <w:lang w:val="en-US" w:eastAsia="zh-CN"/>
                <w14:textFill>
                  <w14:solidFill>
                    <w14:schemeClr w14:val="tx1"/>
                  </w14:solidFill>
                </w14:textFill>
              </w:rPr>
              <w:t>淮远龙街物业中心屋面石材铺贴涉及物业中心屋面增加防水，铺贴青石板等工作，面积约为430m²。</w:t>
            </w:r>
          </w:p>
        </w:tc>
      </w:tr>
      <w:tr w14:paraId="7B962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DD13866">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1.2.1</w:t>
            </w:r>
          </w:p>
        </w:tc>
        <w:tc>
          <w:tcPr>
            <w:tcW w:w="1644" w:type="dxa"/>
            <w:noWrap w:val="0"/>
            <w:vAlign w:val="center"/>
          </w:tcPr>
          <w:p w14:paraId="7DC0D449">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资金来源</w:t>
            </w:r>
          </w:p>
        </w:tc>
        <w:tc>
          <w:tcPr>
            <w:tcW w:w="6490" w:type="dxa"/>
            <w:noWrap w:val="0"/>
            <w:vAlign w:val="center"/>
          </w:tcPr>
          <w:p w14:paraId="15DCA4FD">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u w:val="single"/>
                <w:lang w:val="zh-CN"/>
                <w14:textFill>
                  <w14:solidFill>
                    <w14:schemeClr w14:val="tx1"/>
                  </w14:solidFill>
                </w14:textFill>
              </w:rPr>
              <w:t>业主自筹</w:t>
            </w:r>
          </w:p>
        </w:tc>
      </w:tr>
      <w:tr w14:paraId="5C486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CE7853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1.2.2</w:t>
            </w:r>
          </w:p>
        </w:tc>
        <w:tc>
          <w:tcPr>
            <w:tcW w:w="1644" w:type="dxa"/>
            <w:noWrap w:val="0"/>
            <w:vAlign w:val="center"/>
          </w:tcPr>
          <w:p w14:paraId="5C1A837B">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出资比例</w:t>
            </w:r>
          </w:p>
        </w:tc>
        <w:tc>
          <w:tcPr>
            <w:tcW w:w="6490" w:type="dxa"/>
            <w:noWrap w:val="0"/>
            <w:vAlign w:val="center"/>
          </w:tcPr>
          <w:p w14:paraId="537F1A15">
            <w:pPr>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100%</w:t>
            </w:r>
          </w:p>
        </w:tc>
      </w:tr>
      <w:tr w14:paraId="540DE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CC26318">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1.2.3</w:t>
            </w:r>
          </w:p>
        </w:tc>
        <w:tc>
          <w:tcPr>
            <w:tcW w:w="1644" w:type="dxa"/>
            <w:noWrap w:val="0"/>
            <w:vAlign w:val="center"/>
          </w:tcPr>
          <w:p w14:paraId="095C3DF1">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资金落实情况</w:t>
            </w:r>
          </w:p>
        </w:tc>
        <w:tc>
          <w:tcPr>
            <w:tcW w:w="6490" w:type="dxa"/>
            <w:noWrap w:val="0"/>
            <w:vAlign w:val="center"/>
          </w:tcPr>
          <w:p w14:paraId="0D61FAA6">
            <w:pPr>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已落实</w:t>
            </w:r>
          </w:p>
        </w:tc>
      </w:tr>
      <w:tr w14:paraId="3D13C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50F7DC5">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1.3.1</w:t>
            </w:r>
          </w:p>
        </w:tc>
        <w:tc>
          <w:tcPr>
            <w:tcW w:w="1644" w:type="dxa"/>
            <w:noWrap w:val="0"/>
            <w:vAlign w:val="center"/>
          </w:tcPr>
          <w:p w14:paraId="7184B71C">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范围</w:t>
            </w:r>
          </w:p>
        </w:tc>
        <w:tc>
          <w:tcPr>
            <w:tcW w:w="6490" w:type="dxa"/>
            <w:noWrap w:val="0"/>
            <w:vAlign w:val="center"/>
          </w:tcPr>
          <w:p w14:paraId="2D12085B">
            <w:pPr>
              <w:snapToGrid w:val="0"/>
              <w:spacing w:line="400" w:lineRule="exact"/>
              <w:ind w:firstLine="420" w:firstLineChars="200"/>
              <w:rPr>
                <w:rFonts w:ascii="宋体" w:hAnsi="宋体"/>
                <w:i/>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u w:val="single"/>
                <w14:textFill>
                  <w14:solidFill>
                    <w14:schemeClr w14:val="tx1"/>
                  </w14:solidFill>
                </w14:textFill>
              </w:rPr>
              <w:t>本工程施工图所示的全部工作内容，具体以</w:t>
            </w:r>
            <w:r>
              <w:rPr>
                <w:rFonts w:hint="eastAsia" w:ascii="宋体" w:hAnsi="宋体" w:cs="Times New Roman"/>
                <w:color w:val="000000" w:themeColor="text1"/>
                <w:szCs w:val="21"/>
                <w:highlight w:val="none"/>
                <w:u w:val="single"/>
                <w:lang w:eastAsia="zh-CN"/>
                <w14:textFill>
                  <w14:solidFill>
                    <w14:schemeClr w14:val="tx1"/>
                  </w14:solidFill>
                </w14:textFill>
              </w:rPr>
              <w:t>比选</w:t>
            </w:r>
            <w:r>
              <w:rPr>
                <w:rFonts w:hint="eastAsia" w:ascii="宋体" w:hAnsi="宋体" w:eastAsia="宋体" w:cs="Times New Roman"/>
                <w:color w:val="000000" w:themeColor="text1"/>
                <w:szCs w:val="21"/>
                <w:highlight w:val="none"/>
                <w:u w:val="single"/>
                <w14:textFill>
                  <w14:solidFill>
                    <w14:schemeClr w14:val="tx1"/>
                  </w14:solidFill>
                </w14:textFill>
              </w:rPr>
              <w:t>人发出的施工图及工程量清单为准</w:t>
            </w:r>
            <w:r>
              <w:rPr>
                <w:rFonts w:hint="eastAsia" w:ascii="宋体" w:hAnsi="宋体" w:eastAsia="宋体" w:cs="Times New Roman"/>
                <w:color w:val="000000" w:themeColor="text1"/>
                <w:szCs w:val="21"/>
                <w:highlight w:val="none"/>
                <w:u w:val="single"/>
                <w:lang w:eastAsia="zh-CN"/>
                <w14:textFill>
                  <w14:solidFill>
                    <w14:schemeClr w14:val="tx1"/>
                  </w14:solidFill>
                </w14:textFill>
              </w:rPr>
              <w:t>。</w:t>
            </w:r>
          </w:p>
        </w:tc>
      </w:tr>
      <w:tr w14:paraId="0486B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C601B0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1.3.2</w:t>
            </w:r>
          </w:p>
        </w:tc>
        <w:tc>
          <w:tcPr>
            <w:tcW w:w="1644" w:type="dxa"/>
            <w:noWrap w:val="0"/>
            <w:vAlign w:val="center"/>
          </w:tcPr>
          <w:p w14:paraId="0EFEB90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计划工期</w:t>
            </w:r>
          </w:p>
          <w:p w14:paraId="7825B551">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缺陷责任期</w:t>
            </w:r>
          </w:p>
        </w:tc>
        <w:tc>
          <w:tcPr>
            <w:tcW w:w="6490" w:type="dxa"/>
            <w:noWrap w:val="0"/>
            <w:vAlign w:val="center"/>
          </w:tcPr>
          <w:p w14:paraId="46F766B5">
            <w:pPr>
              <w:snapToGrid w:val="0"/>
              <w:spacing w:line="400" w:lineRule="exact"/>
              <w:ind w:firstLine="420" w:firstLineChars="200"/>
              <w:rPr>
                <w:rFonts w:hint="eastAsia" w:ascii="宋体" w:hAnsi="宋体"/>
                <w:snapToGrid w:val="0"/>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工期：</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20日历天</w:t>
            </w:r>
          </w:p>
          <w:p w14:paraId="180E4942">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缺陷责任期：</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24个月</w:t>
            </w:r>
          </w:p>
        </w:tc>
      </w:tr>
      <w:tr w14:paraId="2F428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B2494D0">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1.3.3</w:t>
            </w:r>
          </w:p>
        </w:tc>
        <w:tc>
          <w:tcPr>
            <w:tcW w:w="1644" w:type="dxa"/>
            <w:noWrap w:val="0"/>
            <w:vAlign w:val="center"/>
          </w:tcPr>
          <w:p w14:paraId="5436925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质量要求</w:t>
            </w:r>
          </w:p>
        </w:tc>
        <w:tc>
          <w:tcPr>
            <w:tcW w:w="6490" w:type="dxa"/>
            <w:noWrap w:val="0"/>
            <w:vAlign w:val="center"/>
          </w:tcPr>
          <w:p w14:paraId="3E00A48C">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达到国家和重庆市现行有关施工质量验收规范要求，并达到合格标准</w:t>
            </w:r>
            <w:r>
              <w:rPr>
                <w:rFonts w:ascii="宋体" w:hAnsi="宋体"/>
                <w:color w:val="000000" w:themeColor="text1"/>
                <w:szCs w:val="21"/>
                <w:highlight w:val="none"/>
                <w14:textFill>
                  <w14:solidFill>
                    <w14:schemeClr w14:val="tx1"/>
                  </w14:solidFill>
                </w14:textFill>
              </w:rPr>
              <w:t>。</w:t>
            </w:r>
          </w:p>
        </w:tc>
      </w:tr>
      <w:tr w14:paraId="5380F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1335" w:type="dxa"/>
            <w:noWrap w:val="0"/>
            <w:vAlign w:val="center"/>
          </w:tcPr>
          <w:p w14:paraId="0DA9F73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3F1628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9AE15B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1063CD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B650D2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7ABD10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EE5C0A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0A1835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FBFB03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8D11F3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E98866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336551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1F7BBC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BFE1B9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9753E1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E04CC8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9F7719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35AC243">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1.4.1</w:t>
            </w:r>
          </w:p>
          <w:p w14:paraId="0623340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0DB81B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1FF57A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F1B970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E81C1C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81146F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ACA1F0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0D69E7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4F2ED7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918749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026244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E1CF18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BC8A6B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5AFEE0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A0470A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9FAAD8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2964A5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E0A301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E7A6F1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2F5635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A5C83F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0969D9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D762F7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891196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F4DE61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0A942E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3869F0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3C738E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BF1248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E19F34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344BAD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365255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1.4.1</w:t>
            </w:r>
          </w:p>
          <w:p w14:paraId="4A381E7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6ED569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9950E9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237A46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EADFF9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DB429D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5B90AF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2B46DB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FEC4A6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8CA504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9BF74D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4EE620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E411C3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0F1DDA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2D3B95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5475E5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61E7C7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2A4569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8B6804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25848A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320D56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5B266A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A20224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4D82A5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68D77E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0B3C4F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09E0BD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01B241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DE271E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1.4.1</w:t>
            </w:r>
          </w:p>
          <w:p w14:paraId="4110A25D">
            <w:pPr>
              <w:snapToGrid w:val="0"/>
              <w:spacing w:line="400" w:lineRule="exact"/>
              <w:jc w:val="both"/>
              <w:rPr>
                <w:rFonts w:hint="eastAsia" w:ascii="宋体" w:hAnsi="宋体"/>
                <w:color w:val="000000" w:themeColor="text1"/>
                <w:kern w:val="0"/>
                <w:szCs w:val="21"/>
                <w:highlight w:val="none"/>
                <w14:textFill>
                  <w14:solidFill>
                    <w14:schemeClr w14:val="tx1"/>
                  </w14:solidFill>
                </w14:textFill>
              </w:rPr>
            </w:pPr>
          </w:p>
        </w:tc>
        <w:tc>
          <w:tcPr>
            <w:tcW w:w="1644" w:type="dxa"/>
            <w:noWrap w:val="0"/>
            <w:vAlign w:val="center"/>
          </w:tcPr>
          <w:p w14:paraId="4F45DE7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C112FC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99EDF4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675F80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87D2EC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C636D0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BC62FE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FD2B02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8ECC29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35C957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495FB8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11C117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9E2677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26A00A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BADA292">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p>
          <w:p w14:paraId="525366BA">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p>
          <w:p w14:paraId="260D35A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1824A80">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投标人资质条件、能力和信誉</w:t>
            </w:r>
          </w:p>
          <w:p w14:paraId="4CDD916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3B169A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618AED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96BF92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6A12EF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231E58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22564D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475627A">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774BB3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D27A30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D9E8FB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ADAFA1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B57EBC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4EF0D3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CE0562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2B59B1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25FBE4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D569A4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1E7076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2EBBF8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C1660C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541B5F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D687C1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F9B0970">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A94DF49">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912A54F">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BBC256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D38589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03952E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E403321">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p>
          <w:p w14:paraId="0041E40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投标人资质条件、能力和信誉</w:t>
            </w:r>
          </w:p>
          <w:p w14:paraId="4988ACC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41A5B6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46322D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B59D7C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3D922C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0EE8F67">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41F05B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06CC2A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18A05B2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4AA0DB5B">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156F5B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6A5135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7CF4D76D">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F1FFB6E">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35AF09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1C6FBA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4551AE6">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16BA6E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98D1E5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226A4CF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3F7A1FC">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1570808">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5A1086B2">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87FF343">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64EE2924">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3902D055">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FEC2BD1">
            <w:pPr>
              <w:snapToGrid w:val="0"/>
              <w:spacing w:line="400" w:lineRule="exact"/>
              <w:jc w:val="center"/>
              <w:rPr>
                <w:rFonts w:ascii="宋体" w:hAnsi="宋体"/>
                <w:color w:val="000000" w:themeColor="text1"/>
                <w:kern w:val="0"/>
                <w:szCs w:val="21"/>
                <w:highlight w:val="none"/>
                <w14:textFill>
                  <w14:solidFill>
                    <w14:schemeClr w14:val="tx1"/>
                  </w14:solidFill>
                </w14:textFill>
              </w:rPr>
            </w:pPr>
          </w:p>
          <w:p w14:paraId="0A46855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投标人资质条件、能力和信誉</w:t>
            </w:r>
          </w:p>
          <w:p w14:paraId="2C3D197B">
            <w:pPr>
              <w:snapToGrid w:val="0"/>
              <w:spacing w:line="400" w:lineRule="exact"/>
              <w:jc w:val="both"/>
              <w:rPr>
                <w:rFonts w:ascii="宋体" w:hAnsi="宋体"/>
                <w:color w:val="000000" w:themeColor="text1"/>
                <w:kern w:val="0"/>
                <w:szCs w:val="21"/>
                <w:highlight w:val="none"/>
                <w14:textFill>
                  <w14:solidFill>
                    <w14:schemeClr w14:val="tx1"/>
                  </w14:solidFill>
                </w14:textFill>
              </w:rPr>
            </w:pPr>
          </w:p>
        </w:tc>
        <w:tc>
          <w:tcPr>
            <w:tcW w:w="6490" w:type="dxa"/>
            <w:noWrap w:val="0"/>
            <w:vAlign w:val="center"/>
          </w:tcPr>
          <w:p w14:paraId="1996A0B4">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bookmarkStart w:id="108" w:name="OLE_LINK1"/>
            <w:r>
              <w:rPr>
                <w:rFonts w:ascii="宋体" w:hAnsi="宋体"/>
                <w:color w:val="000000" w:themeColor="text1"/>
                <w:szCs w:val="21"/>
                <w:highlight w:val="none"/>
                <w14:textFill>
                  <w14:solidFill>
                    <w14:schemeClr w14:val="tx1"/>
                  </w14:solidFill>
                </w14:textFill>
              </w:rPr>
              <w:t>本工程施工</w:t>
            </w:r>
            <w:r>
              <w:rPr>
                <w:rFonts w:hint="eastAsia" w:ascii="宋体" w:hAnsi="宋体"/>
                <w:color w:val="000000" w:themeColor="text1"/>
                <w:szCs w:val="21"/>
                <w:highlight w:val="none"/>
                <w:lang w:eastAsia="zh-CN"/>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实行资格后审，投标人应</w:t>
            </w:r>
            <w:bookmarkStart w:id="109" w:name="一是"/>
            <w:bookmarkEnd w:id="109"/>
            <w:r>
              <w:rPr>
                <w:rFonts w:ascii="宋体" w:hAnsi="宋体"/>
                <w:color w:val="000000" w:themeColor="text1"/>
                <w:szCs w:val="21"/>
                <w:highlight w:val="none"/>
                <w14:textFill>
                  <w14:solidFill>
                    <w14:schemeClr w14:val="tx1"/>
                  </w14:solidFill>
                </w14:textFill>
              </w:rPr>
              <w:t>具备以下资格条件：</w:t>
            </w:r>
          </w:p>
          <w:bookmarkEnd w:id="108"/>
          <w:p w14:paraId="0E5B4FF6">
            <w:pPr>
              <w:autoSpaceDE w:val="0"/>
              <w:autoSpaceDN w:val="0"/>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1.资质条件、营业执照及安全生产条件</w:t>
            </w:r>
          </w:p>
          <w:p w14:paraId="31C6B951">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（1）具备建设行政主管部门颁发的有效的</w:t>
            </w:r>
            <w:r>
              <w:rPr>
                <w:rFonts w:hint="eastAsia" w:ascii="宋体" w:hAnsi="宋体" w:cs="Times New Roman"/>
                <w:color w:val="000000" w:themeColor="text1"/>
                <w:szCs w:val="21"/>
                <w:highlight w:val="none"/>
                <w:u w:val="single"/>
                <w:lang w:eastAsia="zh-CN"/>
                <w14:textFill>
                  <w14:solidFill>
                    <w14:schemeClr w14:val="tx1"/>
                  </w14:solidFill>
                </w14:textFill>
              </w:rPr>
              <w:t>建筑工程施工总承包三级及以上资质</w:t>
            </w:r>
            <w:r>
              <w:rPr>
                <w:rFonts w:ascii="宋体" w:hAnsi="宋体"/>
                <w:color w:val="000000" w:themeColor="text1"/>
                <w:szCs w:val="21"/>
                <w:highlight w:val="none"/>
                <w14:textFill>
                  <w14:solidFill>
                    <w14:schemeClr w14:val="tx1"/>
                  </w14:solidFill>
                </w14:textFill>
              </w:rPr>
              <w:t>。</w:t>
            </w:r>
          </w:p>
          <w:p w14:paraId="66C99129">
            <w:pPr>
              <w:autoSpaceDE w:val="0"/>
              <w:autoSpaceDN w:val="0"/>
              <w:adjustRightInd w:val="0"/>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须</w:t>
            </w:r>
            <w:r>
              <w:rPr>
                <w:rFonts w:hint="eastAsia" w:ascii="宋体" w:hAnsi="宋体"/>
                <w:color w:val="000000" w:themeColor="text1"/>
                <w:szCs w:val="21"/>
                <w:highlight w:val="none"/>
                <w14:textFill>
                  <w14:solidFill>
                    <w14:schemeClr w14:val="tx1"/>
                  </w14:solidFill>
                </w14:textFill>
              </w:rPr>
              <w:t>在投标文件资格审查部分</w:t>
            </w:r>
            <w:r>
              <w:rPr>
                <w:rFonts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有效的带二维码标识的资质证书</w:t>
            </w:r>
            <w:r>
              <w:rPr>
                <w:rFonts w:ascii="宋体" w:hAnsi="宋体"/>
                <w:color w:val="000000" w:themeColor="text1"/>
                <w:szCs w:val="21"/>
                <w:highlight w:val="none"/>
                <w14:textFill>
                  <w14:solidFill>
                    <w14:schemeClr w14:val="tx1"/>
                  </w14:solidFill>
                </w14:textFill>
              </w:rPr>
              <w:t>复印件。</w:t>
            </w:r>
          </w:p>
          <w:p w14:paraId="09385CD5">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（2）具备有效的营业执照。</w:t>
            </w:r>
          </w:p>
          <w:p w14:paraId="4DD067BF">
            <w:pPr>
              <w:autoSpaceDE w:val="0"/>
              <w:autoSpaceDN w:val="0"/>
              <w:adjustRightInd w:val="0"/>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须</w:t>
            </w:r>
            <w:r>
              <w:rPr>
                <w:rFonts w:hint="eastAsia" w:ascii="宋体" w:hAnsi="宋体"/>
                <w:color w:val="000000" w:themeColor="text1"/>
                <w:szCs w:val="21"/>
                <w:highlight w:val="none"/>
                <w14:textFill>
                  <w14:solidFill>
                    <w14:schemeClr w14:val="tx1"/>
                  </w14:solidFill>
                </w14:textFill>
              </w:rPr>
              <w:t>在投标文件资格审查部分</w:t>
            </w:r>
            <w:r>
              <w:rPr>
                <w:rFonts w:ascii="宋体" w:hAnsi="宋体"/>
                <w:color w:val="000000" w:themeColor="text1"/>
                <w:szCs w:val="21"/>
                <w:highlight w:val="none"/>
                <w14:textFill>
                  <w14:solidFill>
                    <w14:schemeClr w14:val="tx1"/>
                  </w14:solidFill>
                </w14:textFill>
              </w:rPr>
              <w:t>提供有效的带二维码</w:t>
            </w:r>
            <w:r>
              <w:rPr>
                <w:rFonts w:hint="eastAsia" w:ascii="宋体" w:hAnsi="宋体"/>
                <w:color w:val="000000" w:themeColor="text1"/>
                <w:szCs w:val="21"/>
                <w:highlight w:val="none"/>
                <w14:textFill>
                  <w14:solidFill>
                    <w14:schemeClr w14:val="tx1"/>
                  </w14:solidFill>
                </w14:textFill>
              </w:rPr>
              <w:t>标识</w:t>
            </w:r>
            <w:r>
              <w:rPr>
                <w:rFonts w:ascii="宋体" w:hAnsi="宋体"/>
                <w:color w:val="000000" w:themeColor="text1"/>
                <w:szCs w:val="21"/>
                <w:highlight w:val="none"/>
                <w14:textFill>
                  <w14:solidFill>
                    <w14:schemeClr w14:val="tx1"/>
                  </w14:solidFill>
                </w14:textFill>
              </w:rPr>
              <w:t>的营业执照复印件。</w:t>
            </w:r>
          </w:p>
          <w:p w14:paraId="724D0003">
            <w:pPr>
              <w:autoSpaceDE w:val="0"/>
              <w:autoSpaceDN w:val="0"/>
              <w:adjustRightInd w:val="0"/>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（3）具备建设行政主管部门颁发的有效的安全生产许可证，企业</w:t>
            </w:r>
            <w:r>
              <w:rPr>
                <w:rFonts w:hint="eastAsia" w:ascii="宋体" w:hAnsi="宋体"/>
                <w:color w:val="000000" w:themeColor="text1"/>
                <w:szCs w:val="21"/>
                <w:highlight w:val="none"/>
                <w14:textFill>
                  <w14:solidFill>
                    <w14:schemeClr w14:val="tx1"/>
                  </w14:solidFill>
                </w14:textFill>
              </w:rPr>
              <w:t>主要</w:t>
            </w:r>
            <w:r>
              <w:rPr>
                <w:rFonts w:ascii="宋体" w:hAnsi="宋体"/>
                <w:color w:val="000000" w:themeColor="text1"/>
                <w:szCs w:val="21"/>
                <w:highlight w:val="none"/>
                <w14:textFill>
                  <w14:solidFill>
                    <w14:schemeClr w14:val="tx1"/>
                  </w14:solidFill>
                </w14:textFill>
              </w:rPr>
              <w:t>负责人、拟担任该项目项目经理具备相应的由建设行政主管部门颁发的有效的安全生产考核合格证书</w:t>
            </w:r>
            <w:r>
              <w:rPr>
                <w:rFonts w:hint="eastAsia" w:ascii="宋体" w:hAnsi="宋体"/>
                <w:color w:val="000000" w:themeColor="text1"/>
                <w:szCs w:val="21"/>
                <w:highlight w:val="none"/>
                <w14:textFill>
                  <w14:solidFill>
                    <w14:schemeClr w14:val="tx1"/>
                  </w14:solidFill>
                </w14:textFill>
              </w:rPr>
              <w:t>。</w:t>
            </w:r>
          </w:p>
          <w:p w14:paraId="67A124E2">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投标人须在投标文件资格审查部分提供有效的安全生产许可证</w:t>
            </w:r>
            <w:r>
              <w:rPr>
                <w:rFonts w:ascii="宋体" w:hAnsi="宋体"/>
                <w:color w:val="000000" w:themeColor="text1"/>
                <w:szCs w:val="21"/>
                <w:highlight w:val="none"/>
                <w14:textFill>
                  <w14:solidFill>
                    <w14:schemeClr w14:val="tx1"/>
                  </w14:solidFill>
                </w14:textFill>
              </w:rPr>
              <w:t>及安全生产考核合格证书复印件。</w:t>
            </w:r>
          </w:p>
          <w:p w14:paraId="4FA3EA99">
            <w:pPr>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2</w:t>
            </w:r>
            <w:r>
              <w:rPr>
                <w:rFonts w:ascii="宋体" w:hAnsi="宋体"/>
                <w:b/>
                <w:color w:val="000000" w:themeColor="text1"/>
                <w:szCs w:val="21"/>
                <w:highlight w:val="none"/>
                <w14:textFill>
                  <w14:solidFill>
                    <w14:schemeClr w14:val="tx1"/>
                  </w14:solidFill>
                </w14:textFill>
              </w:rPr>
              <w:t>.投标截止日投标资格情况</w:t>
            </w:r>
          </w:p>
          <w:p w14:paraId="22ACEC6D">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投标人自行承诺（格式见第八章投标文件格式）不得存在下列情形之一：</w:t>
            </w:r>
          </w:p>
          <w:p w14:paraId="50C5867E">
            <w:pPr>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（1）被人民法院在“信用中国”网站（</w:t>
            </w:r>
            <w:r>
              <w:rPr>
                <w:rFonts w:ascii="宋体" w:hAnsi="宋体"/>
                <w:color w:val="000000" w:themeColor="text1"/>
                <w:szCs w:val="21"/>
                <w:highlight w:val="none"/>
                <w14:textFill>
                  <w14:solidFill>
                    <w14:schemeClr w14:val="tx1"/>
                  </w14:solidFill>
                </w14:textFill>
              </w:rPr>
              <w:fldChar w:fldCharType="begin"/>
            </w:r>
            <w:r>
              <w:rPr>
                <w:rFonts w:ascii="宋体" w:hAnsi="宋体"/>
                <w:color w:val="000000" w:themeColor="text1"/>
                <w:szCs w:val="21"/>
                <w:highlight w:val="none"/>
                <w14:textFill>
                  <w14:solidFill>
                    <w14:schemeClr w14:val="tx1"/>
                  </w14:solidFill>
                </w14:textFill>
              </w:rPr>
              <w:instrText xml:space="preserve"> HYPERLINK "http://</w:instrText>
            </w:r>
            <w:r>
              <w:rPr>
                <w:rFonts w:hint="eastAsia" w:ascii="宋体" w:hAnsi="宋体"/>
                <w:color w:val="000000" w:themeColor="text1"/>
                <w:szCs w:val="21"/>
                <w:highlight w:val="none"/>
                <w14:textFill>
                  <w14:solidFill>
                    <w14:schemeClr w14:val="tx1"/>
                  </w14:solidFill>
                </w14:textFill>
              </w:rPr>
              <w:instrText xml:space="preserve">www.creditchina.gov.cn</w:instrText>
            </w:r>
            <w:r>
              <w:rPr>
                <w:rFonts w:ascii="宋体" w:hAnsi="宋体"/>
                <w:color w:val="000000" w:themeColor="text1"/>
                <w:szCs w:val="21"/>
                <w:highlight w:val="none"/>
                <w14:textFill>
                  <w14:solidFill>
                    <w14:schemeClr w14:val="tx1"/>
                  </w14:solidFill>
                </w14:textFill>
              </w:rPr>
              <w:instrText xml:space="preserve">" </w:instrText>
            </w:r>
            <w:r>
              <w:rPr>
                <w:rFonts w:ascii="宋体" w:hAnsi="宋体"/>
                <w:color w:val="000000" w:themeColor="text1"/>
                <w:szCs w:val="21"/>
                <w:highlight w:val="none"/>
                <w14:textFill>
                  <w14:solidFill>
                    <w14:schemeClr w14:val="tx1"/>
                  </w14:solidFill>
                </w14:textFill>
              </w:rPr>
              <w:fldChar w:fldCharType="separate"/>
            </w:r>
            <w:r>
              <w:rPr>
                <w:rStyle w:val="53"/>
                <w:rFonts w:hint="eastAsia" w:ascii="宋体" w:hAnsi="宋体"/>
                <w:color w:val="000000" w:themeColor="text1"/>
                <w:szCs w:val="21"/>
                <w:highlight w:val="none"/>
                <w14:textFill>
                  <w14:solidFill>
                    <w14:schemeClr w14:val="tx1"/>
                  </w14:solidFill>
                </w14:textFill>
              </w:rPr>
              <w:t>www.creditchina.gov.cn</w:t>
            </w:r>
            <w:r>
              <w:rPr>
                <w:rFonts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）列入失信被执行人名单且在被执行期内；</w:t>
            </w:r>
          </w:p>
          <w:p w14:paraId="7D3F102D">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（2）被列入《重庆市工程建设领域</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投标信用管理暂行办法》规定的重点关注名单且记分达到12分且在记分有效期内；</w:t>
            </w:r>
          </w:p>
          <w:p w14:paraId="2224C423">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（3）被列入《重庆市工程建设领域</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投标信用管理暂行办法》规定的重庆市工程建设领域</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投标失信惩戒对象名单（以下称黑名单）且在记分有效期内；</w:t>
            </w:r>
          </w:p>
          <w:p w14:paraId="46D435B5">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（4）被国家、重庆市（含市或任意区县）有关行政部门处以暂停投标资格行政处罚，且在处罚期限内；</w:t>
            </w:r>
          </w:p>
          <w:p w14:paraId="31B7A9B2">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（5）被重庆市住房和城乡建设主管部门暂停在渝承揽新业务且在暂停期内。</w:t>
            </w:r>
          </w:p>
          <w:p w14:paraId="17D2FD20">
            <w:pPr>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投标人须在投标文件资格审查部分提供承诺。</w:t>
            </w:r>
          </w:p>
          <w:p w14:paraId="241F4595">
            <w:pPr>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r>
              <w:rPr>
                <w:rFonts w:ascii="宋体" w:hAnsi="宋体"/>
                <w:b/>
                <w:color w:val="000000" w:themeColor="text1"/>
                <w:szCs w:val="21"/>
                <w:highlight w:val="none"/>
                <w14:textFill>
                  <w14:solidFill>
                    <w14:schemeClr w14:val="tx1"/>
                  </w14:solidFill>
                </w14:textFill>
              </w:rPr>
              <w:t>.项目经理资格要求</w:t>
            </w:r>
          </w:p>
          <w:p w14:paraId="683F653A">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投标人拟派的</w:t>
            </w:r>
            <w:r>
              <w:rPr>
                <w:color w:val="000000" w:themeColor="text1"/>
                <w:szCs w:val="21"/>
                <w:highlight w:val="none"/>
                <w14:textFill>
                  <w14:solidFill>
                    <w14:schemeClr w14:val="tx1"/>
                  </w14:solidFill>
                </w14:textFill>
              </w:rPr>
              <w:t>项目经理必须已在</w:t>
            </w:r>
            <w:r>
              <w:rPr>
                <w:rFonts w:hint="eastAsia"/>
                <w:color w:val="000000" w:themeColor="text1"/>
                <w:szCs w:val="21"/>
                <w:highlight w:val="none"/>
                <w14:textFill>
                  <w14:solidFill>
                    <w14:schemeClr w14:val="tx1"/>
                  </w14:solidFill>
                </w14:textFill>
              </w:rPr>
              <w:t>投标人本</w:t>
            </w:r>
            <w:r>
              <w:rPr>
                <w:color w:val="000000" w:themeColor="text1"/>
                <w:szCs w:val="21"/>
                <w:highlight w:val="none"/>
                <w14:textFill>
                  <w14:solidFill>
                    <w14:schemeClr w14:val="tx1"/>
                  </w14:solidFill>
                </w14:textFill>
              </w:rPr>
              <w:t>单位注册并应</w:t>
            </w:r>
            <w:r>
              <w:rPr>
                <w:color w:val="000000" w:themeColor="text1"/>
                <w:szCs w:val="21"/>
                <w14:textFill>
                  <w14:solidFill>
                    <w14:schemeClr w14:val="tx1"/>
                  </w14:solidFill>
                </w14:textFill>
              </w:rPr>
              <w:t>具有</w:t>
            </w:r>
            <w:r>
              <w:rPr>
                <w:rFonts w:hint="eastAsia"/>
                <w:color w:val="000000" w:themeColor="text1"/>
                <w:szCs w:val="21"/>
                <w14:textFill>
                  <w14:solidFill>
                    <w14:schemeClr w14:val="tx1"/>
                  </w14:solidFill>
                </w14:textFill>
              </w:rPr>
              <w:t xml:space="preserve">    </w:t>
            </w:r>
            <w:r>
              <w:rPr>
                <w:rFonts w:hint="eastAsia"/>
                <w:i/>
                <w:color w:val="000000" w:themeColor="text1"/>
                <w:szCs w:val="21"/>
                <w14:textFill>
                  <w14:solidFill>
                    <w14:schemeClr w14:val="tx1"/>
                  </w14:solidFill>
                </w14:textFill>
              </w:rPr>
              <w:t xml:space="preserve">  </w:t>
            </w:r>
            <w:r>
              <w:rPr>
                <w:rFonts w:hint="eastAsia" w:ascii="宋体"/>
                <w:snapToGrid w:val="0"/>
                <w:color w:val="000000" w:themeColor="text1"/>
                <w:kern w:val="0"/>
                <w:u w:val="single"/>
                <w:lang w:val="en-US" w:eastAsia="zh-CN"/>
                <w14:textFill>
                  <w14:solidFill>
                    <w14:schemeClr w14:val="tx1"/>
                  </w14:solidFill>
                </w14:textFill>
              </w:rPr>
              <w:t>建筑</w:t>
            </w:r>
            <w:r>
              <w:rPr>
                <w:rFonts w:hint="eastAsia" w:ascii="宋体"/>
                <w:snapToGrid w:val="0"/>
                <w:color w:val="000000" w:themeColor="text1"/>
                <w:kern w:val="0"/>
                <w:u w:val="single"/>
                <w14:textFill>
                  <w14:solidFill>
                    <w14:schemeClr w14:val="tx1"/>
                  </w14:solidFill>
                </w14:textFill>
              </w:rPr>
              <w:t>工程</w:t>
            </w:r>
            <w:r>
              <w:rPr>
                <w:rFonts w:hint="eastAsia"/>
                <w:color w:val="000000" w:themeColor="text1"/>
                <w:szCs w:val="21"/>
                <w14:textFill>
                  <w14:solidFill>
                    <w14:schemeClr w14:val="tx1"/>
                  </w14:solidFill>
                </w14:textFill>
              </w:rPr>
              <w:t>专业</w:t>
            </w:r>
            <w:r>
              <w:rPr>
                <w:rFonts w:hint="eastAsia"/>
                <w:color w:val="000000" w:themeColor="text1"/>
                <w:szCs w:val="21"/>
                <w:u w:val="single"/>
                <w14:textFill>
                  <w14:solidFill>
                    <w14:schemeClr w14:val="tx1"/>
                  </w14:solidFill>
                </w14:textFill>
              </w:rPr>
              <w:t>贰</w:t>
            </w:r>
            <w:r>
              <w:rPr>
                <w:color w:val="000000" w:themeColor="text1"/>
                <w:szCs w:val="21"/>
                <w:u w:val="single"/>
                <w14:textFill>
                  <w14:solidFill>
                    <w14:schemeClr w14:val="tx1"/>
                  </w14:solidFill>
                </w14:textFill>
              </w:rPr>
              <w:t>级及以上</w:t>
            </w:r>
            <w:r>
              <w:rPr>
                <w:color w:val="000000" w:themeColor="text1"/>
                <w:szCs w:val="21"/>
                <w14:textFill>
                  <w14:solidFill>
                    <w14:schemeClr w14:val="tx1"/>
                  </w14:solidFill>
                </w14:textFill>
              </w:rPr>
              <w:t>注册建造师执业</w:t>
            </w:r>
            <w:r>
              <w:rPr>
                <w:rFonts w:ascii="宋体" w:hAnsi="宋体"/>
                <w:color w:val="000000" w:themeColor="text1"/>
                <w:szCs w:val="21"/>
                <w14:textFill>
                  <w14:solidFill>
                    <w14:schemeClr w14:val="tx1"/>
                  </w14:solidFill>
                </w14:textFill>
              </w:rPr>
              <w:t>资格</w:t>
            </w:r>
            <w:r>
              <w:rPr>
                <w:rFonts w:hint="eastAsia" w:ascii="宋体" w:hAnsi="宋体"/>
                <w:color w:val="000000" w:themeColor="text1"/>
                <w:szCs w:val="21"/>
                <w:highlight w:val="none"/>
                <w14:textFill>
                  <w14:solidFill>
                    <w14:schemeClr w14:val="tx1"/>
                  </w14:solidFill>
                </w14:textFill>
              </w:rPr>
              <w:t>。</w:t>
            </w:r>
          </w:p>
          <w:p w14:paraId="5C8F67A5">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2投标人拟派的项目经理须做出到岗履职的承诺（自行承诺拟派项目经理中标后只能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人造成损失的，投标人依法承担违约赔偿责任）和未被禁止参与投标的承诺（自行承诺拟派项目经理未被重庆市住房和城乡建设主管部门暂停在渝承揽新业务。若被暂停在渝承揽新业务但仍参加投标，将被否决投标；已取得中标候选人资格或中标资格的，</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人有权取消其中标候选人资格或中标资格；给</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人造成损失的，投标人依法承担违约赔偿责任）。未提供上述承诺或承诺内容不符合要求的，由评标委员会作否决投标处理。拟派项目经理中标后不得随意更换。</w:t>
            </w:r>
          </w:p>
          <w:p w14:paraId="03C6C822">
            <w:pPr>
              <w:autoSpaceDE w:val="0"/>
              <w:autoSpaceDN w:val="0"/>
              <w:adjustRightInd w:val="0"/>
              <w:snapToGrid w:val="0"/>
              <w:spacing w:line="400" w:lineRule="exact"/>
              <w:ind w:firstLine="420" w:firstLineChars="200"/>
              <w:rPr>
                <w:rFonts w:hint="eastAsia" w:ascii="宋体" w:hAnsi="宋体"/>
                <w:color w:val="000000" w:themeColor="text1"/>
                <w:spacing w:val="-24"/>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7253E548">
            <w:pPr>
              <w:autoSpaceDE w:val="0"/>
              <w:autoSpaceDN w:val="0"/>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r>
              <w:rPr>
                <w:rFonts w:ascii="宋体" w:hAnsi="宋体"/>
                <w:b/>
                <w:color w:val="000000" w:themeColor="text1"/>
                <w:szCs w:val="21"/>
                <w:highlight w:val="none"/>
                <w14:textFill>
                  <w14:solidFill>
                    <w14:schemeClr w14:val="tx1"/>
                  </w14:solidFill>
                </w14:textFill>
              </w:rPr>
              <w:t>.其他要求</w:t>
            </w:r>
          </w:p>
          <w:p w14:paraId="4937A316">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项目技术负责人：</w:t>
            </w:r>
          </w:p>
          <w:p w14:paraId="41AB8A11">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应具有</w:t>
            </w:r>
            <w:r>
              <w:rPr>
                <w:rFonts w:hint="eastAsia" w:ascii="宋体" w:hAnsi="宋体"/>
                <w:color w:val="000000" w:themeColor="text1"/>
                <w:szCs w:val="21"/>
                <w:u w:val="single"/>
                <w14:textFill>
                  <w14:solidFill>
                    <w14:schemeClr w14:val="tx1"/>
                  </w14:solidFill>
                </w14:textFill>
              </w:rPr>
              <w:t>工程类</w:t>
            </w:r>
            <w:r>
              <w:rPr>
                <w:rFonts w:hint="eastAsia" w:ascii="宋体" w:hAnsi="宋体"/>
                <w:color w:val="000000" w:themeColor="text1"/>
                <w:szCs w:val="21"/>
                <w:u w:val="single"/>
                <w:lang w:eastAsia="zh-CN"/>
                <w14:textFill>
                  <w14:solidFill>
                    <w14:schemeClr w14:val="tx1"/>
                  </w14:solidFill>
                </w14:textFill>
              </w:rPr>
              <w:t>中</w:t>
            </w:r>
            <w:r>
              <w:rPr>
                <w:rFonts w:ascii="宋体" w:hAnsi="宋体"/>
                <w:color w:val="000000" w:themeColor="text1"/>
                <w:szCs w:val="21"/>
                <w:u w:val="single"/>
                <w14:textFill>
                  <w14:solidFill>
                    <w14:schemeClr w14:val="tx1"/>
                  </w14:solidFill>
                </w14:textFill>
              </w:rPr>
              <w:t>级及以上</w:t>
            </w:r>
            <w:r>
              <w:rPr>
                <w:rFonts w:ascii="宋体" w:hAnsi="宋体"/>
                <w:color w:val="000000" w:themeColor="text1"/>
                <w:szCs w:val="21"/>
                <w:highlight w:val="none"/>
                <w14:textFill>
                  <w14:solidFill>
                    <w14:schemeClr w14:val="tx1"/>
                  </w14:solidFill>
                </w14:textFill>
              </w:rPr>
              <w:t>职称；</w:t>
            </w:r>
          </w:p>
          <w:p w14:paraId="71F74656">
            <w:pPr>
              <w:autoSpaceDE w:val="0"/>
              <w:autoSpaceDN w:val="0"/>
              <w:adjustRightInd w:val="0"/>
              <w:snapToGrid w:val="0"/>
              <w:spacing w:line="400" w:lineRule="exact"/>
              <w:ind w:firstLine="420" w:firstLineChars="200"/>
              <w:rPr>
                <w:rFonts w:ascii="宋体" w:hAnsi="宋体"/>
                <w:color w:val="000000" w:themeColor="text1"/>
                <w:spacing w:val="-24"/>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投标人须在投标文件资格审查部分提供拟派技术负责人身份证、职称证及投标人本单位为其缴纳的养老保险证明材料复印件。</w:t>
            </w:r>
          </w:p>
          <w:p w14:paraId="54CF2C6C">
            <w:pPr>
              <w:autoSpaceDE w:val="0"/>
              <w:autoSpaceDN w:val="0"/>
              <w:adjustRightInd w:val="0"/>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主要管理人员：</w:t>
            </w:r>
          </w:p>
          <w:p w14:paraId="37EA5979">
            <w:pPr>
              <w:autoSpaceDE w:val="0"/>
              <w:autoSpaceDN w:val="0"/>
              <w:adjustRightIn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取消其中标资格，给</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人造成损失的，投标人依法承担违约赔偿责任。</w:t>
            </w:r>
          </w:p>
          <w:p w14:paraId="4CA81AE8">
            <w:pPr>
              <w:autoSpaceDE w:val="0"/>
              <w:autoSpaceDN w:val="0"/>
              <w:adjustRightIn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投标人须在投标文件资格审查部分提供承诺（承诺格式见第八章投标文件格式）。</w:t>
            </w:r>
          </w:p>
          <w:p w14:paraId="24C123D7">
            <w:pPr>
              <w:autoSpaceDE w:val="0"/>
              <w:autoSpaceDN w:val="0"/>
              <w:adjustRightInd w:val="0"/>
              <w:snapToGrid w:val="0"/>
              <w:spacing w:line="400" w:lineRule="exact"/>
              <w:ind w:firstLine="417" w:firstLineChars="198"/>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特别说明：</w:t>
            </w:r>
          </w:p>
          <w:p w14:paraId="2BC67847">
            <w:pPr>
              <w:autoSpaceDE w:val="0"/>
              <w:autoSpaceDN w:val="0"/>
              <w:adjustRightInd w:val="0"/>
              <w:snapToGrid w:val="0"/>
              <w:spacing w:line="400" w:lineRule="exact"/>
              <w:ind w:firstLine="415" w:firstLineChars="19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投标人须自行承诺其提供的上述相关证明材料真实有效，不存在弄虚作假情形（格式见第八章投标文件格式）。</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人在合同签订前均有权对投标人提供的资料（如业绩截图信息等相关证明材料）进行核实，若发现弄虚作假，取消其中标资格，并按相关法律法规报</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投标监督部门处理，其投标保证金不予退还，投标人承担因此造成的相关责任并赔偿相应损失。</w:t>
            </w:r>
          </w:p>
          <w:p w14:paraId="1086F843">
            <w:pPr>
              <w:spacing w:line="400" w:lineRule="exact"/>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w:t>
            </w:r>
            <w:r>
              <w:rPr>
                <w:rFonts w:hint="eastAsia" w:ascii="宋体" w:hAnsi="宋体"/>
                <w:bCs/>
                <w:color w:val="000000" w:themeColor="text1"/>
                <w:kern w:val="0"/>
                <w:szCs w:val="21"/>
                <w:highlight w:val="none"/>
                <w:lang w:val="en-US" w:eastAsia="zh-CN"/>
                <w14:textFill>
                  <w14:solidFill>
                    <w14:schemeClr w14:val="tx1"/>
                  </w14:solidFill>
                </w14:textFill>
              </w:rPr>
              <w:t>2</w:t>
            </w:r>
            <w:r>
              <w:rPr>
                <w:rFonts w:hint="eastAsia" w:ascii="宋体" w:hAnsi="宋体"/>
                <w:bCs/>
                <w:color w:val="000000" w:themeColor="text1"/>
                <w:kern w:val="0"/>
                <w:szCs w:val="21"/>
                <w:highlight w:val="none"/>
                <w14:textFill>
                  <w14:solidFill>
                    <w14:schemeClr w14:val="tx1"/>
                  </w14:solidFill>
                </w14:textFill>
              </w:rPr>
              <w:t>）</w:t>
            </w:r>
            <w:r>
              <w:rPr>
                <w:rFonts w:ascii="宋体" w:hAnsi="宋体"/>
                <w:bCs/>
                <w:color w:val="000000" w:themeColor="text1"/>
                <w:kern w:val="0"/>
                <w:szCs w:val="21"/>
                <w:highlight w:val="none"/>
                <w14:textFill>
                  <w14:solidFill>
                    <w14:schemeClr w14:val="tx1"/>
                  </w14:solidFill>
                </w14:textFill>
              </w:rPr>
              <w:t>本</w:t>
            </w:r>
            <w:r>
              <w:rPr>
                <w:rFonts w:hint="eastAsia" w:ascii="宋体" w:hAnsi="宋体"/>
                <w:bCs/>
                <w:color w:val="000000" w:themeColor="text1"/>
                <w:kern w:val="0"/>
                <w:szCs w:val="21"/>
                <w:highlight w:val="none"/>
                <w:lang w:eastAsia="zh-CN"/>
                <w14:textFill>
                  <w14:solidFill>
                    <w14:schemeClr w14:val="tx1"/>
                  </w14:solidFill>
                </w14:textFill>
              </w:rPr>
              <w:t>比选</w:t>
            </w:r>
            <w:r>
              <w:rPr>
                <w:rFonts w:ascii="宋体" w:hAnsi="宋体"/>
                <w:bCs/>
                <w:color w:val="000000" w:themeColor="text1"/>
                <w:kern w:val="0"/>
                <w:szCs w:val="21"/>
                <w:highlight w:val="none"/>
                <w14:textFill>
                  <w14:solidFill>
                    <w14:schemeClr w14:val="tx1"/>
                  </w14:solidFill>
                </w14:textFill>
              </w:rPr>
              <w:t>文件中所要求的人员</w:t>
            </w:r>
            <w:r>
              <w:rPr>
                <w:rFonts w:hint="eastAsia" w:ascii="宋体" w:hAnsi="宋体"/>
                <w:bCs/>
                <w:color w:val="000000" w:themeColor="text1"/>
                <w:kern w:val="0"/>
                <w:szCs w:val="21"/>
                <w:highlight w:val="none"/>
                <w14:textFill>
                  <w14:solidFill>
                    <w14:schemeClr w14:val="tx1"/>
                  </w14:solidFill>
                </w14:textFill>
              </w:rPr>
              <w:t>养老保险</w:t>
            </w:r>
            <w:r>
              <w:rPr>
                <w:rFonts w:ascii="宋体" w:hAnsi="宋体"/>
                <w:bCs/>
                <w:color w:val="000000" w:themeColor="text1"/>
                <w:kern w:val="0"/>
                <w:szCs w:val="21"/>
                <w:highlight w:val="none"/>
                <w14:textFill>
                  <w14:solidFill>
                    <w14:schemeClr w14:val="tx1"/>
                  </w14:solidFill>
                </w14:textFill>
              </w:rPr>
              <w:t>证明要求如下：</w:t>
            </w:r>
          </w:p>
          <w:p w14:paraId="1B52156E">
            <w:pPr>
              <w:spacing w:line="400" w:lineRule="exact"/>
              <w:ind w:firstLine="420" w:firstLineChars="200"/>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①社会单位提供养老保险证明，事业单位提供养老保险证明或行政主管部门在编证明。</w:t>
            </w:r>
          </w:p>
          <w:p w14:paraId="1FD7F438">
            <w:pPr>
              <w:spacing w:line="400" w:lineRule="exact"/>
              <w:ind w:firstLine="420" w:firstLineChars="200"/>
              <w:rPr>
                <w:rFonts w:ascii="宋体" w:hAnsi="宋体"/>
                <w:bCs/>
                <w:snapToGrid w:val="0"/>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②项目经理、项目技术负责人的养老保险证明期限为202</w:t>
            </w:r>
            <w:r>
              <w:rPr>
                <w:rFonts w:hint="eastAsia" w:ascii="宋体" w:hAnsi="宋体"/>
                <w:bCs/>
                <w:color w:val="000000" w:themeColor="text1"/>
                <w:kern w:val="0"/>
                <w:szCs w:val="21"/>
                <w:highlight w:val="none"/>
                <w:lang w:val="en-US" w:eastAsia="zh-CN"/>
                <w14:textFill>
                  <w14:solidFill>
                    <w14:schemeClr w14:val="tx1"/>
                  </w14:solidFill>
                </w14:textFill>
              </w:rPr>
              <w:t>5</w:t>
            </w:r>
            <w:r>
              <w:rPr>
                <w:rFonts w:hint="eastAsia" w:ascii="宋体" w:hAnsi="宋体"/>
                <w:bCs/>
                <w:color w:val="000000" w:themeColor="text1"/>
                <w:kern w:val="0"/>
                <w:szCs w:val="21"/>
                <w:highlight w:val="none"/>
                <w14:textFill>
                  <w14:solidFill>
                    <w14:schemeClr w14:val="tx1"/>
                  </w14:solidFill>
                </w14:textFill>
              </w:rPr>
              <w:t>年</w:t>
            </w:r>
            <w:r>
              <w:rPr>
                <w:rFonts w:hint="eastAsia" w:ascii="宋体" w:hAnsi="宋体"/>
                <w:bCs/>
                <w:color w:val="000000" w:themeColor="text1"/>
                <w:kern w:val="0"/>
                <w:szCs w:val="21"/>
                <w:highlight w:val="none"/>
                <w:lang w:val="en-US" w:eastAsia="zh-CN"/>
                <w14:textFill>
                  <w14:solidFill>
                    <w14:schemeClr w14:val="tx1"/>
                  </w14:solidFill>
                </w14:textFill>
              </w:rPr>
              <w:t>8</w:t>
            </w:r>
            <w:r>
              <w:rPr>
                <w:rFonts w:hint="eastAsia" w:ascii="宋体" w:hAnsi="宋体"/>
                <w:bCs/>
                <w:color w:val="000000" w:themeColor="text1"/>
                <w:kern w:val="0"/>
                <w:szCs w:val="21"/>
                <w:highlight w:val="none"/>
                <w14:textFill>
                  <w14:solidFill>
                    <w14:schemeClr w14:val="tx1"/>
                  </w14:solidFill>
                </w14:textFill>
              </w:rPr>
              <w:t>月至 202</w:t>
            </w:r>
            <w:r>
              <w:rPr>
                <w:rFonts w:hint="eastAsia" w:ascii="宋体" w:hAnsi="宋体"/>
                <w:bCs/>
                <w:color w:val="000000" w:themeColor="text1"/>
                <w:kern w:val="0"/>
                <w:szCs w:val="21"/>
                <w:highlight w:val="none"/>
                <w:lang w:val="en-US" w:eastAsia="zh-CN"/>
                <w14:textFill>
                  <w14:solidFill>
                    <w14:schemeClr w14:val="tx1"/>
                  </w14:solidFill>
                </w14:textFill>
              </w:rPr>
              <w:t>6</w:t>
            </w:r>
            <w:r>
              <w:rPr>
                <w:rFonts w:hint="eastAsia" w:ascii="宋体" w:hAnsi="宋体"/>
                <w:bCs/>
                <w:color w:val="000000" w:themeColor="text1"/>
                <w:kern w:val="0"/>
                <w:szCs w:val="21"/>
                <w:highlight w:val="none"/>
                <w14:textFill>
                  <w14:solidFill>
                    <w14:schemeClr w14:val="tx1"/>
                  </w14:solidFill>
                </w14:textFill>
              </w:rPr>
              <w:t>年</w:t>
            </w:r>
            <w:r>
              <w:rPr>
                <w:rFonts w:hint="eastAsia" w:ascii="宋体" w:hAnsi="宋体"/>
                <w:bCs/>
                <w:color w:val="000000" w:themeColor="text1"/>
                <w:kern w:val="0"/>
                <w:szCs w:val="21"/>
                <w:highlight w:val="none"/>
                <w:lang w:val="en-US" w:eastAsia="zh-CN"/>
                <w14:textFill>
                  <w14:solidFill>
                    <w14:schemeClr w14:val="tx1"/>
                  </w14:solidFill>
                </w14:textFill>
              </w:rPr>
              <w:t>2</w:t>
            </w:r>
            <w:r>
              <w:rPr>
                <w:rFonts w:hint="eastAsia" w:ascii="宋体" w:hAnsi="宋体"/>
                <w:bCs/>
                <w:color w:val="000000" w:themeColor="text1"/>
                <w:kern w:val="0"/>
                <w:szCs w:val="21"/>
                <w:highlight w:val="none"/>
                <w14:textFill>
                  <w14:solidFill>
                    <w14:schemeClr w14:val="tx1"/>
                  </w14:solidFill>
                </w14:textFill>
              </w:rPr>
              <w:t>月的连续养老保险。</w:t>
            </w:r>
            <w:r>
              <w:rPr>
                <w:rFonts w:hint="eastAsia" w:ascii="宋体" w:hAnsi="宋体"/>
                <w:bCs/>
                <w:color w:val="000000" w:themeColor="text1"/>
                <w:szCs w:val="21"/>
                <w:highlight w:val="none"/>
                <w14:textFill>
                  <w14:solidFill>
                    <w14:schemeClr w14:val="tx1"/>
                  </w14:solidFill>
                </w14:textFill>
              </w:rPr>
              <w:t>养老保险证明原件必须加盖社保部门公章，提供养老保险参保证明，含身份证号或社保号和参保基本情况、参保缴费明细（养老保险）。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0CF9A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EBE947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1.4.2</w:t>
            </w:r>
          </w:p>
        </w:tc>
        <w:tc>
          <w:tcPr>
            <w:tcW w:w="1644" w:type="dxa"/>
            <w:noWrap w:val="0"/>
            <w:vAlign w:val="center"/>
          </w:tcPr>
          <w:p w14:paraId="0E1468C6">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是否接受联合体投标</w:t>
            </w:r>
          </w:p>
        </w:tc>
        <w:tc>
          <w:tcPr>
            <w:tcW w:w="6490" w:type="dxa"/>
            <w:noWrap w:val="0"/>
            <w:vAlign w:val="center"/>
          </w:tcPr>
          <w:p w14:paraId="18E67757">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不接受</w:t>
            </w:r>
          </w:p>
        </w:tc>
      </w:tr>
      <w:tr w14:paraId="52A56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D8F4501">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1.9.1</w:t>
            </w:r>
          </w:p>
        </w:tc>
        <w:tc>
          <w:tcPr>
            <w:tcW w:w="1644" w:type="dxa"/>
            <w:noWrap w:val="0"/>
            <w:vAlign w:val="center"/>
          </w:tcPr>
          <w:p w14:paraId="032DE5D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踏勘现场</w:t>
            </w:r>
          </w:p>
        </w:tc>
        <w:tc>
          <w:tcPr>
            <w:tcW w:w="6490" w:type="dxa"/>
            <w:noWrap w:val="0"/>
            <w:vAlign w:val="center"/>
          </w:tcPr>
          <w:p w14:paraId="311142AB">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不组织</w:t>
            </w:r>
          </w:p>
        </w:tc>
      </w:tr>
      <w:tr w14:paraId="08D4C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1F78388">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1.10.1</w:t>
            </w:r>
          </w:p>
        </w:tc>
        <w:tc>
          <w:tcPr>
            <w:tcW w:w="1644" w:type="dxa"/>
            <w:noWrap w:val="0"/>
            <w:vAlign w:val="center"/>
          </w:tcPr>
          <w:p w14:paraId="05C2460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投标预备会</w:t>
            </w:r>
          </w:p>
        </w:tc>
        <w:tc>
          <w:tcPr>
            <w:tcW w:w="6490" w:type="dxa"/>
            <w:noWrap w:val="0"/>
            <w:vAlign w:val="center"/>
          </w:tcPr>
          <w:p w14:paraId="2F0FA526">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不召开</w:t>
            </w:r>
          </w:p>
        </w:tc>
      </w:tr>
      <w:tr w14:paraId="4E6FE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2EE904B">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1.11</w:t>
            </w:r>
          </w:p>
        </w:tc>
        <w:tc>
          <w:tcPr>
            <w:tcW w:w="1644" w:type="dxa"/>
            <w:noWrap w:val="0"/>
            <w:vAlign w:val="center"/>
          </w:tcPr>
          <w:p w14:paraId="493C4C4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分包</w:t>
            </w:r>
          </w:p>
        </w:tc>
        <w:tc>
          <w:tcPr>
            <w:tcW w:w="6490" w:type="dxa"/>
            <w:noWrap w:val="0"/>
            <w:vAlign w:val="center"/>
          </w:tcPr>
          <w:p w14:paraId="43FCBB83">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不允许</w:t>
            </w:r>
          </w:p>
        </w:tc>
      </w:tr>
      <w:tr w14:paraId="028E4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E770D7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2.1</w:t>
            </w:r>
          </w:p>
        </w:tc>
        <w:tc>
          <w:tcPr>
            <w:tcW w:w="1644" w:type="dxa"/>
            <w:noWrap w:val="0"/>
            <w:vAlign w:val="center"/>
          </w:tcPr>
          <w:p w14:paraId="462C7501">
            <w:pPr>
              <w:snapToGrid w:val="0"/>
              <w:spacing w:after="15" w:afterLines="5"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构成</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文件的其他材料</w:t>
            </w:r>
          </w:p>
        </w:tc>
        <w:tc>
          <w:tcPr>
            <w:tcW w:w="6490" w:type="dxa"/>
            <w:noWrap w:val="0"/>
            <w:vAlign w:val="center"/>
          </w:tcPr>
          <w:p w14:paraId="0C11EDEB">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人发出的</w:t>
            </w:r>
            <w:r>
              <w:rPr>
                <w:rFonts w:hint="eastAsia" w:ascii="宋体" w:hAnsi="宋体"/>
                <w:color w:val="000000" w:themeColor="text1"/>
                <w:szCs w:val="21"/>
                <w:highlight w:val="none"/>
                <w14:textFill>
                  <w14:solidFill>
                    <w14:schemeClr w14:val="tx1"/>
                  </w14:solidFill>
                </w14:textFill>
              </w:rPr>
              <w:t>澄清</w:t>
            </w:r>
            <w:r>
              <w:rPr>
                <w:rFonts w:ascii="宋体" w:hAnsi="宋体"/>
                <w:color w:val="000000" w:themeColor="text1"/>
                <w:szCs w:val="21"/>
                <w:highlight w:val="none"/>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修改</w:t>
            </w:r>
          </w:p>
        </w:tc>
      </w:tr>
      <w:tr w14:paraId="70B7D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4F8786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1</w:t>
            </w:r>
          </w:p>
        </w:tc>
        <w:tc>
          <w:tcPr>
            <w:tcW w:w="1644" w:type="dxa"/>
            <w:tcBorders>
              <w:bottom w:val="single" w:color="auto" w:sz="4" w:space="0"/>
            </w:tcBorders>
            <w:noWrap w:val="0"/>
            <w:vAlign w:val="center"/>
          </w:tcPr>
          <w:p w14:paraId="43FDAF9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投标人对</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文件提出</w:t>
            </w:r>
            <w:r>
              <w:rPr>
                <w:rFonts w:hint="eastAsia" w:ascii="宋体" w:hAnsi="宋体"/>
                <w:color w:val="000000" w:themeColor="text1"/>
                <w:kern w:val="0"/>
                <w:szCs w:val="21"/>
                <w:highlight w:val="none"/>
                <w14:textFill>
                  <w14:solidFill>
                    <w14:schemeClr w14:val="tx1"/>
                  </w14:solidFill>
                </w14:textFill>
              </w:rPr>
              <w:t>疑问</w:t>
            </w:r>
            <w:r>
              <w:rPr>
                <w:rFonts w:ascii="宋体" w:hAnsi="宋体"/>
                <w:color w:val="000000" w:themeColor="text1"/>
                <w:kern w:val="0"/>
                <w:szCs w:val="21"/>
                <w:highlight w:val="none"/>
                <w14:textFill>
                  <w14:solidFill>
                    <w14:schemeClr w14:val="tx1"/>
                  </w14:solidFill>
                </w14:textFill>
              </w:rPr>
              <w:t>的截止时间</w:t>
            </w:r>
          </w:p>
        </w:tc>
        <w:tc>
          <w:tcPr>
            <w:tcW w:w="6490" w:type="dxa"/>
            <w:noWrap w:val="0"/>
            <w:vAlign w:val="center"/>
          </w:tcPr>
          <w:p w14:paraId="6AF68E8F">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14:textFill>
                  <w14:solidFill>
                    <w14:schemeClr w14:val="tx1"/>
                  </w14:solidFill>
                </w14:textFill>
              </w:rPr>
              <w:t>投标人应仔细</w:t>
            </w:r>
            <w:r>
              <w:rPr>
                <w:rFonts w:hint="eastAsia" w:ascii="宋体" w:hAnsi="宋体"/>
                <w:color w:val="000000" w:themeColor="text1"/>
                <w:kern w:val="0"/>
                <w:szCs w:val="21"/>
                <w14:textFill>
                  <w14:solidFill>
                    <w14:schemeClr w14:val="tx1"/>
                  </w14:solidFill>
                </w14:textFill>
              </w:rPr>
              <w:t>阅读</w:t>
            </w:r>
            <w:r>
              <w:rPr>
                <w:rFonts w:hint="eastAsia" w:ascii="宋体" w:hAnsi="宋体"/>
                <w:color w:val="000000" w:themeColor="text1"/>
                <w:kern w:val="0"/>
                <w:szCs w:val="21"/>
                <w:lang w:eastAsia="zh-CN"/>
                <w14:textFill>
                  <w14:solidFill>
                    <w14:schemeClr w14:val="tx1"/>
                  </w14:solidFill>
                </w14:textFill>
              </w:rPr>
              <w:t>比选</w:t>
            </w:r>
            <w:r>
              <w:rPr>
                <w:rFonts w:ascii="宋体" w:hAnsi="宋体"/>
                <w:color w:val="000000" w:themeColor="text1"/>
                <w:kern w:val="0"/>
                <w:szCs w:val="21"/>
                <w14:textFill>
                  <w14:solidFill>
                    <w14:schemeClr w14:val="tx1"/>
                  </w14:solidFill>
                </w14:textFill>
              </w:rPr>
              <w:t>文件</w:t>
            </w:r>
            <w:r>
              <w:rPr>
                <w:rFonts w:hint="eastAsia" w:ascii="宋体" w:hAnsi="宋体"/>
                <w:color w:val="000000" w:themeColor="text1"/>
                <w:kern w:val="0"/>
                <w:szCs w:val="21"/>
                <w14:textFill>
                  <w14:solidFill>
                    <w14:schemeClr w14:val="tx1"/>
                  </w14:solidFill>
                </w14:textFill>
              </w:rPr>
              <w:t>及附件</w:t>
            </w:r>
            <w:r>
              <w:rPr>
                <w:rFonts w:ascii="宋体" w:hAnsi="宋体"/>
                <w:color w:val="000000" w:themeColor="text1"/>
                <w:kern w:val="0"/>
                <w:szCs w:val="21"/>
                <w14:textFill>
                  <w14:solidFill>
                    <w14:schemeClr w14:val="tx1"/>
                  </w14:solidFill>
                </w14:textFill>
              </w:rPr>
              <w:t>的所有内容，如有文字表述不清，图纸尺寸标注不明以及存在错、漏、缺、概念模糊和有可能出现歧义或理解上的偏差的内容等</w:t>
            </w:r>
            <w:r>
              <w:rPr>
                <w:rFonts w:ascii="宋体" w:hAnsi="宋体"/>
                <w:color w:val="000000" w:themeColor="text1"/>
                <w:kern w:val="0"/>
                <w:szCs w:val="21"/>
                <w:highlight w:val="none"/>
                <w14:textFill>
                  <w14:solidFill>
                    <w14:schemeClr w14:val="tx1"/>
                  </w14:solidFill>
                </w14:textFill>
              </w:rPr>
              <w:t>应</w:t>
            </w:r>
            <w:r>
              <w:rPr>
                <w:rFonts w:hint="eastAsia" w:ascii="宋体" w:hAnsi="宋体" w:cs="宋体"/>
                <w:color w:val="000000" w:themeColor="text1"/>
                <w:kern w:val="0"/>
                <w:szCs w:val="21"/>
                <w:highlight w:val="none"/>
                <w14:textFill>
                  <w14:solidFill>
                    <w14:schemeClr w14:val="tx1"/>
                  </w14:solidFill>
                </w14:textFill>
              </w:rPr>
              <w:t>在</w:t>
            </w:r>
            <w:r>
              <w:rPr>
                <w:rFonts w:ascii="宋体" w:hAnsi="宋体"/>
                <w:snapToGrid w:val="0"/>
                <w:color w:val="000000" w:themeColor="text1"/>
                <w:kern w:val="0"/>
                <w:szCs w:val="21"/>
                <w14:textFill>
                  <w14:solidFill>
                    <w14:schemeClr w14:val="tx1"/>
                  </w14:solidFill>
                </w14:textFill>
              </w:rPr>
              <w:t>投标截止时间</w:t>
            </w:r>
            <w:r>
              <w:rPr>
                <w:rFonts w:hint="eastAsia" w:ascii="宋体" w:hAnsi="宋体"/>
                <w:snapToGrid w:val="0"/>
                <w:color w:val="000000" w:themeColor="text1"/>
                <w:kern w:val="0"/>
                <w:szCs w:val="21"/>
                <w:lang w:val="en-US" w:eastAsia="zh-CN"/>
                <w14:textFill>
                  <w14:solidFill>
                    <w14:schemeClr w14:val="tx1"/>
                  </w14:solidFill>
                </w14:textFill>
              </w:rPr>
              <w:t>2</w:t>
            </w:r>
            <w:r>
              <w:rPr>
                <w:rFonts w:ascii="宋体" w:hAnsi="宋体"/>
                <w:snapToGrid w:val="0"/>
                <w:color w:val="000000" w:themeColor="text1"/>
                <w:kern w:val="0"/>
                <w:szCs w:val="21"/>
                <w14:textFill>
                  <w14:solidFill>
                    <w14:schemeClr w14:val="tx1"/>
                  </w14:solidFill>
                </w14:textFill>
              </w:rPr>
              <w:t>日前</w:t>
            </w:r>
            <w:r>
              <w:rPr>
                <w:rFonts w:hint="eastAsia" w:ascii="宋体" w:hAnsi="宋体"/>
                <w:color w:val="000000" w:themeColor="text1"/>
                <w:kern w:val="0"/>
                <w:szCs w:val="21"/>
                <w:highlight w:val="none"/>
                <w:lang w:eastAsia="zh-CN"/>
                <w14:textFill>
                  <w14:solidFill>
                    <w14:schemeClr w14:val="tx1"/>
                  </w14:solidFill>
                </w14:textFill>
              </w:rPr>
              <w:t>提出</w:t>
            </w:r>
            <w:r>
              <w:rPr>
                <w:rFonts w:ascii="宋体" w:hAnsi="宋体"/>
                <w:color w:val="000000" w:themeColor="text1"/>
                <w:kern w:val="0"/>
                <w:szCs w:val="21"/>
                <w:highlight w:val="none"/>
                <w14:textFill>
                  <w14:solidFill>
                    <w14:schemeClr w14:val="tx1"/>
                  </w14:solidFill>
                </w14:textFill>
              </w:rPr>
              <w:t>。</w:t>
            </w:r>
          </w:p>
        </w:tc>
      </w:tr>
      <w:tr w14:paraId="69A58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noWrap w:val="0"/>
            <w:vAlign w:val="center"/>
          </w:tcPr>
          <w:p w14:paraId="47D6693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2.2.2</w:t>
            </w:r>
          </w:p>
        </w:tc>
        <w:tc>
          <w:tcPr>
            <w:tcW w:w="1644" w:type="dxa"/>
            <w:tcBorders>
              <w:top w:val="single" w:color="auto" w:sz="4" w:space="0"/>
            </w:tcBorders>
            <w:noWrap w:val="0"/>
            <w:vAlign w:val="center"/>
          </w:tcPr>
          <w:p w14:paraId="10F34865">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人对</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文件</w:t>
            </w:r>
            <w:r>
              <w:rPr>
                <w:rFonts w:hint="eastAsia" w:ascii="宋体" w:hAnsi="宋体"/>
                <w:color w:val="000000" w:themeColor="text1"/>
                <w:kern w:val="0"/>
                <w:szCs w:val="21"/>
                <w:highlight w:val="none"/>
                <w14:textFill>
                  <w14:solidFill>
                    <w14:schemeClr w14:val="tx1"/>
                  </w14:solidFill>
                </w14:textFill>
              </w:rPr>
              <w:t>澄清</w:t>
            </w:r>
            <w:r>
              <w:rPr>
                <w:rFonts w:ascii="宋体" w:hAnsi="宋体"/>
                <w:color w:val="000000" w:themeColor="text1"/>
                <w:kern w:val="0"/>
                <w:szCs w:val="21"/>
                <w:highlight w:val="none"/>
                <w14:textFill>
                  <w14:solidFill>
                    <w14:schemeClr w14:val="tx1"/>
                  </w14:solidFill>
                </w14:textFill>
              </w:rPr>
              <w:t>的截止时间</w:t>
            </w:r>
          </w:p>
        </w:tc>
        <w:tc>
          <w:tcPr>
            <w:tcW w:w="6490" w:type="dxa"/>
            <w:noWrap w:val="0"/>
            <w:vAlign w:val="center"/>
          </w:tcPr>
          <w:p w14:paraId="31C967C5">
            <w:pPr>
              <w:snapToGrid w:val="0"/>
              <w:spacing w:line="400" w:lineRule="exact"/>
              <w:ind w:firstLine="420" w:firstLineChars="200"/>
              <w:rPr>
                <w:rFonts w:hint="eastAsia" w:ascii="宋体" w:hAnsi="宋体"/>
                <w:snapToGrid w:val="0"/>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人应在</w:t>
            </w:r>
            <w:r>
              <w:rPr>
                <w:rFonts w:ascii="宋体" w:hAnsi="宋体"/>
                <w:snapToGrid w:val="0"/>
                <w:color w:val="000000" w:themeColor="text1"/>
                <w:kern w:val="0"/>
                <w:szCs w:val="21"/>
                <w14:textFill>
                  <w14:solidFill>
                    <w14:schemeClr w14:val="tx1"/>
                  </w14:solidFill>
                </w14:textFill>
              </w:rPr>
              <w:t>投标截止时间</w:t>
            </w:r>
            <w:r>
              <w:rPr>
                <w:rFonts w:hint="eastAsia" w:ascii="宋体" w:hAnsi="宋体"/>
                <w:snapToGrid w:val="0"/>
                <w:color w:val="000000" w:themeColor="text1"/>
                <w:kern w:val="0"/>
                <w:szCs w:val="21"/>
                <w:lang w:val="en-US" w:eastAsia="zh-CN"/>
                <w14:textFill>
                  <w14:solidFill>
                    <w14:schemeClr w14:val="tx1"/>
                  </w14:solidFill>
                </w14:textFill>
              </w:rPr>
              <w:t>1</w:t>
            </w:r>
            <w:r>
              <w:rPr>
                <w:rFonts w:ascii="宋体" w:hAnsi="宋体"/>
                <w:snapToGrid w:val="0"/>
                <w:color w:val="000000" w:themeColor="text1"/>
                <w:kern w:val="0"/>
                <w:szCs w:val="21"/>
                <w14:textFill>
                  <w14:solidFill>
                    <w14:schemeClr w14:val="tx1"/>
                  </w14:solidFill>
                </w14:textFill>
              </w:rPr>
              <w:t>日前</w:t>
            </w:r>
            <w:r>
              <w:rPr>
                <w:rFonts w:hint="eastAsia" w:ascii="宋体" w:hAnsi="宋体"/>
                <w:color w:val="000000" w:themeColor="text1"/>
                <w:kern w:val="0"/>
                <w:szCs w:val="21"/>
                <w:highlight w:val="none"/>
                <w:lang w:eastAsia="zh-CN"/>
                <w14:textFill>
                  <w14:solidFill>
                    <w14:schemeClr w14:val="tx1"/>
                  </w14:solidFill>
                </w14:textFill>
              </w:rPr>
              <w:t>提出</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在</w:t>
            </w:r>
            <w:r>
              <w:rPr>
                <w:rFonts w:hint="eastAsia" w:ascii="宋体" w:hAnsi="宋体"/>
                <w:color w:val="000000" w:themeColor="text1"/>
                <w:kern w:val="0"/>
                <w:szCs w:val="21"/>
                <w:highlight w:val="none"/>
                <w:u w:val="single"/>
                <w:lang w:eastAsia="zh-CN"/>
                <w14:textFill>
                  <w14:solidFill>
                    <w14:schemeClr w14:val="tx1"/>
                  </w14:solidFill>
                </w14:textFill>
              </w:rPr>
              <w:t>重庆市铜梁区人民政府网（http://www.cqstl.gov.cn/）</w:t>
            </w:r>
            <w:r>
              <w:rPr>
                <w:rFonts w:ascii="宋体" w:hAnsi="宋体"/>
                <w:color w:val="000000" w:themeColor="text1"/>
                <w:kern w:val="0"/>
                <w:szCs w:val="21"/>
                <w:highlight w:val="none"/>
                <w14:textFill>
                  <w14:solidFill>
                    <w14:schemeClr w14:val="tx1"/>
                  </w14:solidFill>
                </w14:textFill>
              </w:rPr>
              <w:t>发布</w:t>
            </w:r>
            <w:r>
              <w:rPr>
                <w:rFonts w:hint="eastAsia" w:ascii="宋体" w:hAnsi="宋体"/>
                <w:color w:val="000000" w:themeColor="text1"/>
                <w:kern w:val="0"/>
                <w:szCs w:val="21"/>
                <w:highlight w:val="none"/>
                <w14:textFill>
                  <w14:solidFill>
                    <w14:schemeClr w14:val="tx1"/>
                  </w14:solidFill>
                </w14:textFill>
              </w:rPr>
              <w:t>澄清</w:t>
            </w:r>
            <w:r>
              <w:rPr>
                <w:rFonts w:ascii="宋体" w:hAnsi="宋体"/>
                <w:color w:val="000000" w:themeColor="text1"/>
                <w:kern w:val="0"/>
                <w:szCs w:val="21"/>
                <w:highlight w:val="none"/>
                <w14:textFill>
                  <w14:solidFill>
                    <w14:schemeClr w14:val="tx1"/>
                  </w14:solidFill>
                </w14:textFill>
              </w:rPr>
              <w:t>。</w:t>
            </w:r>
          </w:p>
        </w:tc>
      </w:tr>
      <w:tr w14:paraId="0CE5C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noWrap w:val="0"/>
            <w:vAlign w:val="center"/>
          </w:tcPr>
          <w:p w14:paraId="3E670F90">
            <w:pPr>
              <w:snapToGrid w:val="0"/>
              <w:spacing w:line="400" w:lineRule="exact"/>
              <w:jc w:val="center"/>
              <w:rPr>
                <w:rFonts w:ascii="宋体" w:hAnsi="宋体"/>
                <w:color w:val="000000" w:themeColor="text1"/>
                <w:kern w:val="0"/>
                <w:szCs w:val="21"/>
                <w:highlight w:val="none"/>
                <w14:textFill>
                  <w14:solidFill>
                    <w14:schemeClr w14:val="tx1"/>
                  </w14:solidFill>
                </w14:textFill>
              </w:rPr>
            </w:pPr>
          </w:p>
        </w:tc>
        <w:tc>
          <w:tcPr>
            <w:tcW w:w="1644" w:type="dxa"/>
            <w:noWrap w:val="0"/>
            <w:vAlign w:val="center"/>
          </w:tcPr>
          <w:p w14:paraId="427AC64C">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投标截止时间</w:t>
            </w:r>
          </w:p>
        </w:tc>
        <w:tc>
          <w:tcPr>
            <w:tcW w:w="6490" w:type="dxa"/>
            <w:noWrap w:val="0"/>
            <w:vAlign w:val="center"/>
          </w:tcPr>
          <w:p w14:paraId="767463B0">
            <w:pPr>
              <w:snapToGrid w:val="0"/>
              <w:spacing w:line="40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公告规定的投标截止时间。</w:t>
            </w:r>
          </w:p>
        </w:tc>
      </w:tr>
      <w:tr w14:paraId="521FB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8036EB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2.2.3</w:t>
            </w:r>
          </w:p>
        </w:tc>
        <w:tc>
          <w:tcPr>
            <w:tcW w:w="1644" w:type="dxa"/>
            <w:noWrap w:val="0"/>
            <w:vAlign w:val="center"/>
          </w:tcPr>
          <w:p w14:paraId="049521C3">
            <w:pPr>
              <w:snapToGrid w:val="0"/>
              <w:spacing w:after="15" w:afterLines="5"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人对</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文件进行</w:t>
            </w:r>
            <w:r>
              <w:rPr>
                <w:rFonts w:hint="eastAsia" w:ascii="宋体" w:hAnsi="宋体"/>
                <w:color w:val="000000" w:themeColor="text1"/>
                <w:kern w:val="0"/>
                <w:szCs w:val="21"/>
                <w:highlight w:val="none"/>
                <w14:textFill>
                  <w14:solidFill>
                    <w14:schemeClr w14:val="tx1"/>
                  </w14:solidFill>
                </w14:textFill>
              </w:rPr>
              <w:t>修改</w:t>
            </w:r>
            <w:r>
              <w:rPr>
                <w:rFonts w:ascii="宋体" w:hAnsi="宋体"/>
                <w:color w:val="000000" w:themeColor="text1"/>
                <w:kern w:val="0"/>
                <w:szCs w:val="21"/>
                <w:highlight w:val="none"/>
                <w14:textFill>
                  <w14:solidFill>
                    <w14:schemeClr w14:val="tx1"/>
                  </w14:solidFill>
                </w14:textFill>
              </w:rPr>
              <w:t>的时间</w:t>
            </w:r>
          </w:p>
        </w:tc>
        <w:tc>
          <w:tcPr>
            <w:tcW w:w="6490" w:type="dxa"/>
            <w:noWrap w:val="0"/>
            <w:vAlign w:val="center"/>
          </w:tcPr>
          <w:p w14:paraId="71F83ABD">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修改</w:t>
            </w:r>
            <w:r>
              <w:rPr>
                <w:rFonts w:ascii="宋体" w:hAnsi="宋体"/>
                <w:snapToGrid w:val="0"/>
                <w:color w:val="000000" w:themeColor="text1"/>
                <w:kern w:val="0"/>
                <w:szCs w:val="21"/>
                <w:highlight w:val="none"/>
                <w14:textFill>
                  <w14:solidFill>
                    <w14:schemeClr w14:val="tx1"/>
                  </w14:solidFill>
                </w14:textFill>
              </w:rPr>
              <w:t>内容可能影响投标文件编制的，须在投标截止时间</w:t>
            </w:r>
            <w:r>
              <w:rPr>
                <w:rFonts w:hint="eastAsia" w:ascii="宋体" w:hAnsi="宋体"/>
                <w:snapToGrid w:val="0"/>
                <w:color w:val="000000" w:themeColor="text1"/>
                <w:kern w:val="0"/>
                <w:szCs w:val="21"/>
                <w:highlight w:val="none"/>
                <w:lang w:val="en-US" w:eastAsia="zh-CN"/>
                <w14:textFill>
                  <w14:solidFill>
                    <w14:schemeClr w14:val="tx1"/>
                  </w14:solidFill>
                </w14:textFill>
              </w:rPr>
              <w:t>1</w:t>
            </w:r>
            <w:r>
              <w:rPr>
                <w:rFonts w:ascii="宋体" w:hAnsi="宋体"/>
                <w:snapToGrid w:val="0"/>
                <w:color w:val="000000" w:themeColor="text1"/>
                <w:kern w:val="0"/>
                <w:szCs w:val="21"/>
                <w:highlight w:val="none"/>
                <w14:textFill>
                  <w14:solidFill>
                    <w14:schemeClr w14:val="tx1"/>
                  </w14:solidFill>
                </w14:textFill>
              </w:rPr>
              <w:t>日前发布，发布时间至投标截止时间不足</w:t>
            </w:r>
            <w:r>
              <w:rPr>
                <w:rFonts w:hint="eastAsia" w:ascii="宋体" w:hAnsi="宋体"/>
                <w:snapToGrid w:val="0"/>
                <w:color w:val="000000" w:themeColor="text1"/>
                <w:kern w:val="0"/>
                <w:szCs w:val="21"/>
                <w:highlight w:val="none"/>
                <w:lang w:val="en-US" w:eastAsia="zh-CN"/>
                <w14:textFill>
                  <w14:solidFill>
                    <w14:schemeClr w14:val="tx1"/>
                  </w14:solidFill>
                </w14:textFill>
              </w:rPr>
              <w:t>1</w:t>
            </w:r>
            <w:r>
              <w:rPr>
                <w:rFonts w:ascii="宋体" w:hAnsi="宋体"/>
                <w:snapToGrid w:val="0"/>
                <w:color w:val="000000" w:themeColor="text1"/>
                <w:kern w:val="0"/>
                <w:szCs w:val="21"/>
                <w:highlight w:val="none"/>
                <w14:textFill>
                  <w14:solidFill>
                    <w14:schemeClr w14:val="tx1"/>
                  </w14:solidFill>
                </w14:textFill>
              </w:rPr>
              <w:t>日的，须相应延后投标截止时间。</w:t>
            </w:r>
          </w:p>
        </w:tc>
      </w:tr>
      <w:tr w14:paraId="725E1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1AD3FA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3.1.1</w:t>
            </w:r>
          </w:p>
        </w:tc>
        <w:tc>
          <w:tcPr>
            <w:tcW w:w="1644" w:type="dxa"/>
            <w:noWrap w:val="0"/>
            <w:vAlign w:val="center"/>
          </w:tcPr>
          <w:p w14:paraId="3BCB2F49">
            <w:pPr>
              <w:snapToGrid w:val="0"/>
              <w:spacing w:after="31" w:afterLines="10"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构成投标文件的其他材料</w:t>
            </w:r>
          </w:p>
        </w:tc>
        <w:tc>
          <w:tcPr>
            <w:tcW w:w="6490" w:type="dxa"/>
            <w:noWrap w:val="0"/>
            <w:vAlign w:val="center"/>
          </w:tcPr>
          <w:p w14:paraId="6A3F1A47">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投标人的书面澄清、说明和补正（但不得改变投标文件的实质性内容）</w:t>
            </w:r>
          </w:p>
        </w:tc>
      </w:tr>
      <w:tr w14:paraId="5FD8C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E0D75CB">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3.2</w:t>
            </w:r>
          </w:p>
        </w:tc>
        <w:tc>
          <w:tcPr>
            <w:tcW w:w="1644" w:type="dxa"/>
            <w:noWrap w:val="0"/>
            <w:vAlign w:val="center"/>
          </w:tcPr>
          <w:p w14:paraId="2411CB43">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投标报价</w:t>
            </w:r>
          </w:p>
        </w:tc>
        <w:tc>
          <w:tcPr>
            <w:tcW w:w="6490" w:type="dxa"/>
            <w:noWrap w:val="0"/>
            <w:vAlign w:val="center"/>
          </w:tcPr>
          <w:p w14:paraId="0B0FF57C">
            <w:pPr>
              <w:pStyle w:val="2"/>
              <w:tabs>
                <w:tab w:val="left" w:pos="546"/>
                <w:tab w:val="left" w:pos="711"/>
              </w:tabs>
              <w:snapToGrid w:val="0"/>
              <w:spacing w:after="0" w:line="4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本项目</w:t>
            </w:r>
            <w:r>
              <w:rPr>
                <w:rFonts w:hint="eastAsia"/>
                <w:color w:val="000000" w:themeColor="text1"/>
                <w14:textFill>
                  <w14:solidFill>
                    <w14:schemeClr w14:val="tx1"/>
                  </w14:solidFill>
                </w14:textFill>
              </w:rPr>
              <w:t>采用工程量清单计价。工程量清单应采用综合单价计价。</w:t>
            </w:r>
          </w:p>
          <w:p w14:paraId="328255E5">
            <w:pPr>
              <w:pStyle w:val="2"/>
              <w:tabs>
                <w:tab w:val="left" w:pos="546"/>
                <w:tab w:val="left" w:pos="711"/>
              </w:tabs>
              <w:snapToGrid w:val="0"/>
              <w:spacing w:after="0" w:line="400" w:lineRule="exact"/>
              <w:ind w:left="6" w:leftChars="3"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w:t>
            </w:r>
            <w:r>
              <w:rPr>
                <w:rFonts w:hint="eastAsia"/>
                <w:color w:val="000000" w:themeColor="text1"/>
                <w:lang w:eastAsia="zh-CN"/>
                <w14:textFill>
                  <w14:solidFill>
                    <w14:schemeClr w14:val="tx1"/>
                  </w14:solidFill>
                </w14:textFill>
              </w:rPr>
              <w:t>比选</w:t>
            </w:r>
            <w:r>
              <w:rPr>
                <w:rFonts w:hint="eastAsia"/>
                <w:color w:val="000000" w:themeColor="text1"/>
                <w14:textFill>
                  <w14:solidFill>
                    <w14:schemeClr w14:val="tx1"/>
                  </w14:solidFill>
                </w14:textFill>
              </w:rPr>
              <w:t>范围内的全部工程的投标报价，并以投标人在工程量清单中提出的单价或总价</w:t>
            </w:r>
            <w:r>
              <w:rPr>
                <w:color w:val="000000" w:themeColor="text1"/>
                <w14:textFill>
                  <w14:solidFill>
                    <w14:schemeClr w14:val="tx1"/>
                  </w14:solidFill>
                </w14:textFill>
              </w:rPr>
              <w:footnoteReference w:id="0"/>
            </w:r>
            <w:r>
              <w:rPr>
                <w:rFonts w:hint="eastAsia"/>
                <w:color w:val="000000" w:themeColor="text1"/>
                <w14:textFill>
                  <w14:solidFill>
                    <w14:schemeClr w14:val="tx1"/>
                  </w14:solidFill>
                </w14:textFill>
              </w:rPr>
              <w:t>为依据。</w:t>
            </w:r>
          </w:p>
          <w:p w14:paraId="7A3D83B1">
            <w:pPr>
              <w:tabs>
                <w:tab w:val="left" w:pos="546"/>
                <w:tab w:val="left" w:pos="711"/>
              </w:tabs>
              <w:snapToGrid w:val="0"/>
              <w:spacing w:line="400" w:lineRule="exact"/>
              <w:ind w:left="6" w:leftChars="3"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投标人应认真填写工程量清单中所列的本合同各工程子目的单价或总价。投标人没有填入单价或总价的工程子目，</w:t>
            </w:r>
            <w:r>
              <w:rPr>
                <w:rFonts w:hint="eastAsia"/>
                <w:color w:val="000000" w:themeColor="text1"/>
                <w:lang w:eastAsia="zh-CN"/>
                <w14:textFill>
                  <w14:solidFill>
                    <w14:schemeClr w14:val="tx1"/>
                  </w14:solidFill>
                </w14:textFill>
              </w:rPr>
              <w:t>比选</w:t>
            </w:r>
            <w:r>
              <w:rPr>
                <w:rFonts w:hint="eastAsia"/>
                <w:color w:val="000000" w:themeColor="text1"/>
                <w14:textFill>
                  <w14:solidFill>
                    <w14:schemeClr w14:val="tx1"/>
                  </w14:solidFill>
                </w14:textFill>
              </w:rPr>
              <w:t>人将认为该子目的价款已包括在工程量清单其他子目的单价和总价中。投标人必须按</w:t>
            </w:r>
            <w:r>
              <w:rPr>
                <w:rFonts w:hint="eastAsia"/>
                <w:color w:val="000000" w:themeColor="text1"/>
                <w:lang w:eastAsia="zh-CN"/>
                <w14:textFill>
                  <w14:solidFill>
                    <w14:schemeClr w14:val="tx1"/>
                  </w14:solidFill>
                </w14:textFill>
              </w:rPr>
              <w:t>比选</w:t>
            </w:r>
            <w:r>
              <w:rPr>
                <w:rFonts w:hint="eastAsia"/>
                <w:color w:val="000000" w:themeColor="text1"/>
                <w14:textFill>
                  <w14:solidFill>
                    <w14:schemeClr w14:val="tx1"/>
                  </w14:solidFill>
                </w14:textFill>
              </w:rPr>
              <w:t>工程量清单填报价格。项目编码、项目名称、项目特征、计量单位、工程量必须与</w:t>
            </w:r>
            <w:r>
              <w:rPr>
                <w:rFonts w:hint="eastAsia"/>
                <w:color w:val="000000" w:themeColor="text1"/>
                <w:lang w:eastAsia="zh-CN"/>
                <w14:textFill>
                  <w14:solidFill>
                    <w14:schemeClr w14:val="tx1"/>
                  </w14:solidFill>
                </w14:textFill>
              </w:rPr>
              <w:t>比选</w:t>
            </w:r>
            <w:r>
              <w:rPr>
                <w:rFonts w:hint="eastAsia"/>
                <w:color w:val="000000" w:themeColor="text1"/>
                <w14:textFill>
                  <w14:solidFill>
                    <w14:schemeClr w14:val="tx1"/>
                  </w14:solidFill>
                </w14:textFill>
              </w:rPr>
              <w:t>工程量清单一致。</w:t>
            </w:r>
          </w:p>
          <w:p w14:paraId="4DED4F1D">
            <w:pPr>
              <w:tabs>
                <w:tab w:val="left" w:pos="546"/>
                <w:tab w:val="left" w:pos="711"/>
              </w:tabs>
              <w:snapToGrid w:val="0"/>
              <w:spacing w:line="400" w:lineRule="exact"/>
              <w:ind w:left="6" w:leftChars="3" w:firstLine="420" w:firstLineChars="200"/>
              <w:rPr>
                <w:rFonts w:hint="eastAsia"/>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投标函中的总报价必须与已标价工程量清单总报价一致。否则由评标委员会作否决投标处理。</w:t>
            </w:r>
          </w:p>
          <w:p w14:paraId="64B96113">
            <w:pPr>
              <w:pStyle w:val="2"/>
              <w:tabs>
                <w:tab w:val="left" w:pos="546"/>
                <w:tab w:val="left" w:pos="711"/>
              </w:tabs>
              <w:snapToGrid w:val="0"/>
              <w:spacing w:after="0" w:line="400" w:lineRule="exact"/>
              <w:ind w:left="6" w:leftChars="3" w:firstLine="420" w:firstLineChars="200"/>
              <w:rPr>
                <w:rFonts w:hint="eastAsia"/>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增值税计税方法由</w:t>
            </w:r>
            <w:r>
              <w:rPr>
                <w:rFonts w:hint="eastAsia"/>
                <w:color w:val="000000" w:themeColor="text1"/>
                <w:lang w:eastAsia="zh-CN"/>
                <w14:textFill>
                  <w14:solidFill>
                    <w14:schemeClr w14:val="tx1"/>
                  </w14:solidFill>
                </w14:textFill>
              </w:rPr>
              <w:t>比选</w:t>
            </w:r>
            <w:r>
              <w:rPr>
                <w:rFonts w:hint="eastAsia"/>
                <w:color w:val="000000" w:themeColor="text1"/>
                <w14:textFill>
                  <w14:solidFill>
                    <w14:schemeClr w14:val="tx1"/>
                  </w14:solidFill>
                </w14:textFill>
              </w:rPr>
              <w:t>人依据国家税法规定选择：</w:t>
            </w:r>
          </w:p>
          <w:p w14:paraId="117CA6CF">
            <w:pPr>
              <w:pStyle w:val="2"/>
              <w:tabs>
                <w:tab w:val="left" w:pos="546"/>
                <w:tab w:val="left" w:pos="711"/>
              </w:tabs>
              <w:snapToGrid w:val="0"/>
              <w:spacing w:after="0" w:line="400" w:lineRule="exact"/>
              <w:ind w:left="6" w:leftChars="3"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一般计税法</w:t>
            </w:r>
          </w:p>
          <w:p w14:paraId="454AAF60">
            <w:pPr>
              <w:pStyle w:val="2"/>
              <w:tabs>
                <w:tab w:val="left" w:pos="546"/>
                <w:tab w:val="left" w:pos="711"/>
              </w:tabs>
              <w:snapToGrid w:val="0"/>
              <w:spacing w:after="0" w:line="400" w:lineRule="exact"/>
              <w:ind w:left="6" w:leftChars="3"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如发现工程量清单中的数量与图纸中数量不一致，应于本须知第2.2.1项中规定的时间前书面通知</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人核查，除非</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人以修改的形式予以更正，否则，应以工程量清单中列出的数量为准。</w:t>
            </w:r>
          </w:p>
          <w:p w14:paraId="2086DEAC">
            <w:pPr>
              <w:tabs>
                <w:tab w:val="left" w:pos="546"/>
                <w:tab w:val="left" w:pos="711"/>
              </w:tabs>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人在工程量清单中所列出的价格（包括暂列金额、暂估价等），投标人不得修改</w:t>
            </w:r>
            <w:r>
              <w:rPr>
                <w:rFonts w:hint="eastAsia" w:ascii="宋体" w:hAnsi="宋体"/>
                <w:color w:val="000000" w:themeColor="text1"/>
                <w:szCs w:val="21"/>
                <w:highlight w:val="none"/>
                <w14:textFill>
                  <w14:solidFill>
                    <w14:schemeClr w14:val="tx1"/>
                  </w14:solidFill>
                </w14:textFill>
              </w:rPr>
              <w:t>。</w:t>
            </w:r>
          </w:p>
          <w:p w14:paraId="7E205181">
            <w:pPr>
              <w:tabs>
                <w:tab w:val="left" w:pos="546"/>
                <w:tab w:val="left" w:pos="711"/>
              </w:tabs>
              <w:snapToGrid w:val="0"/>
              <w:spacing w:line="400" w:lineRule="exact"/>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8.本工程比选将设置投标总报价最高限价，本项目投标总报价最高限价为</w:t>
            </w:r>
            <w:r>
              <w:rPr>
                <w:rFonts w:hint="eastAsia" w:ascii="宋体" w:hAnsi="宋体" w:cs="宋体"/>
                <w:color w:val="000000" w:themeColor="text1"/>
                <w:szCs w:val="21"/>
                <w:highlight w:val="none"/>
                <w:lang w:val="en-US" w:eastAsia="zh-CN"/>
                <w14:textFill>
                  <w14:solidFill>
                    <w14:schemeClr w14:val="tx1"/>
                  </w14:solidFill>
                </w14:textFill>
              </w:rPr>
              <w:t>178411.59元（大写：壹拾柒万捌仟肆佰壹拾壹元伍角玖分）</w:t>
            </w:r>
            <w:r>
              <w:rPr>
                <w:rFonts w:hint="eastAsia" w:ascii="宋体" w:hAnsi="宋体" w:cs="宋体"/>
                <w:color w:val="000000" w:themeColor="text1"/>
                <w:szCs w:val="21"/>
                <w:highlight w:val="none"/>
                <w:lang w:eastAsia="zh-CN"/>
                <w14:textFill>
                  <w14:solidFill>
                    <w14:schemeClr w14:val="tx1"/>
                  </w14:solidFill>
                </w14:textFill>
              </w:rPr>
              <w:t>，其中安全文明施工费</w:t>
            </w:r>
            <w:r>
              <w:rPr>
                <w:rFonts w:hint="eastAsia" w:ascii="宋体" w:hAnsi="宋体" w:cs="宋体"/>
                <w:color w:val="000000" w:themeColor="text1"/>
                <w:szCs w:val="21"/>
                <w:highlight w:val="none"/>
                <w:lang w:val="en-US" w:eastAsia="zh-CN"/>
                <w14:textFill>
                  <w14:solidFill>
                    <w14:schemeClr w14:val="tx1"/>
                  </w14:solidFill>
                </w14:textFill>
              </w:rPr>
              <w:t>6023.57元；</w:t>
            </w:r>
            <w:r>
              <w:rPr>
                <w:rFonts w:hint="eastAsia" w:ascii="宋体" w:hAnsi="宋体" w:cs="宋体"/>
                <w:color w:val="000000" w:themeColor="text1"/>
                <w:szCs w:val="21"/>
                <w:highlight w:val="none"/>
                <w:lang w:eastAsia="zh-CN"/>
                <w14:textFill>
                  <w14:solidFill>
                    <w14:schemeClr w14:val="tx1"/>
                  </w14:solidFill>
                </w14:textFill>
              </w:rPr>
              <w:t>投标人的投标总报价不得超过投标总报价最高限价，否则由评标委员会作否决投标处理。</w:t>
            </w:r>
          </w:p>
          <w:p w14:paraId="52787D89">
            <w:pPr>
              <w:tabs>
                <w:tab w:val="left" w:pos="546"/>
                <w:tab w:val="left" w:pos="711"/>
              </w:tabs>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本工程</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将设置全部工程量清单综合单价最高限价，</w:t>
            </w:r>
            <w:r>
              <w:rPr>
                <w:rFonts w:hint="eastAsia" w:ascii="宋体" w:hAnsi="宋体" w:cs="宋体"/>
                <w:color w:val="000000" w:themeColor="text1"/>
                <w:szCs w:val="21"/>
                <w:highlight w:val="none"/>
                <w:lang w:eastAsia="zh-CN"/>
                <w14:textFill>
                  <w14:solidFill>
                    <w14:schemeClr w14:val="tx1"/>
                  </w14:solidFill>
                </w14:textFill>
              </w:rPr>
              <w:t>随比选文件一同发布</w:t>
            </w:r>
            <w:r>
              <w:rPr>
                <w:rFonts w:hint="eastAsia" w:ascii="宋体" w:hAnsi="宋体" w:cs="宋体"/>
                <w:color w:val="000000" w:themeColor="text1"/>
                <w:szCs w:val="21"/>
                <w:highlight w:val="none"/>
                <w14:textFill>
                  <w14:solidFill>
                    <w14:schemeClr w14:val="tx1"/>
                  </w14:solidFill>
                </w14:textFill>
              </w:rPr>
              <w:t>，投标人的每项清单综合单价报价不得超过每项清单综合单价最高限价，否则由评标委员会作</w:t>
            </w:r>
            <w:r>
              <w:rPr>
                <w:rFonts w:hint="eastAsia" w:ascii="宋体" w:hAnsi="宋体"/>
                <w:color w:val="000000" w:themeColor="text1"/>
                <w:szCs w:val="21"/>
                <w:highlight w:val="none"/>
                <w14:textFill>
                  <w14:solidFill>
                    <w14:schemeClr w14:val="tx1"/>
                  </w14:solidFill>
                </w14:textFill>
              </w:rPr>
              <w:t>否决投标处理。</w:t>
            </w:r>
          </w:p>
          <w:p w14:paraId="5A9E3268">
            <w:pPr>
              <w:tabs>
                <w:tab w:val="left" w:pos="546"/>
                <w:tab w:val="left" w:pos="711"/>
              </w:tabs>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投标人须在投标文件资格审查部分提供承诺函，承诺函包括以下内容：</w:t>
            </w:r>
          </w:p>
          <w:p w14:paraId="14391CD5">
            <w:pPr>
              <w:tabs>
                <w:tab w:val="left" w:pos="546"/>
                <w:tab w:val="left" w:pos="711"/>
              </w:tabs>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（1）符合第五章“工程量清单”给出的范围及数量。</w:t>
            </w:r>
          </w:p>
          <w:p w14:paraId="56E8BACB">
            <w:pPr>
              <w:tabs>
                <w:tab w:val="left" w:pos="546"/>
                <w:tab w:val="left" w:pos="711"/>
              </w:tabs>
              <w:snapToGrid w:val="0"/>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文件中规定工程量清单不允许修改的内容不得修改。</w:t>
            </w:r>
          </w:p>
          <w:p w14:paraId="746A2DC3">
            <w:pPr>
              <w:tabs>
                <w:tab w:val="left" w:pos="546"/>
                <w:tab w:val="left" w:pos="711"/>
              </w:tabs>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（3）每项工程量清单综合单价报价不得高于对应工程量清单综合单价最高限价。</w:t>
            </w:r>
          </w:p>
          <w:p w14:paraId="398236A5">
            <w:pPr>
              <w:pStyle w:val="2"/>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9.安全文明施工费：</w:t>
            </w:r>
          </w:p>
          <w:p w14:paraId="72AB84CE">
            <w:pPr>
              <w:pStyle w:val="2"/>
              <w:tabs>
                <w:tab w:val="left" w:pos="546"/>
                <w:tab w:val="left" w:pos="711"/>
              </w:tabs>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9.1</w:t>
            </w:r>
            <w:r>
              <w:rPr>
                <w:rFonts w:hint="eastAsia" w:ascii="宋体" w:hAnsi="宋体" w:cs="宋体"/>
                <w:color w:val="000000" w:themeColor="text1"/>
                <w:szCs w:val="21"/>
                <w:highlight w:val="none"/>
                <w14:textFill>
                  <w14:solidFill>
                    <w14:schemeClr w14:val="tx1"/>
                  </w14:solidFill>
                </w14:textFill>
              </w:rPr>
              <w:t>根据《重庆城乡建设委员会关于印发</w:t>
            </w:r>
            <w:r>
              <w:rPr>
                <w:rFonts w:ascii="宋体" w:hAnsi="宋体" w:cs="宋体"/>
                <w:color w:val="000000" w:themeColor="text1"/>
                <w:szCs w:val="21"/>
                <w:highlight w:val="none"/>
                <w14:textFill>
                  <w14:solidFill>
                    <w14:schemeClr w14:val="tx1"/>
                  </w14:solidFill>
                </w14:textFill>
              </w:rPr>
              <w:t>&lt;</w:t>
            </w:r>
            <w:r>
              <w:rPr>
                <w:rFonts w:hint="eastAsia" w:ascii="宋体" w:hAnsi="宋体" w:cs="宋体"/>
                <w:color w:val="000000" w:themeColor="text1"/>
                <w:szCs w:val="21"/>
                <w:highlight w:val="none"/>
                <w14:textFill>
                  <w14:solidFill>
                    <w14:schemeClr w14:val="tx1"/>
                  </w14:solidFill>
                </w14:textFill>
              </w:rPr>
              <w:t>重庆市建设工程安全文明施工费计取及使用管理规定</w:t>
            </w:r>
            <w:r>
              <w:rPr>
                <w:rFonts w:ascii="宋体" w:hAnsi="宋体" w:cs="宋体"/>
                <w:color w:val="000000" w:themeColor="text1"/>
                <w:szCs w:val="21"/>
                <w:highlight w:val="none"/>
                <w14:textFill>
                  <w14:solidFill>
                    <w14:schemeClr w14:val="tx1"/>
                  </w14:solidFill>
                </w14:textFill>
              </w:rPr>
              <w:t>&gt;</w:t>
            </w:r>
            <w:r>
              <w:rPr>
                <w:rFonts w:hint="eastAsia" w:ascii="宋体" w:hAnsi="宋体" w:cs="宋体"/>
                <w:color w:val="000000" w:themeColor="text1"/>
                <w:szCs w:val="21"/>
                <w:highlight w:val="none"/>
                <w14:textFill>
                  <w14:solidFill>
                    <w14:schemeClr w14:val="tx1"/>
                  </w14:solidFill>
                </w14:textFill>
              </w:rPr>
              <w:t>的通知》（渝建发〔2014〕25号）规定，安全文明施工费由安全施工费、文明施工费、环境保护费及临时设施费组成。</w:t>
            </w:r>
          </w:p>
          <w:p w14:paraId="59E2B03B">
            <w:pPr>
              <w:pStyle w:val="97"/>
              <w:spacing w:line="400" w:lineRule="exact"/>
              <w:ind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9.2本工程安全文明施工费由</w:t>
            </w:r>
            <w:r>
              <w:rPr>
                <w:rFonts w:hint="eastAsia"/>
                <w:color w:val="000000" w:themeColor="text1"/>
                <w:sz w:val="21"/>
                <w:szCs w:val="21"/>
                <w:highlight w:val="none"/>
                <w:lang w:eastAsia="zh-CN"/>
                <w14:textFill>
                  <w14:solidFill>
                    <w14:schemeClr w14:val="tx1"/>
                  </w14:solidFill>
                </w14:textFill>
              </w:rPr>
              <w:t>比选</w:t>
            </w:r>
            <w:r>
              <w:rPr>
                <w:color w:val="000000" w:themeColor="text1"/>
                <w:sz w:val="21"/>
                <w:szCs w:val="21"/>
                <w:highlight w:val="none"/>
                <w14:textFill>
                  <w14:solidFill>
                    <w14:schemeClr w14:val="tx1"/>
                  </w14:solidFill>
                </w14:textFill>
              </w:rPr>
              <w:t>人根据《建设工程工程量清单计价规范》（GB50500-2013）、《重庆市建设工程工程量清单计价规则》（CQJJGZ-2013）、《</w:t>
            </w:r>
            <w:r>
              <w:rPr>
                <w:rFonts w:hint="eastAsia"/>
                <w:color w:val="000000" w:themeColor="text1"/>
                <w:sz w:val="21"/>
                <w:szCs w:val="21"/>
                <w:highlight w:val="none"/>
                <w14:textFill>
                  <w14:solidFill>
                    <w14:schemeClr w14:val="tx1"/>
                  </w14:solidFill>
                </w14:textFill>
              </w:rPr>
              <w:t>重庆市城乡建设委员会</w:t>
            </w:r>
            <w:r>
              <w:rPr>
                <w:color w:val="000000" w:themeColor="text1"/>
                <w:sz w:val="21"/>
                <w:szCs w:val="21"/>
                <w:highlight w:val="none"/>
                <w14:textFill>
                  <w14:solidFill>
                    <w14:schemeClr w14:val="tx1"/>
                  </w14:solidFill>
                </w14:textFill>
              </w:rPr>
              <w:t>关于印发&lt;重庆市建设工程安全文明施工费计取及使用管理规定&gt;的通知》（渝建发</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2014</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25号）</w:t>
            </w:r>
            <w:r>
              <w:rPr>
                <w:rFonts w:hint="eastAsia"/>
                <w:color w:val="000000" w:themeColor="text1"/>
                <w:sz w:val="21"/>
                <w:szCs w:val="21"/>
                <w:highlight w:val="none"/>
                <w14:textFill>
                  <w14:solidFill>
                    <w14:schemeClr w14:val="tx1"/>
                  </w14:solidFill>
                </w14:textFill>
              </w:rPr>
              <w:t>、《重庆市住房和城乡建设委员会关于调整建设施工现场形象品质提升安全文明施工费计取的通知》（渝建管〔2020〕97号）</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《重庆市建设工程费用定额》（CQFYDE-2018）、《重庆市住房和城乡建设委员会关于适用增值税新税率调整建设工程计价依据的通知》（渝建〔2019〕143号）</w:t>
            </w:r>
            <w:r>
              <w:rPr>
                <w:color w:val="000000" w:themeColor="text1"/>
                <w:sz w:val="21"/>
                <w:szCs w:val="21"/>
                <w:highlight w:val="none"/>
                <w14:textFill>
                  <w14:solidFill>
                    <w14:schemeClr w14:val="tx1"/>
                  </w14:solidFill>
                </w14:textFill>
              </w:rPr>
              <w:t>的相关规定和费用标准单列计算，安全文明施工费为暂定金额。</w:t>
            </w:r>
            <w:r>
              <w:rPr>
                <w:rFonts w:hint="eastAsia"/>
                <w:color w:val="000000" w:themeColor="text1"/>
                <w:sz w:val="21"/>
                <w:szCs w:val="21"/>
                <w:highlight w:val="none"/>
                <w:lang w:eastAsia="zh-CN"/>
                <w14:textFill>
                  <w14:solidFill>
                    <w14:schemeClr w14:val="tx1"/>
                  </w14:solidFill>
                </w14:textFill>
              </w:rPr>
              <w:t>本项目安全文明施工</w:t>
            </w:r>
            <w:r>
              <w:rPr>
                <w:rFonts w:hint="eastAsia"/>
                <w:color w:val="000000" w:themeColor="text1"/>
                <w:sz w:val="21"/>
                <w:szCs w:val="21"/>
                <w:highlight w:val="none"/>
                <w:lang w:val="en-US" w:eastAsia="zh-CN"/>
                <w14:textFill>
                  <w14:solidFill>
                    <w14:schemeClr w14:val="tx1"/>
                  </w14:solidFill>
                </w14:textFill>
              </w:rPr>
              <w:t>费为6023.57元。</w:t>
            </w:r>
            <w:r>
              <w:rPr>
                <w:color w:val="000000" w:themeColor="text1"/>
                <w:sz w:val="21"/>
                <w:szCs w:val="21"/>
                <w:highlight w:val="none"/>
                <w14:textFill>
                  <w14:solidFill>
                    <w14:schemeClr w14:val="tx1"/>
                  </w14:solidFill>
                </w14:textFill>
              </w:rPr>
              <w:t>《投标函》及工程量清单报价中的安全文明施工费必须按照</w:t>
            </w:r>
            <w:r>
              <w:rPr>
                <w:rFonts w:hint="eastAsia"/>
                <w:color w:val="000000" w:themeColor="text1"/>
                <w:sz w:val="21"/>
                <w:szCs w:val="21"/>
                <w:highlight w:val="none"/>
                <w:lang w:eastAsia="zh-CN"/>
                <w14:textFill>
                  <w14:solidFill>
                    <w14:schemeClr w14:val="tx1"/>
                  </w14:solidFill>
                </w14:textFill>
              </w:rPr>
              <w:t>比选</w:t>
            </w:r>
            <w:r>
              <w:rPr>
                <w:color w:val="000000" w:themeColor="text1"/>
                <w:sz w:val="21"/>
                <w:szCs w:val="21"/>
                <w:highlight w:val="none"/>
                <w14:textFill>
                  <w14:solidFill>
                    <w14:schemeClr w14:val="tx1"/>
                  </w14:solidFill>
                </w14:textFill>
              </w:rPr>
              <w:t>人给出的暂定金额填报，否则视为对</w:t>
            </w:r>
            <w:r>
              <w:rPr>
                <w:rFonts w:hint="eastAsia"/>
                <w:color w:val="000000" w:themeColor="text1"/>
                <w:sz w:val="21"/>
                <w:szCs w:val="21"/>
                <w:highlight w:val="none"/>
                <w:lang w:eastAsia="zh-CN"/>
                <w14:textFill>
                  <w14:solidFill>
                    <w14:schemeClr w14:val="tx1"/>
                  </w14:solidFill>
                </w14:textFill>
              </w:rPr>
              <w:t>比选</w:t>
            </w:r>
            <w:r>
              <w:rPr>
                <w:color w:val="000000" w:themeColor="text1"/>
                <w:sz w:val="21"/>
                <w:szCs w:val="21"/>
                <w:highlight w:val="none"/>
                <w14:textFill>
                  <w14:solidFill>
                    <w14:schemeClr w14:val="tx1"/>
                  </w14:solidFill>
                </w14:textFill>
              </w:rPr>
              <w:t>文件不作实质性响应，其投标文件</w:t>
            </w:r>
            <w:r>
              <w:rPr>
                <w:rFonts w:hint="eastAsia"/>
                <w:color w:val="000000" w:themeColor="text1"/>
                <w:sz w:val="21"/>
                <w:szCs w:val="21"/>
                <w:highlight w:val="none"/>
                <w14:textFill>
                  <w14:solidFill>
                    <w14:schemeClr w14:val="tx1"/>
                  </w14:solidFill>
                </w14:textFill>
              </w:rPr>
              <w:t>由评标委员会</w:t>
            </w:r>
            <w:r>
              <w:rPr>
                <w:color w:val="000000" w:themeColor="text1"/>
                <w:sz w:val="21"/>
                <w:szCs w:val="21"/>
                <w:highlight w:val="none"/>
                <w14:textFill>
                  <w14:solidFill>
                    <w14:schemeClr w14:val="tx1"/>
                  </w14:solidFill>
                </w14:textFill>
              </w:rPr>
              <w:t>作否决投标处理。</w:t>
            </w:r>
          </w:p>
          <w:p w14:paraId="0F71E76F">
            <w:pPr>
              <w:tabs>
                <w:tab w:val="left" w:pos="546"/>
                <w:tab w:val="left" w:pos="711"/>
              </w:tabs>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本工程所需材料（含设备）价格由投标人参照重庆市建设工</w:t>
            </w:r>
            <w:r>
              <w:rPr>
                <w:rFonts w:hint="eastAsia" w:ascii="宋体" w:hAnsi="宋体" w:cs="宋体"/>
                <w:color w:val="000000" w:themeColor="text1"/>
                <w:szCs w:val="21"/>
                <w:highlight w:val="none"/>
                <w14:textFill>
                  <w14:solidFill>
                    <w14:schemeClr w14:val="tx1"/>
                  </w14:solidFill>
                </w14:textFill>
              </w:rPr>
              <w:t>程造价管理总站发布的《重庆工程造价信息》或工程造价管理机构发布的工程造价信息（造价信息引用时限为</w:t>
            </w:r>
            <w:r>
              <w:rPr>
                <w:rFonts w:hint="eastAsia" w:ascii="宋体" w:hAnsi="宋体" w:cs="宋体"/>
                <w:color w:val="000000" w:themeColor="text1"/>
                <w:szCs w:val="21"/>
                <w:highlight w:val="none"/>
                <w:lang w:eastAsia="zh-CN"/>
                <w14:textFill>
                  <w14:solidFill>
                    <w14:schemeClr w14:val="tx1"/>
                  </w14:solidFill>
                </w14:textFill>
              </w:rPr>
              <w:t>比选</w:t>
            </w:r>
            <w:r>
              <w:rPr>
                <w:rFonts w:hint="eastAsia" w:ascii="宋体" w:hAnsi="宋体" w:cs="宋体"/>
                <w:color w:val="000000" w:themeColor="text1"/>
                <w:szCs w:val="21"/>
                <w:highlight w:val="none"/>
                <w14:textFill>
                  <w14:solidFill>
                    <w14:schemeClr w14:val="tx1"/>
                  </w14:solidFill>
                </w14:textFill>
              </w:rPr>
              <w:t>公告发布日期前一期），并结合市场行情及自身实力进行自主报价。</w:t>
            </w:r>
          </w:p>
          <w:p w14:paraId="5BAD0880">
            <w:pPr>
              <w:pStyle w:val="2"/>
              <w:tabs>
                <w:tab w:val="left" w:pos="546"/>
                <w:tab w:val="left" w:pos="711"/>
              </w:tabs>
              <w:snapToGrid w:val="0"/>
              <w:spacing w:after="0" w:line="400" w:lineRule="exact"/>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11.本项目材料及设备价格风险内容、范围及调整方法为：</w:t>
            </w:r>
            <w:r>
              <w:rPr>
                <w:rFonts w:hint="eastAsia" w:ascii="宋体" w:hAnsi="宋体" w:cs="宋体"/>
                <w:color w:val="000000" w:themeColor="text1"/>
                <w:szCs w:val="21"/>
                <w:highlight w:val="none"/>
                <w:u w:val="single"/>
                <w:lang w:eastAsia="zh-CN"/>
                <w14:textFill>
                  <w14:solidFill>
                    <w14:schemeClr w14:val="tx1"/>
                  </w14:solidFill>
                </w14:textFill>
              </w:rPr>
              <w:t>不调整。</w:t>
            </w:r>
          </w:p>
          <w:p w14:paraId="0488DDB3">
            <w:pPr>
              <w:pStyle w:val="2"/>
              <w:tabs>
                <w:tab w:val="left" w:pos="546"/>
                <w:tab w:val="left" w:pos="711"/>
              </w:tabs>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本项目所采用技术、工艺和产品等必须执行重庆市住房和城乡建设委员会关于发布《重庆市建设领域禁止、限制使用落后技术通告（2019年版）（渝建发〔2019〕25号）的规定。</w:t>
            </w:r>
          </w:p>
          <w:p w14:paraId="363ACF4A">
            <w:pPr>
              <w:pStyle w:val="56"/>
              <w:ind w:left="0" w:leftChars="0" w:firstLine="420" w:firstLineChars="200"/>
              <w:rPr>
                <w:color w:val="000000" w:themeColor="text1"/>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本工程主体结构若需混凝土，则必须使用商品混凝土，不得自建搅拌站。</w:t>
            </w:r>
          </w:p>
        </w:tc>
      </w:tr>
      <w:tr w14:paraId="68C5E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6A30FF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3.3.1</w:t>
            </w:r>
          </w:p>
        </w:tc>
        <w:tc>
          <w:tcPr>
            <w:tcW w:w="1644" w:type="dxa"/>
            <w:noWrap w:val="0"/>
            <w:vAlign w:val="center"/>
          </w:tcPr>
          <w:p w14:paraId="612E38FE">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投标有效期</w:t>
            </w:r>
          </w:p>
        </w:tc>
        <w:tc>
          <w:tcPr>
            <w:tcW w:w="6490" w:type="dxa"/>
            <w:noWrap w:val="0"/>
            <w:vAlign w:val="center"/>
          </w:tcPr>
          <w:p w14:paraId="67B196F1">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90</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日历天（从提交投标文件截止日起计算）</w:t>
            </w:r>
          </w:p>
        </w:tc>
      </w:tr>
      <w:tr w14:paraId="7CE34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4119910">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3.4</w:t>
            </w:r>
          </w:p>
        </w:tc>
        <w:tc>
          <w:tcPr>
            <w:tcW w:w="1644" w:type="dxa"/>
            <w:noWrap w:val="0"/>
            <w:vAlign w:val="center"/>
          </w:tcPr>
          <w:p w14:paraId="06B814D3">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投标保证金</w:t>
            </w:r>
          </w:p>
        </w:tc>
        <w:tc>
          <w:tcPr>
            <w:tcW w:w="6490" w:type="dxa"/>
            <w:noWrap w:val="0"/>
            <w:vAlign w:val="center"/>
          </w:tcPr>
          <w:p w14:paraId="33D2001A">
            <w:pPr>
              <w:pStyle w:val="312"/>
              <w:numPr>
                <w:ilvl w:val="0"/>
                <w:numId w:val="1"/>
              </w:numPr>
              <w:snapToGrid w:val="0"/>
              <w:spacing w:line="400" w:lineRule="exact"/>
              <w:ind w:firstLineChars="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投标保证金的形式：</w:t>
            </w:r>
          </w:p>
          <w:p w14:paraId="05066447">
            <w:pPr>
              <w:pStyle w:val="312"/>
              <w:snapToGrid w:val="0"/>
              <w:spacing w:line="400" w:lineRule="exact"/>
              <w:ind w:left="772" w:firstLine="0" w:firstLineChars="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现金。</w:t>
            </w:r>
          </w:p>
          <w:p w14:paraId="34F51950">
            <w:pPr>
              <w:snapToGrid w:val="0"/>
              <w:spacing w:line="400" w:lineRule="exact"/>
              <w:ind w:firstLine="405"/>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2、投标保证金的金额：</w:t>
            </w:r>
          </w:p>
          <w:p w14:paraId="0762B344">
            <w:pPr>
              <w:snapToGrid w:val="0"/>
              <w:spacing w:line="400" w:lineRule="exact"/>
              <w:ind w:firstLine="735" w:firstLineChars="35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保证金的金额为</w:t>
            </w:r>
            <w:r>
              <w:rPr>
                <w:rFonts w:hint="eastAsia" w:ascii="宋体" w:hAnsi="宋体" w:cs="仿宋_GB2312"/>
                <w:bCs/>
                <w:snapToGrid w:val="0"/>
                <w:color w:val="000000" w:themeColor="text1"/>
                <w:kern w:val="0"/>
                <w:sz w:val="21"/>
                <w:szCs w:val="21"/>
                <w:u w:val="single"/>
                <w:lang w:val="en-US" w:eastAsia="zh-CN" w:bidi="ar-SA"/>
                <w14:textFill>
                  <w14:solidFill>
                    <w14:schemeClr w14:val="tx1"/>
                  </w14:solidFill>
                </w14:textFill>
              </w:rPr>
              <w:t>3000.00</w:t>
            </w: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元（大写：</w:t>
            </w:r>
            <w:r>
              <w:rPr>
                <w:rFonts w:hint="eastAsia" w:ascii="宋体" w:hAnsi="宋体" w:cs="仿宋_GB2312"/>
                <w:bCs/>
                <w:snapToGrid w:val="0"/>
                <w:color w:val="000000" w:themeColor="text1"/>
                <w:kern w:val="0"/>
                <w:sz w:val="21"/>
                <w:szCs w:val="21"/>
                <w:lang w:val="en-US" w:eastAsia="zh-CN" w:bidi="ar-SA"/>
                <w14:textFill>
                  <w14:solidFill>
                    <w14:schemeClr w14:val="tx1"/>
                  </w14:solidFill>
                </w14:textFill>
              </w:rPr>
              <w:t>叁仟元整</w:t>
            </w: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w:t>
            </w:r>
          </w:p>
          <w:p w14:paraId="208EC039">
            <w:pPr>
              <w:snapToGrid w:val="0"/>
              <w:spacing w:line="400" w:lineRule="exact"/>
              <w:ind w:firstLine="422"/>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3、递交方式：</w:t>
            </w:r>
          </w:p>
          <w:p w14:paraId="56AD4072">
            <w:pPr>
              <w:tabs>
                <w:tab w:val="left" w:pos="546"/>
                <w:tab w:val="left" w:pos="711"/>
              </w:tabs>
              <w:autoSpaceDE w:val="0"/>
              <w:autoSpaceDN w:val="0"/>
              <w:adjustRightInd w:val="0"/>
              <w:snapToGrid w:val="0"/>
              <w:spacing w:line="500" w:lineRule="exact"/>
              <w:ind w:firstLine="735" w:firstLineChars="35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信封递交、信封上写明单位名称并盖单位公章。</w:t>
            </w:r>
          </w:p>
          <w:p w14:paraId="02D30994">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4、递交时间：</w:t>
            </w:r>
          </w:p>
          <w:p w14:paraId="57BE452D">
            <w:pPr>
              <w:tabs>
                <w:tab w:val="left" w:pos="546"/>
                <w:tab w:val="left" w:pos="711"/>
              </w:tabs>
              <w:autoSpaceDE w:val="0"/>
              <w:autoSpaceDN w:val="0"/>
              <w:adjustRightInd w:val="0"/>
              <w:snapToGrid w:val="0"/>
              <w:spacing w:line="500" w:lineRule="exact"/>
              <w:ind w:firstLine="735" w:firstLineChars="35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递交投标文件时，同时递交。</w:t>
            </w:r>
          </w:p>
          <w:p w14:paraId="51649448">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5、投标保证金退还：</w:t>
            </w:r>
          </w:p>
          <w:p w14:paraId="57CF29AE">
            <w:pPr>
              <w:snapToGrid w:val="0"/>
              <w:spacing w:line="400" w:lineRule="exact"/>
              <w:ind w:firstLine="420" w:firstLineChars="20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cs="仿宋_GB2312"/>
                <w:bCs/>
                <w:snapToGrid w:val="0"/>
                <w:color w:val="000000" w:themeColor="text1"/>
                <w:kern w:val="0"/>
                <w:sz w:val="21"/>
                <w:szCs w:val="21"/>
                <w:lang w:val="en-US" w:eastAsia="zh-CN" w:bidi="ar-SA"/>
                <w14:textFill>
                  <w14:solidFill>
                    <w14:schemeClr w14:val="tx1"/>
                  </w14:solidFill>
                </w14:textFill>
              </w:rPr>
              <w:t>①</w:t>
            </w: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开标结束后当场退还除中标候选人外其他投标人的投标保证金。</w:t>
            </w:r>
          </w:p>
          <w:p w14:paraId="633E976B">
            <w:pPr>
              <w:snapToGrid w:val="0"/>
              <w:spacing w:line="400" w:lineRule="exact"/>
              <w:ind w:firstLine="420" w:firstLineChars="200"/>
              <w:jc w:val="left"/>
              <w:rPr>
                <w:rFonts w:hint="default"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②</w:t>
            </w:r>
            <w:r>
              <w:rPr>
                <w:rFonts w:hint="eastAsia" w:ascii="宋体" w:hAnsi="宋体" w:cs="仿宋_GB2312"/>
                <w:bCs/>
                <w:snapToGrid w:val="0"/>
                <w:color w:val="000000" w:themeColor="text1"/>
                <w:kern w:val="0"/>
                <w:sz w:val="21"/>
                <w:szCs w:val="21"/>
                <w:lang w:val="en-US" w:eastAsia="zh-CN" w:bidi="ar-SA"/>
                <w14:textFill>
                  <w14:solidFill>
                    <w14:schemeClr w14:val="tx1"/>
                  </w14:solidFill>
                </w14:textFill>
              </w:rPr>
              <w:t>中标</w:t>
            </w: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人及其他</w:t>
            </w:r>
            <w:r>
              <w:rPr>
                <w:rFonts w:hint="eastAsia" w:ascii="宋体" w:hAnsi="宋体" w:cs="仿宋_GB2312"/>
                <w:bCs/>
                <w:snapToGrid w:val="0"/>
                <w:color w:val="000000" w:themeColor="text1"/>
                <w:kern w:val="0"/>
                <w:sz w:val="21"/>
                <w:szCs w:val="21"/>
                <w:lang w:val="en-US" w:eastAsia="zh-CN" w:bidi="ar-SA"/>
                <w14:textFill>
                  <w14:solidFill>
                    <w14:schemeClr w14:val="tx1"/>
                  </w14:solidFill>
                </w14:textFill>
              </w:rPr>
              <w:t>中标候</w:t>
            </w: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选人交纳的投标保证金，将于本项目合同签订后5个工作日内全额退还（不计息）</w:t>
            </w:r>
            <w:r>
              <w:rPr>
                <w:rFonts w:hint="eastAsia" w:ascii="宋体" w:hAnsi="宋体" w:cs="仿宋_GB2312"/>
                <w:bCs/>
                <w:snapToGrid w:val="0"/>
                <w:color w:val="000000" w:themeColor="text1"/>
                <w:kern w:val="0"/>
                <w:sz w:val="21"/>
                <w:szCs w:val="21"/>
                <w:lang w:val="en-US" w:eastAsia="zh-CN" w:bidi="ar-SA"/>
                <w14:textFill>
                  <w14:solidFill>
                    <w14:schemeClr w14:val="tx1"/>
                  </w14:solidFill>
                </w14:textFill>
              </w:rPr>
              <w:t>。</w:t>
            </w:r>
          </w:p>
          <w:p w14:paraId="43DB5728">
            <w:pPr>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特别提示：本工程投标人比选过程中有串标、围标等违法行为的按相关法律法规处理且投标保证金不予退还。本工程中选人无故放弃中选的按相关法律法规处理且投标保证金不予退还。本工程投标人报名后，无故放弃投标的按相关法律法规处理且投标保证金不予退还。</w:t>
            </w:r>
          </w:p>
        </w:tc>
      </w:tr>
      <w:tr w14:paraId="25399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35DDC03">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3.6</w:t>
            </w:r>
          </w:p>
        </w:tc>
        <w:tc>
          <w:tcPr>
            <w:tcW w:w="1644" w:type="dxa"/>
            <w:noWrap w:val="0"/>
            <w:vAlign w:val="center"/>
          </w:tcPr>
          <w:p w14:paraId="5096956D">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是否允许递交</w:t>
            </w:r>
          </w:p>
          <w:p w14:paraId="7178A27C">
            <w:pPr>
              <w:snapToGrid w:val="0"/>
              <w:spacing w:after="93" w:afterLines="30"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备选投标方案</w:t>
            </w:r>
          </w:p>
        </w:tc>
        <w:tc>
          <w:tcPr>
            <w:tcW w:w="6490" w:type="dxa"/>
            <w:noWrap w:val="0"/>
            <w:vAlign w:val="center"/>
          </w:tcPr>
          <w:p w14:paraId="2620C1FA">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不允许</w:t>
            </w:r>
          </w:p>
        </w:tc>
      </w:tr>
      <w:tr w14:paraId="503FF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9DB2CC9">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3.7.1</w:t>
            </w:r>
          </w:p>
        </w:tc>
        <w:tc>
          <w:tcPr>
            <w:tcW w:w="1644" w:type="dxa"/>
            <w:noWrap w:val="0"/>
            <w:vAlign w:val="center"/>
          </w:tcPr>
          <w:p w14:paraId="53E85461">
            <w:pPr>
              <w:snapToGrid w:val="0"/>
              <w:spacing w:after="93" w:afterLines="30"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投标文件格式要求</w:t>
            </w:r>
          </w:p>
        </w:tc>
        <w:tc>
          <w:tcPr>
            <w:tcW w:w="6490" w:type="dxa"/>
            <w:noWrap w:val="0"/>
            <w:vAlign w:val="center"/>
          </w:tcPr>
          <w:p w14:paraId="2BA313B1">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编制投标文件时不得对第八章“投标文件格式”的相应要素作实质性修改，否则由评标委员会作否决投标处理。</w:t>
            </w:r>
          </w:p>
        </w:tc>
      </w:tr>
      <w:tr w14:paraId="74D1D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3E1420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3.7.3</w:t>
            </w:r>
          </w:p>
        </w:tc>
        <w:tc>
          <w:tcPr>
            <w:tcW w:w="1644" w:type="dxa"/>
            <w:noWrap w:val="0"/>
            <w:vAlign w:val="center"/>
          </w:tcPr>
          <w:p w14:paraId="7074407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签字盖章要求</w:t>
            </w:r>
          </w:p>
        </w:tc>
        <w:tc>
          <w:tcPr>
            <w:tcW w:w="6490" w:type="dxa"/>
            <w:noWrap w:val="0"/>
            <w:vAlign w:val="center"/>
          </w:tcPr>
          <w:p w14:paraId="18EE860D">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投标文件应用不褪色的材料书写或打印，并由投标人的法定代表人或其委托代理人在</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文件规定的位置按</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14:paraId="5296B487">
            <w:pPr>
              <w:snapToGrid w:val="0"/>
              <w:spacing w:line="400" w:lineRule="exact"/>
              <w:ind w:firstLine="420" w:firstLineChars="200"/>
              <w:rPr>
                <w:rFonts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未按上述规定执行的，交由评标委员会作否决投标处理。</w:t>
            </w:r>
          </w:p>
        </w:tc>
      </w:tr>
      <w:tr w14:paraId="0CD98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1487E88">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3.7.4</w:t>
            </w:r>
          </w:p>
        </w:tc>
        <w:tc>
          <w:tcPr>
            <w:tcW w:w="1644" w:type="dxa"/>
            <w:noWrap w:val="0"/>
            <w:vAlign w:val="center"/>
          </w:tcPr>
          <w:p w14:paraId="525614C1">
            <w:pPr>
              <w:snapToGrid w:val="0"/>
              <w:spacing w:line="400" w:lineRule="exact"/>
              <w:rPr>
                <w:rFonts w:ascii="宋体" w:hAnsi="宋体"/>
                <w:color w:val="000000" w:themeColor="text1"/>
                <w:spacing w:val="-6"/>
                <w:kern w:val="0"/>
                <w:szCs w:val="21"/>
                <w:highlight w:val="none"/>
                <w14:textFill>
                  <w14:solidFill>
                    <w14:schemeClr w14:val="tx1"/>
                  </w14:solidFill>
                </w14:textFill>
              </w:rPr>
            </w:pPr>
            <w:r>
              <w:rPr>
                <w:rFonts w:ascii="宋体" w:hAnsi="宋体"/>
                <w:color w:val="000000" w:themeColor="text1"/>
                <w:spacing w:val="-6"/>
                <w:kern w:val="0"/>
                <w:szCs w:val="21"/>
                <w:highlight w:val="none"/>
                <w14:textFill>
                  <w14:solidFill>
                    <w14:schemeClr w14:val="tx1"/>
                  </w14:solidFill>
                </w14:textFill>
              </w:rPr>
              <w:t>投标文件的份数</w:t>
            </w:r>
          </w:p>
        </w:tc>
        <w:tc>
          <w:tcPr>
            <w:tcW w:w="6490" w:type="dxa"/>
            <w:noWrap w:val="0"/>
            <w:vAlign w:val="center"/>
          </w:tcPr>
          <w:p w14:paraId="3826EE71">
            <w:pPr>
              <w:autoSpaceDE w:val="0"/>
              <w:autoSpaceDN w:val="0"/>
              <w:adjustRightInd w:val="0"/>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投标文件正本</w:t>
            </w:r>
            <w:r>
              <w:rPr>
                <w:rFonts w:hint="eastAsia" w:ascii="宋体" w:hAnsi="宋体"/>
                <w:color w:val="000000" w:themeColor="text1"/>
                <w:kern w:val="0"/>
                <w:szCs w:val="21"/>
                <w:highlight w:val="none"/>
                <w14:textFill>
                  <w14:solidFill>
                    <w14:schemeClr w14:val="tx1"/>
                  </w14:solidFill>
                </w14:textFill>
              </w:rPr>
              <w:t>1份、副本2份。当副本和正本不一致时，以正本为准。否则由评标委员会作否决投标处理。</w:t>
            </w:r>
          </w:p>
        </w:tc>
      </w:tr>
      <w:tr w14:paraId="7F35B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4C1E086">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3.7.5</w:t>
            </w:r>
          </w:p>
        </w:tc>
        <w:tc>
          <w:tcPr>
            <w:tcW w:w="1644" w:type="dxa"/>
            <w:noWrap w:val="0"/>
            <w:vAlign w:val="center"/>
          </w:tcPr>
          <w:p w14:paraId="0E8FFC00">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装订要求</w:t>
            </w:r>
          </w:p>
        </w:tc>
        <w:tc>
          <w:tcPr>
            <w:tcW w:w="6490" w:type="dxa"/>
            <w:noWrap w:val="0"/>
            <w:vAlign w:val="center"/>
          </w:tcPr>
          <w:p w14:paraId="18268E64">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应将投标函部分、</w:t>
            </w:r>
            <w:r>
              <w:rPr>
                <w:rFonts w:hint="eastAsia" w:ascii="宋体" w:hAnsi="宋体"/>
                <w:color w:val="000000" w:themeColor="text1"/>
                <w:szCs w:val="21"/>
                <w:highlight w:val="none"/>
                <w14:textFill>
                  <w14:solidFill>
                    <w14:schemeClr w14:val="tx1"/>
                  </w14:solidFill>
                </w14:textFill>
              </w:rPr>
              <w:t>经济</w:t>
            </w:r>
            <w:r>
              <w:rPr>
                <w:rFonts w:ascii="宋体" w:hAnsi="宋体"/>
                <w:color w:val="000000" w:themeColor="text1"/>
                <w:szCs w:val="21"/>
                <w:highlight w:val="none"/>
                <w14:textFill>
                  <w14:solidFill>
                    <w14:schemeClr w14:val="tx1"/>
                  </w14:solidFill>
                </w14:textFill>
              </w:rPr>
              <w:t>部分、</w:t>
            </w:r>
            <w:r>
              <w:rPr>
                <w:rFonts w:hint="eastAsia" w:ascii="宋体" w:hAnsi="宋体"/>
                <w:color w:val="000000" w:themeColor="text1"/>
                <w:szCs w:val="21"/>
                <w:highlight w:val="none"/>
                <w14:textFill>
                  <w14:solidFill>
                    <w14:schemeClr w14:val="tx1"/>
                  </w14:solidFill>
                </w14:textFill>
              </w:rPr>
              <w:t>资格审查部分</w:t>
            </w:r>
            <w:r>
              <w:rPr>
                <w:rFonts w:ascii="宋体" w:hAnsi="宋体"/>
                <w:color w:val="000000" w:themeColor="text1"/>
                <w:szCs w:val="21"/>
                <w:highlight w:val="none"/>
                <w14:textFill>
                  <w14:solidFill>
                    <w14:schemeClr w14:val="tx1"/>
                  </w14:solidFill>
                </w14:textFill>
              </w:rPr>
              <w:t>各自分别装订成册</w:t>
            </w:r>
            <w:r>
              <w:rPr>
                <w:rFonts w:hint="eastAsia" w:ascii="宋体" w:hAnsi="宋体"/>
                <w:color w:val="000000" w:themeColor="text1"/>
                <w:szCs w:val="21"/>
                <w:highlight w:val="none"/>
                <w14:textFill>
                  <w14:solidFill>
                    <w14:schemeClr w14:val="tx1"/>
                  </w14:solidFill>
                </w14:textFill>
              </w:rPr>
              <w:t>，投标保函部分（如有）无需装订</w:t>
            </w:r>
            <w:r>
              <w:rPr>
                <w:rFonts w:ascii="宋体" w:hAnsi="宋体"/>
                <w:color w:val="000000" w:themeColor="text1"/>
                <w:szCs w:val="21"/>
                <w:highlight w:val="none"/>
                <w14:textFill>
                  <w14:solidFill>
                    <w14:schemeClr w14:val="tx1"/>
                  </w14:solidFill>
                </w14:textFill>
              </w:rPr>
              <w:t>。</w:t>
            </w:r>
          </w:p>
          <w:p w14:paraId="2BAB6FD7">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装订</w:t>
            </w:r>
          </w:p>
          <w:p w14:paraId="4D4A03DE">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ascii="宋体" w:hAnsi="宋体"/>
                <w:color w:val="000000" w:themeColor="text1"/>
                <w:szCs w:val="21"/>
                <w:highlight w:val="none"/>
                <w14:textFill>
                  <w14:solidFill>
                    <w14:schemeClr w14:val="tx1"/>
                  </w14:solidFill>
                </w14:textFill>
              </w:rPr>
              <w:t>）投标函部分的装订要求</w:t>
            </w:r>
          </w:p>
          <w:p w14:paraId="79AA8904">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应按照第八章规定格式装订成册。</w:t>
            </w:r>
          </w:p>
          <w:p w14:paraId="45DC9B8B">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经济</w:t>
            </w:r>
            <w:r>
              <w:rPr>
                <w:rFonts w:ascii="宋体" w:hAnsi="宋体"/>
                <w:color w:val="000000" w:themeColor="text1"/>
                <w:szCs w:val="21"/>
                <w:highlight w:val="none"/>
                <w14:textFill>
                  <w14:solidFill>
                    <w14:schemeClr w14:val="tx1"/>
                  </w14:solidFill>
                </w14:textFill>
              </w:rPr>
              <w:t>部分的装订要求</w:t>
            </w:r>
          </w:p>
          <w:p w14:paraId="6CACF7BE">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应按照第八章规定格式装订成册。</w:t>
            </w:r>
          </w:p>
          <w:p w14:paraId="43519DB3">
            <w:pPr>
              <w:adjustRightInd w:val="0"/>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资格审查部分</w:t>
            </w:r>
            <w:r>
              <w:rPr>
                <w:rFonts w:ascii="宋体" w:hAnsi="宋体"/>
                <w:color w:val="000000" w:themeColor="text1"/>
                <w:kern w:val="0"/>
                <w:szCs w:val="21"/>
                <w:highlight w:val="none"/>
                <w14:textFill>
                  <w14:solidFill>
                    <w14:schemeClr w14:val="tx1"/>
                  </w14:solidFill>
                </w14:textFill>
              </w:rPr>
              <w:t>的装订要求</w:t>
            </w:r>
          </w:p>
          <w:p w14:paraId="357AC3F1">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应按照第八章规定格式装订成册</w:t>
            </w:r>
            <w:r>
              <w:rPr>
                <w:rFonts w:ascii="宋体" w:hAnsi="宋体"/>
                <w:color w:val="000000" w:themeColor="text1"/>
                <w:kern w:val="0"/>
                <w:szCs w:val="21"/>
                <w:highlight w:val="none"/>
                <w14:textFill>
                  <w14:solidFill>
                    <w14:schemeClr w14:val="tx1"/>
                  </w14:solidFill>
                </w14:textFill>
              </w:rPr>
              <w:t>。</w:t>
            </w:r>
          </w:p>
        </w:tc>
      </w:tr>
      <w:tr w14:paraId="1427E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401485B">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4.1.1</w:t>
            </w:r>
          </w:p>
        </w:tc>
        <w:tc>
          <w:tcPr>
            <w:tcW w:w="1644" w:type="dxa"/>
            <w:noWrap w:val="0"/>
            <w:vAlign w:val="center"/>
          </w:tcPr>
          <w:p w14:paraId="51B6D99D">
            <w:pPr>
              <w:snapToGrid w:val="0"/>
              <w:spacing w:line="400" w:lineRule="exact"/>
              <w:jc w:val="center"/>
              <w:rPr>
                <w:rFonts w:hint="eastAsia" w:ascii="宋体" w:hAnsi="宋体"/>
                <w:color w:val="000000" w:themeColor="text1"/>
                <w:spacing w:val="-6"/>
                <w:kern w:val="0"/>
                <w:szCs w:val="21"/>
                <w:highlight w:val="none"/>
                <w14:textFill>
                  <w14:solidFill>
                    <w14:schemeClr w14:val="tx1"/>
                  </w14:solidFill>
                </w14:textFill>
              </w:rPr>
            </w:pPr>
            <w:r>
              <w:rPr>
                <w:rFonts w:ascii="宋体" w:hAnsi="宋体"/>
                <w:color w:val="000000" w:themeColor="text1"/>
                <w:spacing w:val="-6"/>
                <w:kern w:val="0"/>
                <w:szCs w:val="21"/>
                <w:highlight w:val="none"/>
                <w14:textFill>
                  <w14:solidFill>
                    <w14:schemeClr w14:val="tx1"/>
                  </w14:solidFill>
                </w14:textFill>
              </w:rPr>
              <w:t>投标文件的密封</w:t>
            </w:r>
          </w:p>
        </w:tc>
        <w:tc>
          <w:tcPr>
            <w:tcW w:w="6490" w:type="dxa"/>
            <w:noWrap w:val="0"/>
            <w:vAlign w:val="center"/>
          </w:tcPr>
          <w:p w14:paraId="43B6176C">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投标文件袋使用“投标函部分”袋、“</w:t>
            </w:r>
            <w:r>
              <w:rPr>
                <w:rFonts w:hint="eastAsia" w:ascii="宋体" w:hAnsi="宋体"/>
                <w:color w:val="000000" w:themeColor="text1"/>
                <w:szCs w:val="21"/>
                <w:highlight w:val="none"/>
                <w14:textFill>
                  <w14:solidFill>
                    <w14:schemeClr w14:val="tx1"/>
                  </w14:solidFill>
                </w14:textFill>
              </w:rPr>
              <w:t>经济</w:t>
            </w:r>
            <w:r>
              <w:rPr>
                <w:rFonts w:ascii="宋体" w:hAnsi="宋体"/>
                <w:color w:val="000000" w:themeColor="text1"/>
                <w:szCs w:val="21"/>
                <w:highlight w:val="none"/>
                <w14:textFill>
                  <w14:solidFill>
                    <w14:schemeClr w14:val="tx1"/>
                  </w14:solidFill>
                </w14:textFill>
              </w:rPr>
              <w:t>部分”袋、“</w:t>
            </w:r>
            <w:r>
              <w:rPr>
                <w:rFonts w:hint="eastAsia" w:ascii="宋体" w:hAnsi="宋体"/>
                <w:color w:val="000000" w:themeColor="text1"/>
                <w:szCs w:val="21"/>
                <w:highlight w:val="none"/>
                <w14:textFill>
                  <w14:solidFill>
                    <w14:schemeClr w14:val="tx1"/>
                  </w14:solidFill>
                </w14:textFill>
              </w:rPr>
              <w:t>资格审查部分</w:t>
            </w:r>
            <w:r>
              <w:rPr>
                <w:rFonts w:ascii="宋体" w:hAnsi="宋体"/>
                <w:color w:val="000000" w:themeColor="text1"/>
                <w:szCs w:val="21"/>
                <w:highlight w:val="none"/>
                <w14:textFill>
                  <w14:solidFill>
                    <w14:schemeClr w14:val="tx1"/>
                  </w14:solidFill>
                </w14:textFill>
              </w:rPr>
              <w:t>”袋。</w:t>
            </w:r>
          </w:p>
          <w:p w14:paraId="0E586D09">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投标函部分装入“投标函部分”袋中，密封并在袋上加盖投标人单位</w:t>
            </w:r>
            <w:r>
              <w:rPr>
                <w:rFonts w:hint="eastAsia" w:ascii="宋体" w:hAnsi="宋体"/>
                <w:color w:val="000000" w:themeColor="text1"/>
                <w:szCs w:val="21"/>
                <w:highlight w:val="none"/>
                <w:lang w:eastAsia="zh-CN"/>
                <w14:textFill>
                  <w14:solidFill>
                    <w14:schemeClr w14:val="tx1"/>
                  </w14:solidFill>
                </w14:textFill>
              </w:rPr>
              <w:t>公章</w:t>
            </w:r>
            <w:r>
              <w:rPr>
                <w:rFonts w:ascii="宋体" w:hAnsi="宋体"/>
                <w:color w:val="000000" w:themeColor="text1"/>
                <w:szCs w:val="21"/>
                <w:highlight w:val="none"/>
                <w14:textFill>
                  <w14:solidFill>
                    <w14:schemeClr w14:val="tx1"/>
                  </w14:solidFill>
                </w14:textFill>
              </w:rPr>
              <w:t>。</w:t>
            </w:r>
          </w:p>
          <w:p w14:paraId="755178C3">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pacing w:val="4"/>
                <w:szCs w:val="21"/>
                <w:highlight w:val="none"/>
                <w14:textFill>
                  <w14:solidFill>
                    <w14:schemeClr w14:val="tx1"/>
                  </w14:solidFill>
                </w14:textFill>
              </w:rPr>
              <w:t>经济</w:t>
            </w:r>
            <w:r>
              <w:rPr>
                <w:rFonts w:ascii="宋体" w:hAnsi="宋体"/>
                <w:color w:val="000000" w:themeColor="text1"/>
                <w:spacing w:val="4"/>
                <w:szCs w:val="21"/>
                <w:highlight w:val="none"/>
                <w14:textFill>
                  <w14:solidFill>
                    <w14:schemeClr w14:val="tx1"/>
                  </w14:solidFill>
                </w14:textFill>
              </w:rPr>
              <w:t>部分装入“</w:t>
            </w:r>
            <w:r>
              <w:rPr>
                <w:rFonts w:hint="eastAsia" w:ascii="宋体" w:hAnsi="宋体"/>
                <w:color w:val="000000" w:themeColor="text1"/>
                <w:spacing w:val="4"/>
                <w:szCs w:val="21"/>
                <w:highlight w:val="none"/>
                <w14:textFill>
                  <w14:solidFill>
                    <w14:schemeClr w14:val="tx1"/>
                  </w14:solidFill>
                </w14:textFill>
              </w:rPr>
              <w:t>经济</w:t>
            </w:r>
            <w:r>
              <w:rPr>
                <w:rFonts w:ascii="宋体" w:hAnsi="宋体"/>
                <w:color w:val="000000" w:themeColor="text1"/>
                <w:spacing w:val="4"/>
                <w:szCs w:val="21"/>
                <w:highlight w:val="none"/>
                <w14:textFill>
                  <w14:solidFill>
                    <w14:schemeClr w14:val="tx1"/>
                  </w14:solidFill>
                </w14:textFill>
              </w:rPr>
              <w:t>部分”袋中，密封并在袋上加盖投标人单</w:t>
            </w:r>
            <w:r>
              <w:rPr>
                <w:rFonts w:ascii="宋体" w:hAnsi="宋体"/>
                <w:color w:val="000000" w:themeColor="text1"/>
                <w:szCs w:val="21"/>
                <w:highlight w:val="none"/>
                <w14:textFill>
                  <w14:solidFill>
                    <w14:schemeClr w14:val="tx1"/>
                  </w14:solidFill>
                </w14:textFill>
              </w:rPr>
              <w:t>位</w:t>
            </w:r>
            <w:r>
              <w:rPr>
                <w:rFonts w:hint="eastAsia" w:ascii="宋体" w:hAnsi="宋体"/>
                <w:color w:val="000000" w:themeColor="text1"/>
                <w:szCs w:val="21"/>
                <w:highlight w:val="none"/>
                <w:lang w:eastAsia="zh-CN"/>
                <w14:textFill>
                  <w14:solidFill>
                    <w14:schemeClr w14:val="tx1"/>
                  </w14:solidFill>
                </w14:textFill>
              </w:rPr>
              <w:t>公章</w:t>
            </w:r>
            <w:r>
              <w:rPr>
                <w:rFonts w:ascii="宋体" w:hAnsi="宋体"/>
                <w:color w:val="000000" w:themeColor="text1"/>
                <w:szCs w:val="21"/>
                <w:highlight w:val="none"/>
                <w14:textFill>
                  <w14:solidFill>
                    <w14:schemeClr w14:val="tx1"/>
                  </w14:solidFill>
                </w14:textFill>
              </w:rPr>
              <w:t>。</w:t>
            </w:r>
          </w:p>
          <w:p w14:paraId="0660AFF3">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资格审查部分装入“资格审查部分”袋中，密封并在袋上加盖投标人单位</w:t>
            </w:r>
            <w:r>
              <w:rPr>
                <w:rFonts w:hint="eastAsia" w:ascii="宋体" w:hAnsi="宋体"/>
                <w:color w:val="000000" w:themeColor="text1"/>
                <w:szCs w:val="21"/>
                <w:highlight w:val="none"/>
                <w:lang w:eastAsia="zh-CN"/>
                <w14:textFill>
                  <w14:solidFill>
                    <w14:schemeClr w14:val="tx1"/>
                  </w14:solidFill>
                </w14:textFill>
              </w:rPr>
              <w:t>公章</w:t>
            </w:r>
            <w:r>
              <w:rPr>
                <w:rFonts w:hint="eastAsia" w:ascii="宋体" w:hAnsi="宋体"/>
                <w:color w:val="000000" w:themeColor="text1"/>
                <w:szCs w:val="21"/>
                <w:highlight w:val="none"/>
                <w14:textFill>
                  <w14:solidFill>
                    <w14:schemeClr w14:val="tx1"/>
                  </w14:solidFill>
                </w14:textFill>
              </w:rPr>
              <w:t>。</w:t>
            </w:r>
          </w:p>
          <w:p w14:paraId="2AF11FFF">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.“投标函部分”、“</w:t>
            </w:r>
            <w:r>
              <w:rPr>
                <w:rFonts w:hint="eastAsia" w:ascii="宋体" w:hAnsi="宋体"/>
                <w:color w:val="000000" w:themeColor="text1"/>
                <w:szCs w:val="21"/>
                <w:highlight w:val="none"/>
                <w14:textFill>
                  <w14:solidFill>
                    <w14:schemeClr w14:val="tx1"/>
                  </w14:solidFill>
                </w14:textFill>
              </w:rPr>
              <w:t>经济</w:t>
            </w:r>
            <w:r>
              <w:rPr>
                <w:rFonts w:ascii="宋体" w:hAnsi="宋体"/>
                <w:color w:val="000000" w:themeColor="text1"/>
                <w:szCs w:val="21"/>
                <w:highlight w:val="none"/>
                <w14:textFill>
                  <w14:solidFill>
                    <w14:schemeClr w14:val="tx1"/>
                  </w14:solidFill>
                </w14:textFill>
              </w:rPr>
              <w:t>部分”、</w:t>
            </w:r>
            <w:r>
              <w:rPr>
                <w:rFonts w:hint="eastAsia" w:ascii="宋体" w:hAnsi="宋体"/>
                <w:color w:val="000000" w:themeColor="text1"/>
                <w:szCs w:val="21"/>
                <w:highlight w:val="none"/>
                <w14:textFill>
                  <w14:solidFill>
                    <w14:schemeClr w14:val="tx1"/>
                  </w14:solidFill>
                </w14:textFill>
              </w:rPr>
              <w:t>“资格审查部分”</w:t>
            </w:r>
            <w:r>
              <w:rPr>
                <w:rFonts w:ascii="宋体" w:hAnsi="宋体"/>
                <w:color w:val="000000" w:themeColor="text1"/>
                <w:szCs w:val="21"/>
                <w:highlight w:val="none"/>
                <w14:textFill>
                  <w14:solidFill>
                    <w14:schemeClr w14:val="tx1"/>
                  </w14:solidFill>
                </w14:textFill>
              </w:rPr>
              <w:t>等小袋装入“投标文件”大袋中，密封并在大袋上加盖投标人单位</w:t>
            </w:r>
            <w:r>
              <w:rPr>
                <w:rFonts w:hint="eastAsia" w:ascii="宋体" w:hAnsi="宋体"/>
                <w:color w:val="000000" w:themeColor="text1"/>
                <w:szCs w:val="21"/>
                <w:highlight w:val="none"/>
                <w:lang w:eastAsia="zh-CN"/>
                <w14:textFill>
                  <w14:solidFill>
                    <w14:schemeClr w14:val="tx1"/>
                  </w14:solidFill>
                </w14:textFill>
              </w:rPr>
              <w:t>公章</w:t>
            </w:r>
            <w:r>
              <w:rPr>
                <w:rFonts w:ascii="宋体" w:hAnsi="宋体"/>
                <w:color w:val="000000" w:themeColor="text1"/>
                <w:szCs w:val="21"/>
                <w:highlight w:val="none"/>
                <w14:textFill>
                  <w14:solidFill>
                    <w14:schemeClr w14:val="tx1"/>
                  </w14:solidFill>
                </w14:textFill>
              </w:rPr>
              <w:t>，同时“投标文件”大袋应按本表第4.1.2项的规定写明相应内容。</w:t>
            </w:r>
            <w:r>
              <w:rPr>
                <w:rFonts w:hint="eastAsia" w:ascii="宋体" w:hAnsi="宋体"/>
                <w:color w:val="000000" w:themeColor="text1"/>
                <w:szCs w:val="21"/>
                <w:highlight w:val="none"/>
                <w14:textFill>
                  <w14:solidFill>
                    <w14:schemeClr w14:val="tx1"/>
                  </w14:solidFill>
                </w14:textFill>
              </w:rPr>
              <w:t>一个大袋装不下的，可使用多个大袋分册封装。大袋未按要求密封的，</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人或代理机构应该拒收。</w:t>
            </w:r>
          </w:p>
          <w:p w14:paraId="314D8808">
            <w:pPr>
              <w:adjustRightInd w:val="0"/>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注：“投标函部分”袋、“经济部分”袋、“资格审查部分”袋只为方便投标文件分装，不作为判定密封合格与否的条件。但为了方便开标，请各投标人主动配合，按要求分装。</w:t>
            </w:r>
          </w:p>
        </w:tc>
      </w:tr>
      <w:tr w14:paraId="40C19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56A057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4.1.2</w:t>
            </w:r>
          </w:p>
        </w:tc>
        <w:tc>
          <w:tcPr>
            <w:tcW w:w="1644" w:type="dxa"/>
            <w:noWrap w:val="0"/>
            <w:vAlign w:val="center"/>
          </w:tcPr>
          <w:p w14:paraId="29C4EF8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封套上写明</w:t>
            </w:r>
          </w:p>
        </w:tc>
        <w:tc>
          <w:tcPr>
            <w:tcW w:w="6490" w:type="dxa"/>
            <w:noWrap w:val="0"/>
            <w:vAlign w:val="center"/>
          </w:tcPr>
          <w:p w14:paraId="5F7994A0">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应在“投标文件”大袋封套上写明如下内容：</w:t>
            </w:r>
          </w:p>
          <w:p w14:paraId="7053991A">
            <w:pPr>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人名称：</w:t>
            </w:r>
            <w:r>
              <w:rPr>
                <w:rFonts w:hint="eastAsia" w:ascii="宋体" w:hAnsi="宋体" w:cs="Times New Roman"/>
                <w:color w:val="000000" w:themeColor="text1"/>
                <w:kern w:val="0"/>
                <w:szCs w:val="21"/>
                <w:highlight w:val="none"/>
                <w:u w:val="single"/>
                <w:lang w:val="zh-CN"/>
                <w14:textFill>
                  <w14:solidFill>
                    <w14:schemeClr w14:val="tx1"/>
                  </w14:solidFill>
                </w14:textFill>
              </w:rPr>
              <w:t>重庆玄天湖文化旅游开发有限公司</w:t>
            </w:r>
          </w:p>
          <w:p w14:paraId="2C576825">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投标人名称：</w:t>
            </w:r>
            <w:r>
              <w:rPr>
                <w:rFonts w:hint="eastAsia" w:ascii="宋体" w:hAnsi="宋体"/>
                <w:color w:val="000000" w:themeColor="text1"/>
                <w:kern w:val="0"/>
                <w:szCs w:val="21"/>
                <w:highlight w:val="none"/>
                <w:u w:val="single"/>
                <w14:textFill>
                  <w14:solidFill>
                    <w14:schemeClr w14:val="tx1"/>
                  </w14:solidFill>
                </w14:textFill>
              </w:rPr>
              <w:t xml:space="preserve">            </w:t>
            </w:r>
          </w:p>
          <w:p w14:paraId="76FA88ED">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s="Times New Roman"/>
                <w:color w:val="000000" w:themeColor="text1"/>
                <w:kern w:val="0"/>
                <w:szCs w:val="21"/>
                <w:highlight w:val="none"/>
                <w:u w:val="single"/>
                <w:lang w:val="zh-CN"/>
                <w14:textFill>
                  <w14:solidFill>
                    <w14:schemeClr w14:val="tx1"/>
                  </w14:solidFill>
                </w14:textFill>
              </w:rPr>
              <w:t>淮远龙街物业中心屋面增加防水及石材铺贴工程</w:t>
            </w:r>
            <w:r>
              <w:rPr>
                <w:rFonts w:ascii="宋体" w:hAnsi="宋体"/>
                <w:color w:val="000000" w:themeColor="text1"/>
                <w:kern w:val="0"/>
                <w:szCs w:val="21"/>
                <w:highlight w:val="none"/>
                <w14:textFill>
                  <w14:solidFill>
                    <w14:schemeClr w14:val="tx1"/>
                  </w14:solidFill>
                </w14:textFill>
              </w:rPr>
              <w:t>投标文件</w:t>
            </w:r>
          </w:p>
          <w:p w14:paraId="21A43101">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在</w:t>
            </w:r>
            <w:r>
              <w:rPr>
                <w:rFonts w:hint="eastAsia" w:ascii="宋体" w:hAnsi="宋体"/>
                <w:color w:val="000000" w:themeColor="text1"/>
                <w:kern w:val="0"/>
                <w:szCs w:val="21"/>
                <w:highlight w:val="none"/>
                <w:u w:val="single"/>
                <w:lang w:val="en-US" w:eastAsia="zh-CN"/>
                <w14:textFill>
                  <w14:solidFill>
                    <w14:schemeClr w14:val="tx1"/>
                  </w14:solidFill>
                </w14:textFill>
              </w:rPr>
              <w:t>2026</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时</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分前不得开启</w:t>
            </w:r>
          </w:p>
        </w:tc>
      </w:tr>
      <w:tr w14:paraId="369CB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C2F8A6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4.2.2</w:t>
            </w:r>
          </w:p>
        </w:tc>
        <w:tc>
          <w:tcPr>
            <w:tcW w:w="1644" w:type="dxa"/>
            <w:noWrap w:val="0"/>
            <w:vAlign w:val="center"/>
          </w:tcPr>
          <w:p w14:paraId="231A5AB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递交投标文件地点</w:t>
            </w:r>
          </w:p>
        </w:tc>
        <w:tc>
          <w:tcPr>
            <w:tcW w:w="6490" w:type="dxa"/>
            <w:noWrap w:val="0"/>
            <w:vAlign w:val="center"/>
          </w:tcPr>
          <w:p w14:paraId="7990B934">
            <w:pPr>
              <w:snapToGrid w:val="0"/>
              <w:spacing w:line="400" w:lineRule="exact"/>
              <w:ind w:firstLine="420" w:firstLineChars="200"/>
              <w:rPr>
                <w:rFonts w:hint="default" w:ascii="宋体" w:hAnsi="宋体" w:eastAsia="宋体"/>
                <w:bCs/>
                <w:i/>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重庆玄天湖文化旅游开发有限公司会议室</w:t>
            </w:r>
            <w:r>
              <w:rPr>
                <w:rFonts w:hint="eastAsia" w:ascii="宋体" w:hAnsi="宋体"/>
                <w:bCs/>
                <w:color w:val="000000" w:themeColor="text1"/>
                <w:szCs w:val="21"/>
                <w:highlight w:val="none"/>
                <w:lang w:val="en-US" w:eastAsia="zh-CN"/>
                <w14:textFill>
                  <w14:solidFill>
                    <w14:schemeClr w14:val="tx1"/>
                  </w14:solidFill>
                </w14:textFill>
              </w:rPr>
              <w:t>。</w:t>
            </w:r>
          </w:p>
        </w:tc>
      </w:tr>
      <w:tr w14:paraId="4C8D9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587F3DD5">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4.2.3</w:t>
            </w:r>
          </w:p>
        </w:tc>
        <w:tc>
          <w:tcPr>
            <w:tcW w:w="1644" w:type="dxa"/>
            <w:noWrap w:val="0"/>
            <w:vAlign w:val="center"/>
          </w:tcPr>
          <w:p w14:paraId="5608DD48">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是否退还投标文件</w:t>
            </w:r>
          </w:p>
        </w:tc>
        <w:tc>
          <w:tcPr>
            <w:tcW w:w="6490" w:type="dxa"/>
            <w:noWrap w:val="0"/>
            <w:vAlign w:val="center"/>
          </w:tcPr>
          <w:p w14:paraId="6F239A30">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否</w:t>
            </w:r>
          </w:p>
        </w:tc>
      </w:tr>
      <w:tr w14:paraId="1A77E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EE69F73">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5.1</w:t>
            </w:r>
            <w:r>
              <w:rPr>
                <w:rFonts w:hint="eastAsia" w:ascii="宋体" w:hAnsi="宋体"/>
                <w:color w:val="000000" w:themeColor="text1"/>
                <w:kern w:val="0"/>
                <w:szCs w:val="21"/>
                <w:highlight w:val="none"/>
                <w14:textFill>
                  <w14:solidFill>
                    <w14:schemeClr w14:val="tx1"/>
                  </w14:solidFill>
                </w14:textFill>
              </w:rPr>
              <w:t>.1</w:t>
            </w:r>
          </w:p>
        </w:tc>
        <w:tc>
          <w:tcPr>
            <w:tcW w:w="1644" w:type="dxa"/>
            <w:noWrap w:val="0"/>
            <w:vAlign w:val="center"/>
          </w:tcPr>
          <w:p w14:paraId="40A4FE69">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开标时间和</w:t>
            </w:r>
          </w:p>
          <w:p w14:paraId="6EB4CB07">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地点</w:t>
            </w:r>
          </w:p>
        </w:tc>
        <w:tc>
          <w:tcPr>
            <w:tcW w:w="6490" w:type="dxa"/>
            <w:noWrap w:val="0"/>
            <w:vAlign w:val="center"/>
          </w:tcPr>
          <w:p w14:paraId="574D5CA5">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开标时间：同投标截止时间</w:t>
            </w:r>
          </w:p>
          <w:p w14:paraId="749C369A">
            <w:pPr>
              <w:snapToGrid w:val="0"/>
              <w:spacing w:line="400" w:lineRule="exact"/>
              <w:ind w:firstLine="420" w:firstLineChars="200"/>
              <w:rPr>
                <w:rFonts w:ascii="宋体" w:hAnsi="宋体"/>
                <w:bCs/>
                <w:i/>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开标地点：</w:t>
            </w:r>
            <w:r>
              <w:rPr>
                <w:rFonts w:hint="eastAsia" w:ascii="宋体" w:hAnsi="宋体"/>
                <w:bCs/>
                <w:color w:val="000000" w:themeColor="text1"/>
                <w:szCs w:val="21"/>
                <w:highlight w:val="none"/>
                <w:lang w:eastAsia="zh-CN"/>
                <w14:textFill>
                  <w14:solidFill>
                    <w14:schemeClr w14:val="tx1"/>
                  </w14:solidFill>
                </w14:textFill>
              </w:rPr>
              <w:t>重庆玄天湖文化旅游开发有限公司会议室</w:t>
            </w:r>
            <w:r>
              <w:rPr>
                <w:rFonts w:hint="eastAsia" w:ascii="宋体" w:hAnsi="宋体"/>
                <w:bCs/>
                <w:color w:val="000000" w:themeColor="text1"/>
                <w:szCs w:val="21"/>
                <w:highlight w:val="none"/>
                <w:lang w:val="en-US" w:eastAsia="zh-CN"/>
                <w14:textFill>
                  <w14:solidFill>
                    <w14:schemeClr w14:val="tx1"/>
                  </w14:solidFill>
                </w14:textFill>
              </w:rPr>
              <w:t>。</w:t>
            </w:r>
          </w:p>
        </w:tc>
      </w:tr>
      <w:tr w14:paraId="771C7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E3EE9BF">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p>
        </w:tc>
        <w:tc>
          <w:tcPr>
            <w:tcW w:w="1644" w:type="dxa"/>
            <w:noWrap w:val="0"/>
            <w:vAlign w:val="center"/>
          </w:tcPr>
          <w:p w14:paraId="1F7FBC55">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开标程序</w:t>
            </w:r>
          </w:p>
        </w:tc>
        <w:tc>
          <w:tcPr>
            <w:tcW w:w="6490" w:type="dxa"/>
            <w:noWrap w:val="0"/>
            <w:vAlign w:val="center"/>
          </w:tcPr>
          <w:p w14:paraId="731C678C">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主持人按下列程序进行开标：</w:t>
            </w:r>
          </w:p>
          <w:p w14:paraId="3030ED4C">
            <w:pPr>
              <w:numPr>
                <w:ilvl w:val="0"/>
                <w:numId w:val="2"/>
              </w:numPr>
              <w:autoSpaceDE w:val="0"/>
              <w:autoSpaceDN w:val="0"/>
              <w:adjustRightInd w:val="0"/>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核验参加开标会议的投标人的法定代表人或</w:t>
            </w:r>
            <w:r>
              <w:rPr>
                <w:rFonts w:hint="eastAsia" w:ascii="宋体" w:hAnsi="宋体"/>
                <w:color w:val="000000" w:themeColor="text1"/>
                <w:szCs w:val="21"/>
                <w:highlight w:val="none"/>
                <w14:textFill>
                  <w14:solidFill>
                    <w14:schemeClr w14:val="tx1"/>
                  </w14:solidFill>
                </w14:textFill>
              </w:rPr>
              <w:t>委托代理人</w:t>
            </w:r>
            <w:r>
              <w:rPr>
                <w:rFonts w:ascii="宋体" w:hAnsi="宋体"/>
                <w:color w:val="000000" w:themeColor="text1"/>
                <w:szCs w:val="21"/>
                <w:highlight w:val="none"/>
                <w14:textFill>
                  <w14:solidFill>
                    <w14:schemeClr w14:val="tx1"/>
                  </w14:solidFill>
                </w14:textFill>
              </w:rPr>
              <w:t>本人身份证（原件），</w:t>
            </w:r>
            <w:r>
              <w:rPr>
                <w:rFonts w:hint="eastAsia" w:ascii="宋体" w:hAnsi="宋体"/>
                <w:color w:val="000000" w:themeColor="text1"/>
                <w:szCs w:val="21"/>
                <w:highlight w:val="none"/>
                <w:lang w:eastAsia="zh-CN"/>
                <w14:textFill>
                  <w14:solidFill>
                    <w14:schemeClr w14:val="tx1"/>
                  </w14:solidFill>
                </w14:textFill>
              </w:rPr>
              <w:t>核验</w:t>
            </w:r>
            <w:r>
              <w:rPr>
                <w:rFonts w:ascii="宋体" w:hAnsi="宋体"/>
                <w:color w:val="000000" w:themeColor="text1"/>
                <w:szCs w:val="21"/>
                <w:highlight w:val="none"/>
                <w14:textFill>
                  <w14:solidFill>
                    <w14:schemeClr w14:val="tx1"/>
                  </w14:solidFill>
                </w14:textFill>
              </w:rPr>
              <w:t>委托代理人的授权委托书，以确认其身份合法有效；</w:t>
            </w:r>
            <w:r>
              <w:rPr>
                <w:rFonts w:hint="eastAsia" w:ascii="宋体" w:hAnsi="宋体"/>
                <w:color w:val="000000" w:themeColor="text1"/>
                <w:szCs w:val="21"/>
                <w:highlight w:val="none"/>
                <w:lang w:eastAsia="zh-CN"/>
                <w14:textFill>
                  <w14:solidFill>
                    <w14:schemeClr w14:val="tx1"/>
                  </w14:solidFill>
                </w14:textFill>
              </w:rPr>
              <w:t>不参加身份核验或</w:t>
            </w:r>
            <w:r>
              <w:rPr>
                <w:rFonts w:hint="eastAsia" w:ascii="宋体" w:hAnsi="宋体"/>
                <w:color w:val="000000" w:themeColor="text1"/>
                <w:szCs w:val="21"/>
                <w:highlight w:val="none"/>
                <w14:textFill>
                  <w14:solidFill>
                    <w14:schemeClr w14:val="tx1"/>
                  </w14:solidFill>
                </w14:textFill>
              </w:rPr>
              <w:t>经核实提供资料与实际不符的，</w:t>
            </w:r>
            <w:r>
              <w:rPr>
                <w:rFonts w:hint="eastAsia" w:ascii="宋体" w:hAnsi="宋体"/>
                <w:color w:val="000000" w:themeColor="text1"/>
                <w:szCs w:val="21"/>
                <w:highlight w:val="none"/>
                <w:lang w:eastAsia="zh-CN"/>
                <w14:textFill>
                  <w14:solidFill>
                    <w14:schemeClr w14:val="tx1"/>
                  </w14:solidFill>
                </w14:textFill>
              </w:rPr>
              <w:t>当场退还投标文件，按否决投标处理</w:t>
            </w:r>
            <w:r>
              <w:rPr>
                <w:rFonts w:hint="eastAsia" w:ascii="宋体" w:hAnsi="宋体"/>
                <w:color w:val="000000" w:themeColor="text1"/>
                <w:szCs w:val="21"/>
                <w:highlight w:val="none"/>
                <w14:textFill>
                  <w14:solidFill>
                    <w14:schemeClr w14:val="tx1"/>
                  </w14:solidFill>
                </w14:textFill>
              </w:rPr>
              <w:t>。</w:t>
            </w:r>
          </w:p>
          <w:p w14:paraId="3C420261">
            <w:pPr>
              <w:numPr>
                <w:ilvl w:val="0"/>
                <w:numId w:val="2"/>
              </w:num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宣布开标纪律</w:t>
            </w:r>
            <w:r>
              <w:rPr>
                <w:rFonts w:hint="eastAsia" w:ascii="宋体" w:hAnsi="宋体"/>
                <w:color w:val="000000" w:themeColor="text1"/>
                <w:szCs w:val="21"/>
                <w:highlight w:val="none"/>
                <w14:textFill>
                  <w14:solidFill>
                    <w14:schemeClr w14:val="tx1"/>
                  </w14:solidFill>
                </w14:textFill>
              </w:rPr>
              <w:t>。</w:t>
            </w:r>
          </w:p>
          <w:p w14:paraId="74DEDB1B">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 宣布开标人、唱标人、记录人、监标人等有关人员姓名</w:t>
            </w:r>
            <w:r>
              <w:rPr>
                <w:rFonts w:hint="eastAsia" w:ascii="宋体" w:hAnsi="宋体"/>
                <w:color w:val="000000" w:themeColor="text1"/>
                <w:szCs w:val="21"/>
                <w:highlight w:val="none"/>
                <w14:textFill>
                  <w14:solidFill>
                    <w14:schemeClr w14:val="tx1"/>
                  </w14:solidFill>
                </w14:textFill>
              </w:rPr>
              <w:t>。</w:t>
            </w:r>
          </w:p>
          <w:p w14:paraId="50C038B7">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 公布在投标截止时间前递交投标文件的投标人名称</w:t>
            </w:r>
            <w:r>
              <w:rPr>
                <w:rFonts w:hint="eastAsia" w:ascii="宋体" w:hAnsi="宋体"/>
                <w:color w:val="000000" w:themeColor="text1"/>
                <w:szCs w:val="21"/>
                <w:highlight w:val="none"/>
                <w14:textFill>
                  <w14:solidFill>
                    <w14:schemeClr w14:val="tx1"/>
                  </w14:solidFill>
                </w14:textFill>
              </w:rPr>
              <w:t>。</w:t>
            </w:r>
          </w:p>
          <w:p w14:paraId="5AF8268E">
            <w:pPr>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投标文件的密封检查：投标人可对自己的投标文件封装情况进行检查，以确认其投标文件密封完好。</w:t>
            </w:r>
          </w:p>
          <w:p w14:paraId="617A4A35">
            <w:pPr>
              <w:snapToGrid w:val="0"/>
              <w:spacing w:line="400" w:lineRule="exact"/>
              <w:ind w:firstLine="420" w:firstLineChars="200"/>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6. 核验投标保证金缴款情况，未在规定时间</w:t>
            </w:r>
            <w:r>
              <w:rPr>
                <w:rFonts w:hint="eastAsia" w:ascii="宋体" w:hAnsi="宋体" w:cs="Times New Roman"/>
                <w:color w:val="000000" w:themeColor="text1"/>
                <w:szCs w:val="21"/>
                <w:highlight w:val="none"/>
                <w:lang w:eastAsia="zh-CN"/>
                <w14:textFill>
                  <w14:solidFill>
                    <w14:schemeClr w14:val="tx1"/>
                  </w14:solidFill>
                </w14:textFill>
              </w:rPr>
              <w:t>缴纳投标保证金</w:t>
            </w:r>
            <w:r>
              <w:rPr>
                <w:rFonts w:hint="eastAsia" w:ascii="宋体" w:hAnsi="宋体" w:cs="Times New Roman"/>
                <w:color w:val="000000" w:themeColor="text1"/>
                <w:szCs w:val="21"/>
                <w:highlight w:val="none"/>
                <w14:textFill>
                  <w14:solidFill>
                    <w14:schemeClr w14:val="tx1"/>
                  </w14:solidFill>
                </w14:textFill>
              </w:rPr>
              <w:t>，当场退还其投标文件</w:t>
            </w:r>
            <w:r>
              <w:rPr>
                <w:rFonts w:hint="eastAsia" w:ascii="宋体" w:hAnsi="宋体" w:cs="Times New Roman"/>
                <w:color w:val="000000" w:themeColor="text1"/>
                <w:szCs w:val="21"/>
                <w:highlight w:val="none"/>
                <w:lang w:eastAsia="zh-CN"/>
                <w14:textFill>
                  <w14:solidFill>
                    <w14:schemeClr w14:val="tx1"/>
                  </w14:solidFill>
                </w14:textFill>
              </w:rPr>
              <w:t>。</w:t>
            </w:r>
          </w:p>
          <w:p w14:paraId="168A0D5D">
            <w:pPr>
              <w:snapToGrid w:val="0"/>
              <w:spacing w:line="40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7. 公布最高限价。</w:t>
            </w:r>
          </w:p>
          <w:p w14:paraId="4A0B5CCD">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逐单位随机开启投标文件。开启投标文件大袋及投标函部分袋、</w:t>
            </w:r>
            <w:r>
              <w:rPr>
                <w:rFonts w:hint="eastAsia" w:ascii="宋体" w:hAnsi="宋体"/>
                <w:color w:val="000000" w:themeColor="text1"/>
                <w:szCs w:val="21"/>
                <w:highlight w:val="none"/>
                <w14:textFill>
                  <w14:solidFill>
                    <w14:schemeClr w14:val="tx1"/>
                  </w14:solidFill>
                </w14:textFill>
              </w:rPr>
              <w:t>经济</w:t>
            </w:r>
            <w:r>
              <w:rPr>
                <w:rFonts w:ascii="宋体" w:hAnsi="宋体"/>
                <w:color w:val="000000" w:themeColor="text1"/>
                <w:szCs w:val="21"/>
                <w:highlight w:val="none"/>
                <w14:textFill>
                  <w14:solidFill>
                    <w14:schemeClr w14:val="tx1"/>
                  </w14:solidFill>
                </w14:textFill>
              </w:rPr>
              <w:t>部分袋、</w:t>
            </w:r>
            <w:r>
              <w:rPr>
                <w:rFonts w:hint="eastAsia" w:ascii="宋体" w:hAnsi="宋体"/>
                <w:color w:val="000000" w:themeColor="text1"/>
                <w:szCs w:val="21"/>
                <w:highlight w:val="none"/>
                <w14:textFill>
                  <w14:solidFill>
                    <w14:schemeClr w14:val="tx1"/>
                  </w14:solidFill>
                </w14:textFill>
              </w:rPr>
              <w:t>资格审查部分袋</w:t>
            </w:r>
            <w:r>
              <w:rPr>
                <w:rFonts w:ascii="宋体" w:hAnsi="宋体"/>
                <w:color w:val="000000" w:themeColor="text1"/>
                <w:szCs w:val="21"/>
                <w:highlight w:val="none"/>
                <w14:textFill>
                  <w14:solidFill>
                    <w14:schemeClr w14:val="tx1"/>
                  </w14:solidFill>
                </w14:textFill>
              </w:rPr>
              <w:t>；公布投标人名称、投标报价、质量要求、工期及其他内容并记录在案</w:t>
            </w:r>
            <w:r>
              <w:rPr>
                <w:rFonts w:hint="eastAsia" w:ascii="宋体" w:hAnsi="宋体"/>
                <w:color w:val="000000" w:themeColor="text1"/>
                <w:szCs w:val="21"/>
                <w:highlight w:val="none"/>
                <w14:textFill>
                  <w14:solidFill>
                    <w14:schemeClr w14:val="tx1"/>
                  </w14:solidFill>
                </w14:textFill>
              </w:rPr>
              <w:t>。</w:t>
            </w:r>
          </w:p>
          <w:p w14:paraId="4F537F14">
            <w:pPr>
              <w:autoSpaceDE w:val="0"/>
              <w:autoSpaceDN w:val="0"/>
              <w:adjustRightInd w:val="0"/>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  投标人对开标有异议的，应当场提出，由</w:t>
            </w:r>
            <w:r>
              <w:rPr>
                <w:rFonts w:hint="eastAsia" w:ascii="宋体" w:hAnsi="宋体"/>
                <w:color w:val="000000" w:themeColor="text1"/>
                <w:szCs w:val="21"/>
                <w:highlight w:val="none"/>
                <w:lang w:eastAsia="zh-CN"/>
                <w14:textFill>
                  <w14:solidFill>
                    <w14:schemeClr w14:val="tx1"/>
                  </w14:solidFill>
                </w14:textFill>
              </w:rPr>
              <w:t>比选</w:t>
            </w:r>
            <w:r>
              <w:rPr>
                <w:rFonts w:hint="eastAsia" w:ascii="宋体" w:hAnsi="宋体"/>
                <w:color w:val="000000" w:themeColor="text1"/>
                <w:szCs w:val="21"/>
                <w:highlight w:val="none"/>
                <w14:textFill>
                  <w14:solidFill>
                    <w14:schemeClr w14:val="tx1"/>
                  </w14:solidFill>
                </w14:textFill>
              </w:rPr>
              <w:t>人或代理机构当场答复，并记录到开标记录表中。异议处理完毕后，汇总开标情况，打印开标记录表。</w:t>
            </w:r>
          </w:p>
          <w:p w14:paraId="6B178395">
            <w:pPr>
              <w:autoSpaceDE w:val="0"/>
              <w:autoSpaceDN w:val="0"/>
              <w:adjustRightInd w:val="0"/>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0</w:t>
            </w:r>
            <w:r>
              <w:rPr>
                <w:rFonts w:ascii="宋体" w:hAnsi="宋体"/>
                <w:color w:val="000000" w:themeColor="text1"/>
                <w:szCs w:val="21"/>
                <w:highlight w:val="none"/>
                <w14:textFill>
                  <w14:solidFill>
                    <w14:schemeClr w14:val="tx1"/>
                  </w14:solidFill>
                </w14:textFill>
              </w:rPr>
              <w:t>. 投标人代表、</w:t>
            </w:r>
            <w:r>
              <w:rPr>
                <w:rFonts w:hint="eastAsia" w:ascii="宋体" w:hAnsi="宋体"/>
                <w:color w:val="000000" w:themeColor="text1"/>
                <w:szCs w:val="21"/>
                <w:highlight w:val="none"/>
                <w:lang w:eastAsia="zh-CN"/>
                <w14:textFill>
                  <w14:solidFill>
                    <w14:schemeClr w14:val="tx1"/>
                  </w14:solidFill>
                </w14:textFill>
              </w:rPr>
              <w:t>比选</w:t>
            </w:r>
            <w:r>
              <w:rPr>
                <w:rFonts w:ascii="宋体" w:hAnsi="宋体"/>
                <w:color w:val="000000" w:themeColor="text1"/>
                <w:szCs w:val="21"/>
                <w:highlight w:val="none"/>
                <w14:textFill>
                  <w14:solidFill>
                    <w14:schemeClr w14:val="tx1"/>
                  </w14:solidFill>
                </w14:textFill>
              </w:rPr>
              <w:t>人代表、监标人、</w:t>
            </w:r>
            <w:r>
              <w:rPr>
                <w:rFonts w:hint="eastAsia" w:ascii="宋体" w:hAnsi="宋体"/>
                <w:color w:val="000000" w:themeColor="text1"/>
                <w:szCs w:val="21"/>
                <w:highlight w:val="none"/>
                <w14:textFill>
                  <w14:solidFill>
                    <w14:schemeClr w14:val="tx1"/>
                  </w14:solidFill>
                </w14:textFill>
              </w:rPr>
              <w:t>主持人、</w:t>
            </w:r>
            <w:r>
              <w:rPr>
                <w:rFonts w:ascii="宋体" w:hAnsi="宋体"/>
                <w:color w:val="000000" w:themeColor="text1"/>
                <w:szCs w:val="21"/>
                <w:highlight w:val="none"/>
                <w14:textFill>
                  <w14:solidFill>
                    <w14:schemeClr w14:val="tx1"/>
                  </w14:solidFill>
                </w14:textFill>
              </w:rPr>
              <w:t>记录人等有关人员在开标记录上签字确认</w:t>
            </w:r>
            <w:r>
              <w:rPr>
                <w:rFonts w:hint="eastAsia" w:ascii="宋体" w:hAnsi="宋体"/>
                <w:color w:val="000000" w:themeColor="text1"/>
                <w:szCs w:val="21"/>
                <w:highlight w:val="none"/>
                <w14:textFill>
                  <w14:solidFill>
                    <w14:schemeClr w14:val="tx1"/>
                  </w14:solidFill>
                </w14:textFill>
              </w:rPr>
              <w:t>。因其他原因未能签字的，视为默认开标结果。</w:t>
            </w:r>
          </w:p>
          <w:p w14:paraId="13739A84">
            <w:pPr>
              <w:autoSpaceDE w:val="0"/>
              <w:autoSpaceDN w:val="0"/>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1</w:t>
            </w:r>
            <w:r>
              <w:rPr>
                <w:rFonts w:ascii="宋体" w:hAnsi="宋体"/>
                <w:color w:val="000000" w:themeColor="text1"/>
                <w:szCs w:val="21"/>
                <w:highlight w:val="none"/>
                <w14:textFill>
                  <w14:solidFill>
                    <w14:schemeClr w14:val="tx1"/>
                  </w14:solidFill>
                </w14:textFill>
              </w:rPr>
              <w:t>. 开标结束。</w:t>
            </w:r>
          </w:p>
        </w:tc>
      </w:tr>
      <w:tr w14:paraId="7210A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0AEEE94">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6.1.1</w:t>
            </w:r>
          </w:p>
        </w:tc>
        <w:tc>
          <w:tcPr>
            <w:tcW w:w="1644" w:type="dxa"/>
            <w:noWrap w:val="0"/>
            <w:vAlign w:val="center"/>
          </w:tcPr>
          <w:p w14:paraId="45C88852">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评标委员会的组建</w:t>
            </w:r>
          </w:p>
        </w:tc>
        <w:tc>
          <w:tcPr>
            <w:tcW w:w="6490" w:type="dxa"/>
            <w:noWrap w:val="0"/>
            <w:vAlign w:val="center"/>
          </w:tcPr>
          <w:p w14:paraId="73661155">
            <w:pPr>
              <w:autoSpaceDE w:val="0"/>
              <w:autoSpaceDN w:val="0"/>
              <w:adjustRightInd w:val="0"/>
              <w:snapToGrid w:val="0"/>
              <w:spacing w:line="400" w:lineRule="exact"/>
              <w:ind w:firstLine="436"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pacing w:val="4"/>
                <w:kern w:val="0"/>
                <w:szCs w:val="21"/>
                <w:highlight w:val="none"/>
                <w14:textFill>
                  <w14:solidFill>
                    <w14:schemeClr w14:val="tx1"/>
                  </w14:solidFill>
                </w14:textFill>
              </w:rPr>
              <w:t>由</w:t>
            </w:r>
            <w:r>
              <w:rPr>
                <w:rFonts w:hint="eastAsia" w:ascii="宋体" w:hAnsi="宋体"/>
                <w:color w:val="000000" w:themeColor="text1"/>
                <w:spacing w:val="4"/>
                <w:kern w:val="0"/>
                <w:szCs w:val="21"/>
                <w:highlight w:val="none"/>
                <w:lang w:eastAsia="zh-CN"/>
                <w14:textFill>
                  <w14:solidFill>
                    <w14:schemeClr w14:val="tx1"/>
                  </w14:solidFill>
                </w14:textFill>
              </w:rPr>
              <w:t>比选</w:t>
            </w:r>
            <w:r>
              <w:rPr>
                <w:rFonts w:hint="eastAsia" w:ascii="宋体" w:hAnsi="宋体"/>
                <w:color w:val="000000" w:themeColor="text1"/>
                <w:spacing w:val="4"/>
                <w:kern w:val="0"/>
                <w:szCs w:val="21"/>
                <w:highlight w:val="none"/>
                <w14:textFill>
                  <w14:solidFill>
                    <w14:schemeClr w14:val="tx1"/>
                  </w14:solidFill>
                </w14:textFill>
              </w:rPr>
              <w:t>人按法律法规及相关规定依法组建评标委员会</w:t>
            </w:r>
            <w:r>
              <w:rPr>
                <w:rFonts w:hint="eastAsia" w:ascii="宋体" w:hAnsi="宋体"/>
                <w:color w:val="000000" w:themeColor="text1"/>
                <w:kern w:val="0"/>
                <w:szCs w:val="21"/>
                <w:highlight w:val="none"/>
                <w14:textFill>
                  <w14:solidFill>
                    <w14:schemeClr w14:val="tx1"/>
                  </w14:solidFill>
                </w14:textFill>
              </w:rPr>
              <w:t>。</w:t>
            </w:r>
          </w:p>
        </w:tc>
      </w:tr>
      <w:tr w14:paraId="6B265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A08DE35">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7.1</w:t>
            </w:r>
          </w:p>
        </w:tc>
        <w:tc>
          <w:tcPr>
            <w:tcW w:w="1644" w:type="dxa"/>
            <w:noWrap w:val="0"/>
            <w:vAlign w:val="center"/>
          </w:tcPr>
          <w:p w14:paraId="55C7A1B7">
            <w:pPr>
              <w:snapToGrid w:val="0"/>
              <w:spacing w:after="62" w:afterLines="20"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是否授权评标委员会确定中标人</w:t>
            </w:r>
          </w:p>
        </w:tc>
        <w:tc>
          <w:tcPr>
            <w:tcW w:w="6490" w:type="dxa"/>
            <w:noWrap w:val="0"/>
            <w:vAlign w:val="center"/>
          </w:tcPr>
          <w:p w14:paraId="413BB75C">
            <w:pPr>
              <w:snapToGrid w:val="0"/>
              <w:spacing w:line="400" w:lineRule="exact"/>
              <w:ind w:firstLine="420" w:firstLineChars="200"/>
              <w:rPr>
                <w:rFonts w:ascii="宋体" w:hAnsi="宋体"/>
                <w:i/>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否，</w:t>
            </w:r>
            <w:r>
              <w:rPr>
                <w:rFonts w:hint="eastAsia" w:ascii="宋体" w:hAnsi="宋体"/>
                <w:color w:val="000000" w:themeColor="text1"/>
                <w:kern w:val="0"/>
                <w:szCs w:val="21"/>
                <w14:textFill>
                  <w14:solidFill>
                    <w14:schemeClr w14:val="tx1"/>
                  </w14:solidFill>
                </w14:textFill>
              </w:rPr>
              <w:t>经评审的最低投标价法</w:t>
            </w:r>
            <w:r>
              <w:rPr>
                <w:rFonts w:ascii="宋体" w:hAnsi="宋体"/>
                <w:color w:val="000000" w:themeColor="text1"/>
                <w:kern w:val="0"/>
                <w:szCs w:val="21"/>
                <w14:textFill>
                  <w14:solidFill>
                    <w14:schemeClr w14:val="tx1"/>
                  </w14:solidFill>
                </w14:textFill>
              </w:rPr>
              <w:t>推荐中标候选人</w:t>
            </w:r>
            <w:r>
              <w:rPr>
                <w:rFonts w:ascii="宋体" w:hAnsi="宋体"/>
                <w:color w:val="000000" w:themeColor="text1"/>
                <w:kern w:val="0"/>
                <w:szCs w:val="21"/>
                <w:highlight w:val="none"/>
                <w14:textFill>
                  <w14:solidFill>
                    <w14:schemeClr w14:val="tx1"/>
                  </w14:solidFill>
                </w14:textFill>
              </w:rPr>
              <w:t>。</w:t>
            </w:r>
          </w:p>
        </w:tc>
      </w:tr>
      <w:tr w14:paraId="7D67B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A88BA3B">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7.2</w:t>
            </w:r>
          </w:p>
        </w:tc>
        <w:tc>
          <w:tcPr>
            <w:tcW w:w="1644" w:type="dxa"/>
            <w:noWrap w:val="0"/>
            <w:vAlign w:val="center"/>
          </w:tcPr>
          <w:p w14:paraId="03272C87">
            <w:pPr>
              <w:snapToGrid w:val="0"/>
              <w:spacing w:after="62" w:afterLines="20"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中标公示</w:t>
            </w:r>
          </w:p>
        </w:tc>
        <w:tc>
          <w:tcPr>
            <w:tcW w:w="6490" w:type="dxa"/>
            <w:noWrap w:val="0"/>
            <w:vAlign w:val="center"/>
          </w:tcPr>
          <w:p w14:paraId="2EC6D2E2">
            <w:pPr>
              <w:snapToGrid w:val="0"/>
              <w:spacing w:line="40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比选人在收到评标报告后3日内将评标结果在</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olor w:val="000000" w:themeColor="text1"/>
                <w:kern w:val="0"/>
                <w:szCs w:val="21"/>
                <w:u w:val="single"/>
                <w:lang w:eastAsia="zh-CN"/>
                <w14:textFill>
                  <w14:solidFill>
                    <w14:schemeClr w14:val="tx1"/>
                  </w14:solidFill>
                </w14:textFill>
              </w:rPr>
              <w:t>重庆市铜梁区人民政府网（http://www.cqstl.gov.cn/）</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上进行公示，公示期为3日。为深化信息公开，接受社会监督，本项目将按照《比选公告和公示信息发布管理办法》（国家发改委令第10号）的要求，公示内容包括中标候选人名称、排序、投标报价、质量、工期；中标候选人资质，中标候选人项目经理姓名及其相关证书名称和编号；否决投标情况及理由；提出异议、投诉的渠道和方式。</w:t>
            </w:r>
          </w:p>
        </w:tc>
      </w:tr>
      <w:tr w14:paraId="437F3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766B4270">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7.3.1</w:t>
            </w:r>
          </w:p>
        </w:tc>
        <w:tc>
          <w:tcPr>
            <w:tcW w:w="1644" w:type="dxa"/>
            <w:noWrap w:val="0"/>
            <w:vAlign w:val="center"/>
          </w:tcPr>
          <w:p w14:paraId="2CDB623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履约担保</w:t>
            </w:r>
          </w:p>
        </w:tc>
        <w:tc>
          <w:tcPr>
            <w:tcW w:w="6490" w:type="dxa"/>
            <w:noWrap w:val="0"/>
            <w:vAlign w:val="center"/>
          </w:tcPr>
          <w:p w14:paraId="067BB323">
            <w:pPr>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1、中标人是否提供履约担保：</w:t>
            </w:r>
            <w:r>
              <w:rPr>
                <w:rFonts w:hint="eastAsia" w:ascii="宋体" w:hAnsi="宋体"/>
                <w:color w:val="000000" w:themeColor="text1"/>
                <w:kern w:val="0"/>
                <w:szCs w:val="21"/>
                <w:highlight w:val="none"/>
                <w:u w:val="single"/>
                <w14:textFill>
                  <w14:solidFill>
                    <w14:schemeClr w14:val="tx1"/>
                  </w14:solidFill>
                </w14:textFill>
              </w:rPr>
              <w:t>提供</w:t>
            </w:r>
            <w:r>
              <w:rPr>
                <w:rFonts w:hint="eastAsia" w:ascii="宋体" w:hAnsi="宋体"/>
                <w:color w:val="000000" w:themeColor="text1"/>
                <w:kern w:val="0"/>
                <w:szCs w:val="21"/>
                <w:highlight w:val="none"/>
                <w14:textFill>
                  <w14:solidFill>
                    <w14:schemeClr w14:val="tx1"/>
                  </w14:solidFill>
                </w14:textFill>
              </w:rPr>
              <w:t>。</w:t>
            </w:r>
          </w:p>
          <w:p w14:paraId="049EF3A3">
            <w:pPr>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2、中标人提供履约担保的形式、金额及期限：</w:t>
            </w:r>
          </w:p>
          <w:p w14:paraId="600B56FD">
            <w:pPr>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（1）履约担保的形式：：</w:t>
            </w:r>
            <w:r>
              <w:rPr>
                <w:rFonts w:hint="eastAsia" w:ascii="宋体" w:hAnsi="宋体"/>
                <w:color w:val="000000" w:themeColor="text1"/>
                <w:kern w:val="0"/>
                <w:szCs w:val="21"/>
                <w:highlight w:val="none"/>
                <w:u w:val="none"/>
                <w14:textFill>
                  <w14:solidFill>
                    <w14:schemeClr w14:val="tx1"/>
                  </w14:solidFill>
                </w14:textFill>
              </w:rPr>
              <w:t>现金或银行保函或现金+银行保函的组合；采用银行保函形式的，保函必须为不可撤销且见索即付</w:t>
            </w:r>
            <w:r>
              <w:rPr>
                <w:rFonts w:hint="eastAsia" w:ascii="宋体" w:hAnsi="宋体"/>
                <w:color w:val="000000" w:themeColor="text1"/>
                <w:kern w:val="0"/>
                <w:szCs w:val="21"/>
                <w:highlight w:val="none"/>
                <w14:textFill>
                  <w14:solidFill>
                    <w14:schemeClr w14:val="tx1"/>
                  </w14:solidFill>
                </w14:textFill>
              </w:rPr>
              <w:t>；</w:t>
            </w:r>
          </w:p>
          <w:p w14:paraId="7418F767">
            <w:pPr>
              <w:snapToGrid w:val="0"/>
              <w:spacing w:line="400" w:lineRule="exact"/>
              <w:ind w:firstLine="420" w:firstLineChars="200"/>
              <w:rPr>
                <w:rFonts w:hint="eastAsia" w:ascii="宋体" w:hAnsi="宋体"/>
                <w:i/>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（2）履约担保的金额：</w:t>
            </w:r>
            <w:r>
              <w:rPr>
                <w:rFonts w:hint="eastAsia" w:ascii="宋体" w:hAnsi="宋体"/>
                <w:color w:val="000000" w:themeColor="text1"/>
                <w:kern w:val="0"/>
                <w:szCs w:val="21"/>
                <w:u w:val="single"/>
                <w14:textFill>
                  <w14:solidFill>
                    <w14:schemeClr w14:val="tx1"/>
                  </w14:solidFill>
                </w14:textFill>
              </w:rPr>
              <w:t>中标合同金额的</w:t>
            </w:r>
            <w:r>
              <w:rPr>
                <w:rFonts w:hint="eastAsia" w:ascii="宋体" w:hAnsi="宋体"/>
                <w:color w:val="000000" w:themeColor="text1"/>
                <w:kern w:val="0"/>
                <w:szCs w:val="21"/>
                <w:u w:val="single"/>
                <w:lang w:val="en-US" w:eastAsia="zh-CN"/>
                <w14:textFill>
                  <w14:solidFill>
                    <w14:schemeClr w14:val="tx1"/>
                  </w14:solidFill>
                </w14:textFill>
              </w:rPr>
              <w:t>10%</w:t>
            </w:r>
            <w:r>
              <w:rPr>
                <w:rFonts w:hint="eastAsia" w:ascii="宋体" w:hAnsi="宋体"/>
                <w:color w:val="000000" w:themeColor="text1"/>
                <w:kern w:val="0"/>
                <w:szCs w:val="21"/>
                <w:highlight w:val="none"/>
                <w14:textFill>
                  <w14:solidFill>
                    <w14:schemeClr w14:val="tx1"/>
                  </w14:solidFill>
                </w14:textFill>
              </w:rPr>
              <w:t>；</w:t>
            </w:r>
          </w:p>
          <w:p w14:paraId="1F51CC49">
            <w:pPr>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（3）履约担保的提交时间：见专用合同条款。</w:t>
            </w:r>
          </w:p>
          <w:p w14:paraId="2C9FEF56">
            <w:pPr>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（4）履约担保的期限：见专用合同条款。</w:t>
            </w:r>
          </w:p>
          <w:p w14:paraId="61B3A74F">
            <w:pPr>
              <w:snapToGrid w:val="0"/>
              <w:spacing w:after="62" w:afterLines="20"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（5）履约担保的退还时间：见专用合同条款。</w:t>
            </w:r>
          </w:p>
        </w:tc>
      </w:tr>
      <w:tr w14:paraId="41645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FBA7AC2">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7.4.1</w:t>
            </w:r>
          </w:p>
        </w:tc>
        <w:tc>
          <w:tcPr>
            <w:tcW w:w="1644" w:type="dxa"/>
            <w:noWrap w:val="0"/>
            <w:vAlign w:val="center"/>
          </w:tcPr>
          <w:p w14:paraId="4EDCACD0">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签订合同</w:t>
            </w:r>
          </w:p>
        </w:tc>
        <w:tc>
          <w:tcPr>
            <w:tcW w:w="6490" w:type="dxa"/>
            <w:noWrap w:val="0"/>
            <w:vAlign w:val="center"/>
          </w:tcPr>
          <w:p w14:paraId="415AE3AE">
            <w:pPr>
              <w:snapToGrid w:val="0"/>
              <w:spacing w:after="62" w:afterLines="20"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依法必须进行</w:t>
            </w:r>
            <w:r>
              <w:rPr>
                <w:rFonts w:hint="eastAsia" w:ascii="宋体" w:hAnsi="宋体"/>
                <w:color w:val="000000" w:themeColor="text1"/>
                <w:kern w:val="0"/>
                <w:szCs w:val="21"/>
                <w:highlight w:val="none"/>
                <w:lang w:eastAsia="zh-CN"/>
                <w14:textFill>
                  <w14:solidFill>
                    <w14:schemeClr w14:val="tx1"/>
                  </w14:solidFill>
                </w14:textFill>
              </w:rPr>
              <w:t>比选</w:t>
            </w:r>
            <w:r>
              <w:rPr>
                <w:rFonts w:hint="eastAsia" w:ascii="宋体" w:hAnsi="宋体"/>
                <w:color w:val="000000" w:themeColor="text1"/>
                <w:kern w:val="0"/>
                <w:szCs w:val="21"/>
                <w:highlight w:val="none"/>
                <w14:textFill>
                  <w14:solidFill>
                    <w14:schemeClr w14:val="tx1"/>
                  </w14:solidFill>
                </w14:textFill>
              </w:rPr>
              <w:t>的项目，中标人有《</w:t>
            </w:r>
            <w:r>
              <w:rPr>
                <w:rFonts w:hint="eastAsia" w:ascii="宋体" w:hAnsi="宋体"/>
                <w:color w:val="000000" w:themeColor="text1"/>
                <w:kern w:val="0"/>
                <w:szCs w:val="21"/>
                <w:highlight w:val="none"/>
                <w:lang w:eastAsia="zh-CN"/>
                <w14:textFill>
                  <w14:solidFill>
                    <w14:schemeClr w14:val="tx1"/>
                  </w14:solidFill>
                </w14:textFill>
              </w:rPr>
              <w:t>招标</w:t>
            </w:r>
            <w:r>
              <w:rPr>
                <w:rFonts w:hint="eastAsia" w:ascii="宋体" w:hAnsi="宋体"/>
                <w:color w:val="000000" w:themeColor="text1"/>
                <w:kern w:val="0"/>
                <w:szCs w:val="21"/>
                <w:highlight w:val="none"/>
                <w14:textFill>
                  <w14:solidFill>
                    <w14:schemeClr w14:val="tx1"/>
                  </w14:solidFill>
                </w14:textFill>
              </w:rPr>
              <w:t>投标法实施条例》第七十四条规定行为的，视为特别严重信用不良行为且情节特别严重，按信用记分上限一次性记12分，纳入黑名单管理；中标人有《</w:t>
            </w:r>
            <w:r>
              <w:rPr>
                <w:rFonts w:hint="eastAsia" w:ascii="宋体" w:hAnsi="宋体"/>
                <w:color w:val="000000" w:themeColor="text1"/>
                <w:kern w:val="0"/>
                <w:szCs w:val="21"/>
                <w:highlight w:val="none"/>
                <w:lang w:eastAsia="zh-CN"/>
                <w14:textFill>
                  <w14:solidFill>
                    <w14:schemeClr w14:val="tx1"/>
                  </w14:solidFill>
                </w14:textFill>
              </w:rPr>
              <w:t>招标</w:t>
            </w:r>
            <w:r>
              <w:rPr>
                <w:rFonts w:hint="eastAsia" w:ascii="宋体" w:hAnsi="宋体"/>
                <w:color w:val="000000" w:themeColor="text1"/>
                <w:kern w:val="0"/>
                <w:szCs w:val="21"/>
                <w:highlight w:val="none"/>
                <w14:textFill>
                  <w14:solidFill>
                    <w14:schemeClr w14:val="tx1"/>
                  </w14:solidFill>
                </w14:textFill>
              </w:rPr>
              <w:t>投标法实施条例》第七十四条规定行为的，按中标项目金额10‰罚款上限予以行政处罚，按信用记分上限一次性并处记12分，纳入黑名单管理。</w:t>
            </w:r>
          </w:p>
        </w:tc>
      </w:tr>
      <w:tr w14:paraId="33FED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382D4F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8.1</w:t>
            </w:r>
          </w:p>
        </w:tc>
        <w:tc>
          <w:tcPr>
            <w:tcW w:w="1644" w:type="dxa"/>
            <w:noWrap w:val="0"/>
            <w:vAlign w:val="center"/>
          </w:tcPr>
          <w:p w14:paraId="3C7F52C0">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重新</w:t>
            </w:r>
            <w:r>
              <w:rPr>
                <w:rFonts w:hint="eastAsia" w:ascii="宋体" w:hAnsi="宋体"/>
                <w:color w:val="000000" w:themeColor="text1"/>
                <w:kern w:val="0"/>
                <w:szCs w:val="21"/>
                <w:highlight w:val="none"/>
                <w:lang w:eastAsia="zh-CN"/>
                <w14:textFill>
                  <w14:solidFill>
                    <w14:schemeClr w14:val="tx1"/>
                  </w14:solidFill>
                </w14:textFill>
              </w:rPr>
              <w:t>比选</w:t>
            </w:r>
          </w:p>
        </w:tc>
        <w:tc>
          <w:tcPr>
            <w:tcW w:w="6490" w:type="dxa"/>
            <w:noWrap w:val="0"/>
            <w:vAlign w:val="center"/>
          </w:tcPr>
          <w:p w14:paraId="6F7D2747">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1.按投标人须知第8.1（1）执行；</w:t>
            </w:r>
          </w:p>
          <w:p w14:paraId="0F20ED7E">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2.按投标人须知第8.1（2）执行；</w:t>
            </w:r>
          </w:p>
          <w:p w14:paraId="32867D38">
            <w:pPr>
              <w:widowControl/>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按投标人须知第8.1（3）执行；</w:t>
            </w:r>
          </w:p>
          <w:p w14:paraId="368A42EF">
            <w:pPr>
              <w:widowControl/>
              <w:spacing w:after="62" w:afterLines="20"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w:t>
            </w:r>
            <w:r>
              <w:rPr>
                <w:rFonts w:ascii="宋体" w:hAnsi="宋体"/>
                <w:color w:val="000000" w:themeColor="text1"/>
                <w:kern w:val="0"/>
                <w:szCs w:val="21"/>
                <w:highlight w:val="none"/>
                <w14:textFill>
                  <w14:solidFill>
                    <w14:schemeClr w14:val="tx1"/>
                  </w14:solidFill>
                </w14:textFill>
              </w:rPr>
              <w:t>按投标人须知第8.1（4）执行</w:t>
            </w:r>
            <w:r>
              <w:rPr>
                <w:rFonts w:hint="eastAsia" w:ascii="宋体" w:hAnsi="宋体"/>
                <w:color w:val="000000" w:themeColor="text1"/>
                <w:kern w:val="0"/>
                <w:szCs w:val="21"/>
                <w:highlight w:val="none"/>
                <w14:textFill>
                  <w14:solidFill>
                    <w14:schemeClr w14:val="tx1"/>
                  </w14:solidFill>
                </w14:textFill>
              </w:rPr>
              <w:t>。</w:t>
            </w:r>
          </w:p>
        </w:tc>
      </w:tr>
      <w:tr w14:paraId="5E8C5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0C42E61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8.2</w:t>
            </w:r>
          </w:p>
        </w:tc>
        <w:tc>
          <w:tcPr>
            <w:tcW w:w="1644" w:type="dxa"/>
            <w:noWrap w:val="0"/>
            <w:vAlign w:val="center"/>
          </w:tcPr>
          <w:p w14:paraId="710F5FA7">
            <w:pPr>
              <w:snapToGrid w:val="0"/>
              <w:spacing w:line="400" w:lineRule="exact"/>
              <w:jc w:val="center"/>
              <w:rPr>
                <w:rFonts w:hint="eastAsia" w:eastAsia="宋体"/>
                <w:color w:val="000000" w:themeColor="text1"/>
                <w:highlight w:val="none"/>
                <w:lang w:eastAsia="zh-CN"/>
                <w14:textFill>
                  <w14:solidFill>
                    <w14:schemeClr w14:val="tx1"/>
                  </w14:solidFill>
                </w14:textFill>
              </w:rPr>
            </w:pPr>
            <w:bookmarkStart w:id="110" w:name="_Toc16930431"/>
            <w:bookmarkStart w:id="111" w:name="_Toc430530434"/>
            <w:bookmarkStart w:id="112" w:name="_Toc536628250"/>
            <w:bookmarkStart w:id="113" w:name="_Toc13210670"/>
            <w:bookmarkStart w:id="114" w:name="_Toc509218709"/>
            <w:r>
              <w:rPr>
                <w:rFonts w:ascii="宋体" w:hAnsi="宋体"/>
                <w:color w:val="000000" w:themeColor="text1"/>
                <w:kern w:val="0"/>
                <w:szCs w:val="21"/>
                <w:highlight w:val="none"/>
                <w14:textFill>
                  <w14:solidFill>
                    <w14:schemeClr w14:val="tx1"/>
                  </w14:solidFill>
                </w14:textFill>
              </w:rPr>
              <w:t>二次</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和不再</w:t>
            </w:r>
            <w:bookmarkEnd w:id="110"/>
            <w:bookmarkEnd w:id="111"/>
            <w:bookmarkEnd w:id="112"/>
            <w:bookmarkEnd w:id="113"/>
            <w:bookmarkEnd w:id="114"/>
            <w:r>
              <w:rPr>
                <w:rFonts w:hint="eastAsia" w:ascii="宋体" w:hAnsi="宋体"/>
                <w:color w:val="000000" w:themeColor="text1"/>
                <w:kern w:val="0"/>
                <w:szCs w:val="21"/>
                <w:highlight w:val="none"/>
                <w:lang w:eastAsia="zh-CN"/>
                <w14:textFill>
                  <w14:solidFill>
                    <w14:schemeClr w14:val="tx1"/>
                  </w14:solidFill>
                </w14:textFill>
              </w:rPr>
              <w:t>比选</w:t>
            </w:r>
          </w:p>
        </w:tc>
        <w:tc>
          <w:tcPr>
            <w:tcW w:w="6490" w:type="dxa"/>
            <w:noWrap w:val="0"/>
            <w:vAlign w:val="center"/>
          </w:tcPr>
          <w:p w14:paraId="02D09D25">
            <w:pPr>
              <w:autoSpaceDE w:val="0"/>
              <w:autoSpaceDN w:val="0"/>
              <w:adjustRightInd w:val="0"/>
              <w:snapToGrid w:val="0"/>
              <w:spacing w:after="62" w:afterLines="20"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重新</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的投标人仍然少于三个的，按照</w:t>
            </w:r>
            <w:r>
              <w:rPr>
                <w:rFonts w:hint="eastAsia" w:ascii="宋体" w:hAnsi="宋体"/>
                <w:color w:val="000000" w:themeColor="text1"/>
                <w:kern w:val="0"/>
                <w:szCs w:val="21"/>
                <w:highlight w:val="none"/>
                <w:lang w:eastAsia="zh-CN"/>
                <w14:textFill>
                  <w14:solidFill>
                    <w14:schemeClr w14:val="tx1"/>
                  </w14:solidFill>
                </w14:textFill>
              </w:rPr>
              <w:t>招标</w:t>
            </w:r>
            <w:r>
              <w:rPr>
                <w:rFonts w:hint="eastAsia" w:ascii="宋体" w:hAnsi="宋体"/>
                <w:snapToGrid w:val="0"/>
                <w:color w:val="000000" w:themeColor="text1"/>
                <w:kern w:val="0"/>
                <w:szCs w:val="21"/>
                <w:highlight w:val="none"/>
                <w14:textFill>
                  <w14:solidFill>
                    <w14:schemeClr w14:val="tx1"/>
                  </w14:solidFill>
                </w14:textFill>
              </w:rPr>
              <w:t>投标法律法规规定的程序开标和评标。重新</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经评审有有效投标人的，应当依法确定中标候选人；无有效投标人的，可以不再进行</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，但是按照国家有关规定需要履行审批、核准、备案手续的依法必须进行</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的项目，应当报原项目投资主管部门审批、核准、备案</w:t>
            </w:r>
            <w:r>
              <w:rPr>
                <w:rFonts w:ascii="宋体" w:hAnsi="宋体"/>
                <w:snapToGrid w:val="0"/>
                <w:color w:val="000000" w:themeColor="text1"/>
                <w:kern w:val="0"/>
                <w:szCs w:val="21"/>
                <w:highlight w:val="none"/>
                <w14:textFill>
                  <w14:solidFill>
                    <w14:schemeClr w14:val="tx1"/>
                  </w14:solidFill>
                </w14:textFill>
              </w:rPr>
              <w:t>。</w:t>
            </w:r>
          </w:p>
        </w:tc>
      </w:tr>
      <w:tr w14:paraId="781D8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D65C69A">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10</w:t>
            </w:r>
          </w:p>
        </w:tc>
        <w:tc>
          <w:tcPr>
            <w:tcW w:w="8134" w:type="dxa"/>
            <w:gridSpan w:val="2"/>
            <w:noWrap w:val="0"/>
            <w:vAlign w:val="center"/>
          </w:tcPr>
          <w:p w14:paraId="730A49AF">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需要补充的其他内容</w:t>
            </w:r>
          </w:p>
        </w:tc>
      </w:tr>
      <w:tr w14:paraId="34B39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3781CBE6">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lang w:val="en-US" w:eastAsia="zh-CN"/>
                <w14:textFill>
                  <w14:solidFill>
                    <w14:schemeClr w14:val="tx1"/>
                  </w14:solidFill>
                </w14:textFill>
              </w:rPr>
              <w:t>1</w:t>
            </w:r>
          </w:p>
        </w:tc>
        <w:tc>
          <w:tcPr>
            <w:tcW w:w="1644" w:type="dxa"/>
            <w:noWrap w:val="0"/>
            <w:vAlign w:val="center"/>
          </w:tcPr>
          <w:p w14:paraId="58C8BA6E">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异议、</w:t>
            </w:r>
            <w:r>
              <w:rPr>
                <w:rFonts w:ascii="宋体" w:hAnsi="宋体"/>
                <w:color w:val="000000" w:themeColor="text1"/>
                <w:kern w:val="0"/>
                <w:szCs w:val="21"/>
                <w:highlight w:val="none"/>
                <w14:textFill>
                  <w14:solidFill>
                    <w14:schemeClr w14:val="tx1"/>
                  </w14:solidFill>
                </w14:textFill>
              </w:rPr>
              <w:t>投诉处理</w:t>
            </w:r>
          </w:p>
        </w:tc>
        <w:tc>
          <w:tcPr>
            <w:tcW w:w="6490" w:type="dxa"/>
            <w:noWrap w:val="0"/>
            <w:vAlign w:val="center"/>
          </w:tcPr>
          <w:p w14:paraId="61094131">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投标人或者其他利害关系人就本项目的</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文件</w:t>
            </w:r>
            <w:r>
              <w:rPr>
                <w:rFonts w:hint="eastAsia" w:ascii="宋体" w:hAnsi="宋体"/>
                <w:color w:val="000000" w:themeColor="text1"/>
                <w:kern w:val="0"/>
                <w:szCs w:val="21"/>
                <w:highlight w:val="none"/>
                <w14:textFill>
                  <w14:solidFill>
                    <w14:schemeClr w14:val="tx1"/>
                  </w14:solidFill>
                </w14:textFill>
              </w:rPr>
              <w:t>（含澄清修改）、开标情况、</w:t>
            </w:r>
            <w:r>
              <w:rPr>
                <w:rFonts w:ascii="宋体" w:hAnsi="宋体"/>
                <w:color w:val="000000" w:themeColor="text1"/>
                <w:kern w:val="0"/>
                <w:szCs w:val="21"/>
                <w:highlight w:val="none"/>
                <w14:textFill>
                  <w14:solidFill>
                    <w14:schemeClr w14:val="tx1"/>
                  </w14:solidFill>
                </w14:textFill>
              </w:rPr>
              <w:t>评标结果等事项提出异议或投诉</w:t>
            </w:r>
            <w:r>
              <w:rPr>
                <w:rFonts w:hint="eastAsia" w:ascii="宋体" w:hAnsi="宋体"/>
                <w:color w:val="000000" w:themeColor="text1"/>
                <w:kern w:val="0"/>
                <w:szCs w:val="21"/>
                <w:highlight w:val="none"/>
                <w14:textFill>
                  <w14:solidFill>
                    <w14:schemeClr w14:val="tx1"/>
                  </w14:solidFill>
                </w14:textFill>
              </w:rPr>
              <w:t>的</w:t>
            </w:r>
            <w:r>
              <w:rPr>
                <w:rFonts w:ascii="宋体" w:hAnsi="宋体"/>
                <w:color w:val="000000" w:themeColor="text1"/>
                <w:kern w:val="0"/>
                <w:szCs w:val="21"/>
                <w:highlight w:val="none"/>
                <w14:textFill>
                  <w14:solidFill>
                    <w14:schemeClr w14:val="tx1"/>
                  </w14:solidFill>
                </w14:textFill>
              </w:rPr>
              <w:t>，应当先向</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人提出异议；</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人应当在规定时间内答复；对</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人的答复不满意，可向行政监督部门投诉。</w:t>
            </w:r>
          </w:p>
          <w:p w14:paraId="18FD5AC5">
            <w:pPr>
              <w:widowControl/>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提出异议或投诉时应当包括下列内容：</w:t>
            </w:r>
          </w:p>
          <w:p w14:paraId="57C25BBF">
            <w:pPr>
              <w:widowControl/>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（1）异议或投诉人的名称、地址及有效联系方式；</w:t>
            </w:r>
          </w:p>
          <w:p w14:paraId="54B3DAE7">
            <w:pPr>
              <w:widowControl/>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（2）被异议或投诉人的名称、地址及有效联系方式；</w:t>
            </w:r>
          </w:p>
          <w:p w14:paraId="1F27E8E9">
            <w:pPr>
              <w:widowControl/>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（3）异议或投诉事项的基本事实；</w:t>
            </w:r>
          </w:p>
          <w:p w14:paraId="193CD94D">
            <w:pPr>
              <w:widowControl/>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（4）请求及主张；</w:t>
            </w:r>
          </w:p>
          <w:p w14:paraId="39D7E67C">
            <w:pPr>
              <w:widowControl/>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（5）涉及事项的证据、证明材料。</w:t>
            </w:r>
          </w:p>
          <w:p w14:paraId="2FFD00D9">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异议或投诉的主体必须为法人，异议书必须由其法定代表人和委托代理人签字并加盖单位公章。如有关材料是外文，应当同时提供中文译本。</w:t>
            </w:r>
          </w:p>
          <w:p w14:paraId="6123443E">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行政监督部门依照《</w:t>
            </w:r>
            <w:r>
              <w:rPr>
                <w:rFonts w:hint="eastAsia" w:ascii="宋体" w:hAnsi="宋体"/>
                <w:color w:val="000000" w:themeColor="text1"/>
                <w:kern w:val="0"/>
                <w:szCs w:val="21"/>
                <w:highlight w:val="none"/>
                <w14:textFill>
                  <w14:solidFill>
                    <w14:schemeClr w14:val="tx1"/>
                  </w14:solidFill>
                </w14:textFill>
              </w:rPr>
              <w:t>中华人民共和国</w:t>
            </w:r>
            <w:r>
              <w:rPr>
                <w:rFonts w:hint="eastAsia" w:ascii="宋体" w:hAnsi="宋体"/>
                <w:color w:val="000000" w:themeColor="text1"/>
                <w:kern w:val="0"/>
                <w:szCs w:val="21"/>
                <w:highlight w:val="none"/>
                <w:lang w:eastAsia="zh-CN"/>
                <w14:textFill>
                  <w14:solidFill>
                    <w14:schemeClr w14:val="tx1"/>
                  </w14:solidFill>
                </w14:textFill>
              </w:rPr>
              <w:t>招标</w:t>
            </w:r>
            <w:r>
              <w:rPr>
                <w:rFonts w:ascii="宋体" w:hAnsi="宋体"/>
                <w:color w:val="000000" w:themeColor="text1"/>
                <w:kern w:val="0"/>
                <w:szCs w:val="21"/>
                <w:highlight w:val="none"/>
                <w14:textFill>
                  <w14:solidFill>
                    <w14:schemeClr w14:val="tx1"/>
                  </w14:solidFill>
                </w14:textFill>
              </w:rPr>
              <w:t>投标法》、《</w:t>
            </w:r>
            <w:r>
              <w:rPr>
                <w:rFonts w:hint="eastAsia" w:ascii="宋体" w:hAnsi="宋体"/>
                <w:color w:val="000000" w:themeColor="text1"/>
                <w:kern w:val="0"/>
                <w:szCs w:val="21"/>
                <w:highlight w:val="none"/>
                <w14:textFill>
                  <w14:solidFill>
                    <w14:schemeClr w14:val="tx1"/>
                  </w14:solidFill>
                </w14:textFill>
              </w:rPr>
              <w:t>中华人民共和国</w:t>
            </w:r>
            <w:r>
              <w:rPr>
                <w:rFonts w:hint="eastAsia" w:ascii="宋体" w:hAnsi="宋体"/>
                <w:color w:val="000000" w:themeColor="text1"/>
                <w:kern w:val="0"/>
                <w:szCs w:val="21"/>
                <w:highlight w:val="none"/>
                <w:lang w:eastAsia="zh-CN"/>
                <w14:textFill>
                  <w14:solidFill>
                    <w14:schemeClr w14:val="tx1"/>
                  </w14:solidFill>
                </w14:textFill>
              </w:rPr>
              <w:t>招标</w:t>
            </w:r>
            <w:r>
              <w:rPr>
                <w:rFonts w:ascii="宋体" w:hAnsi="宋体"/>
                <w:color w:val="000000" w:themeColor="text1"/>
                <w:kern w:val="0"/>
                <w:szCs w:val="21"/>
                <w:highlight w:val="none"/>
                <w14:textFill>
                  <w14:solidFill>
                    <w14:schemeClr w14:val="tx1"/>
                  </w14:solidFill>
                </w14:textFill>
              </w:rPr>
              <w:t>投标法实施条例》、《重庆市</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投标条例》、《工程建设项目</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投标活动投诉处理办法》（七部委令第11号（根据九部门2013年第23号令修正））、《重庆市</w:t>
            </w:r>
            <w:r>
              <w:rPr>
                <w:rFonts w:hint="eastAsia" w:ascii="宋体" w:hAnsi="宋体"/>
                <w:color w:val="000000" w:themeColor="text1"/>
                <w:kern w:val="0"/>
                <w:szCs w:val="21"/>
                <w:highlight w:val="none"/>
                <w:lang w:eastAsia="zh-CN"/>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投标活动投诉处理实施细则》（渝发改标</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2014</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1168号）等法律法规文件处理投诉。</w:t>
            </w:r>
          </w:p>
          <w:p w14:paraId="396E55B0">
            <w:pPr>
              <w:snapToGrid w:val="0"/>
              <w:spacing w:after="124" w:afterLines="40"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根据《重庆市工程建设领域</w:t>
            </w:r>
            <w:r>
              <w:rPr>
                <w:rFonts w:hint="eastAsia" w:ascii="宋体" w:hAnsi="宋体"/>
                <w:color w:val="000000" w:themeColor="text1"/>
                <w:kern w:val="0"/>
                <w:szCs w:val="21"/>
                <w:highlight w:val="none"/>
                <w:lang w:eastAsia="zh-CN"/>
                <w14:textFill>
                  <w14:solidFill>
                    <w14:schemeClr w14:val="tx1"/>
                  </w14:solidFill>
                </w14:textFill>
              </w:rPr>
              <w:t>比选</w:t>
            </w:r>
            <w:r>
              <w:rPr>
                <w:rFonts w:hint="eastAsia" w:ascii="宋体" w:hAnsi="宋体"/>
                <w:color w:val="000000" w:themeColor="text1"/>
                <w:kern w:val="0"/>
                <w:szCs w:val="21"/>
                <w:highlight w:val="none"/>
                <w14:textFill>
                  <w14:solidFill>
                    <w14:schemeClr w14:val="tx1"/>
                  </w14:solidFill>
                </w14:textFill>
              </w:rPr>
              <w:t>投标信用管理暂行办法》的规定，投标人捏造事实、伪造材料，或者以非法手段获取证明材料进行质疑或者投诉的，将被列入黑名单管理；</w:t>
            </w:r>
            <w:r>
              <w:rPr>
                <w:rFonts w:ascii="宋体" w:hAnsi="宋体"/>
                <w:color w:val="000000" w:themeColor="text1"/>
                <w:kern w:val="0"/>
                <w:szCs w:val="21"/>
                <w:highlight w:val="none"/>
                <w14:textFill>
                  <w14:solidFill>
                    <w14:schemeClr w14:val="tx1"/>
                  </w14:solidFill>
                </w14:textFill>
              </w:rPr>
              <w:t>给他人造成损失的，依法承担赔偿责任。</w:t>
            </w:r>
          </w:p>
        </w:tc>
      </w:tr>
      <w:tr w14:paraId="1AFD0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894DEAB">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lang w:val="en-US" w:eastAsia="zh-CN"/>
                <w14:textFill>
                  <w14:solidFill>
                    <w14:schemeClr w14:val="tx1"/>
                  </w14:solidFill>
                </w14:textFill>
              </w:rPr>
              <w:t>2</w:t>
            </w:r>
          </w:p>
        </w:tc>
        <w:tc>
          <w:tcPr>
            <w:tcW w:w="1644" w:type="dxa"/>
            <w:noWrap w:val="0"/>
            <w:vAlign w:val="center"/>
          </w:tcPr>
          <w:p w14:paraId="6C6F9FAD">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工程量清单</w:t>
            </w:r>
          </w:p>
          <w:p w14:paraId="3302870E">
            <w:pPr>
              <w:snapToGrid w:val="0"/>
              <w:spacing w:line="40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编制说明</w:t>
            </w:r>
          </w:p>
        </w:tc>
        <w:tc>
          <w:tcPr>
            <w:tcW w:w="6490" w:type="dxa"/>
            <w:noWrap w:val="0"/>
            <w:vAlign w:val="center"/>
          </w:tcPr>
          <w:p w14:paraId="6FB9169C">
            <w:pPr>
              <w:widowControl/>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color w:val="000000" w:themeColor="text1"/>
                <w14:textFill>
                  <w14:solidFill>
                    <w14:schemeClr w14:val="tx1"/>
                  </w14:solidFill>
                </w14:textFill>
              </w:rPr>
              <w:t>详见第五章工程量清单。</w:t>
            </w:r>
          </w:p>
        </w:tc>
      </w:tr>
      <w:tr w14:paraId="570C7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6ADAC058">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lang w:val="en-US" w:eastAsia="zh-CN"/>
                <w14:textFill>
                  <w14:solidFill>
                    <w14:schemeClr w14:val="tx1"/>
                  </w14:solidFill>
                </w14:textFill>
              </w:rPr>
              <w:t>3</w:t>
            </w:r>
          </w:p>
        </w:tc>
        <w:tc>
          <w:tcPr>
            <w:tcW w:w="1644" w:type="dxa"/>
            <w:noWrap w:val="0"/>
            <w:vAlign w:val="center"/>
          </w:tcPr>
          <w:p w14:paraId="1B53E1B7">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14:textFill>
                  <w14:solidFill>
                    <w14:schemeClr w14:val="tx1"/>
                  </w14:solidFill>
                </w14:textFill>
              </w:rPr>
              <w:t>农民工工资</w:t>
            </w:r>
            <w:r>
              <w:rPr>
                <w:rFonts w:hint="eastAsia" w:ascii="宋体" w:hAnsi="宋体"/>
                <w:color w:val="000000" w:themeColor="text1"/>
                <w:kern w:val="0"/>
                <w:szCs w:val="21"/>
                <w:lang w:val="en-US" w:eastAsia="zh-CN"/>
                <w14:textFill>
                  <w14:solidFill>
                    <w14:schemeClr w14:val="tx1"/>
                  </w14:solidFill>
                </w14:textFill>
              </w:rPr>
              <w:t>保证金</w:t>
            </w:r>
          </w:p>
        </w:tc>
        <w:tc>
          <w:tcPr>
            <w:tcW w:w="6490" w:type="dxa"/>
            <w:noWrap w:val="0"/>
            <w:vAlign w:val="center"/>
          </w:tcPr>
          <w:p w14:paraId="21A6ABA4">
            <w:pPr>
              <w:autoSpaceDE w:val="0"/>
              <w:autoSpaceDN w:val="0"/>
              <w:adjustRightInd w:val="0"/>
              <w:snapToGrid w:val="0"/>
              <w:spacing w:line="400" w:lineRule="exact"/>
              <w:ind w:firstLine="420" w:firstLineChars="200"/>
              <w:rPr>
                <w:rFonts w:hint="default" w:ascii="宋体" w:hAnsi="宋体" w:cs="Times New Roman"/>
                <w:color w:val="000000" w:themeColor="text1"/>
                <w:kern w:val="0"/>
                <w:szCs w:val="21"/>
                <w:highlight w:val="none"/>
                <w:lang w:val="en-US" w:eastAsia="zh-CN"/>
                <w14:textFill>
                  <w14:solidFill>
                    <w14:schemeClr w14:val="tx1"/>
                  </w14:solidFill>
                </w14:textFill>
              </w:rPr>
            </w:pPr>
            <w:r>
              <w:rPr>
                <w:rFonts w:hint="eastAsia" w:ascii="宋体" w:hAnsi="宋体" w:cs="Times New Roman"/>
                <w:color w:val="000000" w:themeColor="text1"/>
                <w:kern w:val="0"/>
                <w:szCs w:val="21"/>
                <w:highlight w:val="none"/>
                <w:lang w:val="en-US" w:eastAsia="zh-CN"/>
                <w14:textFill>
                  <w14:solidFill>
                    <w14:schemeClr w14:val="tx1"/>
                  </w14:solidFill>
                </w14:textFill>
              </w:rPr>
              <w:t>金额：</w:t>
            </w:r>
            <w:r>
              <w:rPr>
                <w:rFonts w:hint="default" w:ascii="宋体" w:hAnsi="宋体" w:cs="Times New Roman"/>
                <w:color w:val="000000" w:themeColor="text1"/>
                <w:kern w:val="0"/>
                <w:szCs w:val="21"/>
                <w:highlight w:val="none"/>
                <w:lang w:val="en-US" w:eastAsia="zh-CN"/>
                <w14:textFill>
                  <w14:solidFill>
                    <w14:schemeClr w14:val="tx1"/>
                  </w14:solidFill>
                </w14:textFill>
              </w:rPr>
              <w:t>农民工工资保证金金额为合同金额的2%。</w:t>
            </w:r>
          </w:p>
          <w:p w14:paraId="1EA4220F">
            <w:pPr>
              <w:autoSpaceDE w:val="0"/>
              <w:autoSpaceDN w:val="0"/>
              <w:adjustRightInd w:val="0"/>
              <w:snapToGrid w:val="0"/>
              <w:spacing w:line="400" w:lineRule="exact"/>
              <w:ind w:firstLine="420" w:firstLineChars="200"/>
              <w:rPr>
                <w:rFonts w:hint="eastAsia" w:ascii="宋体" w:hAnsi="宋体" w:cs="Times New Roman"/>
                <w:color w:val="000000" w:themeColor="text1"/>
                <w:kern w:val="0"/>
                <w:szCs w:val="21"/>
                <w:highlight w:val="none"/>
                <w:lang w:val="en-US" w:eastAsia="zh-CN"/>
                <w14:textFill>
                  <w14:solidFill>
                    <w14:schemeClr w14:val="tx1"/>
                  </w14:solidFill>
                </w14:textFill>
              </w:rPr>
            </w:pPr>
            <w:r>
              <w:rPr>
                <w:rFonts w:hint="default" w:ascii="宋体" w:hAnsi="宋体" w:cs="Times New Roman"/>
                <w:color w:val="000000" w:themeColor="text1"/>
                <w:kern w:val="0"/>
                <w:szCs w:val="21"/>
                <w:highlight w:val="none"/>
                <w:lang w:val="en-US" w:eastAsia="zh-CN"/>
                <w14:textFill>
                  <w14:solidFill>
                    <w14:schemeClr w14:val="tx1"/>
                  </w14:solidFill>
                </w14:textFill>
              </w:rPr>
              <w:t>缴纳方式：</w:t>
            </w:r>
            <w:r>
              <w:rPr>
                <w:rFonts w:hint="eastAsia" w:ascii="宋体" w:hAnsi="宋体" w:cs="Times New Roman"/>
                <w:color w:val="000000" w:themeColor="text1"/>
                <w:kern w:val="0"/>
                <w:szCs w:val="21"/>
                <w:highlight w:val="none"/>
                <w:lang w:val="en-US" w:eastAsia="zh-CN"/>
                <w14:textFill>
                  <w14:solidFill>
                    <w14:schemeClr w14:val="tx1"/>
                  </w14:solidFill>
                </w14:textFill>
              </w:rPr>
              <w:t>转账。</w:t>
            </w:r>
          </w:p>
          <w:p w14:paraId="62ABCEC9">
            <w:pPr>
              <w:autoSpaceDE w:val="0"/>
              <w:autoSpaceDN w:val="0"/>
              <w:adjustRightInd w:val="0"/>
              <w:snapToGrid w:val="0"/>
              <w:spacing w:line="400" w:lineRule="exact"/>
              <w:ind w:firstLine="420" w:firstLineChars="200"/>
              <w:rPr>
                <w:rFonts w:hint="eastAsia" w:ascii="宋体" w:hAnsi="宋体" w:cs="Times New Roman"/>
                <w:color w:val="000000" w:themeColor="text1"/>
                <w:kern w:val="0"/>
                <w:szCs w:val="21"/>
                <w:highlight w:val="none"/>
                <w:lang w:val="en-US" w:eastAsia="zh-CN"/>
                <w14:textFill>
                  <w14:solidFill>
                    <w14:schemeClr w14:val="tx1"/>
                  </w14:solidFill>
                </w14:textFill>
              </w:rPr>
            </w:pPr>
            <w:r>
              <w:rPr>
                <w:rFonts w:hint="eastAsia" w:ascii="宋体" w:hAnsi="宋体" w:cs="Times New Roman"/>
                <w:color w:val="000000" w:themeColor="text1"/>
                <w:kern w:val="0"/>
                <w:szCs w:val="21"/>
                <w:highlight w:val="none"/>
                <w:lang w:val="en-US" w:eastAsia="zh-CN"/>
                <w14:textFill>
                  <w14:solidFill>
                    <w14:schemeClr w14:val="tx1"/>
                  </w14:solidFill>
                </w14:textFill>
              </w:rPr>
              <w:t>缴纳时间：签订合同之前。</w:t>
            </w:r>
          </w:p>
          <w:p w14:paraId="53487419">
            <w:pPr>
              <w:widowControl/>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default" w:ascii="宋体" w:hAnsi="宋体" w:cs="Times New Roman"/>
                <w:color w:val="000000" w:themeColor="text1"/>
                <w:kern w:val="0"/>
                <w:szCs w:val="21"/>
                <w:highlight w:val="none"/>
                <w:lang w:val="en-US" w:eastAsia="zh-CN"/>
                <w14:textFill>
                  <w14:solidFill>
                    <w14:schemeClr w14:val="tx1"/>
                  </w14:solidFill>
                </w14:textFill>
              </w:rPr>
              <w:t>农民工工资保证金返还：工程竣工验收合格且支付完农民工工资后28日内一次性退还（不计息）</w:t>
            </w:r>
            <w:r>
              <w:rPr>
                <w:rFonts w:hint="eastAsia" w:ascii="宋体" w:hAnsi="宋体" w:cs="Times New Roman"/>
                <w:color w:val="000000" w:themeColor="text1"/>
                <w:kern w:val="0"/>
                <w:szCs w:val="21"/>
                <w:highlight w:val="none"/>
                <w:lang w:val="en-US" w:eastAsia="zh-CN"/>
                <w14:textFill>
                  <w14:solidFill>
                    <w14:schemeClr w14:val="tx1"/>
                  </w14:solidFill>
                </w14:textFill>
              </w:rPr>
              <w:t>。</w:t>
            </w:r>
          </w:p>
        </w:tc>
      </w:tr>
      <w:tr w14:paraId="21AFE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42EF1511">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lang w:val="en-US" w:eastAsia="zh-CN"/>
                <w14:textFill>
                  <w14:solidFill>
                    <w14:schemeClr w14:val="tx1"/>
                  </w14:solidFill>
                </w14:textFill>
              </w:rPr>
              <w:t>4</w:t>
            </w:r>
          </w:p>
        </w:tc>
        <w:tc>
          <w:tcPr>
            <w:tcW w:w="1644" w:type="dxa"/>
            <w:noWrap w:val="0"/>
            <w:vAlign w:val="center"/>
          </w:tcPr>
          <w:p w14:paraId="60590203">
            <w:pPr>
              <w:snapToGrid w:val="0"/>
              <w:spacing w:line="400" w:lineRule="exact"/>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关于对</w:t>
            </w:r>
            <w:r>
              <w:rPr>
                <w:rFonts w:hint="eastAsia" w:ascii="宋体" w:hAnsi="宋体"/>
                <w:color w:val="000000" w:themeColor="text1"/>
                <w:kern w:val="0"/>
                <w:szCs w:val="21"/>
                <w:highlight w:val="none"/>
                <w:lang w:eastAsia="zh-CN"/>
                <w14:textFill>
                  <w14:solidFill>
                    <w14:schemeClr w14:val="tx1"/>
                  </w14:solidFill>
                </w14:textFill>
              </w:rPr>
              <w:t>比选</w:t>
            </w:r>
            <w:r>
              <w:rPr>
                <w:rFonts w:hint="eastAsia" w:ascii="宋体" w:hAnsi="宋体"/>
                <w:color w:val="000000" w:themeColor="text1"/>
                <w:kern w:val="0"/>
                <w:szCs w:val="21"/>
                <w:highlight w:val="none"/>
                <w14:textFill>
                  <w14:solidFill>
                    <w14:schemeClr w14:val="tx1"/>
                  </w14:solidFill>
                </w14:textFill>
              </w:rPr>
              <w:t>文件及投标争议的解释</w:t>
            </w:r>
          </w:p>
        </w:tc>
        <w:tc>
          <w:tcPr>
            <w:tcW w:w="6490" w:type="dxa"/>
            <w:noWrap w:val="0"/>
            <w:vAlign w:val="center"/>
          </w:tcPr>
          <w:p w14:paraId="4ABC72E9">
            <w:pPr>
              <w:autoSpaceDE w:val="0"/>
              <w:autoSpaceDN w:val="0"/>
              <w:adjustRightInd w:val="0"/>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对资格预审文件或者</w:t>
            </w:r>
            <w:r>
              <w:rPr>
                <w:rFonts w:hint="eastAsia" w:ascii="宋体" w:hAnsi="宋体"/>
                <w:color w:val="000000" w:themeColor="text1"/>
                <w:kern w:val="0"/>
                <w:szCs w:val="21"/>
                <w:highlight w:val="none"/>
                <w:lang w:eastAsia="zh-CN"/>
                <w14:textFill>
                  <w14:solidFill>
                    <w14:schemeClr w14:val="tx1"/>
                  </w14:solidFill>
                </w14:textFill>
              </w:rPr>
              <w:t>比选</w:t>
            </w:r>
            <w:r>
              <w:rPr>
                <w:rFonts w:hint="eastAsia" w:ascii="宋体" w:hAnsi="宋体"/>
                <w:color w:val="000000" w:themeColor="text1"/>
                <w:kern w:val="0"/>
                <w:szCs w:val="21"/>
                <w:highlight w:val="none"/>
                <w14:textFill>
                  <w14:solidFill>
                    <w14:schemeClr w14:val="tx1"/>
                  </w14:solidFill>
                </w14:textFill>
              </w:rPr>
              <w:t>文件的评标标准和方法，以及资格审查和否决投标条款理解有争议的，应当作出不利于</w:t>
            </w:r>
            <w:r>
              <w:rPr>
                <w:rFonts w:hint="eastAsia" w:ascii="宋体" w:hAnsi="宋体"/>
                <w:color w:val="000000" w:themeColor="text1"/>
                <w:kern w:val="0"/>
                <w:szCs w:val="21"/>
                <w:highlight w:val="none"/>
                <w:lang w:eastAsia="zh-CN"/>
                <w14:textFill>
                  <w14:solidFill>
                    <w14:schemeClr w14:val="tx1"/>
                  </w14:solidFill>
                </w14:textFill>
              </w:rPr>
              <w:t>比选</w:t>
            </w:r>
            <w:r>
              <w:rPr>
                <w:rFonts w:hint="eastAsia" w:ascii="宋体" w:hAnsi="宋体"/>
                <w:color w:val="000000" w:themeColor="text1"/>
                <w:kern w:val="0"/>
                <w:szCs w:val="21"/>
                <w:highlight w:val="none"/>
                <w14:textFill>
                  <w14:solidFill>
                    <w14:schemeClr w14:val="tx1"/>
                  </w14:solidFill>
                </w14:textFill>
              </w:rPr>
              <w:t>人的解释，但违背国家利益、社会公共利益的除外。</w:t>
            </w:r>
          </w:p>
          <w:p w14:paraId="089F0837">
            <w:pPr>
              <w:autoSpaceDE w:val="0"/>
              <w:autoSpaceDN w:val="0"/>
              <w:adjustRightInd w:val="0"/>
              <w:snapToGrid w:val="0"/>
              <w:spacing w:line="4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对投标文件理解有争议的，应当作出不利于提交该投标文件的投标人的解释。</w:t>
            </w:r>
          </w:p>
        </w:tc>
      </w:tr>
      <w:tr w14:paraId="6CA24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1EDFFFE5">
            <w:pPr>
              <w:snapToGrid w:val="0"/>
              <w:spacing w:line="400" w:lineRule="exact"/>
              <w:jc w:val="center"/>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10.5</w:t>
            </w:r>
          </w:p>
        </w:tc>
        <w:tc>
          <w:tcPr>
            <w:tcW w:w="1644" w:type="dxa"/>
            <w:noWrap w:val="0"/>
            <w:vAlign w:val="center"/>
          </w:tcPr>
          <w:p w14:paraId="535E61E3">
            <w:pPr>
              <w:snapToGrid w:val="0"/>
              <w:spacing w:line="40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工程款支付</w:t>
            </w:r>
          </w:p>
        </w:tc>
        <w:tc>
          <w:tcPr>
            <w:tcW w:w="6490" w:type="dxa"/>
            <w:noWrap w:val="0"/>
            <w:vAlign w:val="center"/>
          </w:tcPr>
          <w:p w14:paraId="3BFD523B">
            <w:pPr>
              <w:keepNext w:val="0"/>
              <w:keepLines w:val="0"/>
              <w:pageBreakBefore w:val="0"/>
              <w:tabs>
                <w:tab w:val="center" w:pos="4737"/>
              </w:tabs>
              <w:kinsoku/>
              <w:wordWrap/>
              <w:overflowPunct/>
              <w:topLinePunct w:val="0"/>
              <w:autoSpaceDE/>
              <w:autoSpaceDN/>
              <w:bidi w:val="0"/>
              <w:adjustRightInd/>
              <w:snapToGrid/>
              <w:spacing w:line="440" w:lineRule="exact"/>
              <w:ind w:firstLine="420" w:firstLineChars="200"/>
              <w:textAlignment w:val="auto"/>
              <w:rPr>
                <w:rFonts w:hint="eastAsia" w:ascii="宋体" w:hAnsi="宋体"/>
                <w:i/>
                <w:color w:val="000000" w:themeColor="text1"/>
                <w:kern w:val="0"/>
                <w:szCs w:val="21"/>
                <w:highlight w:val="none"/>
                <w14:textFill>
                  <w14:solidFill>
                    <w14:schemeClr w14:val="tx1"/>
                  </w14:solidFill>
                </w14:textFill>
              </w:rPr>
            </w:pPr>
            <w:r>
              <w:rPr>
                <w:rFonts w:hint="eastAsia" w:ascii="宋体" w:hAnsi="宋体" w:cs="Times New Roman"/>
                <w:color w:val="000000" w:themeColor="text1"/>
                <w:kern w:val="0"/>
                <w:szCs w:val="21"/>
                <w:highlight w:val="none"/>
                <w:lang w:eastAsia="zh-CN"/>
                <w14:textFill>
                  <w14:solidFill>
                    <w14:schemeClr w14:val="tx1"/>
                  </w14:solidFill>
                </w14:textFill>
              </w:rPr>
              <w:t>竣工验收合格后付至合同金额的70%；审计完成后付至审定金额的97%。剩余价款在工程质保期结束后一次性支付（质保期两年，质保金不计息），若未能按期支付工程款，到期应付而未付部分按中国人民银行同期贷款基准利率计息。</w:t>
            </w:r>
          </w:p>
        </w:tc>
      </w:tr>
      <w:tr w14:paraId="07250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noWrap w:val="0"/>
            <w:vAlign w:val="center"/>
          </w:tcPr>
          <w:p w14:paraId="2C9C69C7">
            <w:pPr>
              <w:snapToGrid w:val="0"/>
              <w:spacing w:line="400" w:lineRule="exact"/>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bookmarkStart w:id="115" w:name="_Toc200513126"/>
            <w:bookmarkStart w:id="116" w:name="_Toc224103317"/>
            <w:bookmarkStart w:id="117" w:name="_Toc277082552"/>
            <w:bookmarkStart w:id="118" w:name="_Toc287607746"/>
            <w:bookmarkStart w:id="119" w:name="_Toc430530435"/>
            <w:bookmarkStart w:id="120" w:name="_Toc287620685"/>
            <w:r>
              <w:rPr>
                <w:rFonts w:hint="eastAsia" w:ascii="宋体" w:hAnsi="宋体"/>
                <w:color w:val="000000" w:themeColor="text1"/>
                <w:kern w:val="0"/>
                <w:szCs w:val="21"/>
                <w:highlight w:val="none"/>
                <w14:textFill>
                  <w14:solidFill>
                    <w14:schemeClr w14:val="tx1"/>
                  </w14:solidFill>
                </w14:textFill>
              </w:rPr>
              <w:t>10.</w:t>
            </w:r>
            <w:r>
              <w:rPr>
                <w:rFonts w:hint="eastAsia" w:ascii="宋体" w:hAnsi="宋体"/>
                <w:color w:val="000000" w:themeColor="text1"/>
                <w:kern w:val="0"/>
                <w:szCs w:val="21"/>
                <w:highlight w:val="none"/>
                <w:lang w:val="en-US" w:eastAsia="zh-CN"/>
                <w14:textFill>
                  <w14:solidFill>
                    <w14:schemeClr w14:val="tx1"/>
                  </w14:solidFill>
                </w14:textFill>
              </w:rPr>
              <w:t>6</w:t>
            </w:r>
          </w:p>
        </w:tc>
        <w:tc>
          <w:tcPr>
            <w:tcW w:w="1644" w:type="dxa"/>
            <w:noWrap w:val="0"/>
            <w:vAlign w:val="center"/>
          </w:tcPr>
          <w:p w14:paraId="10374A8F">
            <w:pPr>
              <w:snapToGrid w:val="0"/>
              <w:spacing w:line="400" w:lineRule="exact"/>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color w:val="000000" w:themeColor="text1"/>
                <w:kern w:val="0"/>
                <w:szCs w:val="21"/>
                <w14:textFill>
                  <w14:solidFill>
                    <w14:schemeClr w14:val="tx1"/>
                  </w14:solidFill>
                </w14:textFill>
              </w:rPr>
              <w:t>代理服务费</w:t>
            </w:r>
          </w:p>
        </w:tc>
        <w:tc>
          <w:tcPr>
            <w:tcW w:w="6490" w:type="dxa"/>
            <w:noWrap w:val="0"/>
            <w:vAlign w:val="center"/>
          </w:tcPr>
          <w:p w14:paraId="5E323B65">
            <w:pPr>
              <w:autoSpaceDE w:val="0"/>
              <w:autoSpaceDN w:val="0"/>
              <w:adjustRightInd w:val="0"/>
              <w:snapToGrid w:val="0"/>
              <w:spacing w:line="400" w:lineRule="exact"/>
              <w:ind w:firstLine="420" w:firstLineChars="200"/>
              <w:rPr>
                <w:rFonts w:hint="eastAsia" w:ascii="宋体" w:hAnsi="宋体" w:cs="Times New Roman"/>
                <w:color w:val="000000" w:themeColor="text1"/>
                <w:kern w:val="0"/>
                <w:szCs w:val="21"/>
                <w:highlight w:val="none"/>
                <w14:textFill>
                  <w14:solidFill>
                    <w14:schemeClr w14:val="tx1"/>
                  </w14:solidFill>
                </w14:textFill>
              </w:rPr>
            </w:pPr>
            <w:r>
              <w:rPr>
                <w:rFonts w:hint="eastAsia" w:ascii="宋体" w:hAnsi="宋体" w:cs="Times New Roman"/>
                <w:color w:val="000000" w:themeColor="text1"/>
                <w:kern w:val="0"/>
                <w:szCs w:val="21"/>
                <w:highlight w:val="none"/>
                <w14:textFill>
                  <w14:solidFill>
                    <w14:schemeClr w14:val="tx1"/>
                  </w14:solidFill>
                </w14:textFill>
              </w:rPr>
              <w:t>1</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14:textFill>
                  <w14:solidFill>
                    <w14:schemeClr w14:val="tx1"/>
                  </w14:solidFill>
                </w14:textFill>
              </w:rPr>
              <w:t>本项目比选代理服务费由中标单位支付。</w:t>
            </w:r>
          </w:p>
          <w:p w14:paraId="442A3E10">
            <w:pPr>
              <w:autoSpaceDE w:val="0"/>
              <w:autoSpaceDN w:val="0"/>
              <w:adjustRightInd w:val="0"/>
              <w:snapToGrid w:val="0"/>
              <w:spacing w:line="400" w:lineRule="exact"/>
              <w:ind w:firstLine="420" w:firstLineChars="200"/>
              <w:rPr>
                <w:rFonts w:hint="eastAsia" w:ascii="宋体" w:hAnsi="宋体" w:cs="Times New Roman"/>
                <w:color w:val="000000" w:themeColor="text1"/>
                <w:kern w:val="0"/>
                <w:szCs w:val="21"/>
                <w:highlight w:val="none"/>
                <w14:textFill>
                  <w14:solidFill>
                    <w14:schemeClr w14:val="tx1"/>
                  </w14:solidFill>
                </w14:textFill>
              </w:rPr>
            </w:pPr>
            <w:r>
              <w:rPr>
                <w:rFonts w:hint="eastAsia" w:ascii="宋体" w:hAnsi="宋体" w:cs="Times New Roman"/>
                <w:color w:val="000000" w:themeColor="text1"/>
                <w:kern w:val="0"/>
                <w:szCs w:val="21"/>
                <w:highlight w:val="none"/>
                <w14:textFill>
                  <w14:solidFill>
                    <w14:schemeClr w14:val="tx1"/>
                  </w14:solidFill>
                </w14:textFill>
              </w:rPr>
              <w:t>2</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14:textFill>
                  <w14:solidFill>
                    <w14:schemeClr w14:val="tx1"/>
                  </w14:solidFill>
                </w14:textFill>
              </w:rPr>
              <w:t>比选代理服务费金额：</w:t>
            </w:r>
            <w:r>
              <w:rPr>
                <w:rFonts w:hint="eastAsia" w:ascii="宋体" w:hAnsi="宋体" w:cs="Times New Roman"/>
                <w:color w:val="000000" w:themeColor="text1"/>
                <w:kern w:val="0"/>
                <w:szCs w:val="21"/>
                <w:highlight w:val="none"/>
                <w:lang w:val="en-US" w:eastAsia="zh-CN"/>
                <w14:textFill>
                  <w14:solidFill>
                    <w14:schemeClr w14:val="tx1"/>
                  </w14:solidFill>
                </w14:textFill>
              </w:rPr>
              <w:t>3000.</w:t>
            </w:r>
            <w:r>
              <w:rPr>
                <w:rFonts w:hint="eastAsia" w:ascii="宋体" w:hAnsi="宋体" w:cs="Times New Roman"/>
                <w:color w:val="000000" w:themeColor="text1"/>
                <w:kern w:val="0"/>
                <w:szCs w:val="21"/>
                <w:highlight w:val="none"/>
                <w14:textFill>
                  <w14:solidFill>
                    <w14:schemeClr w14:val="tx1"/>
                  </w14:solidFill>
                </w14:textFill>
              </w:rPr>
              <w:t>00元。</w:t>
            </w:r>
          </w:p>
          <w:p w14:paraId="1230C6F9">
            <w:pPr>
              <w:autoSpaceDE w:val="0"/>
              <w:autoSpaceDN w:val="0"/>
              <w:adjustRightInd w:val="0"/>
              <w:snapToGrid w:val="0"/>
              <w:spacing w:line="400" w:lineRule="exact"/>
              <w:ind w:firstLine="420" w:firstLineChars="200"/>
              <w:rPr>
                <w:rFonts w:hint="eastAsia" w:ascii="宋体" w:hAnsi="宋体" w:eastAsia="宋体" w:cs="Times New Roman"/>
                <w:i/>
                <w:color w:val="000000" w:themeColor="text1"/>
                <w:kern w:val="0"/>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0"/>
                <w:szCs w:val="21"/>
                <w:highlight w:val="none"/>
                <w14:textFill>
                  <w14:solidFill>
                    <w14:schemeClr w14:val="tx1"/>
                  </w14:solidFill>
                </w14:textFill>
              </w:rPr>
              <w:t>3</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14:textFill>
                  <w14:solidFill>
                    <w14:schemeClr w14:val="tx1"/>
                  </w14:solidFill>
                </w14:textFill>
              </w:rPr>
              <w:t>支付时间：在中标通知书发出前由中标单位一次性向比选代理机构支付。</w:t>
            </w:r>
          </w:p>
        </w:tc>
      </w:tr>
    </w:tbl>
    <w:p w14:paraId="74FEB8B4">
      <w:pPr>
        <w:pStyle w:val="4"/>
        <w:spacing w:before="0" w:after="0" w:line="20" w:lineRule="exact"/>
        <w:rPr>
          <w:rFonts w:ascii="宋体" w:hAnsi="宋体"/>
          <w:b w:val="0"/>
          <w:snapToGrid w:val="0"/>
          <w:color w:val="auto"/>
          <w:highlight w:val="none"/>
        </w:rPr>
      </w:pPr>
    </w:p>
    <w:p w14:paraId="3C109770">
      <w:pPr>
        <w:pStyle w:val="4"/>
        <w:spacing w:before="0" w:after="0" w:line="200" w:lineRule="exact"/>
        <w:rPr>
          <w:rFonts w:hint="eastAsia" w:ascii="宋体" w:hAnsi="宋体"/>
          <w:b w:val="0"/>
          <w:snapToGrid w:val="0"/>
          <w:color w:val="auto"/>
          <w:highlight w:val="none"/>
        </w:rPr>
      </w:pPr>
      <w:r>
        <w:rPr>
          <w:rFonts w:ascii="宋体" w:hAnsi="宋体"/>
          <w:b w:val="0"/>
          <w:snapToGrid w:val="0"/>
          <w:color w:val="auto"/>
          <w:highlight w:val="none"/>
        </w:rPr>
        <w:br w:type="page"/>
      </w:r>
    </w:p>
    <w:p w14:paraId="1FA6EC77">
      <w:pPr>
        <w:pStyle w:val="4"/>
        <w:spacing w:before="0" w:after="0" w:line="360" w:lineRule="auto"/>
        <w:rPr>
          <w:rFonts w:ascii="宋体" w:hAnsi="宋体"/>
          <w:b w:val="0"/>
          <w:snapToGrid w:val="0"/>
          <w:color w:val="auto"/>
          <w:highlight w:val="none"/>
        </w:rPr>
      </w:pPr>
      <w:bookmarkStart w:id="121" w:name="_Toc840"/>
      <w:bookmarkStart w:id="122" w:name="_Toc30133"/>
      <w:bookmarkStart w:id="123" w:name="_Toc509218710"/>
      <w:r>
        <w:rPr>
          <w:rFonts w:ascii="宋体" w:hAnsi="宋体"/>
          <w:b w:val="0"/>
          <w:snapToGrid w:val="0"/>
          <w:color w:val="auto"/>
          <w:highlight w:val="none"/>
        </w:rPr>
        <w:t>1.  总则</w:t>
      </w:r>
      <w:bookmarkEnd w:id="115"/>
      <w:bookmarkEnd w:id="116"/>
      <w:bookmarkEnd w:id="117"/>
      <w:bookmarkEnd w:id="118"/>
      <w:bookmarkEnd w:id="119"/>
      <w:bookmarkEnd w:id="120"/>
      <w:bookmarkEnd w:id="121"/>
      <w:bookmarkEnd w:id="122"/>
      <w:bookmarkEnd w:id="123"/>
    </w:p>
    <w:p w14:paraId="1F224526">
      <w:pPr>
        <w:pStyle w:val="5"/>
        <w:snapToGrid w:val="0"/>
        <w:spacing w:before="0" w:after="0" w:line="360" w:lineRule="auto"/>
        <w:rPr>
          <w:rFonts w:ascii="宋体" w:hAnsi="宋体"/>
          <w:b w:val="0"/>
          <w:snapToGrid w:val="0"/>
          <w:color w:val="auto"/>
          <w:sz w:val="24"/>
          <w:szCs w:val="24"/>
          <w:highlight w:val="none"/>
        </w:rPr>
      </w:pPr>
      <w:bookmarkStart w:id="124" w:name="_Toc430530436"/>
      <w:bookmarkStart w:id="125" w:name="_Toc32232"/>
      <w:bookmarkStart w:id="126" w:name="_Toc224103318"/>
      <w:bookmarkStart w:id="127" w:name="_Toc287607747"/>
      <w:bookmarkStart w:id="128" w:name="_Toc24132"/>
      <w:bookmarkStart w:id="129" w:name="_Toc509218711"/>
      <w:bookmarkStart w:id="130" w:name="_Toc277082553"/>
      <w:bookmarkStart w:id="131" w:name="_Toc287620686"/>
      <w:bookmarkStart w:id="132" w:name="_Toc200513127"/>
      <w:r>
        <w:rPr>
          <w:rFonts w:ascii="宋体" w:hAnsi="宋体"/>
          <w:b w:val="0"/>
          <w:snapToGrid w:val="0"/>
          <w:color w:val="auto"/>
          <w:sz w:val="24"/>
          <w:szCs w:val="24"/>
          <w:highlight w:val="none"/>
        </w:rPr>
        <w:t>1.1  项目概况</w:t>
      </w:r>
      <w:bookmarkEnd w:id="124"/>
      <w:bookmarkEnd w:id="125"/>
      <w:bookmarkEnd w:id="126"/>
      <w:bookmarkEnd w:id="127"/>
      <w:bookmarkEnd w:id="128"/>
      <w:bookmarkEnd w:id="129"/>
      <w:bookmarkEnd w:id="130"/>
      <w:bookmarkEnd w:id="131"/>
      <w:bookmarkEnd w:id="132"/>
    </w:p>
    <w:p w14:paraId="3D60C716">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w:t>
      </w:r>
      <w:r>
        <w:rPr>
          <w:rFonts w:hint="eastAsia" w:ascii="宋体" w:hAnsi="宋体"/>
          <w:color w:val="auto"/>
          <w:kern w:val="0"/>
          <w:szCs w:val="21"/>
          <w:highlight w:val="none"/>
          <w:lang w:eastAsia="zh-CN"/>
        </w:rPr>
        <w:t>招标</w:t>
      </w:r>
      <w:r>
        <w:rPr>
          <w:rFonts w:ascii="宋体" w:hAnsi="宋体"/>
          <w:snapToGrid w:val="0"/>
          <w:color w:val="auto"/>
          <w:kern w:val="0"/>
          <w:szCs w:val="21"/>
          <w:highlight w:val="none"/>
        </w:rPr>
        <w:t>投标法》等有关法律、法规和规章的规定，本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14C99A7E">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人：见投标人须知前附表。</w:t>
      </w:r>
    </w:p>
    <w:p w14:paraId="01EC916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代理机构：见投标人须知前附表。</w:t>
      </w:r>
    </w:p>
    <w:p w14:paraId="05F7976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项目名称：见投标人须知前附表。</w:t>
      </w:r>
    </w:p>
    <w:p w14:paraId="62FB820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项目建设地点：见投标人须知前附表。</w:t>
      </w:r>
    </w:p>
    <w:p w14:paraId="4B77ECA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项目建设规模：见投标人须知前附表。</w:t>
      </w:r>
    </w:p>
    <w:p w14:paraId="2C6C4C21">
      <w:pPr>
        <w:pStyle w:val="5"/>
        <w:snapToGrid w:val="0"/>
        <w:spacing w:before="0" w:after="0" w:line="360" w:lineRule="auto"/>
        <w:rPr>
          <w:rFonts w:ascii="宋体" w:hAnsi="宋体"/>
          <w:b w:val="0"/>
          <w:snapToGrid w:val="0"/>
          <w:color w:val="auto"/>
          <w:sz w:val="24"/>
          <w:szCs w:val="24"/>
          <w:highlight w:val="none"/>
        </w:rPr>
      </w:pPr>
      <w:bookmarkStart w:id="133" w:name="_Toc287620687"/>
      <w:bookmarkStart w:id="134" w:name="_Toc287607748"/>
      <w:bookmarkStart w:id="135" w:name="_Toc21567"/>
      <w:bookmarkStart w:id="136" w:name="_Toc277082554"/>
      <w:bookmarkStart w:id="137" w:name="_Toc224103319"/>
      <w:bookmarkStart w:id="138" w:name="_Toc430530437"/>
      <w:bookmarkStart w:id="139" w:name="_Toc509218712"/>
      <w:bookmarkStart w:id="140" w:name="_Toc200513128"/>
      <w:bookmarkStart w:id="141" w:name="_Toc27923"/>
      <w:r>
        <w:rPr>
          <w:rFonts w:ascii="宋体" w:hAnsi="宋体"/>
          <w:b w:val="0"/>
          <w:snapToGrid w:val="0"/>
          <w:color w:val="auto"/>
          <w:sz w:val="24"/>
          <w:szCs w:val="24"/>
          <w:highlight w:val="none"/>
        </w:rPr>
        <w:t>1.2  资金来源和落实情况</w:t>
      </w:r>
      <w:bookmarkEnd w:id="133"/>
      <w:bookmarkEnd w:id="134"/>
      <w:bookmarkEnd w:id="135"/>
      <w:bookmarkEnd w:id="136"/>
      <w:bookmarkEnd w:id="137"/>
      <w:bookmarkEnd w:id="138"/>
      <w:bookmarkEnd w:id="139"/>
      <w:bookmarkEnd w:id="140"/>
      <w:bookmarkEnd w:id="141"/>
    </w:p>
    <w:p w14:paraId="206E658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项目的资金来源：见投标人须知前附表。</w:t>
      </w:r>
    </w:p>
    <w:p w14:paraId="519D580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项目的出资比例：见投标人须知前附表。</w:t>
      </w:r>
    </w:p>
    <w:p w14:paraId="1BE051A8">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项目的资金落实情况：见投标人须知前附表。</w:t>
      </w:r>
    </w:p>
    <w:p w14:paraId="1AB36F71">
      <w:pPr>
        <w:pStyle w:val="5"/>
        <w:snapToGrid w:val="0"/>
        <w:spacing w:before="0" w:after="0" w:line="360" w:lineRule="auto"/>
        <w:rPr>
          <w:rFonts w:ascii="宋体" w:hAnsi="宋体"/>
          <w:b w:val="0"/>
          <w:snapToGrid w:val="0"/>
          <w:color w:val="auto"/>
          <w:sz w:val="24"/>
          <w:szCs w:val="24"/>
          <w:highlight w:val="none"/>
        </w:rPr>
      </w:pPr>
      <w:bookmarkStart w:id="142" w:name="_Toc13661"/>
      <w:bookmarkStart w:id="143" w:name="_Toc430530438"/>
      <w:bookmarkStart w:id="144" w:name="_Toc4104"/>
      <w:bookmarkStart w:id="145" w:name="_Toc277082555"/>
      <w:bookmarkStart w:id="146" w:name="_Toc224103320"/>
      <w:bookmarkStart w:id="147" w:name="_Toc287620688"/>
      <w:bookmarkStart w:id="148" w:name="_Toc200513129"/>
      <w:bookmarkStart w:id="149" w:name="_Toc509218713"/>
      <w:bookmarkStart w:id="150" w:name="_Toc287607749"/>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范围、计划工期和质量要求</w:t>
      </w:r>
      <w:bookmarkEnd w:id="142"/>
      <w:bookmarkEnd w:id="143"/>
      <w:bookmarkEnd w:id="144"/>
      <w:bookmarkEnd w:id="145"/>
      <w:bookmarkEnd w:id="146"/>
      <w:bookmarkEnd w:id="147"/>
      <w:bookmarkEnd w:id="148"/>
      <w:bookmarkEnd w:id="149"/>
      <w:bookmarkEnd w:id="150"/>
    </w:p>
    <w:p w14:paraId="0BCEC76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范围：见投标人须知前附表。</w:t>
      </w:r>
    </w:p>
    <w:p w14:paraId="76E7B56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计划工期：见投标人须知前附表。</w:t>
      </w:r>
    </w:p>
    <w:p w14:paraId="3BDC0CF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质量要求：见投标人须知前附表。</w:t>
      </w:r>
    </w:p>
    <w:p w14:paraId="0D8BD2E2">
      <w:pPr>
        <w:pStyle w:val="5"/>
        <w:snapToGrid w:val="0"/>
        <w:spacing w:before="0" w:after="0" w:line="360" w:lineRule="auto"/>
        <w:rPr>
          <w:rFonts w:ascii="宋体" w:hAnsi="宋体"/>
          <w:b w:val="0"/>
          <w:snapToGrid w:val="0"/>
          <w:color w:val="auto"/>
          <w:sz w:val="24"/>
          <w:szCs w:val="24"/>
          <w:highlight w:val="none"/>
        </w:rPr>
      </w:pPr>
      <w:bookmarkStart w:id="151" w:name="_Toc509218715"/>
      <w:bookmarkStart w:id="152" w:name="_Toc287620690"/>
      <w:bookmarkStart w:id="153" w:name="_Toc287607751"/>
      <w:bookmarkStart w:id="154" w:name="_Toc430530440"/>
      <w:bookmarkStart w:id="155" w:name="_Toc1894"/>
      <w:bookmarkStart w:id="156" w:name="_Toc277082557"/>
      <w:bookmarkStart w:id="157" w:name="_Toc21453"/>
      <w:bookmarkStart w:id="158" w:name="_Toc200513131"/>
      <w:bookmarkStart w:id="159" w:name="_Toc224103322"/>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lang w:val="en-US" w:eastAsia="zh-CN"/>
        </w:rPr>
        <w:t xml:space="preserve">  </w:t>
      </w:r>
      <w:r>
        <w:rPr>
          <w:rFonts w:ascii="宋体" w:hAnsi="宋体"/>
          <w:b w:val="0"/>
          <w:snapToGrid w:val="0"/>
          <w:color w:val="auto"/>
          <w:sz w:val="24"/>
          <w:szCs w:val="24"/>
          <w:highlight w:val="none"/>
        </w:rPr>
        <w:t>投标人资格要求</w:t>
      </w:r>
      <w:bookmarkEnd w:id="151"/>
      <w:bookmarkEnd w:id="152"/>
      <w:bookmarkEnd w:id="153"/>
      <w:bookmarkEnd w:id="154"/>
      <w:bookmarkEnd w:id="155"/>
      <w:bookmarkEnd w:id="156"/>
      <w:bookmarkEnd w:id="157"/>
      <w:bookmarkEnd w:id="158"/>
      <w:bookmarkEnd w:id="159"/>
    </w:p>
    <w:p w14:paraId="128C2660">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1.4.1 投标人应具备承担本标段施工的资质条件、能力和信誉。</w:t>
      </w:r>
    </w:p>
    <w:p w14:paraId="7E75251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资质条件、营业执照及安全生产条件</w:t>
      </w:r>
      <w:r>
        <w:rPr>
          <w:rFonts w:ascii="宋体" w:hAnsi="宋体"/>
          <w:snapToGrid w:val="0"/>
          <w:color w:val="auto"/>
          <w:kern w:val="0"/>
          <w:szCs w:val="21"/>
          <w:highlight w:val="none"/>
        </w:rPr>
        <w:t>：见投标人须知前附表；</w:t>
      </w:r>
    </w:p>
    <w:p w14:paraId="34C18E4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（2）财务要求：见投标人须知前附表；</w:t>
      </w:r>
    </w:p>
    <w:p w14:paraId="7A67DDB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（3）业绩要求：见投标人须知前附表；</w:t>
      </w:r>
    </w:p>
    <w:p w14:paraId="488328D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：见投标人须知前附表；</w:t>
      </w:r>
    </w:p>
    <w:p w14:paraId="637EB557">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：见投标人须知前附表；</w:t>
      </w:r>
    </w:p>
    <w:p w14:paraId="76832E4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（6）其他要求：见投标人须知前附表。</w:t>
      </w:r>
    </w:p>
    <w:p w14:paraId="1F3B7F4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1.4.2  投标人须知前附表规定接受联合体投标的，除应符合本章第1.4.1项和投标人须知前附表的要求外，还应遵守以下规定：</w:t>
      </w:r>
    </w:p>
    <w:p w14:paraId="7044EEB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文件提供的格式签订联合体协议书，明确联合体牵头人和各方权利义务；</w:t>
      </w:r>
    </w:p>
    <w:p w14:paraId="16C2C17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74F90B9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14:paraId="22433A6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1.4.3  投标人不得存在下列情形之一：</w:t>
      </w:r>
    </w:p>
    <w:p w14:paraId="2DC2CFC7">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人存在利害关系可能影响</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公正性的法人、其他组织或者个人；</w:t>
      </w:r>
    </w:p>
    <w:p w14:paraId="5612641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2C6DD3F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2DC183B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58FC457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（5）为本标段提供</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代理服务的；</w:t>
      </w:r>
    </w:p>
    <w:p w14:paraId="1233BF3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代理机构同为一个法定代表人的；</w:t>
      </w:r>
    </w:p>
    <w:p w14:paraId="661106F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代理机构相互控股或参股的；</w:t>
      </w:r>
    </w:p>
    <w:p w14:paraId="4F52E84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代理机构相互任职或工作的；</w:t>
      </w:r>
    </w:p>
    <w:p w14:paraId="76A1C99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（9）被责令停业的；</w:t>
      </w:r>
    </w:p>
    <w:p w14:paraId="0C575C9E">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14:paraId="0F3F600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（11）财产被接管或冻结的；</w:t>
      </w:r>
    </w:p>
    <w:p w14:paraId="456764BE">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ascii="宋体" w:hAnsi="宋体"/>
          <w:color w:val="auto"/>
          <w:sz w:val="22"/>
          <w:szCs w:val="22"/>
          <w:highlight w:val="none"/>
        </w:rPr>
        <w:t>单位负责人为同一人或者存在控股、管理关系的不同单位，不得在同一标段中同时投标</w:t>
      </w:r>
      <w:r>
        <w:rPr>
          <w:rFonts w:ascii="宋体" w:hAnsi="宋体"/>
          <w:snapToGrid w:val="0"/>
          <w:color w:val="auto"/>
          <w:kern w:val="0"/>
          <w:szCs w:val="21"/>
          <w:highlight w:val="none"/>
        </w:rPr>
        <w:t>。</w:t>
      </w:r>
    </w:p>
    <w:p w14:paraId="3138FE38">
      <w:pPr>
        <w:pStyle w:val="5"/>
        <w:snapToGrid w:val="0"/>
        <w:spacing w:before="0" w:after="0" w:line="360" w:lineRule="auto"/>
        <w:rPr>
          <w:rFonts w:ascii="宋体" w:hAnsi="宋体"/>
          <w:b w:val="0"/>
          <w:snapToGrid w:val="0"/>
          <w:color w:val="auto"/>
          <w:sz w:val="24"/>
          <w:szCs w:val="24"/>
          <w:highlight w:val="none"/>
        </w:rPr>
      </w:pPr>
      <w:bookmarkStart w:id="160" w:name="_Toc200513132"/>
      <w:bookmarkStart w:id="161" w:name="_Toc430530441"/>
      <w:bookmarkStart w:id="162" w:name="_Toc277082558"/>
      <w:bookmarkStart w:id="163" w:name="_Toc20662"/>
      <w:bookmarkStart w:id="164" w:name="_Toc509218716"/>
      <w:bookmarkStart w:id="165" w:name="_Toc224103323"/>
      <w:bookmarkStart w:id="166" w:name="_Toc21063"/>
      <w:bookmarkStart w:id="167" w:name="_Toc287607752"/>
      <w:bookmarkStart w:id="168" w:name="_Toc287620691"/>
      <w:r>
        <w:rPr>
          <w:rFonts w:ascii="宋体" w:hAnsi="宋体"/>
          <w:b w:val="0"/>
          <w:snapToGrid w:val="0"/>
          <w:color w:val="auto"/>
          <w:sz w:val="24"/>
          <w:szCs w:val="24"/>
          <w:highlight w:val="none"/>
        </w:rPr>
        <w:t>1.5  费用承担</w:t>
      </w:r>
      <w:bookmarkEnd w:id="160"/>
      <w:bookmarkEnd w:id="161"/>
      <w:bookmarkEnd w:id="162"/>
      <w:bookmarkEnd w:id="163"/>
      <w:bookmarkEnd w:id="164"/>
      <w:bookmarkEnd w:id="165"/>
      <w:bookmarkEnd w:id="166"/>
      <w:bookmarkEnd w:id="167"/>
      <w:bookmarkEnd w:id="168"/>
    </w:p>
    <w:p w14:paraId="6E823E2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14:paraId="2BB7E4BE">
      <w:pPr>
        <w:pStyle w:val="5"/>
        <w:snapToGrid w:val="0"/>
        <w:spacing w:before="0" w:after="0" w:line="360" w:lineRule="auto"/>
        <w:rPr>
          <w:rFonts w:ascii="宋体" w:hAnsi="宋体"/>
          <w:b w:val="0"/>
          <w:snapToGrid w:val="0"/>
          <w:color w:val="auto"/>
          <w:sz w:val="24"/>
          <w:szCs w:val="24"/>
          <w:highlight w:val="none"/>
        </w:rPr>
      </w:pPr>
      <w:bookmarkStart w:id="169" w:name="_Toc509218717"/>
      <w:bookmarkStart w:id="170" w:name="_Toc287607753"/>
      <w:bookmarkStart w:id="171" w:name="_Toc19048"/>
      <w:bookmarkStart w:id="172" w:name="_Toc277082559"/>
      <w:bookmarkStart w:id="173" w:name="_Toc287620692"/>
      <w:bookmarkStart w:id="174" w:name="_Toc26130"/>
      <w:bookmarkStart w:id="175" w:name="_Toc224103324"/>
      <w:bookmarkStart w:id="176" w:name="_Toc430530442"/>
      <w:bookmarkStart w:id="177" w:name="_Toc200513133"/>
      <w:r>
        <w:rPr>
          <w:rFonts w:ascii="宋体" w:hAnsi="宋体"/>
          <w:b w:val="0"/>
          <w:snapToGrid w:val="0"/>
          <w:color w:val="auto"/>
          <w:sz w:val="24"/>
          <w:szCs w:val="24"/>
          <w:highlight w:val="none"/>
        </w:rPr>
        <w:t>1.6  保密</w:t>
      </w:r>
      <w:bookmarkEnd w:id="169"/>
      <w:bookmarkEnd w:id="170"/>
      <w:bookmarkEnd w:id="171"/>
      <w:bookmarkEnd w:id="172"/>
      <w:bookmarkEnd w:id="173"/>
      <w:bookmarkEnd w:id="174"/>
      <w:bookmarkEnd w:id="175"/>
      <w:bookmarkEnd w:id="176"/>
      <w:bookmarkEnd w:id="177"/>
    </w:p>
    <w:p w14:paraId="5C968AF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投标活动的各方应对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文件和投标文件中的商业和技术等秘密保密，违者应对由此造成的后果承担法律责任。</w:t>
      </w:r>
    </w:p>
    <w:p w14:paraId="65DFB1C7">
      <w:pPr>
        <w:pStyle w:val="5"/>
        <w:snapToGrid w:val="0"/>
        <w:spacing w:before="0" w:after="0" w:line="360" w:lineRule="auto"/>
        <w:rPr>
          <w:rFonts w:ascii="宋体" w:hAnsi="宋体"/>
          <w:b w:val="0"/>
          <w:snapToGrid w:val="0"/>
          <w:color w:val="auto"/>
          <w:sz w:val="24"/>
          <w:szCs w:val="24"/>
          <w:highlight w:val="none"/>
        </w:rPr>
      </w:pPr>
      <w:bookmarkStart w:id="178" w:name="_Toc287607754"/>
      <w:bookmarkStart w:id="179" w:name="_Toc277082560"/>
      <w:bookmarkStart w:id="180" w:name="_Toc287620693"/>
      <w:bookmarkStart w:id="181" w:name="_Toc430530443"/>
      <w:bookmarkStart w:id="182" w:name="_Toc224103325"/>
      <w:bookmarkStart w:id="183" w:name="_Toc17548"/>
      <w:bookmarkStart w:id="184" w:name="_Toc1222"/>
      <w:bookmarkStart w:id="185" w:name="_Toc509218718"/>
      <w:bookmarkStart w:id="186" w:name="_Toc200513134"/>
      <w:r>
        <w:rPr>
          <w:rFonts w:ascii="宋体" w:hAnsi="宋体"/>
          <w:b w:val="0"/>
          <w:snapToGrid w:val="0"/>
          <w:color w:val="auto"/>
          <w:sz w:val="24"/>
          <w:szCs w:val="24"/>
          <w:highlight w:val="none"/>
        </w:rPr>
        <w:t>1.7  语言文字</w:t>
      </w:r>
      <w:bookmarkEnd w:id="178"/>
      <w:bookmarkEnd w:id="179"/>
      <w:bookmarkEnd w:id="180"/>
      <w:bookmarkEnd w:id="181"/>
      <w:bookmarkEnd w:id="182"/>
      <w:bookmarkEnd w:id="183"/>
      <w:bookmarkEnd w:id="184"/>
      <w:bookmarkEnd w:id="185"/>
      <w:bookmarkEnd w:id="186"/>
    </w:p>
    <w:p w14:paraId="247B250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投标有关的语言均使用中文。必要时专用术语应附有中文注释。</w:t>
      </w:r>
    </w:p>
    <w:p w14:paraId="7B2B7654">
      <w:pPr>
        <w:pStyle w:val="5"/>
        <w:snapToGrid w:val="0"/>
        <w:spacing w:before="0" w:after="0" w:line="360" w:lineRule="auto"/>
        <w:rPr>
          <w:rFonts w:ascii="宋体" w:hAnsi="宋体"/>
          <w:b w:val="0"/>
          <w:snapToGrid w:val="0"/>
          <w:color w:val="auto"/>
          <w:sz w:val="24"/>
          <w:szCs w:val="24"/>
          <w:highlight w:val="none"/>
        </w:rPr>
      </w:pPr>
      <w:bookmarkStart w:id="187" w:name="_Toc13374"/>
      <w:bookmarkStart w:id="188" w:name="_Toc200513135"/>
      <w:bookmarkStart w:id="189" w:name="_Toc14072"/>
      <w:bookmarkStart w:id="190" w:name="_Toc287620694"/>
      <w:bookmarkStart w:id="191" w:name="_Toc287607755"/>
      <w:bookmarkStart w:id="192" w:name="_Toc430530444"/>
      <w:bookmarkStart w:id="193" w:name="_Toc277082561"/>
      <w:bookmarkStart w:id="194" w:name="_Toc509218719"/>
      <w:bookmarkStart w:id="195" w:name="_Toc224103326"/>
      <w:r>
        <w:rPr>
          <w:rFonts w:ascii="宋体" w:hAnsi="宋体"/>
          <w:b w:val="0"/>
          <w:snapToGrid w:val="0"/>
          <w:color w:val="auto"/>
          <w:sz w:val="24"/>
          <w:szCs w:val="24"/>
          <w:highlight w:val="none"/>
        </w:rPr>
        <w:t>1.8  计量单位</w:t>
      </w:r>
      <w:bookmarkEnd w:id="187"/>
      <w:bookmarkEnd w:id="188"/>
      <w:bookmarkEnd w:id="189"/>
      <w:bookmarkEnd w:id="190"/>
      <w:bookmarkEnd w:id="191"/>
      <w:bookmarkEnd w:id="192"/>
      <w:bookmarkEnd w:id="193"/>
      <w:bookmarkEnd w:id="194"/>
      <w:bookmarkEnd w:id="195"/>
    </w:p>
    <w:p w14:paraId="42B9C403">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39FB2F26">
      <w:pPr>
        <w:pStyle w:val="5"/>
        <w:snapToGrid w:val="0"/>
        <w:spacing w:before="0" w:after="0" w:line="360" w:lineRule="auto"/>
        <w:rPr>
          <w:rFonts w:ascii="宋体" w:hAnsi="宋体"/>
          <w:b w:val="0"/>
          <w:snapToGrid w:val="0"/>
          <w:color w:val="auto"/>
          <w:sz w:val="24"/>
          <w:szCs w:val="24"/>
          <w:highlight w:val="none"/>
        </w:rPr>
      </w:pPr>
      <w:bookmarkStart w:id="196" w:name="_Toc509218720"/>
      <w:bookmarkStart w:id="197" w:name="_Toc287607756"/>
      <w:bookmarkStart w:id="198" w:name="_Toc19275"/>
      <w:bookmarkStart w:id="199" w:name="_Toc430530445"/>
      <w:bookmarkStart w:id="200" w:name="_Toc200513136"/>
      <w:bookmarkStart w:id="201" w:name="_Toc287620695"/>
      <w:bookmarkStart w:id="202" w:name="_Toc277082562"/>
      <w:bookmarkStart w:id="203" w:name="_Toc25559"/>
      <w:bookmarkStart w:id="204" w:name="_Toc224103327"/>
      <w:r>
        <w:rPr>
          <w:rFonts w:ascii="宋体" w:hAnsi="宋体"/>
          <w:b w:val="0"/>
          <w:snapToGrid w:val="0"/>
          <w:color w:val="auto"/>
          <w:sz w:val="24"/>
          <w:szCs w:val="24"/>
          <w:highlight w:val="none"/>
        </w:rPr>
        <w:t>1.9  踏勘现场</w:t>
      </w:r>
      <w:bookmarkEnd w:id="196"/>
      <w:bookmarkEnd w:id="197"/>
      <w:bookmarkEnd w:id="198"/>
      <w:bookmarkEnd w:id="199"/>
      <w:bookmarkEnd w:id="200"/>
      <w:bookmarkEnd w:id="201"/>
      <w:bookmarkEnd w:id="202"/>
      <w:bookmarkEnd w:id="203"/>
      <w:bookmarkEnd w:id="204"/>
    </w:p>
    <w:p w14:paraId="3553689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1.9.1  投标人须知前附表规定组织踏勘现场的，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人按投标人须知前附表规定的时间、 地点组织投标人踏勘项目现场。</w:t>
      </w:r>
    </w:p>
    <w:p w14:paraId="3C8AC291">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1.9.2  投标人踏勘现场发生的费用自理。</w:t>
      </w:r>
    </w:p>
    <w:p w14:paraId="4011AC2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人的原因外，投标人自行负责在踏勘现场中所发生的人员伤亡和财产损失。</w:t>
      </w:r>
    </w:p>
    <w:p w14:paraId="6C2B52E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人在踏勘现场中介绍的工程场地和相关的周边环境情况，供投标人在编制投标文件时参考，</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人不对投标人据此做出的判断和决策负责。</w:t>
      </w:r>
    </w:p>
    <w:p w14:paraId="398BD6A7">
      <w:pPr>
        <w:pStyle w:val="5"/>
        <w:snapToGrid w:val="0"/>
        <w:spacing w:before="0" w:after="0" w:line="360" w:lineRule="auto"/>
        <w:rPr>
          <w:rFonts w:ascii="宋体" w:hAnsi="宋体"/>
          <w:b w:val="0"/>
          <w:snapToGrid w:val="0"/>
          <w:color w:val="auto"/>
          <w:sz w:val="24"/>
          <w:szCs w:val="24"/>
          <w:highlight w:val="none"/>
        </w:rPr>
      </w:pPr>
      <w:bookmarkStart w:id="205" w:name="_Toc200513137"/>
      <w:bookmarkStart w:id="206" w:name="_Toc32057"/>
      <w:bookmarkStart w:id="207" w:name="_Toc224103328"/>
      <w:bookmarkStart w:id="208" w:name="_Toc277082563"/>
      <w:bookmarkStart w:id="209" w:name="_Toc287620696"/>
      <w:bookmarkStart w:id="210" w:name="_Toc509218721"/>
      <w:bookmarkStart w:id="211" w:name="_Toc287607757"/>
      <w:bookmarkStart w:id="212" w:name="_Toc430530446"/>
      <w:bookmarkStart w:id="213" w:name="_Toc7364"/>
      <w:r>
        <w:rPr>
          <w:rFonts w:ascii="宋体" w:hAnsi="宋体"/>
          <w:b w:val="0"/>
          <w:snapToGrid w:val="0"/>
          <w:color w:val="auto"/>
          <w:sz w:val="24"/>
          <w:szCs w:val="24"/>
          <w:highlight w:val="none"/>
        </w:rPr>
        <w:t>1.10  投标预备会</w:t>
      </w:r>
      <w:bookmarkEnd w:id="205"/>
      <w:bookmarkEnd w:id="206"/>
      <w:bookmarkEnd w:id="207"/>
      <w:bookmarkEnd w:id="208"/>
      <w:bookmarkEnd w:id="209"/>
      <w:bookmarkEnd w:id="210"/>
      <w:bookmarkEnd w:id="211"/>
      <w:bookmarkEnd w:id="212"/>
      <w:bookmarkEnd w:id="213"/>
    </w:p>
    <w:p w14:paraId="062DBA7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1.10.1  投标人须知前附表规定召开投标预备会的，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人按投标人须知前附表规定的时间和地点召开投标预备会，澄清投标人提出的问题。</w:t>
      </w:r>
    </w:p>
    <w:p w14:paraId="1EA731E4">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1.10.2  投标人应在投标人须知前附表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人，以便</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人澄清。</w:t>
      </w:r>
    </w:p>
    <w:p w14:paraId="42D1CB58">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人在投标人须知前附表规定的时间内，将对投标人所提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文件的组成部分。</w:t>
      </w:r>
    </w:p>
    <w:p w14:paraId="54F05810">
      <w:pPr>
        <w:pStyle w:val="5"/>
        <w:snapToGrid w:val="0"/>
        <w:spacing w:before="0" w:after="0" w:line="360" w:lineRule="auto"/>
        <w:rPr>
          <w:rFonts w:ascii="宋体" w:hAnsi="宋体"/>
          <w:b w:val="0"/>
          <w:snapToGrid w:val="0"/>
          <w:color w:val="auto"/>
          <w:sz w:val="24"/>
          <w:szCs w:val="24"/>
          <w:highlight w:val="none"/>
        </w:rPr>
      </w:pPr>
      <w:bookmarkStart w:id="214" w:name="_Toc200513138"/>
      <w:bookmarkStart w:id="215" w:name="_Toc224103329"/>
      <w:bookmarkStart w:id="216" w:name="_Toc509218722"/>
      <w:bookmarkStart w:id="217" w:name="_Toc430530447"/>
      <w:bookmarkStart w:id="218" w:name="_Toc277082564"/>
      <w:bookmarkStart w:id="219" w:name="_Toc3986"/>
      <w:bookmarkStart w:id="220" w:name="_Toc287620697"/>
      <w:bookmarkStart w:id="221" w:name="_Toc3036"/>
      <w:bookmarkStart w:id="222" w:name="_Toc287607758"/>
      <w:r>
        <w:rPr>
          <w:rFonts w:ascii="宋体" w:hAnsi="宋体"/>
          <w:b w:val="0"/>
          <w:snapToGrid w:val="0"/>
          <w:color w:val="auto"/>
          <w:sz w:val="24"/>
          <w:szCs w:val="24"/>
          <w:highlight w:val="none"/>
        </w:rPr>
        <w:t>1.11  分包</w:t>
      </w:r>
      <w:bookmarkEnd w:id="214"/>
      <w:bookmarkEnd w:id="215"/>
      <w:bookmarkEnd w:id="216"/>
      <w:bookmarkEnd w:id="217"/>
      <w:bookmarkEnd w:id="218"/>
      <w:bookmarkEnd w:id="219"/>
      <w:bookmarkEnd w:id="220"/>
      <w:bookmarkEnd w:id="221"/>
      <w:bookmarkEnd w:id="222"/>
    </w:p>
    <w:p w14:paraId="698313CD">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ascii="宋体" w:hAns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14:paraId="1A9EE5F8">
      <w:pPr>
        <w:pStyle w:val="5"/>
        <w:snapToGrid w:val="0"/>
        <w:spacing w:before="0" w:after="0" w:line="360" w:lineRule="auto"/>
        <w:rPr>
          <w:rFonts w:ascii="宋体" w:hAnsi="宋体"/>
          <w:b w:val="0"/>
          <w:snapToGrid w:val="0"/>
          <w:color w:val="auto"/>
          <w:sz w:val="24"/>
          <w:szCs w:val="24"/>
          <w:highlight w:val="none"/>
        </w:rPr>
      </w:pPr>
      <w:bookmarkStart w:id="223" w:name="_Toc287607759"/>
      <w:bookmarkStart w:id="224" w:name="_Toc200513139"/>
      <w:bookmarkStart w:id="225" w:name="_Toc224103330"/>
      <w:bookmarkStart w:id="226" w:name="_Toc2524"/>
      <w:bookmarkStart w:id="227" w:name="_Toc277082565"/>
      <w:bookmarkStart w:id="228" w:name="_Toc509218723"/>
      <w:bookmarkStart w:id="229" w:name="_Toc430530448"/>
      <w:bookmarkStart w:id="230" w:name="_Toc5536"/>
      <w:bookmarkStart w:id="231" w:name="_Toc287620698"/>
      <w:r>
        <w:rPr>
          <w:rFonts w:ascii="宋体" w:hAnsi="宋体"/>
          <w:b w:val="0"/>
          <w:snapToGrid w:val="0"/>
          <w:color w:val="auto"/>
          <w:sz w:val="24"/>
          <w:szCs w:val="24"/>
          <w:highlight w:val="none"/>
        </w:rPr>
        <w:t>1.12  偏离</w:t>
      </w:r>
      <w:bookmarkEnd w:id="223"/>
      <w:bookmarkEnd w:id="224"/>
      <w:bookmarkEnd w:id="225"/>
      <w:bookmarkEnd w:id="226"/>
      <w:bookmarkEnd w:id="227"/>
      <w:bookmarkEnd w:id="228"/>
      <w:bookmarkEnd w:id="229"/>
      <w:bookmarkEnd w:id="230"/>
      <w:bookmarkEnd w:id="231"/>
    </w:p>
    <w:p w14:paraId="19C2757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文件某些要求的，偏离应当符合</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文件规定 的偏离范围和幅度。</w:t>
      </w:r>
    </w:p>
    <w:p w14:paraId="5EBBBE80">
      <w:pPr>
        <w:pStyle w:val="4"/>
        <w:spacing w:before="0" w:after="0" w:line="360" w:lineRule="auto"/>
        <w:rPr>
          <w:rFonts w:ascii="宋体" w:hAnsi="宋体"/>
          <w:b w:val="0"/>
          <w:snapToGrid w:val="0"/>
          <w:color w:val="auto"/>
          <w:highlight w:val="none"/>
        </w:rPr>
      </w:pPr>
      <w:bookmarkStart w:id="232" w:name="_Toc224103331"/>
      <w:bookmarkStart w:id="233" w:name="_Toc11902"/>
      <w:bookmarkStart w:id="234" w:name="_Toc200513140"/>
      <w:bookmarkStart w:id="235" w:name="_Toc509218724"/>
      <w:bookmarkStart w:id="236" w:name="_Toc287620699"/>
      <w:bookmarkStart w:id="237" w:name="_Toc24723"/>
      <w:bookmarkStart w:id="238" w:name="_Toc287607760"/>
      <w:bookmarkStart w:id="239" w:name="_Toc430530449"/>
      <w:bookmarkStart w:id="240" w:name="_Toc277082566"/>
      <w:r>
        <w:rPr>
          <w:rFonts w:ascii="宋体" w:hAnsi="宋体"/>
          <w:b w:val="0"/>
          <w:snapToGrid w:val="0"/>
          <w:color w:val="auto"/>
          <w:highlight w:val="none"/>
        </w:rPr>
        <w:t xml:space="preserve">2.  </w:t>
      </w:r>
      <w:r>
        <w:rPr>
          <w:rFonts w:hint="eastAsia" w:ascii="宋体" w:hAnsi="宋体"/>
          <w:b w:val="0"/>
          <w:snapToGrid w:val="0"/>
          <w:color w:val="auto"/>
          <w:highlight w:val="none"/>
          <w:lang w:eastAsia="zh-CN"/>
        </w:rPr>
        <w:t>比选</w:t>
      </w:r>
      <w:r>
        <w:rPr>
          <w:rFonts w:ascii="宋体" w:hAnsi="宋体"/>
          <w:b w:val="0"/>
          <w:snapToGrid w:val="0"/>
          <w:color w:val="auto"/>
          <w:highlight w:val="none"/>
        </w:rPr>
        <w:t>文件</w:t>
      </w:r>
      <w:bookmarkEnd w:id="232"/>
      <w:bookmarkEnd w:id="233"/>
      <w:bookmarkEnd w:id="234"/>
      <w:bookmarkEnd w:id="235"/>
      <w:bookmarkEnd w:id="236"/>
      <w:bookmarkEnd w:id="237"/>
      <w:bookmarkEnd w:id="238"/>
      <w:bookmarkEnd w:id="239"/>
      <w:bookmarkEnd w:id="240"/>
    </w:p>
    <w:p w14:paraId="199DF9BC">
      <w:pPr>
        <w:pStyle w:val="5"/>
        <w:snapToGrid w:val="0"/>
        <w:spacing w:before="0" w:after="0" w:line="360" w:lineRule="auto"/>
        <w:rPr>
          <w:rFonts w:ascii="宋体" w:hAnsi="宋体"/>
          <w:b w:val="0"/>
          <w:snapToGrid w:val="0"/>
          <w:color w:val="auto"/>
          <w:sz w:val="24"/>
          <w:szCs w:val="24"/>
          <w:highlight w:val="none"/>
        </w:rPr>
      </w:pPr>
      <w:bookmarkStart w:id="241" w:name="_Toc31696"/>
      <w:bookmarkStart w:id="242" w:name="_Toc509218725"/>
      <w:bookmarkStart w:id="243" w:name="_Toc430530450"/>
      <w:bookmarkStart w:id="244" w:name="_Toc287607761"/>
      <w:bookmarkStart w:id="245" w:name="_Toc287620700"/>
      <w:bookmarkStart w:id="246" w:name="_Toc224103332"/>
      <w:bookmarkStart w:id="247" w:name="_Toc4767"/>
      <w:bookmarkStart w:id="248" w:name="_Toc277082567"/>
      <w:bookmarkStart w:id="249" w:name="_Toc200513141"/>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文件的组成</w:t>
      </w:r>
      <w:bookmarkEnd w:id="241"/>
      <w:bookmarkEnd w:id="242"/>
      <w:bookmarkEnd w:id="243"/>
      <w:bookmarkEnd w:id="244"/>
      <w:bookmarkEnd w:id="245"/>
      <w:bookmarkEnd w:id="246"/>
      <w:bookmarkEnd w:id="247"/>
      <w:bookmarkEnd w:id="248"/>
      <w:bookmarkEnd w:id="249"/>
    </w:p>
    <w:p w14:paraId="2F8D151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文件包括：</w:t>
      </w:r>
    </w:p>
    <w:p w14:paraId="6C33A41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公告（或投标邀请书）；</w:t>
      </w:r>
    </w:p>
    <w:p w14:paraId="76EC350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（2）投标人须知；</w:t>
      </w:r>
    </w:p>
    <w:p w14:paraId="4364335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18DB767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27AB9CC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14:paraId="4D8A790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14:paraId="4AFF57E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14:paraId="51F8D97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（8）投标文件格式；</w:t>
      </w:r>
    </w:p>
    <w:p w14:paraId="4AD7A5D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（9）投标人须知前附表规定的其他材料。</w:t>
      </w:r>
    </w:p>
    <w:p w14:paraId="35EB59D4">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文件所作的澄清、修改，构成</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文件的组成部分。</w:t>
      </w:r>
    </w:p>
    <w:p w14:paraId="49A4B599">
      <w:pPr>
        <w:pStyle w:val="5"/>
        <w:snapToGrid w:val="0"/>
        <w:spacing w:before="0" w:after="0" w:line="360" w:lineRule="auto"/>
        <w:rPr>
          <w:rFonts w:ascii="宋体" w:hAnsi="宋体"/>
          <w:b w:val="0"/>
          <w:snapToGrid w:val="0"/>
          <w:color w:val="auto"/>
          <w:sz w:val="24"/>
          <w:szCs w:val="24"/>
          <w:highlight w:val="none"/>
        </w:rPr>
      </w:pPr>
      <w:bookmarkStart w:id="250" w:name="_Toc1303"/>
      <w:bookmarkStart w:id="251" w:name="_Toc23750"/>
      <w:bookmarkStart w:id="252" w:name="_Toc509218726"/>
      <w:bookmarkStart w:id="253" w:name="_Toc430530451"/>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文件的澄清</w:t>
      </w:r>
      <w:bookmarkEnd w:id="250"/>
      <w:bookmarkEnd w:id="251"/>
      <w:bookmarkEnd w:id="252"/>
      <w:bookmarkEnd w:id="253"/>
    </w:p>
    <w:p w14:paraId="5D68B5B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文件的全部内容。如发现缺页或附件不全，应及时向</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人提出，以便补齐。如有疑问，应在投标人须知前附表规定的时间前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文件予以澄清。</w:t>
      </w:r>
    </w:p>
    <w:p w14:paraId="2A65F7D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文件的澄清将在投标人须知前附表规定的投标截止时间15天前</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但不指明澄清问题的来源。如果澄清发出的时间距投标截止时间不足15天，相应延长投标截止时间。</w:t>
      </w:r>
    </w:p>
    <w:p w14:paraId="7F5C124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lang w:eastAsia="zh-CN"/>
        </w:rPr>
        <w:t>比选</w:t>
      </w:r>
      <w:r>
        <w:rPr>
          <w:rFonts w:ascii="宋体" w:hAnsi="宋体"/>
          <w:color w:val="auto"/>
          <w:kern w:val="0"/>
          <w:szCs w:val="21"/>
          <w:highlight w:val="none"/>
        </w:rPr>
        <w:t>人对</w:t>
      </w:r>
      <w:r>
        <w:rPr>
          <w:rFonts w:hint="eastAsia" w:ascii="宋体" w:hAnsi="宋体"/>
          <w:color w:val="auto"/>
          <w:kern w:val="0"/>
          <w:szCs w:val="21"/>
          <w:highlight w:val="none"/>
          <w:lang w:eastAsia="zh-CN"/>
        </w:rPr>
        <w:t>比选</w:t>
      </w:r>
      <w:r>
        <w:rPr>
          <w:rFonts w:ascii="宋体" w:hAnsi="宋体"/>
          <w:color w:val="auto"/>
          <w:kern w:val="0"/>
          <w:szCs w:val="21"/>
          <w:highlight w:val="none"/>
        </w:rPr>
        <w:t>文件的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14:paraId="071F454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2.2.4  投标人对</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文件和澄清修改仍有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的，可于投标截止时间10日前，以书面形式通知</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szCs w:val="21"/>
          <w:highlight w:val="none"/>
        </w:rPr>
        <w:t>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14:paraId="206115C6">
      <w:pPr>
        <w:pStyle w:val="5"/>
        <w:snapToGrid w:val="0"/>
        <w:spacing w:before="0" w:after="0" w:line="360" w:lineRule="auto"/>
        <w:rPr>
          <w:rFonts w:ascii="宋体" w:hAnsi="宋体"/>
          <w:b w:val="0"/>
          <w:snapToGrid w:val="0"/>
          <w:color w:val="auto"/>
          <w:sz w:val="24"/>
          <w:szCs w:val="24"/>
          <w:highlight w:val="none"/>
        </w:rPr>
      </w:pPr>
      <w:bookmarkStart w:id="254" w:name="_Toc277082569"/>
      <w:bookmarkStart w:id="255" w:name="_Toc509218727"/>
      <w:bookmarkStart w:id="256" w:name="_Toc430530452"/>
      <w:bookmarkStart w:id="257" w:name="_Toc27922"/>
      <w:bookmarkStart w:id="258" w:name="_Toc287620702"/>
      <w:bookmarkStart w:id="259" w:name="_Toc21065"/>
      <w:bookmarkStart w:id="260" w:name="_Toc200513143"/>
      <w:bookmarkStart w:id="261" w:name="_Toc224103334"/>
      <w:bookmarkStart w:id="262" w:name="_Toc287607763"/>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文件的修改</w:t>
      </w:r>
      <w:bookmarkEnd w:id="254"/>
      <w:bookmarkEnd w:id="255"/>
      <w:bookmarkEnd w:id="256"/>
      <w:bookmarkEnd w:id="257"/>
      <w:bookmarkEnd w:id="258"/>
      <w:bookmarkEnd w:id="259"/>
      <w:bookmarkEnd w:id="260"/>
      <w:bookmarkEnd w:id="261"/>
      <w:bookmarkEnd w:id="262"/>
    </w:p>
    <w:p w14:paraId="30EF5D75">
      <w:pPr>
        <w:autoSpaceDE w:val="0"/>
        <w:autoSpaceDN w:val="0"/>
        <w:adjustRightInd w:val="0"/>
        <w:snapToGrid w:val="0"/>
        <w:spacing w:line="360" w:lineRule="auto"/>
        <w:ind w:firstLine="420"/>
        <w:rPr>
          <w:rFonts w:ascii="宋体" w:hAnsi="宋体"/>
          <w:snapToGrid w:val="0"/>
          <w:color w:val="auto"/>
          <w:highlight w:val="none"/>
        </w:rPr>
      </w:pPr>
      <w:bookmarkStart w:id="263" w:name="_Toc287620703"/>
      <w:bookmarkStart w:id="264" w:name="_Toc287607764"/>
      <w:bookmarkStart w:id="265" w:name="_Toc277082570"/>
      <w:bookmarkStart w:id="266" w:name="_Toc224103335"/>
      <w:bookmarkStart w:id="267" w:name="_Toc200513144"/>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w:t>
      </w:r>
      <w:r>
        <w:rPr>
          <w:rFonts w:hint="eastAsia" w:ascii="宋体" w:hAnsi="宋体"/>
          <w:snapToGrid w:val="0"/>
          <w:color w:val="auto"/>
          <w:highlight w:val="none"/>
          <w:lang w:eastAsia="zh-CN"/>
        </w:rPr>
        <w:t>比选</w:t>
      </w:r>
      <w:r>
        <w:rPr>
          <w:rFonts w:ascii="宋体" w:hAnsi="宋体"/>
          <w:snapToGrid w:val="0"/>
          <w:color w:val="auto"/>
          <w:highlight w:val="none"/>
        </w:rPr>
        <w:t>文件的澄清相关内容及方式执行。</w:t>
      </w:r>
    </w:p>
    <w:p w14:paraId="55B4315D">
      <w:pPr>
        <w:pStyle w:val="4"/>
        <w:spacing w:before="0" w:after="0" w:line="360" w:lineRule="auto"/>
        <w:rPr>
          <w:rFonts w:ascii="宋体" w:hAnsi="宋体"/>
          <w:b w:val="0"/>
          <w:snapToGrid w:val="0"/>
          <w:color w:val="auto"/>
          <w:highlight w:val="none"/>
        </w:rPr>
      </w:pPr>
      <w:bookmarkStart w:id="268" w:name="_Toc430530453"/>
      <w:bookmarkStart w:id="269" w:name="_Toc14543"/>
      <w:bookmarkStart w:id="270" w:name="_Toc509218728"/>
      <w:bookmarkStart w:id="271" w:name="_Toc405"/>
      <w:r>
        <w:rPr>
          <w:rFonts w:ascii="宋体" w:hAnsi="宋体"/>
          <w:b w:val="0"/>
          <w:snapToGrid w:val="0"/>
          <w:color w:val="auto"/>
          <w:highlight w:val="none"/>
        </w:rPr>
        <w:t>3.  投标文件</w:t>
      </w:r>
      <w:bookmarkEnd w:id="263"/>
      <w:bookmarkEnd w:id="264"/>
      <w:bookmarkEnd w:id="265"/>
      <w:bookmarkEnd w:id="266"/>
      <w:bookmarkEnd w:id="267"/>
      <w:bookmarkEnd w:id="268"/>
      <w:bookmarkEnd w:id="269"/>
      <w:bookmarkEnd w:id="270"/>
      <w:bookmarkEnd w:id="271"/>
    </w:p>
    <w:p w14:paraId="7859BAF6">
      <w:pPr>
        <w:pStyle w:val="5"/>
        <w:snapToGrid w:val="0"/>
        <w:spacing w:before="0" w:after="0" w:line="360" w:lineRule="auto"/>
        <w:rPr>
          <w:rFonts w:ascii="宋体" w:hAnsi="宋体"/>
          <w:b w:val="0"/>
          <w:snapToGrid w:val="0"/>
          <w:color w:val="auto"/>
          <w:sz w:val="24"/>
          <w:szCs w:val="24"/>
          <w:highlight w:val="none"/>
        </w:rPr>
      </w:pPr>
      <w:bookmarkStart w:id="272" w:name="_Toc200513145"/>
      <w:bookmarkStart w:id="273" w:name="_Toc24822"/>
      <w:bookmarkStart w:id="274" w:name="_Toc509218729"/>
      <w:bookmarkStart w:id="275" w:name="_Toc277082571"/>
      <w:bookmarkStart w:id="276" w:name="_Toc430530454"/>
      <w:bookmarkStart w:id="277" w:name="_Toc287620704"/>
      <w:bookmarkStart w:id="278" w:name="_Toc8482"/>
      <w:bookmarkStart w:id="279" w:name="_Toc224103336"/>
      <w:bookmarkStart w:id="280" w:name="_Toc287607765"/>
      <w:r>
        <w:rPr>
          <w:rFonts w:ascii="宋体" w:hAnsi="宋体"/>
          <w:b w:val="0"/>
          <w:snapToGrid w:val="0"/>
          <w:color w:val="auto"/>
          <w:sz w:val="24"/>
          <w:szCs w:val="24"/>
          <w:highlight w:val="none"/>
        </w:rPr>
        <w:t>3.1  投标文件的组成</w:t>
      </w:r>
      <w:bookmarkEnd w:id="272"/>
      <w:bookmarkEnd w:id="273"/>
      <w:bookmarkEnd w:id="274"/>
      <w:bookmarkEnd w:id="275"/>
      <w:bookmarkEnd w:id="276"/>
      <w:bookmarkEnd w:id="277"/>
      <w:bookmarkEnd w:id="278"/>
      <w:bookmarkEnd w:id="279"/>
      <w:bookmarkEnd w:id="280"/>
    </w:p>
    <w:p w14:paraId="3C311085">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snapToGrid w:val="0"/>
          <w:color w:val="auto"/>
          <w:kern w:val="0"/>
          <w:szCs w:val="21"/>
          <w:highlight w:val="none"/>
        </w:rPr>
        <w:t>3.1.1 投标文件应包括下列内容：</w:t>
      </w:r>
    </w:p>
    <w:p w14:paraId="5A6DAFEE">
      <w:pPr>
        <w:spacing w:line="360" w:lineRule="auto"/>
        <w:ind w:firstLine="420" w:firstLineChars="200"/>
        <w:rPr>
          <w:rFonts w:hint="eastAsia"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1</w:t>
      </w:r>
      <w:r>
        <w:rPr>
          <w:rFonts w:hint="eastAsia" w:ascii="宋体" w:hAnsi="宋体"/>
          <w:color w:val="auto"/>
          <w:highlight w:val="none"/>
        </w:rPr>
        <w:t>投标函部分</w:t>
      </w:r>
    </w:p>
    <w:p w14:paraId="17C50652">
      <w:pPr>
        <w:spacing w:line="360" w:lineRule="auto"/>
        <w:ind w:firstLine="420" w:firstLineChars="200"/>
        <w:rPr>
          <w:rFonts w:hint="eastAsia" w:ascii="宋体" w:hAnsi="宋体"/>
          <w:color w:val="auto"/>
          <w:highlight w:val="none"/>
        </w:rPr>
      </w:pPr>
      <w:r>
        <w:rPr>
          <w:rFonts w:hint="eastAsia" w:ascii="宋体" w:hAnsi="宋体"/>
          <w:color w:val="auto"/>
          <w:highlight w:val="none"/>
        </w:rPr>
        <w:t>（1）投标函</w:t>
      </w:r>
    </w:p>
    <w:p w14:paraId="0F357D9F">
      <w:pPr>
        <w:spacing w:line="360" w:lineRule="auto"/>
        <w:ind w:firstLine="420" w:firstLineChars="200"/>
        <w:rPr>
          <w:rFonts w:hint="eastAsia" w:ascii="宋体" w:hAnsi="宋体"/>
          <w:color w:val="auto"/>
          <w:highlight w:val="none"/>
        </w:rPr>
      </w:pPr>
      <w:r>
        <w:rPr>
          <w:rFonts w:hint="eastAsia" w:ascii="宋体" w:hAnsi="宋体"/>
          <w:color w:val="auto"/>
          <w:highlight w:val="none"/>
        </w:rPr>
        <w:t>（2）投标函附录</w:t>
      </w:r>
    </w:p>
    <w:p w14:paraId="07B06787">
      <w:pPr>
        <w:spacing w:line="360" w:lineRule="auto"/>
        <w:ind w:firstLine="420" w:firstLineChars="200"/>
        <w:rPr>
          <w:rFonts w:hint="eastAsia" w:ascii="宋体" w:hAnsi="宋体"/>
          <w:color w:val="auto"/>
          <w:highlight w:val="none"/>
        </w:rPr>
      </w:pPr>
      <w:r>
        <w:rPr>
          <w:rFonts w:hint="eastAsia" w:ascii="宋体" w:hAnsi="宋体"/>
          <w:color w:val="auto"/>
          <w:highlight w:val="none"/>
        </w:rPr>
        <w:t>（3）法定代表人身份证明或附有法定代表人身份证明的授权委托书</w:t>
      </w:r>
    </w:p>
    <w:p w14:paraId="622C069D">
      <w:pPr>
        <w:spacing w:line="360" w:lineRule="auto"/>
        <w:ind w:firstLine="420" w:firstLineChars="200"/>
        <w:rPr>
          <w:rFonts w:hint="eastAsia"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2</w:t>
      </w:r>
      <w:r>
        <w:rPr>
          <w:rFonts w:hint="eastAsia" w:ascii="宋体" w:hAnsi="宋体"/>
          <w:color w:val="auto"/>
          <w:highlight w:val="none"/>
        </w:rPr>
        <w:t>经济部分</w:t>
      </w:r>
    </w:p>
    <w:p w14:paraId="2CF93113">
      <w:pPr>
        <w:spacing w:line="360" w:lineRule="auto"/>
        <w:ind w:firstLine="420" w:firstLineChars="200"/>
        <w:rPr>
          <w:rFonts w:hint="eastAsia" w:ascii="宋体" w:hAnsi="宋体"/>
          <w:color w:val="auto"/>
          <w:highlight w:val="none"/>
        </w:rPr>
      </w:pPr>
      <w:r>
        <w:rPr>
          <w:rFonts w:hint="eastAsia" w:ascii="宋体" w:hAnsi="宋体"/>
          <w:color w:val="auto"/>
          <w:highlight w:val="none"/>
        </w:rPr>
        <w:t>（1）已标价工程量清单</w:t>
      </w:r>
    </w:p>
    <w:p w14:paraId="3B6D3868">
      <w:pPr>
        <w:spacing w:line="360" w:lineRule="auto"/>
        <w:ind w:firstLine="420" w:firstLineChars="200"/>
        <w:rPr>
          <w:rFonts w:hint="eastAsia"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3</w:t>
      </w:r>
      <w:r>
        <w:rPr>
          <w:rFonts w:hint="eastAsia" w:ascii="宋体" w:hAnsi="宋体"/>
          <w:color w:val="auto"/>
          <w:highlight w:val="none"/>
        </w:rPr>
        <w:t>资格审查部分</w:t>
      </w:r>
    </w:p>
    <w:p w14:paraId="1305D918">
      <w:pPr>
        <w:spacing w:line="360" w:lineRule="auto"/>
        <w:ind w:firstLine="420" w:firstLineChars="200"/>
        <w:rPr>
          <w:rFonts w:hint="eastAsia" w:ascii="宋体" w:hAnsi="宋体"/>
          <w:color w:val="auto"/>
          <w:highlight w:val="none"/>
        </w:rPr>
      </w:pPr>
      <w:r>
        <w:rPr>
          <w:rFonts w:hint="eastAsia" w:ascii="宋体" w:hAnsi="宋体"/>
          <w:color w:val="auto"/>
          <w:highlight w:val="none"/>
        </w:rPr>
        <w:t>（1）法定代表人身份证明或附有法定代表人身份证明的授权委托书</w:t>
      </w:r>
    </w:p>
    <w:p w14:paraId="6CC26D6E">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）投标人基本情况表</w:t>
      </w:r>
    </w:p>
    <w:p w14:paraId="359BC7C1">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）项目管理机构</w:t>
      </w:r>
    </w:p>
    <w:p w14:paraId="42749019">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）承诺</w:t>
      </w:r>
    </w:p>
    <w:p w14:paraId="5958C40E">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）其他资料</w:t>
      </w:r>
    </w:p>
    <w:p w14:paraId="2BFBEDD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3.1.2  投标人须知前附表规定不接受联合体投标的，或投标人没有组成联合体的，投标文件不包括联合体协议书。</w:t>
      </w:r>
    </w:p>
    <w:p w14:paraId="07DA5DD4">
      <w:pPr>
        <w:pStyle w:val="5"/>
        <w:snapToGrid w:val="0"/>
        <w:spacing w:before="0" w:after="0" w:line="360" w:lineRule="auto"/>
        <w:rPr>
          <w:rFonts w:ascii="宋体" w:hAnsi="宋体"/>
          <w:b w:val="0"/>
          <w:snapToGrid w:val="0"/>
          <w:color w:val="auto"/>
          <w:sz w:val="24"/>
          <w:szCs w:val="24"/>
          <w:highlight w:val="none"/>
        </w:rPr>
      </w:pPr>
      <w:bookmarkStart w:id="281" w:name="_Toc277082572"/>
      <w:bookmarkStart w:id="282" w:name="_Toc11028"/>
      <w:bookmarkStart w:id="283" w:name="_Toc509218730"/>
      <w:bookmarkStart w:id="284" w:name="_Toc9526"/>
      <w:bookmarkStart w:id="285" w:name="_Toc200513146"/>
      <w:bookmarkStart w:id="286" w:name="_Toc430530455"/>
      <w:bookmarkStart w:id="287" w:name="_Toc224103337"/>
      <w:bookmarkStart w:id="288" w:name="_Toc287607766"/>
      <w:bookmarkStart w:id="289" w:name="_Toc287620705"/>
      <w:r>
        <w:rPr>
          <w:rFonts w:ascii="宋体" w:hAnsi="宋体"/>
          <w:b w:val="0"/>
          <w:snapToGrid w:val="0"/>
          <w:color w:val="auto"/>
          <w:sz w:val="24"/>
          <w:szCs w:val="24"/>
          <w:highlight w:val="none"/>
        </w:rPr>
        <w:t>3.2  投标报价</w:t>
      </w:r>
      <w:bookmarkEnd w:id="281"/>
      <w:bookmarkEnd w:id="282"/>
      <w:bookmarkEnd w:id="283"/>
      <w:bookmarkEnd w:id="284"/>
      <w:bookmarkEnd w:id="285"/>
      <w:bookmarkEnd w:id="286"/>
      <w:bookmarkEnd w:id="287"/>
      <w:bookmarkEnd w:id="288"/>
      <w:bookmarkEnd w:id="289"/>
    </w:p>
    <w:p w14:paraId="24B00A2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3.2.1  投标人应按第五章“工程量清单”的要求填写相应表格。</w:t>
      </w:r>
    </w:p>
    <w:p w14:paraId="659E438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投标人在投标截止时间前修改投标函中的投标总报价，应同时修改第五章“工程量清单”中的相应报价。此修改须符合本章第 4.3 款的有关要求。</w:t>
      </w:r>
    </w:p>
    <w:p w14:paraId="3311AF83">
      <w:pPr>
        <w:pStyle w:val="5"/>
        <w:snapToGrid w:val="0"/>
        <w:spacing w:before="0" w:after="0" w:line="360" w:lineRule="auto"/>
        <w:rPr>
          <w:rFonts w:ascii="宋体" w:hAnsi="宋体"/>
          <w:b w:val="0"/>
          <w:snapToGrid w:val="0"/>
          <w:color w:val="auto"/>
          <w:sz w:val="24"/>
          <w:szCs w:val="24"/>
          <w:highlight w:val="none"/>
        </w:rPr>
      </w:pPr>
      <w:bookmarkStart w:id="290" w:name="_Toc277082573"/>
      <w:bookmarkStart w:id="291" w:name="_Toc430530456"/>
      <w:bookmarkStart w:id="292" w:name="_Toc200513147"/>
      <w:bookmarkStart w:id="293" w:name="_Toc287620706"/>
      <w:bookmarkStart w:id="294" w:name="_Toc509218731"/>
      <w:bookmarkStart w:id="295" w:name="_Toc4304"/>
      <w:bookmarkStart w:id="296" w:name="_Toc287607767"/>
      <w:bookmarkStart w:id="297" w:name="_Toc224103338"/>
      <w:bookmarkStart w:id="298" w:name="_Toc29377"/>
      <w:r>
        <w:rPr>
          <w:rFonts w:ascii="宋体" w:hAnsi="宋体"/>
          <w:b w:val="0"/>
          <w:snapToGrid w:val="0"/>
          <w:color w:val="auto"/>
          <w:sz w:val="24"/>
          <w:szCs w:val="24"/>
          <w:highlight w:val="none"/>
        </w:rPr>
        <w:t>3.3  投标有效期</w:t>
      </w:r>
      <w:bookmarkEnd w:id="290"/>
      <w:bookmarkEnd w:id="291"/>
      <w:bookmarkEnd w:id="292"/>
      <w:bookmarkEnd w:id="293"/>
      <w:bookmarkEnd w:id="294"/>
      <w:bookmarkEnd w:id="295"/>
      <w:bookmarkEnd w:id="296"/>
      <w:bookmarkEnd w:id="297"/>
      <w:bookmarkEnd w:id="298"/>
    </w:p>
    <w:p w14:paraId="09F379B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14:paraId="4B3FA713">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299" w:name="_Toc287607768"/>
      <w:bookmarkStart w:id="300" w:name="_Toc287620707"/>
      <w:bookmarkStart w:id="301" w:name="_Toc430530457"/>
      <w:bookmarkStart w:id="302" w:name="_Toc224103339"/>
      <w:bookmarkStart w:id="303" w:name="_Toc277082574"/>
      <w:bookmarkStart w:id="304" w:name="_Toc509218732"/>
      <w:bookmarkStart w:id="305" w:name="_Toc200513148"/>
      <w:bookmarkStart w:id="306" w:name="_Toc1366"/>
      <w:bookmarkStart w:id="307" w:name="_Toc14061"/>
      <w:r>
        <w:rPr>
          <w:rFonts w:ascii="宋体" w:hAnsi="宋体"/>
          <w:b w:val="0"/>
          <w:snapToGrid w:val="0"/>
          <w:color w:val="auto"/>
          <w:sz w:val="24"/>
          <w:szCs w:val="24"/>
          <w:highlight w:val="none"/>
        </w:rPr>
        <w:t xml:space="preserve">3.4  </w:t>
      </w:r>
      <w:bookmarkEnd w:id="299"/>
      <w:bookmarkEnd w:id="300"/>
      <w:bookmarkEnd w:id="301"/>
      <w:bookmarkEnd w:id="302"/>
      <w:bookmarkEnd w:id="303"/>
      <w:bookmarkEnd w:id="304"/>
      <w:bookmarkEnd w:id="305"/>
      <w:r>
        <w:rPr>
          <w:rFonts w:ascii="宋体" w:hAnsi="宋体"/>
          <w:b w:val="0"/>
          <w:snapToGrid w:val="0"/>
          <w:color w:val="auto"/>
          <w:sz w:val="24"/>
          <w:szCs w:val="24"/>
          <w:highlight w:val="none"/>
        </w:rPr>
        <w:t>投标</w:t>
      </w:r>
      <w:bookmarkEnd w:id="306"/>
      <w:r>
        <w:rPr>
          <w:rFonts w:hint="eastAsia" w:ascii="宋体" w:hAnsi="宋体"/>
          <w:b w:val="0"/>
          <w:snapToGrid w:val="0"/>
          <w:color w:val="auto"/>
          <w:sz w:val="24"/>
          <w:szCs w:val="24"/>
          <w:highlight w:val="none"/>
        </w:rPr>
        <w:t>保证金</w:t>
      </w:r>
      <w:bookmarkEnd w:id="307"/>
    </w:p>
    <w:p w14:paraId="592005D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3.4.1  投标人在递交投标文件的同时，应按投标人须知前附表的规定递交投标保证金，并作为其投标文件的组成部分。</w:t>
      </w:r>
    </w:p>
    <w:p w14:paraId="43A26CB1">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3.4.2  投标人不按本章第 3.4.1 项要求提交投标保证金的，其投标文件作否决投标处理。</w:t>
      </w:r>
    </w:p>
    <w:p w14:paraId="4203FE12">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退还：见投标人须知前附表</w:t>
      </w:r>
      <w:r>
        <w:rPr>
          <w:rFonts w:ascii="宋体" w:hAnsi="宋体"/>
          <w:snapToGrid w:val="0"/>
          <w:color w:val="auto"/>
          <w:kern w:val="0"/>
          <w:position w:val="-2"/>
          <w:szCs w:val="21"/>
          <w:highlight w:val="none"/>
        </w:rPr>
        <w:t>。</w:t>
      </w:r>
    </w:p>
    <w:p w14:paraId="55427FD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14:paraId="2488BA0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14:paraId="44E230D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（2）中标人在收到中标通知书后，无正当理由拒</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人签订合同，</w:t>
      </w:r>
      <w:r>
        <w:rPr>
          <w:rFonts w:ascii="宋体" w:hAnsi="宋体"/>
          <w:snapToGrid w:val="0"/>
          <w:color w:val="auto"/>
          <w:kern w:val="0"/>
          <w:szCs w:val="21"/>
          <w:highlight w:val="none"/>
        </w:rPr>
        <w:t>或未按</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文件规定提交履约担保；</w:t>
      </w:r>
    </w:p>
    <w:p w14:paraId="797ED29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对投标人的纪律要求的；</w:t>
      </w:r>
    </w:p>
    <w:p w14:paraId="25922B0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）法律法规规定的其他情形。</w:t>
      </w:r>
    </w:p>
    <w:p w14:paraId="72A06243">
      <w:pPr>
        <w:tabs>
          <w:tab w:val="left" w:pos="611"/>
          <w:tab w:val="left" w:pos="669"/>
        </w:tabs>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3.4.5</w:t>
      </w:r>
    </w:p>
    <w:p w14:paraId="4A25B22B">
      <w:pPr>
        <w:tabs>
          <w:tab w:val="left" w:pos="611"/>
          <w:tab w:val="left" w:pos="669"/>
        </w:tabs>
        <w:snapToGrid w:val="0"/>
        <w:spacing w:line="360" w:lineRule="auto"/>
        <w:ind w:firstLine="420" w:firstLineChars="200"/>
        <w:rPr>
          <w:rFonts w:hint="eastAsia" w:ascii="宋体" w:hAnsi="宋体"/>
          <w:color w:val="auto"/>
          <w:kern w:val="0"/>
          <w:highlight w:val="none"/>
        </w:rPr>
      </w:pPr>
      <w:r>
        <w:rPr>
          <w:rFonts w:ascii="宋体" w:hAnsi="宋体"/>
          <w:color w:val="auto"/>
          <w:kern w:val="0"/>
          <w:highlight w:val="none"/>
        </w:rPr>
        <w:t>（1）投标保证金为无条件担保；</w:t>
      </w:r>
    </w:p>
    <w:p w14:paraId="0E3D9CAD">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lang w:eastAsia="zh-CN"/>
        </w:rPr>
        <w:t>比选</w:t>
      </w:r>
      <w:r>
        <w:rPr>
          <w:rFonts w:ascii="宋体" w:hAnsi="宋体"/>
          <w:color w:val="auto"/>
          <w:kern w:val="0"/>
          <w:highlight w:val="none"/>
        </w:rPr>
        <w:t>人</w:t>
      </w:r>
      <w:r>
        <w:rPr>
          <w:rFonts w:hint="eastAsia" w:ascii="宋体" w:hAnsi="宋体"/>
          <w:color w:val="auto"/>
          <w:kern w:val="0"/>
          <w:highlight w:val="none"/>
        </w:rPr>
        <w:t>。</w:t>
      </w:r>
    </w:p>
    <w:p w14:paraId="2DE0F158">
      <w:pPr>
        <w:pStyle w:val="5"/>
        <w:keepNext w:val="0"/>
        <w:keepLines w:val="0"/>
        <w:snapToGrid w:val="0"/>
        <w:spacing w:before="0" w:after="0" w:line="360" w:lineRule="auto"/>
        <w:rPr>
          <w:rFonts w:ascii="宋体" w:hAnsi="宋体"/>
          <w:b w:val="0"/>
          <w:snapToGrid w:val="0"/>
          <w:color w:val="auto"/>
          <w:sz w:val="24"/>
          <w:szCs w:val="24"/>
          <w:highlight w:val="none"/>
        </w:rPr>
      </w:pPr>
      <w:bookmarkStart w:id="308" w:name="_Toc287607770"/>
      <w:bookmarkStart w:id="309" w:name="_Toc430530459"/>
      <w:bookmarkStart w:id="310" w:name="_Toc277082576"/>
      <w:bookmarkStart w:id="311" w:name="_Toc287620709"/>
      <w:bookmarkStart w:id="312" w:name="_Toc16639"/>
      <w:bookmarkStart w:id="313" w:name="_Toc224103341"/>
      <w:bookmarkStart w:id="314" w:name="_Toc200513150"/>
      <w:bookmarkStart w:id="315" w:name="_Toc509218734"/>
      <w:bookmarkStart w:id="316" w:name="_Toc12526"/>
      <w:r>
        <w:rPr>
          <w:rFonts w:ascii="宋体" w:hAnsi="宋体"/>
          <w:b w:val="0"/>
          <w:snapToGrid w:val="0"/>
          <w:color w:val="auto"/>
          <w:sz w:val="24"/>
          <w:szCs w:val="24"/>
          <w:highlight w:val="none"/>
        </w:rPr>
        <w:t>3.5  资格审查资料</w:t>
      </w:r>
      <w:bookmarkEnd w:id="308"/>
      <w:bookmarkEnd w:id="309"/>
      <w:bookmarkEnd w:id="310"/>
      <w:bookmarkEnd w:id="311"/>
      <w:bookmarkEnd w:id="312"/>
      <w:bookmarkEnd w:id="313"/>
      <w:bookmarkEnd w:id="314"/>
      <w:bookmarkEnd w:id="315"/>
      <w:bookmarkEnd w:id="316"/>
    </w:p>
    <w:p w14:paraId="3A6AAD85">
      <w:pPr>
        <w:autoSpaceDE w:val="0"/>
        <w:autoSpaceDN w:val="0"/>
        <w:adjustRightInd w:val="0"/>
        <w:snapToGrid w:val="0"/>
        <w:spacing w:line="360" w:lineRule="auto"/>
        <w:ind w:left="103" w:leftChars="49" w:right="37" w:firstLine="420" w:firstLineChars="200"/>
        <w:rPr>
          <w:rFonts w:hint="eastAsia"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w:t>
      </w:r>
      <w:r>
        <w:rPr>
          <w:rFonts w:hint="eastAsia" w:ascii="宋体" w:hAnsi="宋体"/>
          <w:color w:val="auto"/>
          <w:kern w:val="0"/>
          <w:szCs w:val="21"/>
          <w:highlight w:val="none"/>
        </w:rPr>
        <w:t>投标人须知前附表第1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4A462937">
      <w:pPr>
        <w:autoSpaceDE w:val="0"/>
        <w:autoSpaceDN w:val="0"/>
        <w:adjustRightInd w:val="0"/>
        <w:snapToGrid w:val="0"/>
        <w:spacing w:line="360" w:lineRule="auto"/>
        <w:ind w:left="103" w:leftChars="49" w:right="37"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投标人须知前附表规定接受联合体投标的，详见投标人须知前附表联合体投标相关内容。</w:t>
      </w:r>
    </w:p>
    <w:p w14:paraId="7265D646">
      <w:pPr>
        <w:pStyle w:val="5"/>
        <w:snapToGrid w:val="0"/>
        <w:spacing w:before="0" w:after="0" w:line="360" w:lineRule="auto"/>
        <w:rPr>
          <w:rFonts w:ascii="宋体" w:hAnsi="宋体"/>
          <w:b w:val="0"/>
          <w:snapToGrid w:val="0"/>
          <w:color w:val="auto"/>
          <w:sz w:val="24"/>
          <w:szCs w:val="24"/>
          <w:highlight w:val="none"/>
        </w:rPr>
      </w:pPr>
      <w:bookmarkStart w:id="317" w:name="_Toc430530460"/>
      <w:bookmarkStart w:id="318" w:name="_Toc224103342"/>
      <w:bookmarkStart w:id="319" w:name="_Toc18574"/>
      <w:bookmarkStart w:id="320" w:name="_Toc200513151"/>
      <w:bookmarkStart w:id="321" w:name="_Toc287620710"/>
      <w:bookmarkStart w:id="322" w:name="_Toc277082577"/>
      <w:bookmarkStart w:id="323" w:name="_Toc509218735"/>
      <w:bookmarkStart w:id="324" w:name="_Toc287607771"/>
      <w:bookmarkStart w:id="325" w:name="_Toc24446"/>
      <w:r>
        <w:rPr>
          <w:rFonts w:ascii="宋体" w:hAnsi="宋体"/>
          <w:b w:val="0"/>
          <w:snapToGrid w:val="0"/>
          <w:color w:val="auto"/>
          <w:sz w:val="24"/>
          <w:szCs w:val="24"/>
          <w:highlight w:val="none"/>
        </w:rPr>
        <w:t>3.6  备选投标方案</w:t>
      </w:r>
      <w:bookmarkEnd w:id="317"/>
      <w:bookmarkEnd w:id="318"/>
      <w:bookmarkEnd w:id="319"/>
      <w:bookmarkEnd w:id="320"/>
      <w:bookmarkEnd w:id="321"/>
      <w:bookmarkEnd w:id="322"/>
      <w:bookmarkEnd w:id="323"/>
      <w:bookmarkEnd w:id="324"/>
      <w:bookmarkEnd w:id="325"/>
    </w:p>
    <w:p w14:paraId="2BD7CA7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文件要求编制的投标方案的，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人可以接受该备选投标方案。</w:t>
      </w:r>
    </w:p>
    <w:p w14:paraId="523BDEB1">
      <w:pPr>
        <w:pStyle w:val="5"/>
        <w:snapToGrid w:val="0"/>
        <w:spacing w:before="0" w:after="0" w:line="360" w:lineRule="auto"/>
        <w:rPr>
          <w:rFonts w:ascii="宋体" w:hAnsi="宋体"/>
          <w:b w:val="0"/>
          <w:snapToGrid w:val="0"/>
          <w:color w:val="auto"/>
          <w:sz w:val="24"/>
          <w:szCs w:val="24"/>
          <w:highlight w:val="none"/>
        </w:rPr>
      </w:pPr>
      <w:bookmarkStart w:id="326" w:name="_Toc200513152"/>
      <w:bookmarkStart w:id="327" w:name="_Toc287607772"/>
      <w:bookmarkStart w:id="328" w:name="_Toc287620711"/>
      <w:bookmarkStart w:id="329" w:name="_Toc224103343"/>
      <w:bookmarkStart w:id="330" w:name="_Toc509218736"/>
      <w:bookmarkStart w:id="331" w:name="_Toc430530461"/>
      <w:bookmarkStart w:id="332" w:name="_Toc9528"/>
      <w:bookmarkStart w:id="333" w:name="_Toc277082578"/>
      <w:bookmarkStart w:id="334" w:name="_Toc16951"/>
      <w:r>
        <w:rPr>
          <w:rFonts w:ascii="宋体" w:hAnsi="宋体"/>
          <w:b w:val="0"/>
          <w:snapToGrid w:val="0"/>
          <w:color w:val="auto"/>
          <w:sz w:val="24"/>
          <w:szCs w:val="24"/>
          <w:highlight w:val="none"/>
        </w:rPr>
        <w:t>3.7  投标文件的编制</w:t>
      </w:r>
      <w:bookmarkEnd w:id="326"/>
      <w:bookmarkEnd w:id="327"/>
      <w:bookmarkEnd w:id="328"/>
      <w:bookmarkEnd w:id="329"/>
      <w:bookmarkEnd w:id="330"/>
      <w:bookmarkEnd w:id="331"/>
      <w:bookmarkEnd w:id="332"/>
      <w:bookmarkEnd w:id="333"/>
      <w:bookmarkEnd w:id="334"/>
    </w:p>
    <w:p w14:paraId="4B012CC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3.7.1  投标文件应按第八章“投标文件格式”进行编写，如有必要，可以增加附页，作为投标文件的组成部分。其中，投标函附录在满足</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文件实质性要求的基础上，可以提出比</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文件要求更有利于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人的承诺。</w:t>
      </w:r>
    </w:p>
    <w:p w14:paraId="1813854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3.7.2  投标文件应当对</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文件有关工期、投标有效期、质量要求、技术标准和要求、</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范围等实质性内容做出响应。</w:t>
      </w:r>
    </w:p>
    <w:p w14:paraId="6E3C90A5">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投标文件的签字盖章要求：按本章投标人须知前附表第3.7.3项执行。</w:t>
      </w:r>
    </w:p>
    <w:p w14:paraId="0194B0E7">
      <w:pPr>
        <w:autoSpaceDE w:val="0"/>
        <w:autoSpaceDN w:val="0"/>
        <w:adjustRightInd w:val="0"/>
        <w:snapToGrid w:val="0"/>
        <w:spacing w:line="360" w:lineRule="auto"/>
        <w:ind w:right="-164" w:firstLine="420" w:firstLineChars="200"/>
        <w:rPr>
          <w:rFonts w:hint="eastAsia" w:ascii="宋体" w:hAnsi="宋体"/>
          <w:i/>
          <w:snapToGrid w:val="0"/>
          <w:color w:val="auto"/>
          <w:kern w:val="0"/>
          <w:szCs w:val="21"/>
          <w:highlight w:val="none"/>
        </w:rPr>
      </w:pPr>
      <w:r>
        <w:rPr>
          <w:rFonts w:ascii="宋体" w:hAnsi="宋体"/>
          <w:snapToGrid w:val="0"/>
          <w:color w:val="auto"/>
          <w:kern w:val="0"/>
          <w:szCs w:val="21"/>
          <w:highlight w:val="none"/>
        </w:rPr>
        <w:t>3.7.4  投标文件的份数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14:paraId="49101A9D">
      <w:pPr>
        <w:autoSpaceDE w:val="0"/>
        <w:autoSpaceDN w:val="0"/>
        <w:adjustRightInd w:val="0"/>
        <w:snapToGrid w:val="0"/>
        <w:spacing w:line="360" w:lineRule="auto"/>
        <w:ind w:right="-109"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3.7.5  投标文件的正本与副本应分别装订成册，并编制目录，具体装订要求见投标人须知前附表规定。</w:t>
      </w:r>
    </w:p>
    <w:p w14:paraId="1AE602C7">
      <w:pPr>
        <w:pStyle w:val="4"/>
        <w:keepNext w:val="0"/>
        <w:keepLines w:val="0"/>
        <w:spacing w:before="0" w:after="0" w:line="360" w:lineRule="auto"/>
        <w:rPr>
          <w:rFonts w:ascii="宋体" w:hAnsi="宋体"/>
          <w:b w:val="0"/>
          <w:snapToGrid w:val="0"/>
          <w:color w:val="auto"/>
          <w:highlight w:val="none"/>
        </w:rPr>
      </w:pPr>
      <w:bookmarkStart w:id="335" w:name="_Toc287620712"/>
      <w:bookmarkStart w:id="336" w:name="_Toc509218737"/>
      <w:bookmarkStart w:id="337" w:name="_Toc200513153"/>
      <w:bookmarkStart w:id="338" w:name="_Toc18254"/>
      <w:bookmarkStart w:id="339" w:name="_Toc287607773"/>
      <w:bookmarkStart w:id="340" w:name="_Toc224103344"/>
      <w:bookmarkStart w:id="341" w:name="_Toc277082579"/>
      <w:bookmarkStart w:id="342" w:name="_Toc430530462"/>
      <w:bookmarkStart w:id="343" w:name="_Toc9499"/>
      <w:r>
        <w:rPr>
          <w:rFonts w:ascii="宋体" w:hAnsi="宋体"/>
          <w:b w:val="0"/>
          <w:snapToGrid w:val="0"/>
          <w:color w:val="auto"/>
          <w:highlight w:val="none"/>
        </w:rPr>
        <w:t>4.  投标</w:t>
      </w:r>
      <w:bookmarkEnd w:id="335"/>
      <w:bookmarkEnd w:id="336"/>
      <w:bookmarkEnd w:id="337"/>
      <w:bookmarkEnd w:id="338"/>
      <w:bookmarkEnd w:id="339"/>
      <w:bookmarkEnd w:id="340"/>
      <w:bookmarkEnd w:id="341"/>
      <w:bookmarkEnd w:id="342"/>
      <w:bookmarkEnd w:id="343"/>
    </w:p>
    <w:p w14:paraId="1A8331F0">
      <w:pPr>
        <w:pStyle w:val="5"/>
        <w:keepNext w:val="0"/>
        <w:keepLines w:val="0"/>
        <w:snapToGrid w:val="0"/>
        <w:spacing w:before="0" w:after="0" w:line="360" w:lineRule="auto"/>
        <w:rPr>
          <w:rFonts w:ascii="宋体" w:hAnsi="宋体"/>
          <w:b w:val="0"/>
          <w:snapToGrid w:val="0"/>
          <w:color w:val="auto"/>
          <w:sz w:val="24"/>
          <w:szCs w:val="24"/>
          <w:highlight w:val="none"/>
        </w:rPr>
      </w:pPr>
      <w:bookmarkStart w:id="344" w:name="_Toc200513154"/>
      <w:bookmarkStart w:id="345" w:name="_Toc224103345"/>
      <w:bookmarkStart w:id="346" w:name="_Toc277082580"/>
      <w:bookmarkStart w:id="347" w:name="_Toc509218738"/>
      <w:bookmarkStart w:id="348" w:name="_Toc287607774"/>
      <w:bookmarkStart w:id="349" w:name="_Toc18995"/>
      <w:bookmarkStart w:id="350" w:name="_Toc287620713"/>
      <w:bookmarkStart w:id="351" w:name="_Toc430530463"/>
      <w:bookmarkStart w:id="352" w:name="_Toc4283"/>
      <w:r>
        <w:rPr>
          <w:rFonts w:ascii="宋体" w:hAnsi="宋体"/>
          <w:b w:val="0"/>
          <w:snapToGrid w:val="0"/>
          <w:color w:val="auto"/>
          <w:sz w:val="24"/>
          <w:szCs w:val="24"/>
          <w:highlight w:val="none"/>
        </w:rPr>
        <w:t>4.1  投标文件的密封和标记</w:t>
      </w:r>
      <w:bookmarkEnd w:id="344"/>
      <w:bookmarkEnd w:id="345"/>
      <w:bookmarkEnd w:id="346"/>
      <w:bookmarkEnd w:id="347"/>
      <w:bookmarkEnd w:id="348"/>
      <w:bookmarkEnd w:id="349"/>
      <w:bookmarkEnd w:id="350"/>
      <w:bookmarkEnd w:id="351"/>
      <w:bookmarkEnd w:id="352"/>
    </w:p>
    <w:p w14:paraId="27563E4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53" w:name="_Toc200513155"/>
      <w:r>
        <w:rPr>
          <w:rFonts w:ascii="宋体" w:hAnsi="宋体"/>
          <w:snapToGrid w:val="0"/>
          <w:color w:val="auto"/>
          <w:kern w:val="0"/>
          <w:szCs w:val="21"/>
          <w:highlight w:val="none"/>
        </w:rPr>
        <w:t>4.1.1  投标文件的正本与副本密封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14:paraId="4A40C3B4">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14:paraId="1A0529D6">
      <w:pPr>
        <w:pStyle w:val="5"/>
        <w:keepNext w:val="0"/>
        <w:keepLines w:val="0"/>
        <w:snapToGrid w:val="0"/>
        <w:spacing w:before="0" w:after="0" w:line="360" w:lineRule="auto"/>
        <w:rPr>
          <w:rFonts w:ascii="宋体" w:hAnsi="宋体"/>
          <w:b w:val="0"/>
          <w:snapToGrid w:val="0"/>
          <w:color w:val="auto"/>
          <w:sz w:val="24"/>
          <w:szCs w:val="24"/>
          <w:highlight w:val="none"/>
        </w:rPr>
      </w:pPr>
      <w:bookmarkStart w:id="354" w:name="_Toc23957"/>
      <w:bookmarkStart w:id="355" w:name="_Toc25809"/>
      <w:bookmarkStart w:id="356" w:name="_Toc277082581"/>
      <w:bookmarkStart w:id="357" w:name="_Toc287620714"/>
      <w:bookmarkStart w:id="358" w:name="_Toc430530464"/>
      <w:bookmarkStart w:id="359" w:name="_Toc287607775"/>
      <w:bookmarkStart w:id="360" w:name="_Toc224103346"/>
      <w:bookmarkStart w:id="361" w:name="_Toc509218739"/>
      <w:r>
        <w:rPr>
          <w:rFonts w:ascii="宋体" w:hAnsi="宋体"/>
          <w:b w:val="0"/>
          <w:snapToGrid w:val="0"/>
          <w:color w:val="auto"/>
          <w:sz w:val="24"/>
          <w:szCs w:val="24"/>
          <w:highlight w:val="none"/>
        </w:rPr>
        <w:t>4.2  投标文件的递交</w:t>
      </w:r>
      <w:bookmarkEnd w:id="353"/>
      <w:bookmarkEnd w:id="354"/>
      <w:bookmarkEnd w:id="355"/>
      <w:bookmarkEnd w:id="356"/>
      <w:bookmarkEnd w:id="357"/>
      <w:bookmarkEnd w:id="358"/>
      <w:bookmarkEnd w:id="359"/>
      <w:bookmarkEnd w:id="360"/>
      <w:bookmarkEnd w:id="361"/>
    </w:p>
    <w:p w14:paraId="1BCD280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14:paraId="20AD71F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14:paraId="4F3D864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14:paraId="1B73792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人收到投标文件后，向投标人出具签收凭证。</w:t>
      </w:r>
    </w:p>
    <w:p w14:paraId="17126EE6">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逾期送达的或者未送达指定地点的投标文件，</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人不予受理。</w:t>
      </w:r>
    </w:p>
    <w:p w14:paraId="2914FD50">
      <w:pPr>
        <w:pStyle w:val="5"/>
        <w:keepNext w:val="0"/>
        <w:keepLines w:val="0"/>
        <w:snapToGrid w:val="0"/>
        <w:spacing w:before="0" w:after="0" w:line="360" w:lineRule="auto"/>
        <w:rPr>
          <w:rFonts w:ascii="宋体" w:hAnsi="宋体"/>
          <w:b w:val="0"/>
          <w:snapToGrid w:val="0"/>
          <w:color w:val="auto"/>
          <w:sz w:val="24"/>
          <w:szCs w:val="24"/>
          <w:highlight w:val="none"/>
        </w:rPr>
      </w:pPr>
      <w:bookmarkStart w:id="362" w:name="_Toc430530465"/>
      <w:bookmarkStart w:id="363" w:name="_Toc224103347"/>
      <w:bookmarkStart w:id="364" w:name="_Toc277082582"/>
      <w:bookmarkStart w:id="365" w:name="_Toc287607776"/>
      <w:bookmarkStart w:id="366" w:name="_Toc287620715"/>
      <w:bookmarkStart w:id="367" w:name="_Toc200513156"/>
      <w:bookmarkStart w:id="368" w:name="_Toc509218740"/>
      <w:bookmarkStart w:id="369" w:name="_Toc4888"/>
      <w:bookmarkStart w:id="370" w:name="_Toc23986"/>
      <w:r>
        <w:rPr>
          <w:rFonts w:ascii="宋体" w:hAnsi="宋体"/>
          <w:b w:val="0"/>
          <w:snapToGrid w:val="0"/>
          <w:color w:val="auto"/>
          <w:sz w:val="24"/>
          <w:szCs w:val="24"/>
          <w:highlight w:val="none"/>
        </w:rPr>
        <w:t>4.3  投标文件的修改与撤回</w:t>
      </w:r>
      <w:bookmarkEnd w:id="362"/>
      <w:bookmarkEnd w:id="363"/>
      <w:bookmarkEnd w:id="364"/>
      <w:bookmarkEnd w:id="365"/>
      <w:bookmarkEnd w:id="366"/>
      <w:bookmarkEnd w:id="367"/>
      <w:bookmarkEnd w:id="368"/>
      <w:bookmarkEnd w:id="369"/>
      <w:bookmarkEnd w:id="370"/>
    </w:p>
    <w:p w14:paraId="7695FA3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在投标人须知前附表第2.2.2项规定的投标截止时间前，投标人可以修改或撤回已递交的投标文件，但应以书面形式通知</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p>
    <w:p w14:paraId="0C45D3F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4.3.2  投标人修改或撤回已递交投标文件的书面通知应按照本章第3.7.3项的要求签字或盖章。</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人收到书面通知后，向投标人出具签收凭证。</w:t>
      </w:r>
    </w:p>
    <w:p w14:paraId="274D2F50">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14:paraId="67295CA7">
      <w:pPr>
        <w:pStyle w:val="4"/>
        <w:keepNext w:val="0"/>
        <w:keepLines w:val="0"/>
        <w:spacing w:before="0" w:after="0" w:line="360" w:lineRule="auto"/>
        <w:rPr>
          <w:rFonts w:ascii="宋体" w:hAnsi="宋体"/>
          <w:b w:val="0"/>
          <w:snapToGrid w:val="0"/>
          <w:color w:val="auto"/>
          <w:highlight w:val="none"/>
        </w:rPr>
      </w:pPr>
      <w:bookmarkStart w:id="371" w:name="_Toc6152"/>
      <w:bookmarkStart w:id="372" w:name="_Toc224103348"/>
      <w:bookmarkStart w:id="373" w:name="_Toc287620716"/>
      <w:bookmarkStart w:id="374" w:name="_Toc430530466"/>
      <w:bookmarkStart w:id="375" w:name="_Toc287607777"/>
      <w:bookmarkStart w:id="376" w:name="_Toc200513157"/>
      <w:bookmarkStart w:id="377" w:name="_Toc9614"/>
      <w:bookmarkStart w:id="378" w:name="_Toc509218741"/>
      <w:bookmarkStart w:id="379" w:name="_Toc277082583"/>
      <w:r>
        <w:rPr>
          <w:rFonts w:ascii="宋体" w:hAnsi="宋体"/>
          <w:b w:val="0"/>
          <w:snapToGrid w:val="0"/>
          <w:color w:val="auto"/>
          <w:highlight w:val="none"/>
        </w:rPr>
        <w:t>5.  开标</w:t>
      </w:r>
      <w:bookmarkEnd w:id="371"/>
      <w:bookmarkEnd w:id="372"/>
      <w:bookmarkEnd w:id="373"/>
      <w:bookmarkEnd w:id="374"/>
      <w:bookmarkEnd w:id="375"/>
      <w:bookmarkEnd w:id="376"/>
      <w:bookmarkEnd w:id="377"/>
      <w:bookmarkEnd w:id="378"/>
      <w:bookmarkEnd w:id="379"/>
    </w:p>
    <w:p w14:paraId="658B5864">
      <w:pPr>
        <w:pStyle w:val="5"/>
        <w:keepNext w:val="0"/>
        <w:keepLines w:val="0"/>
        <w:snapToGrid w:val="0"/>
        <w:spacing w:before="0" w:after="0" w:line="360" w:lineRule="auto"/>
        <w:rPr>
          <w:rFonts w:ascii="宋体" w:hAnsi="宋体"/>
          <w:b w:val="0"/>
          <w:snapToGrid w:val="0"/>
          <w:color w:val="auto"/>
          <w:sz w:val="24"/>
          <w:szCs w:val="24"/>
          <w:highlight w:val="none"/>
        </w:rPr>
      </w:pPr>
      <w:bookmarkStart w:id="380" w:name="_Toc20593"/>
      <w:bookmarkStart w:id="381" w:name="_Toc224103349"/>
      <w:bookmarkStart w:id="382" w:name="_Toc287607778"/>
      <w:bookmarkStart w:id="383" w:name="_Toc509218742"/>
      <w:bookmarkStart w:id="384" w:name="_Toc27584"/>
      <w:bookmarkStart w:id="385" w:name="_Toc430530467"/>
      <w:bookmarkStart w:id="386" w:name="_Toc287620717"/>
      <w:bookmarkStart w:id="387" w:name="_Toc277082584"/>
      <w:bookmarkStart w:id="388" w:name="_Toc200513158"/>
      <w:r>
        <w:rPr>
          <w:rFonts w:ascii="宋体" w:hAnsi="宋体"/>
          <w:b w:val="0"/>
          <w:snapToGrid w:val="0"/>
          <w:color w:val="auto"/>
          <w:sz w:val="24"/>
          <w:szCs w:val="24"/>
          <w:highlight w:val="none"/>
        </w:rPr>
        <w:t>5.1  开标时间和地点</w:t>
      </w:r>
      <w:bookmarkEnd w:id="380"/>
      <w:bookmarkEnd w:id="381"/>
      <w:bookmarkEnd w:id="382"/>
      <w:bookmarkEnd w:id="383"/>
      <w:bookmarkEnd w:id="384"/>
      <w:bookmarkEnd w:id="385"/>
      <w:bookmarkEnd w:id="386"/>
      <w:bookmarkEnd w:id="387"/>
      <w:bookmarkEnd w:id="388"/>
    </w:p>
    <w:p w14:paraId="0243E50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人在投标人须知前附表第 2.2.2 项规定的投标截止时间（开标时间）和投标人须知前附表规定的地点公开开标，并邀请所有投标人的法定代表人或其委托代理人准时参加。</w:t>
      </w:r>
    </w:p>
    <w:p w14:paraId="3E001DCE">
      <w:pPr>
        <w:pStyle w:val="5"/>
        <w:keepNext w:val="0"/>
        <w:keepLines w:val="0"/>
        <w:snapToGrid w:val="0"/>
        <w:spacing w:before="0" w:after="0" w:line="360" w:lineRule="auto"/>
        <w:rPr>
          <w:rFonts w:ascii="宋体" w:hAnsi="宋体"/>
          <w:b w:val="0"/>
          <w:snapToGrid w:val="0"/>
          <w:color w:val="auto"/>
          <w:sz w:val="24"/>
          <w:szCs w:val="24"/>
          <w:highlight w:val="none"/>
        </w:rPr>
      </w:pPr>
      <w:bookmarkStart w:id="389" w:name="_Toc287620718"/>
      <w:bookmarkStart w:id="390" w:name="_Toc287607779"/>
      <w:bookmarkStart w:id="391" w:name="_Toc200513159"/>
      <w:bookmarkStart w:id="392" w:name="_Toc224103350"/>
      <w:bookmarkStart w:id="393" w:name="_Toc277082585"/>
      <w:bookmarkStart w:id="394" w:name="_Toc509218743"/>
      <w:bookmarkStart w:id="395" w:name="_Toc430530468"/>
      <w:bookmarkStart w:id="396" w:name="_Toc14994"/>
      <w:bookmarkStart w:id="397" w:name="_Toc4144"/>
      <w:r>
        <w:rPr>
          <w:rFonts w:ascii="宋体" w:hAnsi="宋体"/>
          <w:b w:val="0"/>
          <w:snapToGrid w:val="0"/>
          <w:color w:val="auto"/>
          <w:sz w:val="24"/>
          <w:szCs w:val="24"/>
          <w:highlight w:val="none"/>
        </w:rPr>
        <w:t>5.2  开标程序</w:t>
      </w:r>
      <w:bookmarkEnd w:id="389"/>
      <w:bookmarkEnd w:id="390"/>
      <w:bookmarkEnd w:id="391"/>
      <w:bookmarkEnd w:id="392"/>
      <w:bookmarkEnd w:id="393"/>
      <w:bookmarkEnd w:id="394"/>
      <w:bookmarkEnd w:id="395"/>
      <w:bookmarkEnd w:id="396"/>
      <w:bookmarkEnd w:id="397"/>
    </w:p>
    <w:p w14:paraId="5819673C">
      <w:pPr>
        <w:autoSpaceDE w:val="0"/>
        <w:autoSpaceDN w:val="0"/>
        <w:adjustRightInd w:val="0"/>
        <w:snapToGrid w:val="0"/>
        <w:spacing w:line="360" w:lineRule="auto"/>
        <w:ind w:firstLine="420" w:firstLineChars="200"/>
        <w:rPr>
          <w:rFonts w:hint="eastAsia" w:ascii="宋体" w:hAnsi="宋体"/>
          <w:color w:val="auto"/>
          <w:szCs w:val="21"/>
          <w:highlight w:val="none"/>
        </w:rPr>
      </w:pPr>
      <w:bookmarkStart w:id="398" w:name="_Toc277082586"/>
      <w:bookmarkStart w:id="399" w:name="_Toc200513160"/>
      <w:bookmarkStart w:id="400" w:name="_Toc287607780"/>
      <w:bookmarkStart w:id="401" w:name="_Toc287620719"/>
      <w:bookmarkStart w:id="402" w:name="_Toc224103351"/>
      <w:r>
        <w:rPr>
          <w:rFonts w:ascii="宋体" w:hAnsi="宋体"/>
          <w:color w:val="auto"/>
          <w:szCs w:val="21"/>
          <w:highlight w:val="none"/>
        </w:rPr>
        <w:t>详见投标人须知前附表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14060C0F">
      <w:pPr>
        <w:pStyle w:val="5"/>
        <w:keepNext w:val="0"/>
        <w:keepLines w:val="0"/>
        <w:snapToGrid w:val="0"/>
        <w:spacing w:before="0" w:after="0" w:line="360" w:lineRule="auto"/>
        <w:rPr>
          <w:rFonts w:ascii="宋体" w:hAnsi="宋体"/>
          <w:b w:val="0"/>
          <w:snapToGrid w:val="0"/>
          <w:color w:val="auto"/>
          <w:sz w:val="24"/>
          <w:szCs w:val="24"/>
          <w:highlight w:val="none"/>
        </w:rPr>
      </w:pPr>
      <w:bookmarkStart w:id="403" w:name="_Toc11912"/>
      <w:bookmarkStart w:id="404" w:name="_Toc57820594"/>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403"/>
      <w:bookmarkEnd w:id="404"/>
    </w:p>
    <w:p w14:paraId="418672CA">
      <w:pPr>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投标人对开标有异议的，应在开标现场提出，</w:t>
      </w:r>
      <w:r>
        <w:rPr>
          <w:rFonts w:hint="eastAsia" w:ascii="宋体" w:hAnsi="宋体"/>
          <w:color w:val="auto"/>
          <w:szCs w:val="21"/>
          <w:highlight w:val="none"/>
          <w:lang w:eastAsia="zh-CN"/>
        </w:rPr>
        <w:t>比选</w:t>
      </w:r>
      <w:r>
        <w:rPr>
          <w:rFonts w:hint="eastAsia" w:ascii="宋体" w:hAnsi="宋体"/>
          <w:color w:val="auto"/>
          <w:szCs w:val="21"/>
          <w:highlight w:val="none"/>
        </w:rPr>
        <w:t>人当场作出答复，并制作记录，有异议的投标人代表、</w:t>
      </w:r>
      <w:r>
        <w:rPr>
          <w:rFonts w:hint="eastAsia" w:ascii="宋体" w:hAnsi="宋体"/>
          <w:color w:val="auto"/>
          <w:szCs w:val="21"/>
          <w:highlight w:val="none"/>
          <w:lang w:eastAsia="zh-CN"/>
        </w:rPr>
        <w:t>比选</w:t>
      </w:r>
      <w:r>
        <w:rPr>
          <w:rFonts w:hint="eastAsia" w:ascii="宋体" w:hAnsi="宋体"/>
          <w:color w:val="auto"/>
          <w:szCs w:val="21"/>
          <w:highlight w:val="none"/>
        </w:rPr>
        <w:t>人代表、主持人、记录人等有关人员在记录上签字确认</w:t>
      </w:r>
      <w:r>
        <w:rPr>
          <w:rFonts w:ascii="宋体" w:hAnsi="宋体"/>
          <w:color w:val="auto"/>
          <w:szCs w:val="21"/>
          <w:highlight w:val="none"/>
        </w:rPr>
        <w:t>。</w:t>
      </w:r>
    </w:p>
    <w:p w14:paraId="6C4AE3D7">
      <w:pPr>
        <w:pStyle w:val="4"/>
        <w:keepNext w:val="0"/>
        <w:keepLines w:val="0"/>
        <w:spacing w:before="0" w:after="0" w:line="360" w:lineRule="auto"/>
        <w:rPr>
          <w:rFonts w:ascii="宋体" w:hAnsi="宋体"/>
          <w:b w:val="0"/>
          <w:snapToGrid w:val="0"/>
          <w:color w:val="auto"/>
          <w:highlight w:val="none"/>
        </w:rPr>
      </w:pPr>
      <w:bookmarkStart w:id="405" w:name="_Toc9533"/>
      <w:bookmarkStart w:id="406" w:name="_Toc430530469"/>
      <w:bookmarkStart w:id="407" w:name="_Toc509218744"/>
      <w:bookmarkStart w:id="408" w:name="_Toc12598"/>
      <w:r>
        <w:rPr>
          <w:rFonts w:ascii="宋体" w:hAnsi="宋体"/>
          <w:b w:val="0"/>
          <w:snapToGrid w:val="0"/>
          <w:color w:val="auto"/>
          <w:highlight w:val="none"/>
        </w:rPr>
        <w:t>6.  评标</w:t>
      </w:r>
      <w:bookmarkEnd w:id="398"/>
      <w:bookmarkEnd w:id="399"/>
      <w:bookmarkEnd w:id="400"/>
      <w:bookmarkEnd w:id="401"/>
      <w:bookmarkEnd w:id="402"/>
      <w:bookmarkEnd w:id="405"/>
      <w:bookmarkEnd w:id="406"/>
      <w:bookmarkEnd w:id="407"/>
      <w:bookmarkEnd w:id="408"/>
    </w:p>
    <w:p w14:paraId="330628D3">
      <w:pPr>
        <w:pStyle w:val="5"/>
        <w:keepNext w:val="0"/>
        <w:keepLines w:val="0"/>
        <w:snapToGrid w:val="0"/>
        <w:spacing w:before="0" w:after="0" w:line="360" w:lineRule="auto"/>
        <w:rPr>
          <w:rFonts w:ascii="宋体" w:hAnsi="宋体"/>
          <w:b w:val="0"/>
          <w:snapToGrid w:val="0"/>
          <w:color w:val="auto"/>
          <w:sz w:val="24"/>
          <w:szCs w:val="24"/>
          <w:highlight w:val="none"/>
        </w:rPr>
      </w:pPr>
      <w:bookmarkStart w:id="409" w:name="_Toc287620720"/>
      <w:bookmarkStart w:id="410" w:name="_Toc19959"/>
      <w:bookmarkStart w:id="411" w:name="_Toc287607781"/>
      <w:bookmarkStart w:id="412" w:name="_Toc200513161"/>
      <w:bookmarkStart w:id="413" w:name="_Toc28100"/>
      <w:bookmarkStart w:id="414" w:name="_Toc430530470"/>
      <w:bookmarkStart w:id="415" w:name="_Toc509218745"/>
      <w:bookmarkStart w:id="416" w:name="_Toc224103352"/>
      <w:bookmarkStart w:id="417" w:name="_Toc277082587"/>
      <w:r>
        <w:rPr>
          <w:rFonts w:ascii="宋体" w:hAnsi="宋体"/>
          <w:b w:val="0"/>
          <w:snapToGrid w:val="0"/>
          <w:color w:val="auto"/>
          <w:sz w:val="24"/>
          <w:szCs w:val="24"/>
          <w:highlight w:val="none"/>
        </w:rPr>
        <w:t>6.1  评标委员会</w:t>
      </w:r>
      <w:bookmarkEnd w:id="409"/>
      <w:bookmarkEnd w:id="410"/>
      <w:bookmarkEnd w:id="411"/>
      <w:bookmarkEnd w:id="412"/>
      <w:bookmarkEnd w:id="413"/>
      <w:bookmarkEnd w:id="414"/>
      <w:bookmarkEnd w:id="415"/>
      <w:bookmarkEnd w:id="416"/>
      <w:bookmarkEnd w:id="417"/>
    </w:p>
    <w:p w14:paraId="2A89A8C5">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人依据法律法规和相关规范性文件组建的评标委员会负责。</w:t>
      </w:r>
    </w:p>
    <w:p w14:paraId="07BB0B7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4087CF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14:paraId="49B75FC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09527A1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14:paraId="32EBCE55">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（4）曾因在</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、评标以及其他与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投标有关活动中从事违法行为而受过行政处罚或刑事处罚的</w:t>
      </w:r>
      <w:r>
        <w:rPr>
          <w:rFonts w:hint="eastAsia" w:ascii="宋体" w:hAnsi="宋体"/>
          <w:snapToGrid w:val="0"/>
          <w:color w:val="auto"/>
          <w:kern w:val="0"/>
          <w:szCs w:val="21"/>
          <w:highlight w:val="none"/>
        </w:rPr>
        <w:t>；</w:t>
      </w:r>
    </w:p>
    <w:p w14:paraId="39712AE0">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5AD1281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6D599590">
      <w:pPr>
        <w:pStyle w:val="5"/>
        <w:snapToGrid w:val="0"/>
        <w:spacing w:before="0" w:after="0" w:line="360" w:lineRule="auto"/>
        <w:rPr>
          <w:rFonts w:ascii="宋体" w:hAnsi="宋体"/>
          <w:b w:val="0"/>
          <w:snapToGrid w:val="0"/>
          <w:color w:val="auto"/>
          <w:sz w:val="24"/>
          <w:szCs w:val="24"/>
          <w:highlight w:val="none"/>
        </w:rPr>
      </w:pPr>
      <w:bookmarkStart w:id="418" w:name="_Toc12166"/>
      <w:bookmarkStart w:id="419" w:name="_Toc224103353"/>
      <w:bookmarkStart w:id="420" w:name="_Toc3969"/>
      <w:bookmarkStart w:id="421" w:name="_Toc277082588"/>
      <w:bookmarkStart w:id="422" w:name="_Toc430530471"/>
      <w:bookmarkStart w:id="423" w:name="_Toc200513162"/>
      <w:bookmarkStart w:id="424" w:name="_Toc287620721"/>
      <w:bookmarkStart w:id="425" w:name="_Toc287607782"/>
      <w:bookmarkStart w:id="426" w:name="_Toc509218746"/>
      <w:r>
        <w:rPr>
          <w:rFonts w:ascii="宋体" w:hAnsi="宋体"/>
          <w:b w:val="0"/>
          <w:snapToGrid w:val="0"/>
          <w:color w:val="auto"/>
          <w:sz w:val="24"/>
          <w:szCs w:val="24"/>
          <w:highlight w:val="none"/>
        </w:rPr>
        <w:t>6.2  评标原则</w:t>
      </w:r>
      <w:bookmarkEnd w:id="418"/>
      <w:bookmarkEnd w:id="419"/>
      <w:bookmarkEnd w:id="420"/>
      <w:bookmarkEnd w:id="421"/>
      <w:bookmarkEnd w:id="422"/>
      <w:bookmarkEnd w:id="423"/>
      <w:bookmarkEnd w:id="424"/>
      <w:bookmarkEnd w:id="425"/>
      <w:bookmarkEnd w:id="426"/>
    </w:p>
    <w:p w14:paraId="2408E3D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706CBF21">
      <w:pPr>
        <w:pStyle w:val="5"/>
        <w:snapToGrid w:val="0"/>
        <w:spacing w:before="0" w:after="0" w:line="360" w:lineRule="auto"/>
        <w:rPr>
          <w:rFonts w:ascii="宋体" w:hAnsi="宋体"/>
          <w:b w:val="0"/>
          <w:snapToGrid w:val="0"/>
          <w:color w:val="auto"/>
          <w:sz w:val="24"/>
          <w:szCs w:val="24"/>
          <w:highlight w:val="none"/>
        </w:rPr>
      </w:pPr>
      <w:bookmarkStart w:id="427" w:name="_Toc277082589"/>
      <w:bookmarkStart w:id="428" w:name="_Toc430530472"/>
      <w:bookmarkStart w:id="429" w:name="_Toc224103354"/>
      <w:bookmarkStart w:id="430" w:name="_Toc509218747"/>
      <w:bookmarkStart w:id="431" w:name="_Toc287607783"/>
      <w:bookmarkStart w:id="432" w:name="_Toc14701"/>
      <w:bookmarkStart w:id="433" w:name="_Toc287620722"/>
      <w:bookmarkStart w:id="434" w:name="_Toc200513163"/>
      <w:bookmarkStart w:id="435" w:name="_Toc21049"/>
      <w:r>
        <w:rPr>
          <w:rFonts w:ascii="宋体" w:hAnsi="宋体"/>
          <w:b w:val="0"/>
          <w:snapToGrid w:val="0"/>
          <w:color w:val="auto"/>
          <w:sz w:val="24"/>
          <w:szCs w:val="24"/>
          <w:highlight w:val="none"/>
        </w:rPr>
        <w:t>6.3  评标</w:t>
      </w:r>
      <w:bookmarkEnd w:id="427"/>
      <w:bookmarkEnd w:id="428"/>
      <w:bookmarkEnd w:id="429"/>
      <w:bookmarkEnd w:id="430"/>
      <w:bookmarkEnd w:id="431"/>
      <w:bookmarkEnd w:id="432"/>
      <w:bookmarkEnd w:id="433"/>
      <w:bookmarkEnd w:id="434"/>
      <w:bookmarkEnd w:id="435"/>
    </w:p>
    <w:p w14:paraId="436079C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66C51D5E">
      <w:pPr>
        <w:pStyle w:val="4"/>
        <w:spacing w:before="0" w:after="0" w:line="360" w:lineRule="auto"/>
        <w:rPr>
          <w:rFonts w:ascii="宋体" w:hAnsi="宋体"/>
          <w:b w:val="0"/>
          <w:snapToGrid w:val="0"/>
          <w:color w:val="auto"/>
          <w:highlight w:val="none"/>
        </w:rPr>
      </w:pPr>
      <w:bookmarkStart w:id="436" w:name="_Toc30356"/>
      <w:bookmarkStart w:id="437" w:name="_Toc509218748"/>
      <w:bookmarkStart w:id="438" w:name="_Toc430530473"/>
      <w:bookmarkStart w:id="439" w:name="_Toc287620723"/>
      <w:bookmarkStart w:id="440" w:name="_Toc277082590"/>
      <w:bookmarkStart w:id="441" w:name="_Toc287607784"/>
      <w:bookmarkStart w:id="442" w:name="_Toc200513164"/>
      <w:bookmarkStart w:id="443" w:name="_Toc224103355"/>
      <w:bookmarkStart w:id="444" w:name="_Toc2723"/>
      <w:r>
        <w:rPr>
          <w:rFonts w:ascii="宋体" w:hAnsi="宋体"/>
          <w:b w:val="0"/>
          <w:snapToGrid w:val="0"/>
          <w:color w:val="auto"/>
          <w:highlight w:val="none"/>
        </w:rPr>
        <w:t>7.  合同授予</w:t>
      </w:r>
      <w:bookmarkEnd w:id="436"/>
      <w:bookmarkEnd w:id="437"/>
      <w:bookmarkEnd w:id="438"/>
      <w:bookmarkEnd w:id="439"/>
      <w:bookmarkEnd w:id="440"/>
      <w:bookmarkEnd w:id="441"/>
      <w:bookmarkEnd w:id="442"/>
      <w:bookmarkEnd w:id="443"/>
      <w:bookmarkEnd w:id="444"/>
    </w:p>
    <w:p w14:paraId="43AD0E1F">
      <w:pPr>
        <w:pStyle w:val="5"/>
        <w:snapToGrid w:val="0"/>
        <w:spacing w:before="0" w:after="0" w:line="360" w:lineRule="auto"/>
        <w:rPr>
          <w:rFonts w:ascii="宋体" w:hAnsi="宋体"/>
          <w:b w:val="0"/>
          <w:snapToGrid w:val="0"/>
          <w:color w:val="auto"/>
          <w:sz w:val="24"/>
          <w:szCs w:val="24"/>
          <w:highlight w:val="none"/>
        </w:rPr>
      </w:pPr>
      <w:bookmarkStart w:id="445" w:name="_Toc200513165"/>
      <w:bookmarkStart w:id="446" w:name="_Toc29937"/>
      <w:bookmarkStart w:id="447" w:name="_Toc277082591"/>
      <w:bookmarkStart w:id="448" w:name="_Toc287620724"/>
      <w:bookmarkStart w:id="449" w:name="_Toc224103356"/>
      <w:bookmarkStart w:id="450" w:name="_Toc26112"/>
      <w:bookmarkStart w:id="451" w:name="_Toc509218749"/>
      <w:bookmarkStart w:id="452" w:name="_Toc430530474"/>
      <w:bookmarkStart w:id="453" w:name="_Toc287607785"/>
      <w:r>
        <w:rPr>
          <w:rFonts w:ascii="宋体" w:hAnsi="宋体"/>
          <w:b w:val="0"/>
          <w:snapToGrid w:val="0"/>
          <w:color w:val="auto"/>
          <w:sz w:val="24"/>
          <w:szCs w:val="24"/>
          <w:highlight w:val="none"/>
        </w:rPr>
        <w:t>7.1  定标方式</w:t>
      </w:r>
      <w:bookmarkEnd w:id="445"/>
      <w:bookmarkEnd w:id="446"/>
      <w:bookmarkEnd w:id="447"/>
      <w:bookmarkEnd w:id="448"/>
      <w:bookmarkEnd w:id="449"/>
      <w:bookmarkEnd w:id="450"/>
      <w:bookmarkEnd w:id="451"/>
      <w:bookmarkEnd w:id="452"/>
      <w:bookmarkEnd w:id="453"/>
    </w:p>
    <w:p w14:paraId="25E23982">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国有资金占控股或者主导地位的依法必须进行</w:t>
      </w:r>
      <w:r>
        <w:rPr>
          <w:rFonts w:hint="eastAsia" w:ascii="宋体" w:hAnsi="宋体"/>
          <w:color w:val="auto"/>
          <w:szCs w:val="21"/>
          <w:highlight w:val="none"/>
          <w:lang w:eastAsia="zh-CN"/>
        </w:rPr>
        <w:t>比选</w:t>
      </w:r>
      <w:r>
        <w:rPr>
          <w:rFonts w:ascii="宋体" w:hAnsi="宋体"/>
          <w:color w:val="auto"/>
          <w:szCs w:val="21"/>
          <w:highlight w:val="none"/>
        </w:rPr>
        <w:t>的项目，</w:t>
      </w:r>
      <w:r>
        <w:rPr>
          <w:rFonts w:hint="eastAsia" w:ascii="宋体" w:hAnsi="宋体"/>
          <w:color w:val="auto"/>
          <w:szCs w:val="21"/>
          <w:highlight w:val="none"/>
          <w:lang w:eastAsia="zh-CN"/>
        </w:rPr>
        <w:t>比选</w:t>
      </w:r>
      <w:r>
        <w:rPr>
          <w:rFonts w:ascii="宋体" w:hAnsi="宋体"/>
          <w:color w:val="auto"/>
          <w:szCs w:val="21"/>
          <w:highlight w:val="none"/>
        </w:rPr>
        <w:t>人应当确定排名第一的中标候选人为中标人。排名第一的中标候选人放弃中标、因不可抗力不能履行合同、不按照</w:t>
      </w:r>
      <w:r>
        <w:rPr>
          <w:rFonts w:hint="eastAsia" w:ascii="宋体" w:hAnsi="宋体"/>
          <w:color w:val="auto"/>
          <w:szCs w:val="21"/>
          <w:highlight w:val="none"/>
          <w:lang w:eastAsia="zh-CN"/>
        </w:rPr>
        <w:t>比选</w:t>
      </w:r>
      <w:r>
        <w:rPr>
          <w:rFonts w:ascii="宋体" w:hAnsi="宋体"/>
          <w:color w:val="auto"/>
          <w:szCs w:val="21"/>
          <w:highlight w:val="none"/>
        </w:rPr>
        <w:t>文件要求提交履约保证金，或者被查实存在影响中标结果的违法行为等情形，不符合中标条件的，</w:t>
      </w:r>
      <w:r>
        <w:rPr>
          <w:rFonts w:hint="eastAsia" w:ascii="宋体" w:hAnsi="宋体"/>
          <w:color w:val="auto"/>
          <w:szCs w:val="21"/>
          <w:highlight w:val="none"/>
          <w:lang w:eastAsia="zh-CN"/>
        </w:rPr>
        <w:t>比选</w:t>
      </w:r>
      <w:r>
        <w:rPr>
          <w:rFonts w:ascii="宋体" w:hAnsi="宋体"/>
          <w:color w:val="auto"/>
          <w:szCs w:val="21"/>
          <w:highlight w:val="none"/>
        </w:rPr>
        <w:t>人可以按照评标委员会提出的中标候选人名单排序依次确定其他中标候选人为中标人，也可以重新</w:t>
      </w:r>
      <w:r>
        <w:rPr>
          <w:rFonts w:hint="eastAsia" w:ascii="宋体" w:hAnsi="宋体"/>
          <w:color w:val="auto"/>
          <w:szCs w:val="21"/>
          <w:highlight w:val="none"/>
          <w:lang w:eastAsia="zh-CN"/>
        </w:rPr>
        <w:t>比选</w:t>
      </w:r>
      <w:r>
        <w:rPr>
          <w:rFonts w:ascii="宋体" w:hAnsi="宋体"/>
          <w:color w:val="auto"/>
          <w:szCs w:val="21"/>
          <w:highlight w:val="none"/>
        </w:rPr>
        <w:t>。</w:t>
      </w:r>
    </w:p>
    <w:p w14:paraId="5DC4E409">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14:paraId="1DFA911F">
      <w:pPr>
        <w:pStyle w:val="5"/>
        <w:snapToGrid w:val="0"/>
        <w:spacing w:before="0" w:after="0" w:line="360" w:lineRule="auto"/>
        <w:rPr>
          <w:rFonts w:ascii="宋体" w:hAnsi="宋体"/>
          <w:b w:val="0"/>
          <w:snapToGrid w:val="0"/>
          <w:color w:val="auto"/>
          <w:sz w:val="24"/>
          <w:szCs w:val="24"/>
          <w:highlight w:val="none"/>
        </w:rPr>
      </w:pPr>
      <w:bookmarkStart w:id="454" w:name="_Toc509218750"/>
      <w:bookmarkStart w:id="455" w:name="_Toc430530475"/>
      <w:bookmarkStart w:id="456" w:name="_Toc25266"/>
      <w:bookmarkStart w:id="457" w:name="_Toc23594"/>
      <w:r>
        <w:rPr>
          <w:rFonts w:ascii="宋体" w:hAnsi="宋体"/>
          <w:b w:val="0"/>
          <w:snapToGrid w:val="0"/>
          <w:color w:val="auto"/>
          <w:sz w:val="24"/>
          <w:szCs w:val="24"/>
          <w:highlight w:val="none"/>
        </w:rPr>
        <w:t>7.2  中标公示及中标通知</w:t>
      </w:r>
      <w:bookmarkEnd w:id="454"/>
      <w:bookmarkEnd w:id="455"/>
      <w:bookmarkEnd w:id="456"/>
      <w:bookmarkEnd w:id="457"/>
    </w:p>
    <w:p w14:paraId="77B88CB5">
      <w:pPr>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人在收到评标报告之日起3日内公示中标候选人，公示期不得少于3日</w:t>
      </w:r>
      <w:r>
        <w:rPr>
          <w:rFonts w:hint="eastAsia" w:ascii="宋体" w:hAnsi="宋体"/>
          <w:color w:val="auto"/>
          <w:szCs w:val="21"/>
          <w:highlight w:val="none"/>
        </w:rPr>
        <w:t>。</w:t>
      </w:r>
    </w:p>
    <w:p w14:paraId="49D016D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款规定的投标有效期内，且未有投标人的异议与投诉，</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人以书面形式向中标人发出中标通知书。</w:t>
      </w:r>
    </w:p>
    <w:p w14:paraId="70748A0D">
      <w:pPr>
        <w:pStyle w:val="5"/>
        <w:snapToGrid w:val="0"/>
        <w:spacing w:before="0" w:after="0" w:line="360" w:lineRule="auto"/>
        <w:rPr>
          <w:rFonts w:ascii="宋体" w:hAnsi="宋体"/>
          <w:b w:val="0"/>
          <w:snapToGrid w:val="0"/>
          <w:color w:val="auto"/>
          <w:sz w:val="24"/>
          <w:szCs w:val="24"/>
          <w:highlight w:val="none"/>
        </w:rPr>
      </w:pPr>
      <w:bookmarkStart w:id="458" w:name="_Toc287620726"/>
      <w:bookmarkStart w:id="459" w:name="_Toc509218751"/>
      <w:bookmarkStart w:id="460" w:name="_Toc224103358"/>
      <w:bookmarkStart w:id="461" w:name="_Toc200513167"/>
      <w:bookmarkStart w:id="462" w:name="_Toc430530476"/>
      <w:bookmarkStart w:id="463" w:name="_Toc287607787"/>
      <w:bookmarkStart w:id="464" w:name="_Toc13383"/>
      <w:bookmarkStart w:id="465" w:name="_Toc10853"/>
      <w:bookmarkStart w:id="466" w:name="_Toc277082593"/>
      <w:r>
        <w:rPr>
          <w:rFonts w:ascii="宋体" w:hAnsi="宋体"/>
          <w:b w:val="0"/>
          <w:snapToGrid w:val="0"/>
          <w:color w:val="auto"/>
          <w:sz w:val="24"/>
          <w:szCs w:val="24"/>
          <w:highlight w:val="none"/>
        </w:rPr>
        <w:t>7.3  履约担保</w:t>
      </w:r>
      <w:bookmarkEnd w:id="458"/>
      <w:bookmarkEnd w:id="459"/>
      <w:bookmarkEnd w:id="460"/>
      <w:bookmarkEnd w:id="461"/>
      <w:bookmarkEnd w:id="462"/>
      <w:bookmarkEnd w:id="463"/>
      <w:bookmarkEnd w:id="464"/>
      <w:bookmarkEnd w:id="465"/>
      <w:bookmarkEnd w:id="466"/>
    </w:p>
    <w:p w14:paraId="130461E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在签订合同前，中标人应按投标人须知前附表规定的金额、担保形式和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文件第四章“合同条款及格式”规定的履约担保格式向</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人提交履约担保。联合体中标的，其履约担保由牵头人递交，并应符合投标人须知前附表规定的金额、担保形式和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文件第四章“合同条款及格式”规定的履约担保格式要求。</w:t>
      </w:r>
    </w:p>
    <w:p w14:paraId="23B9AF1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项要求提交履约担保的，视为放弃中标，其投标保证金不予退还，给</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人造成的损失超过投标保证金数额的，中标人还应当对超过部分予以赔偿。</w:t>
      </w:r>
    </w:p>
    <w:p w14:paraId="6EE6DBFD">
      <w:pPr>
        <w:pStyle w:val="5"/>
        <w:snapToGrid w:val="0"/>
        <w:spacing w:before="0" w:after="0" w:line="360" w:lineRule="auto"/>
        <w:rPr>
          <w:rFonts w:ascii="宋体" w:hAnsi="宋体"/>
          <w:b w:val="0"/>
          <w:snapToGrid w:val="0"/>
          <w:color w:val="auto"/>
          <w:sz w:val="24"/>
          <w:szCs w:val="24"/>
          <w:highlight w:val="none"/>
        </w:rPr>
      </w:pPr>
      <w:bookmarkStart w:id="467" w:name="_Toc200513168"/>
      <w:bookmarkStart w:id="468" w:name="_Toc277082594"/>
      <w:bookmarkStart w:id="469" w:name="_Toc16900"/>
      <w:bookmarkStart w:id="470" w:name="_Toc32229"/>
      <w:bookmarkStart w:id="471" w:name="_Toc287620727"/>
      <w:bookmarkStart w:id="472" w:name="_Toc430530477"/>
      <w:bookmarkStart w:id="473" w:name="_Toc224103359"/>
      <w:bookmarkStart w:id="474" w:name="_Toc509218752"/>
      <w:bookmarkStart w:id="475" w:name="_Toc287607788"/>
      <w:r>
        <w:rPr>
          <w:rFonts w:ascii="宋体" w:hAnsi="宋体"/>
          <w:b w:val="0"/>
          <w:snapToGrid w:val="0"/>
          <w:color w:val="auto"/>
          <w:sz w:val="24"/>
          <w:szCs w:val="24"/>
          <w:highlight w:val="none"/>
        </w:rPr>
        <w:t>7.4  签订合同</w:t>
      </w:r>
      <w:bookmarkEnd w:id="467"/>
      <w:bookmarkEnd w:id="468"/>
      <w:bookmarkEnd w:id="469"/>
      <w:bookmarkEnd w:id="470"/>
      <w:bookmarkEnd w:id="471"/>
      <w:bookmarkEnd w:id="472"/>
      <w:bookmarkEnd w:id="473"/>
      <w:bookmarkEnd w:id="474"/>
      <w:bookmarkEnd w:id="475"/>
    </w:p>
    <w:p w14:paraId="7B5FF0C1">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人和中标人应当自中标通知书发出之日起 30 天内，根据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人提出附加条件或者更改合同实质性内容的</w:t>
      </w:r>
      <w:r>
        <w:rPr>
          <w:rFonts w:ascii="宋体" w:hAnsi="宋体"/>
          <w:snapToGrid w:val="0"/>
          <w:color w:val="auto"/>
          <w:kern w:val="0"/>
          <w:szCs w:val="21"/>
          <w:highlight w:val="none"/>
        </w:rPr>
        <w:t>，</w:t>
      </w:r>
      <w:r>
        <w:rPr>
          <w:rFonts w:hint="eastAsia" w:ascii="宋体" w:hAnsi="宋体" w:cs="宋体"/>
          <w:color w:val="auto"/>
          <w:szCs w:val="21"/>
          <w:highlight w:val="none"/>
        </w:rPr>
        <w:t>或不按照</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文件要求提交履约保证金的，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人取消其中标资格，其投标保证金不予退还；给</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人造成的损失超过投标保证金数额的，中标人还应当对超过部分予以赔偿。</w:t>
      </w:r>
    </w:p>
    <w:p w14:paraId="67AA7C2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人无正当理由拒签合同的，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人向中标人退还投标保证金；给中标人造成损失的，还应当赔偿损失。</w:t>
      </w:r>
    </w:p>
    <w:p w14:paraId="130E2C3A">
      <w:pPr>
        <w:pStyle w:val="4"/>
        <w:spacing w:before="0" w:after="0" w:line="360" w:lineRule="auto"/>
        <w:rPr>
          <w:rFonts w:hint="eastAsia" w:ascii="宋体" w:hAnsi="宋体" w:eastAsia="宋体"/>
          <w:b w:val="0"/>
          <w:snapToGrid w:val="0"/>
          <w:color w:val="auto"/>
          <w:highlight w:val="none"/>
          <w:lang w:eastAsia="zh-CN"/>
        </w:rPr>
      </w:pPr>
      <w:bookmarkStart w:id="476" w:name="_Toc277082595"/>
      <w:bookmarkStart w:id="477" w:name="_Toc430530478"/>
      <w:bookmarkStart w:id="478" w:name="_Toc509218753"/>
      <w:bookmarkStart w:id="479" w:name="_Toc224103360"/>
      <w:bookmarkStart w:id="480" w:name="_Toc287620728"/>
      <w:bookmarkStart w:id="481" w:name="_Toc22591"/>
      <w:bookmarkStart w:id="482" w:name="_Toc287607789"/>
      <w:bookmarkStart w:id="483" w:name="_Toc200513169"/>
      <w:bookmarkStart w:id="484" w:name="_Toc6094"/>
      <w:r>
        <w:rPr>
          <w:rFonts w:ascii="宋体" w:hAnsi="宋体"/>
          <w:b w:val="0"/>
          <w:snapToGrid w:val="0"/>
          <w:color w:val="auto"/>
          <w:highlight w:val="none"/>
        </w:rPr>
        <w:t>8.  重新</w:t>
      </w:r>
      <w:r>
        <w:rPr>
          <w:rFonts w:hint="eastAsia" w:ascii="宋体" w:hAnsi="宋体"/>
          <w:b w:val="0"/>
          <w:snapToGrid w:val="0"/>
          <w:color w:val="auto"/>
          <w:highlight w:val="none"/>
          <w:lang w:eastAsia="zh-CN"/>
        </w:rPr>
        <w:t>比选</w:t>
      </w:r>
      <w:r>
        <w:rPr>
          <w:rFonts w:ascii="宋体" w:hAnsi="宋体"/>
          <w:b w:val="0"/>
          <w:snapToGrid w:val="0"/>
          <w:color w:val="auto"/>
          <w:highlight w:val="none"/>
        </w:rPr>
        <w:t>和不再</w:t>
      </w:r>
      <w:bookmarkEnd w:id="476"/>
      <w:bookmarkEnd w:id="477"/>
      <w:bookmarkEnd w:id="478"/>
      <w:bookmarkEnd w:id="479"/>
      <w:bookmarkEnd w:id="480"/>
      <w:bookmarkEnd w:id="481"/>
      <w:bookmarkEnd w:id="482"/>
      <w:bookmarkEnd w:id="483"/>
      <w:r>
        <w:rPr>
          <w:rFonts w:hint="eastAsia" w:ascii="宋体" w:hAnsi="宋体"/>
          <w:b w:val="0"/>
          <w:snapToGrid w:val="0"/>
          <w:color w:val="auto"/>
          <w:highlight w:val="none"/>
          <w:lang w:eastAsia="zh-CN"/>
        </w:rPr>
        <w:t>比选</w:t>
      </w:r>
      <w:bookmarkEnd w:id="484"/>
    </w:p>
    <w:p w14:paraId="6B83AD84">
      <w:pPr>
        <w:pStyle w:val="5"/>
        <w:snapToGrid w:val="0"/>
        <w:spacing w:before="0" w:after="0" w:line="360" w:lineRule="auto"/>
        <w:rPr>
          <w:rFonts w:hint="eastAsia" w:ascii="宋体" w:hAnsi="宋体" w:eastAsia="宋体"/>
          <w:b w:val="0"/>
          <w:snapToGrid w:val="0"/>
          <w:color w:val="auto"/>
          <w:sz w:val="24"/>
          <w:szCs w:val="24"/>
          <w:highlight w:val="none"/>
          <w:lang w:eastAsia="zh-CN"/>
        </w:rPr>
      </w:pPr>
      <w:bookmarkStart w:id="485" w:name="_Toc287620729"/>
      <w:bookmarkStart w:id="486" w:name="_Toc509218754"/>
      <w:bookmarkStart w:id="487" w:name="_Toc277082596"/>
      <w:bookmarkStart w:id="488" w:name="_Toc4647"/>
      <w:bookmarkStart w:id="489" w:name="_Toc287607790"/>
      <w:bookmarkStart w:id="490" w:name="_Toc430530479"/>
      <w:bookmarkStart w:id="491" w:name="_Toc200513170"/>
      <w:bookmarkStart w:id="492" w:name="_Toc224103361"/>
      <w:bookmarkStart w:id="493" w:name="_Toc4166"/>
      <w:r>
        <w:rPr>
          <w:rFonts w:ascii="宋体" w:hAnsi="宋体"/>
          <w:b w:val="0"/>
          <w:snapToGrid w:val="0"/>
          <w:color w:val="auto"/>
          <w:sz w:val="24"/>
          <w:szCs w:val="24"/>
          <w:highlight w:val="none"/>
        </w:rPr>
        <w:t>8.1  重新</w:t>
      </w:r>
      <w:bookmarkEnd w:id="485"/>
      <w:bookmarkEnd w:id="486"/>
      <w:bookmarkEnd w:id="487"/>
      <w:bookmarkEnd w:id="488"/>
      <w:bookmarkEnd w:id="489"/>
      <w:bookmarkEnd w:id="490"/>
      <w:bookmarkEnd w:id="491"/>
      <w:bookmarkEnd w:id="492"/>
      <w:r>
        <w:rPr>
          <w:rFonts w:hint="eastAsia" w:ascii="宋体" w:hAnsi="宋体"/>
          <w:b w:val="0"/>
          <w:snapToGrid w:val="0"/>
          <w:color w:val="auto"/>
          <w:sz w:val="24"/>
          <w:szCs w:val="24"/>
          <w:highlight w:val="none"/>
          <w:lang w:eastAsia="zh-CN"/>
        </w:rPr>
        <w:t>比选</w:t>
      </w:r>
      <w:bookmarkEnd w:id="493"/>
    </w:p>
    <w:p w14:paraId="25CC78F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人将重新</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5A673481">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（1）投标截止时间止，投标人少于 3 个的；</w:t>
      </w:r>
    </w:p>
    <w:p w14:paraId="577A9592">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14:paraId="782FE94A">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文件要求的，评标委员会可以继续评标并确定中标候选人；</w:t>
      </w:r>
    </w:p>
    <w:p w14:paraId="7B3BF24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1E1891F1">
      <w:pPr>
        <w:pStyle w:val="5"/>
        <w:snapToGrid w:val="0"/>
        <w:spacing w:before="0" w:after="0" w:line="360" w:lineRule="auto"/>
        <w:rPr>
          <w:rFonts w:hint="eastAsia" w:ascii="宋体" w:hAnsi="宋体" w:eastAsia="宋体"/>
          <w:b w:val="0"/>
          <w:snapToGrid w:val="0"/>
          <w:color w:val="auto"/>
          <w:sz w:val="24"/>
          <w:szCs w:val="24"/>
          <w:highlight w:val="none"/>
          <w:lang w:eastAsia="zh-CN"/>
        </w:rPr>
      </w:pPr>
      <w:bookmarkStart w:id="494" w:name="_Toc32210"/>
      <w:bookmarkStart w:id="495" w:name="_Toc200513171"/>
      <w:bookmarkStart w:id="496" w:name="_Toc430530480"/>
      <w:bookmarkStart w:id="497" w:name="_Toc287607791"/>
      <w:bookmarkStart w:id="498" w:name="_Toc509218755"/>
      <w:bookmarkStart w:id="499" w:name="_Toc287620730"/>
      <w:bookmarkStart w:id="500" w:name="_Toc277082597"/>
      <w:bookmarkStart w:id="501" w:name="_Toc224103362"/>
      <w:bookmarkStart w:id="502" w:name="_Toc2553"/>
      <w:r>
        <w:rPr>
          <w:rFonts w:ascii="宋体" w:hAnsi="宋体"/>
          <w:b w:val="0"/>
          <w:snapToGrid w:val="0"/>
          <w:color w:val="auto"/>
          <w:sz w:val="24"/>
          <w:szCs w:val="24"/>
          <w:highlight w:val="none"/>
        </w:rPr>
        <w:t>8.2  二次</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和不再</w:t>
      </w:r>
      <w:bookmarkEnd w:id="494"/>
      <w:bookmarkEnd w:id="495"/>
      <w:bookmarkEnd w:id="496"/>
      <w:bookmarkEnd w:id="497"/>
      <w:bookmarkEnd w:id="498"/>
      <w:bookmarkEnd w:id="499"/>
      <w:bookmarkEnd w:id="500"/>
      <w:bookmarkEnd w:id="501"/>
      <w:r>
        <w:rPr>
          <w:rFonts w:hint="eastAsia" w:ascii="宋体" w:hAnsi="宋体"/>
          <w:b w:val="0"/>
          <w:snapToGrid w:val="0"/>
          <w:color w:val="auto"/>
          <w:sz w:val="24"/>
          <w:szCs w:val="24"/>
          <w:highlight w:val="none"/>
          <w:lang w:eastAsia="zh-CN"/>
        </w:rPr>
        <w:t>比选</w:t>
      </w:r>
      <w:bookmarkEnd w:id="502"/>
    </w:p>
    <w:p w14:paraId="62A75E3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的投标人仍然少于三个的，按照</w:t>
      </w:r>
      <w:r>
        <w:rPr>
          <w:rFonts w:hint="eastAsia" w:ascii="宋体" w:hAnsi="宋体"/>
          <w:color w:val="auto"/>
          <w:kern w:val="0"/>
          <w:szCs w:val="21"/>
          <w:highlight w:val="none"/>
          <w:lang w:eastAsia="zh-CN"/>
        </w:rPr>
        <w:t>招标</w:t>
      </w:r>
      <w:r>
        <w:rPr>
          <w:rFonts w:hint="eastAsia" w:ascii="宋体" w:hAnsi="宋体"/>
          <w:snapToGrid w:val="0"/>
          <w:color w:val="auto"/>
          <w:kern w:val="0"/>
          <w:szCs w:val="21"/>
          <w:highlight w:val="none"/>
        </w:rPr>
        <w:t>投标法律法规规定的程序开标和评标。重新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经评审有有效投标人的，应当依法确定中标候选人；无有效投标人的，可以不再进行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，但是按照国家有关规定需要履行审批、核准、备案手续的依法必须进行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的项目，应当报原项目投资主管部门审批、核准、备案</w:t>
      </w:r>
      <w:r>
        <w:rPr>
          <w:rFonts w:ascii="宋体" w:hAnsi="宋体"/>
          <w:snapToGrid w:val="0"/>
          <w:color w:val="auto"/>
          <w:kern w:val="0"/>
          <w:szCs w:val="21"/>
          <w:highlight w:val="none"/>
        </w:rPr>
        <w:t>。</w:t>
      </w:r>
    </w:p>
    <w:p w14:paraId="5FDE9B42">
      <w:pPr>
        <w:pStyle w:val="4"/>
        <w:spacing w:before="0" w:after="0" w:line="360" w:lineRule="auto"/>
        <w:rPr>
          <w:rFonts w:ascii="宋体" w:hAnsi="宋体"/>
          <w:b w:val="0"/>
          <w:snapToGrid w:val="0"/>
          <w:color w:val="auto"/>
          <w:highlight w:val="none"/>
        </w:rPr>
      </w:pPr>
      <w:bookmarkStart w:id="503" w:name="_Toc287620731"/>
      <w:bookmarkStart w:id="504" w:name="_Toc224103363"/>
      <w:bookmarkStart w:id="505" w:name="_Toc4733"/>
      <w:bookmarkStart w:id="506" w:name="_Toc200513172"/>
      <w:bookmarkStart w:id="507" w:name="_Toc285"/>
      <w:bookmarkStart w:id="508" w:name="_Toc430530481"/>
      <w:bookmarkStart w:id="509" w:name="_Toc287607792"/>
      <w:bookmarkStart w:id="510" w:name="_Toc509218756"/>
      <w:bookmarkStart w:id="511" w:name="_Toc277082598"/>
      <w:r>
        <w:rPr>
          <w:rFonts w:ascii="宋体" w:hAnsi="宋体"/>
          <w:b w:val="0"/>
          <w:snapToGrid w:val="0"/>
          <w:color w:val="auto"/>
          <w:highlight w:val="none"/>
        </w:rPr>
        <w:t>9.  纪律和监督</w:t>
      </w:r>
      <w:bookmarkEnd w:id="503"/>
      <w:bookmarkEnd w:id="504"/>
      <w:bookmarkEnd w:id="505"/>
      <w:bookmarkEnd w:id="506"/>
      <w:bookmarkEnd w:id="507"/>
      <w:bookmarkEnd w:id="508"/>
      <w:bookmarkEnd w:id="509"/>
      <w:bookmarkEnd w:id="510"/>
      <w:bookmarkEnd w:id="511"/>
    </w:p>
    <w:p w14:paraId="2DF25CA7">
      <w:pPr>
        <w:pStyle w:val="5"/>
        <w:snapToGrid w:val="0"/>
        <w:spacing w:before="0" w:after="0" w:line="360" w:lineRule="auto"/>
        <w:rPr>
          <w:rFonts w:ascii="宋体" w:hAnsi="宋体"/>
          <w:b w:val="0"/>
          <w:snapToGrid w:val="0"/>
          <w:color w:val="auto"/>
          <w:sz w:val="24"/>
          <w:szCs w:val="24"/>
          <w:highlight w:val="none"/>
        </w:rPr>
      </w:pPr>
      <w:bookmarkStart w:id="512" w:name="_Toc11532"/>
      <w:bookmarkStart w:id="513" w:name="_Toc287620732"/>
      <w:bookmarkStart w:id="514" w:name="_Toc200513173"/>
      <w:bookmarkStart w:id="515" w:name="_Toc224103364"/>
      <w:bookmarkStart w:id="516" w:name="_Toc287607793"/>
      <w:bookmarkStart w:id="517" w:name="_Toc277082599"/>
      <w:bookmarkStart w:id="518" w:name="_Toc509218757"/>
      <w:bookmarkStart w:id="519" w:name="_Toc31558"/>
      <w:bookmarkStart w:id="520" w:name="_Toc430530482"/>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人的纪律要求</w:t>
      </w:r>
      <w:bookmarkEnd w:id="512"/>
      <w:bookmarkEnd w:id="513"/>
      <w:bookmarkEnd w:id="514"/>
      <w:bookmarkEnd w:id="515"/>
      <w:bookmarkEnd w:id="516"/>
      <w:bookmarkEnd w:id="517"/>
      <w:bookmarkEnd w:id="518"/>
      <w:bookmarkEnd w:id="519"/>
      <w:bookmarkEnd w:id="520"/>
    </w:p>
    <w:p w14:paraId="294B6832">
      <w:pPr>
        <w:autoSpaceDE w:val="0"/>
        <w:autoSpaceDN w:val="0"/>
        <w:adjustRightInd w:val="0"/>
        <w:snapToGrid w:val="0"/>
        <w:spacing w:line="360" w:lineRule="auto"/>
        <w:ind w:firstLine="420"/>
        <w:rPr>
          <w:rFonts w:hint="eastAsia" w:ascii="宋体" w:hAnsi="宋体"/>
          <w:color w:val="auto"/>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人不得泄漏</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投标活动中应当保密的情况和资料，不得与投标人串通损害国家利 益、社会公共利益或者他人合法权益，</w:t>
      </w:r>
      <w:r>
        <w:rPr>
          <w:rFonts w:ascii="宋体" w:hAnsi="宋体"/>
          <w:color w:val="auto"/>
          <w:highlight w:val="none"/>
        </w:rPr>
        <w:t>禁止</w:t>
      </w:r>
      <w:r>
        <w:rPr>
          <w:rFonts w:hint="eastAsia" w:ascii="宋体" w:hAnsi="宋体"/>
          <w:color w:val="auto"/>
          <w:highlight w:val="none"/>
          <w:lang w:eastAsia="zh-CN"/>
        </w:rPr>
        <w:t>比选</w:t>
      </w:r>
      <w:r>
        <w:rPr>
          <w:rFonts w:ascii="宋体" w:hAnsi="宋体"/>
          <w:color w:val="auto"/>
          <w:highlight w:val="none"/>
        </w:rPr>
        <w:t>人与投标人串通投标。</w:t>
      </w:r>
    </w:p>
    <w:p w14:paraId="4464EE31">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w:t>
      </w:r>
      <w:r>
        <w:rPr>
          <w:rFonts w:ascii="宋体" w:hAnsi="宋体"/>
          <w:color w:val="auto"/>
          <w:highlight w:val="none"/>
        </w:rPr>
        <w:t>人与投标人串通投标：</w:t>
      </w:r>
    </w:p>
    <w:p w14:paraId="4AD99623">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w:t>
      </w:r>
      <w:r>
        <w:rPr>
          <w:rFonts w:ascii="宋体" w:hAnsi="宋体"/>
          <w:color w:val="auto"/>
          <w:highlight w:val="none"/>
        </w:rPr>
        <w:t>人在开标前开启投标文件并将有关信息泄露给其他投标人</w:t>
      </w:r>
      <w:r>
        <w:rPr>
          <w:rFonts w:hint="eastAsia" w:ascii="宋体" w:hAnsi="宋体"/>
          <w:color w:val="auto"/>
          <w:highlight w:val="none"/>
        </w:rPr>
        <w:t>；</w:t>
      </w:r>
    </w:p>
    <w:p w14:paraId="588C7AAE">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w:t>
      </w:r>
      <w:r>
        <w:rPr>
          <w:rFonts w:ascii="宋体" w:hAnsi="宋体"/>
          <w:color w:val="auto"/>
          <w:highlight w:val="none"/>
        </w:rPr>
        <w:t>人直接或者间接向投标人泄露标底、评标委员会成员等信息；</w:t>
      </w:r>
    </w:p>
    <w:p w14:paraId="78CC147E">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w:t>
      </w:r>
      <w:r>
        <w:rPr>
          <w:rFonts w:ascii="宋体" w:hAnsi="宋体"/>
          <w:color w:val="auto"/>
          <w:highlight w:val="none"/>
        </w:rPr>
        <w:t>人明示或者暗示投标人压低或者抬高投标报价；</w:t>
      </w:r>
    </w:p>
    <w:p w14:paraId="2B019072">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w:t>
      </w:r>
      <w:r>
        <w:rPr>
          <w:rFonts w:ascii="宋体" w:hAnsi="宋体"/>
          <w:color w:val="auto"/>
          <w:highlight w:val="none"/>
        </w:rPr>
        <w:t>人授意投标人撤换、修改投标文件；</w:t>
      </w:r>
    </w:p>
    <w:p w14:paraId="1452D24F">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w:t>
      </w:r>
      <w:r>
        <w:rPr>
          <w:rFonts w:ascii="宋体" w:hAnsi="宋体"/>
          <w:color w:val="auto"/>
          <w:highlight w:val="none"/>
        </w:rPr>
        <w:t>人明示或者暗示投标人为特定投标人中标提供方便；</w:t>
      </w:r>
    </w:p>
    <w:p w14:paraId="470B9E2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w:t>
      </w:r>
      <w:r>
        <w:rPr>
          <w:rFonts w:ascii="宋体" w:hAnsi="宋体"/>
          <w:color w:val="auto"/>
          <w:highlight w:val="none"/>
        </w:rPr>
        <w:t>人与投标人为谋求特定投标人中标而采取的其他串通行为。</w:t>
      </w:r>
    </w:p>
    <w:p w14:paraId="07D06A7A">
      <w:pPr>
        <w:pStyle w:val="5"/>
        <w:snapToGrid w:val="0"/>
        <w:spacing w:before="0" w:after="0" w:line="360" w:lineRule="auto"/>
        <w:rPr>
          <w:rFonts w:ascii="宋体" w:hAnsi="宋体"/>
          <w:b w:val="0"/>
          <w:snapToGrid w:val="0"/>
          <w:color w:val="auto"/>
          <w:sz w:val="24"/>
          <w:szCs w:val="24"/>
          <w:highlight w:val="none"/>
        </w:rPr>
      </w:pPr>
      <w:bookmarkStart w:id="521" w:name="_Toc509218758"/>
      <w:bookmarkStart w:id="522" w:name="_Toc11710"/>
      <w:bookmarkStart w:id="523" w:name="_Toc287607794"/>
      <w:bookmarkStart w:id="524" w:name="_Toc287620733"/>
      <w:bookmarkStart w:id="525" w:name="_Toc277082600"/>
      <w:bookmarkStart w:id="526" w:name="_Toc430530483"/>
      <w:bookmarkStart w:id="527" w:name="_Toc200513174"/>
      <w:bookmarkStart w:id="528" w:name="_Toc20579"/>
      <w:bookmarkStart w:id="529" w:name="_Toc224103365"/>
      <w:r>
        <w:rPr>
          <w:rFonts w:ascii="宋体" w:hAnsi="宋体"/>
          <w:b w:val="0"/>
          <w:snapToGrid w:val="0"/>
          <w:color w:val="auto"/>
          <w:sz w:val="24"/>
          <w:szCs w:val="24"/>
          <w:highlight w:val="none"/>
        </w:rPr>
        <w:t>9.2  对投标人的纪律要求</w:t>
      </w:r>
      <w:bookmarkEnd w:id="521"/>
      <w:bookmarkEnd w:id="522"/>
      <w:bookmarkEnd w:id="523"/>
      <w:bookmarkEnd w:id="524"/>
      <w:bookmarkEnd w:id="525"/>
      <w:bookmarkEnd w:id="526"/>
      <w:bookmarkEnd w:id="527"/>
      <w:bookmarkEnd w:id="528"/>
      <w:bookmarkEnd w:id="529"/>
    </w:p>
    <w:p w14:paraId="1DBEB0C6">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投标人不得相互串通投标或者与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人串通投标，不得向</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highlight w:val="none"/>
        </w:rPr>
        <w:t>。</w:t>
      </w:r>
    </w:p>
    <w:p w14:paraId="5BACE946">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有下列情形之一的，属于投标人相互串通投标：</w:t>
      </w:r>
    </w:p>
    <w:p w14:paraId="58C7CB09">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（1）投标人之间协商投标报价等投标文件的实质性内容；</w:t>
      </w:r>
    </w:p>
    <w:p w14:paraId="2831F7CC">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（2）投标人之间约定中标人；</w:t>
      </w:r>
    </w:p>
    <w:p w14:paraId="6519FAEB">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（3）投标人之间约定部分投标人放弃投标或者中标；</w:t>
      </w:r>
    </w:p>
    <w:p w14:paraId="5FD7A668">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（4）属于同一集团、协会、商会等组织成员的投标人按照该组织要求协同投标；</w:t>
      </w:r>
    </w:p>
    <w:p w14:paraId="47E11FB3">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（5）投标人之间为谋取中标或者排斥特定投标人而采取的其他联合行动。</w:t>
      </w:r>
    </w:p>
    <w:p w14:paraId="46B2C50C">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有下列情形之一的，视为投标人相互串通投标：</w:t>
      </w:r>
    </w:p>
    <w:p w14:paraId="14E64EF7">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（1）不同投标人的投标文件由同一单位或者个人编制；</w:t>
      </w:r>
    </w:p>
    <w:p w14:paraId="1FDCFF63">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（2）不同投标人委托同一单位或者个人办理投标事宜；</w:t>
      </w:r>
    </w:p>
    <w:p w14:paraId="79DAF0F6">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（3）不同投标人的投标文件载明的项目管理成员为同一人；</w:t>
      </w:r>
    </w:p>
    <w:p w14:paraId="26AF5629">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（4）不同投标人的投标文件异常一致或者投标报价呈规律性差异；</w:t>
      </w:r>
    </w:p>
    <w:p w14:paraId="01BA00AE">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（5）不同投标人的投标文件相互混装；</w:t>
      </w:r>
    </w:p>
    <w:p w14:paraId="4C2F11A4">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（6）不同投标人的投标保证金从同一单位或者个人的账户转出。</w:t>
      </w:r>
    </w:p>
    <w:p w14:paraId="05244C69">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5133F601">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9.2.4  </w:t>
      </w:r>
      <w:r>
        <w:rPr>
          <w:rFonts w:ascii="宋体" w:hAnsi="宋体"/>
          <w:color w:val="auto"/>
          <w:highlight w:val="none"/>
        </w:rPr>
        <w:t>投标人有下列情形之一的，属于以其他方式弄虚作假的行为：</w:t>
      </w:r>
    </w:p>
    <w:p w14:paraId="1708C4F5">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2E7171E6">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5B551861">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6BD1FC23">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57C1450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67084980">
      <w:pPr>
        <w:pStyle w:val="5"/>
        <w:snapToGrid w:val="0"/>
        <w:spacing w:before="0" w:after="0" w:line="360" w:lineRule="auto"/>
        <w:rPr>
          <w:rFonts w:ascii="宋体" w:hAnsi="宋体"/>
          <w:b w:val="0"/>
          <w:snapToGrid w:val="0"/>
          <w:color w:val="auto"/>
          <w:sz w:val="24"/>
          <w:szCs w:val="24"/>
          <w:highlight w:val="none"/>
        </w:rPr>
      </w:pPr>
      <w:bookmarkStart w:id="530" w:name="_Toc509218759"/>
      <w:bookmarkStart w:id="531" w:name="_Toc430530484"/>
      <w:bookmarkStart w:id="532" w:name="_Toc27742"/>
      <w:bookmarkStart w:id="533" w:name="_Toc287607795"/>
      <w:bookmarkStart w:id="534" w:name="_Toc287620734"/>
      <w:bookmarkStart w:id="535" w:name="_Toc8021"/>
      <w:bookmarkStart w:id="536" w:name="_Toc277082601"/>
      <w:bookmarkStart w:id="537" w:name="_Toc224103366"/>
      <w:bookmarkStart w:id="538" w:name="_Toc200513175"/>
      <w:r>
        <w:rPr>
          <w:rFonts w:ascii="宋体" w:hAnsi="宋体"/>
          <w:b w:val="0"/>
          <w:snapToGrid w:val="0"/>
          <w:color w:val="auto"/>
          <w:sz w:val="24"/>
          <w:szCs w:val="24"/>
          <w:highlight w:val="none"/>
        </w:rPr>
        <w:t>9.3  对评标委员会成员的纪律要求</w:t>
      </w:r>
      <w:bookmarkEnd w:id="530"/>
      <w:bookmarkEnd w:id="531"/>
      <w:bookmarkEnd w:id="532"/>
      <w:bookmarkEnd w:id="533"/>
      <w:bookmarkEnd w:id="534"/>
      <w:bookmarkEnd w:id="535"/>
      <w:bookmarkEnd w:id="536"/>
      <w:bookmarkEnd w:id="537"/>
      <w:bookmarkEnd w:id="538"/>
    </w:p>
    <w:p w14:paraId="6D4608D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14:paraId="7182B283">
      <w:pPr>
        <w:pStyle w:val="5"/>
        <w:snapToGrid w:val="0"/>
        <w:spacing w:before="0" w:after="0" w:line="360" w:lineRule="auto"/>
        <w:rPr>
          <w:rFonts w:ascii="宋体" w:hAnsi="宋体"/>
          <w:b w:val="0"/>
          <w:snapToGrid w:val="0"/>
          <w:color w:val="auto"/>
          <w:sz w:val="24"/>
          <w:szCs w:val="24"/>
          <w:highlight w:val="none"/>
        </w:rPr>
      </w:pPr>
      <w:bookmarkStart w:id="539" w:name="_Toc200513176"/>
      <w:bookmarkStart w:id="540" w:name="_Toc430530485"/>
      <w:bookmarkStart w:id="541" w:name="_Toc4497"/>
      <w:bookmarkStart w:id="542" w:name="_Toc287607796"/>
      <w:bookmarkStart w:id="543" w:name="_Toc287620735"/>
      <w:bookmarkStart w:id="544" w:name="_Toc224103367"/>
      <w:bookmarkStart w:id="545" w:name="_Toc277082602"/>
      <w:bookmarkStart w:id="546" w:name="_Toc509218760"/>
      <w:bookmarkStart w:id="547" w:name="_Toc17353"/>
      <w:r>
        <w:rPr>
          <w:rFonts w:ascii="宋体" w:hAnsi="宋体"/>
          <w:b w:val="0"/>
          <w:snapToGrid w:val="0"/>
          <w:color w:val="auto"/>
          <w:sz w:val="24"/>
          <w:szCs w:val="24"/>
          <w:highlight w:val="none"/>
        </w:rPr>
        <w:t>9.4  对与评标活动有关的工作人员的纪律要求</w:t>
      </w:r>
      <w:bookmarkEnd w:id="539"/>
      <w:bookmarkEnd w:id="540"/>
      <w:bookmarkEnd w:id="541"/>
      <w:bookmarkEnd w:id="542"/>
      <w:bookmarkEnd w:id="543"/>
      <w:bookmarkEnd w:id="544"/>
      <w:bookmarkEnd w:id="545"/>
      <w:bookmarkEnd w:id="546"/>
      <w:bookmarkEnd w:id="547"/>
    </w:p>
    <w:p w14:paraId="08E4AC7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4C6DD2A1">
      <w:pPr>
        <w:pStyle w:val="5"/>
        <w:snapToGrid w:val="0"/>
        <w:spacing w:before="0" w:after="0" w:line="360" w:lineRule="auto"/>
        <w:rPr>
          <w:rFonts w:ascii="宋体" w:hAnsi="宋体"/>
          <w:b w:val="0"/>
          <w:snapToGrid w:val="0"/>
          <w:color w:val="auto"/>
          <w:sz w:val="24"/>
          <w:szCs w:val="24"/>
          <w:highlight w:val="none"/>
        </w:rPr>
      </w:pPr>
      <w:bookmarkStart w:id="548" w:name="_Toc509218761"/>
      <w:bookmarkStart w:id="549" w:name="_Toc277082603"/>
      <w:bookmarkStart w:id="550" w:name="_Toc32724"/>
      <w:bookmarkStart w:id="551" w:name="_Toc17234"/>
      <w:bookmarkStart w:id="552" w:name="_Toc430530486"/>
      <w:bookmarkStart w:id="553" w:name="_Toc287607797"/>
      <w:bookmarkStart w:id="554" w:name="_Toc287620736"/>
      <w:bookmarkStart w:id="555" w:name="_Toc200513177"/>
      <w:bookmarkStart w:id="556" w:name="_Toc224103368"/>
      <w:r>
        <w:rPr>
          <w:rFonts w:ascii="宋体" w:hAnsi="宋体"/>
          <w:b w:val="0"/>
          <w:snapToGrid w:val="0"/>
          <w:color w:val="auto"/>
          <w:sz w:val="24"/>
          <w:szCs w:val="24"/>
          <w:highlight w:val="none"/>
        </w:rPr>
        <w:t>9.5  投诉</w:t>
      </w:r>
      <w:bookmarkEnd w:id="548"/>
      <w:bookmarkEnd w:id="549"/>
      <w:bookmarkEnd w:id="550"/>
      <w:bookmarkEnd w:id="551"/>
      <w:bookmarkEnd w:id="552"/>
      <w:bookmarkEnd w:id="553"/>
      <w:bookmarkEnd w:id="554"/>
      <w:bookmarkEnd w:id="555"/>
      <w:bookmarkEnd w:id="556"/>
    </w:p>
    <w:p w14:paraId="28592EC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活动违反法律、法规和规章规定的，有权向有关行政监督部门投诉。</w:t>
      </w:r>
    </w:p>
    <w:p w14:paraId="082EBEC7">
      <w:pPr>
        <w:pStyle w:val="4"/>
        <w:spacing w:before="0" w:after="0" w:line="360" w:lineRule="auto"/>
        <w:rPr>
          <w:rFonts w:ascii="宋体" w:hAnsi="宋体"/>
          <w:b w:val="0"/>
          <w:snapToGrid w:val="0"/>
          <w:color w:val="auto"/>
          <w:highlight w:val="none"/>
        </w:rPr>
      </w:pPr>
      <w:bookmarkStart w:id="557" w:name="_Toc13382"/>
      <w:bookmarkStart w:id="558" w:name="_Toc277082604"/>
      <w:bookmarkStart w:id="559" w:name="_Toc287620737"/>
      <w:bookmarkStart w:id="560" w:name="_Toc32661"/>
      <w:bookmarkStart w:id="561" w:name="_Toc287607798"/>
      <w:bookmarkStart w:id="562" w:name="_Toc430530487"/>
      <w:bookmarkStart w:id="563" w:name="_Toc509218762"/>
      <w:bookmarkStart w:id="564" w:name="_Toc224103369"/>
      <w:bookmarkStart w:id="565" w:name="_Toc200513178"/>
      <w:r>
        <w:rPr>
          <w:rFonts w:ascii="宋体" w:hAnsi="宋体"/>
          <w:b w:val="0"/>
          <w:snapToGrid w:val="0"/>
          <w:color w:val="auto"/>
          <w:highlight w:val="none"/>
        </w:rPr>
        <w:t>10. 需要补充的其他内容</w:t>
      </w:r>
      <w:bookmarkEnd w:id="557"/>
      <w:bookmarkEnd w:id="558"/>
      <w:bookmarkEnd w:id="559"/>
      <w:bookmarkEnd w:id="560"/>
      <w:bookmarkEnd w:id="561"/>
      <w:bookmarkEnd w:id="562"/>
      <w:bookmarkEnd w:id="563"/>
      <w:bookmarkEnd w:id="564"/>
      <w:bookmarkEnd w:id="565"/>
    </w:p>
    <w:p w14:paraId="0A4042D7">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7" w:type="default"/>
          <w:footerReference r:id="rId8"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highlight w:val="none"/>
        </w:rPr>
        <w:t>需要补充的其他内容：见投标人须知前附表。</w:t>
      </w:r>
    </w:p>
    <w:p w14:paraId="0A8A56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14:paraId="7EFCF073">
      <w:pPr>
        <w:autoSpaceDE w:val="0"/>
        <w:autoSpaceDN w:val="0"/>
        <w:adjustRightInd w:val="0"/>
        <w:snapToGrid w:val="0"/>
        <w:spacing w:line="360" w:lineRule="auto"/>
        <w:jc w:val="left"/>
        <w:rPr>
          <w:rFonts w:hint="eastAsia" w:ascii="宋体" w:hAnsi="宋体"/>
          <w:b/>
          <w:snapToGrid w:val="0"/>
          <w:color w:val="auto"/>
          <w:kern w:val="0"/>
          <w:highlight w:val="none"/>
        </w:rPr>
      </w:pPr>
      <w:r>
        <w:rPr>
          <w:rFonts w:ascii="宋体" w:hAnsi="宋体"/>
          <w:b/>
          <w:snapToGrid w:val="0"/>
          <w:color w:val="auto"/>
          <w:kern w:val="0"/>
          <w:highlight w:val="none"/>
        </w:rPr>
        <w:t>附表一：开标记录表</w:t>
      </w:r>
    </w:p>
    <w:p w14:paraId="10D49C26">
      <w:pPr>
        <w:autoSpaceDE w:val="0"/>
        <w:autoSpaceDN w:val="0"/>
        <w:adjustRightInd w:val="0"/>
        <w:snapToGrid w:val="0"/>
        <w:spacing w:line="360" w:lineRule="auto"/>
        <w:jc w:val="left"/>
        <w:rPr>
          <w:rFonts w:hint="eastAsia" w:ascii="宋体" w:hAnsi="宋体"/>
          <w:b/>
          <w:snapToGrid w:val="0"/>
          <w:color w:val="auto"/>
          <w:kern w:val="0"/>
          <w:highlight w:val="none"/>
        </w:rPr>
      </w:pPr>
    </w:p>
    <w:p w14:paraId="48DF3AC7">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w:t>
      </w:r>
      <w:r>
        <w:rPr>
          <w:rFonts w:ascii="宋体" w:hAnsi="宋体"/>
          <w:b/>
          <w:snapToGrid w:val="0"/>
          <w:color w:val="auto"/>
          <w:w w:val="99"/>
          <w:kern w:val="0"/>
          <w:sz w:val="28"/>
          <w:szCs w:val="28"/>
          <w:highlight w:val="none"/>
        </w:rPr>
        <w:t>开标记录表</w:t>
      </w:r>
    </w:p>
    <w:p w14:paraId="34EED439">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33FF3B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noWrap w:val="0"/>
            <w:vAlign w:val="center"/>
          </w:tcPr>
          <w:p w14:paraId="54342F26">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3260" w:type="dxa"/>
            <w:noWrap w:val="0"/>
            <w:vAlign w:val="center"/>
          </w:tcPr>
          <w:p w14:paraId="1973ABCB">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投标人</w:t>
            </w:r>
          </w:p>
        </w:tc>
        <w:tc>
          <w:tcPr>
            <w:tcW w:w="1134" w:type="dxa"/>
            <w:noWrap w:val="0"/>
            <w:vAlign w:val="center"/>
          </w:tcPr>
          <w:p w14:paraId="018F63E9">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密封情况</w:t>
            </w:r>
          </w:p>
        </w:tc>
        <w:tc>
          <w:tcPr>
            <w:tcW w:w="1559" w:type="dxa"/>
            <w:tcBorders>
              <w:right w:val="single" w:color="auto" w:sz="4" w:space="0"/>
            </w:tcBorders>
            <w:noWrap w:val="0"/>
            <w:vAlign w:val="center"/>
          </w:tcPr>
          <w:p w14:paraId="69BD93DE">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投标总报价</w:t>
            </w:r>
          </w:p>
        </w:tc>
        <w:tc>
          <w:tcPr>
            <w:tcW w:w="1560" w:type="dxa"/>
            <w:tcBorders>
              <w:left w:val="single" w:color="auto" w:sz="4" w:space="0"/>
            </w:tcBorders>
            <w:noWrap w:val="0"/>
            <w:vAlign w:val="center"/>
          </w:tcPr>
          <w:p w14:paraId="42AF373A">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安全文明施工费暂定金额</w:t>
            </w:r>
          </w:p>
        </w:tc>
        <w:tc>
          <w:tcPr>
            <w:tcW w:w="1275" w:type="dxa"/>
            <w:noWrap w:val="0"/>
            <w:vAlign w:val="center"/>
          </w:tcPr>
          <w:p w14:paraId="1008666C">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质量目标</w:t>
            </w:r>
          </w:p>
        </w:tc>
        <w:tc>
          <w:tcPr>
            <w:tcW w:w="993" w:type="dxa"/>
            <w:noWrap w:val="0"/>
            <w:vAlign w:val="center"/>
          </w:tcPr>
          <w:p w14:paraId="07B5B9D6">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1285" w:type="dxa"/>
            <w:noWrap w:val="0"/>
            <w:vAlign w:val="center"/>
          </w:tcPr>
          <w:p w14:paraId="38C74A8D">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947" w:type="dxa"/>
            <w:noWrap w:val="0"/>
            <w:vAlign w:val="center"/>
          </w:tcPr>
          <w:p w14:paraId="5625D838">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1311" w:type="dxa"/>
            <w:noWrap w:val="0"/>
            <w:vAlign w:val="center"/>
          </w:tcPr>
          <w:p w14:paraId="0073606D">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14:paraId="1B350C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300643AF">
            <w:pPr>
              <w:autoSpaceDE w:val="0"/>
              <w:autoSpaceDN w:val="0"/>
              <w:adjustRightInd w:val="0"/>
              <w:snapToGrid w:val="0"/>
              <w:jc w:val="left"/>
              <w:rPr>
                <w:rFonts w:ascii="宋体" w:hAnsi="宋体"/>
                <w:snapToGrid w:val="0"/>
                <w:color w:val="auto"/>
                <w:kern w:val="0"/>
                <w:sz w:val="28"/>
                <w:szCs w:val="28"/>
                <w:highlight w:val="none"/>
              </w:rPr>
            </w:pPr>
          </w:p>
        </w:tc>
        <w:tc>
          <w:tcPr>
            <w:tcW w:w="3260" w:type="dxa"/>
            <w:noWrap w:val="0"/>
            <w:vAlign w:val="center"/>
          </w:tcPr>
          <w:p w14:paraId="64D9D019">
            <w:pPr>
              <w:autoSpaceDE w:val="0"/>
              <w:autoSpaceDN w:val="0"/>
              <w:adjustRightInd w:val="0"/>
              <w:snapToGrid w:val="0"/>
              <w:jc w:val="left"/>
              <w:rPr>
                <w:rFonts w:ascii="宋体" w:hAnsi="宋体"/>
                <w:snapToGrid w:val="0"/>
                <w:color w:val="auto"/>
                <w:kern w:val="0"/>
                <w:sz w:val="28"/>
                <w:szCs w:val="28"/>
                <w:highlight w:val="none"/>
              </w:rPr>
            </w:pPr>
          </w:p>
        </w:tc>
        <w:tc>
          <w:tcPr>
            <w:tcW w:w="1134" w:type="dxa"/>
            <w:noWrap w:val="0"/>
            <w:vAlign w:val="center"/>
          </w:tcPr>
          <w:p w14:paraId="6966602E">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noWrap w:val="0"/>
            <w:vAlign w:val="center"/>
          </w:tcPr>
          <w:p w14:paraId="66DB53E4">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noWrap w:val="0"/>
            <w:vAlign w:val="center"/>
          </w:tcPr>
          <w:p w14:paraId="0F7FD4A3">
            <w:pPr>
              <w:autoSpaceDE w:val="0"/>
              <w:autoSpaceDN w:val="0"/>
              <w:adjustRightInd w:val="0"/>
              <w:snapToGrid w:val="0"/>
              <w:jc w:val="left"/>
              <w:rPr>
                <w:rFonts w:ascii="宋体" w:hAnsi="宋体"/>
                <w:snapToGrid w:val="0"/>
                <w:color w:val="auto"/>
                <w:kern w:val="0"/>
                <w:sz w:val="28"/>
                <w:szCs w:val="28"/>
                <w:highlight w:val="none"/>
              </w:rPr>
            </w:pPr>
          </w:p>
        </w:tc>
        <w:tc>
          <w:tcPr>
            <w:tcW w:w="1275" w:type="dxa"/>
            <w:noWrap w:val="0"/>
            <w:vAlign w:val="center"/>
          </w:tcPr>
          <w:p w14:paraId="0324C4A0">
            <w:pPr>
              <w:autoSpaceDE w:val="0"/>
              <w:autoSpaceDN w:val="0"/>
              <w:adjustRightInd w:val="0"/>
              <w:snapToGrid w:val="0"/>
              <w:jc w:val="left"/>
              <w:rPr>
                <w:rFonts w:ascii="宋体" w:hAnsi="宋体"/>
                <w:snapToGrid w:val="0"/>
                <w:color w:val="auto"/>
                <w:kern w:val="0"/>
                <w:sz w:val="28"/>
                <w:szCs w:val="28"/>
                <w:highlight w:val="none"/>
              </w:rPr>
            </w:pPr>
          </w:p>
        </w:tc>
        <w:tc>
          <w:tcPr>
            <w:tcW w:w="993" w:type="dxa"/>
            <w:noWrap w:val="0"/>
            <w:vAlign w:val="center"/>
          </w:tcPr>
          <w:p w14:paraId="790CB936">
            <w:pPr>
              <w:autoSpaceDE w:val="0"/>
              <w:autoSpaceDN w:val="0"/>
              <w:adjustRightInd w:val="0"/>
              <w:snapToGrid w:val="0"/>
              <w:jc w:val="left"/>
              <w:rPr>
                <w:rFonts w:ascii="宋体" w:hAnsi="宋体"/>
                <w:snapToGrid w:val="0"/>
                <w:color w:val="auto"/>
                <w:kern w:val="0"/>
                <w:sz w:val="28"/>
                <w:szCs w:val="28"/>
                <w:highlight w:val="none"/>
              </w:rPr>
            </w:pPr>
          </w:p>
        </w:tc>
        <w:tc>
          <w:tcPr>
            <w:tcW w:w="1285" w:type="dxa"/>
            <w:noWrap w:val="0"/>
            <w:vAlign w:val="center"/>
          </w:tcPr>
          <w:p w14:paraId="43B89F3E">
            <w:pPr>
              <w:autoSpaceDE w:val="0"/>
              <w:autoSpaceDN w:val="0"/>
              <w:adjustRightInd w:val="0"/>
              <w:snapToGrid w:val="0"/>
              <w:jc w:val="left"/>
              <w:rPr>
                <w:rFonts w:ascii="宋体" w:hAnsi="宋体"/>
                <w:snapToGrid w:val="0"/>
                <w:color w:val="auto"/>
                <w:kern w:val="0"/>
                <w:sz w:val="28"/>
                <w:szCs w:val="28"/>
                <w:highlight w:val="none"/>
              </w:rPr>
            </w:pPr>
          </w:p>
        </w:tc>
        <w:tc>
          <w:tcPr>
            <w:tcW w:w="947" w:type="dxa"/>
            <w:noWrap w:val="0"/>
            <w:vAlign w:val="center"/>
          </w:tcPr>
          <w:p w14:paraId="7460B302">
            <w:pPr>
              <w:autoSpaceDE w:val="0"/>
              <w:autoSpaceDN w:val="0"/>
              <w:adjustRightInd w:val="0"/>
              <w:snapToGrid w:val="0"/>
              <w:jc w:val="left"/>
              <w:rPr>
                <w:rFonts w:ascii="宋体" w:hAnsi="宋体"/>
                <w:snapToGrid w:val="0"/>
                <w:color w:val="auto"/>
                <w:kern w:val="0"/>
                <w:sz w:val="28"/>
                <w:szCs w:val="28"/>
                <w:highlight w:val="none"/>
              </w:rPr>
            </w:pPr>
          </w:p>
        </w:tc>
        <w:tc>
          <w:tcPr>
            <w:tcW w:w="1311" w:type="dxa"/>
            <w:noWrap w:val="0"/>
            <w:vAlign w:val="center"/>
          </w:tcPr>
          <w:p w14:paraId="2838F1B1">
            <w:pPr>
              <w:autoSpaceDE w:val="0"/>
              <w:autoSpaceDN w:val="0"/>
              <w:adjustRightInd w:val="0"/>
              <w:snapToGrid w:val="0"/>
              <w:jc w:val="left"/>
              <w:rPr>
                <w:rFonts w:ascii="宋体" w:hAnsi="宋体"/>
                <w:snapToGrid w:val="0"/>
                <w:color w:val="auto"/>
                <w:kern w:val="0"/>
                <w:sz w:val="28"/>
                <w:szCs w:val="28"/>
                <w:highlight w:val="none"/>
              </w:rPr>
            </w:pPr>
          </w:p>
        </w:tc>
      </w:tr>
      <w:tr w14:paraId="36E82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027728D9">
            <w:pPr>
              <w:autoSpaceDE w:val="0"/>
              <w:autoSpaceDN w:val="0"/>
              <w:adjustRightInd w:val="0"/>
              <w:snapToGrid w:val="0"/>
              <w:jc w:val="left"/>
              <w:rPr>
                <w:rFonts w:ascii="宋体" w:hAnsi="宋体"/>
                <w:snapToGrid w:val="0"/>
                <w:color w:val="auto"/>
                <w:kern w:val="0"/>
                <w:sz w:val="28"/>
                <w:szCs w:val="28"/>
                <w:highlight w:val="none"/>
              </w:rPr>
            </w:pPr>
          </w:p>
        </w:tc>
        <w:tc>
          <w:tcPr>
            <w:tcW w:w="3260" w:type="dxa"/>
            <w:noWrap w:val="0"/>
            <w:vAlign w:val="center"/>
          </w:tcPr>
          <w:p w14:paraId="4A15E483">
            <w:pPr>
              <w:autoSpaceDE w:val="0"/>
              <w:autoSpaceDN w:val="0"/>
              <w:adjustRightInd w:val="0"/>
              <w:snapToGrid w:val="0"/>
              <w:jc w:val="left"/>
              <w:rPr>
                <w:rFonts w:ascii="宋体" w:hAnsi="宋体"/>
                <w:snapToGrid w:val="0"/>
                <w:color w:val="auto"/>
                <w:kern w:val="0"/>
                <w:sz w:val="28"/>
                <w:szCs w:val="28"/>
                <w:highlight w:val="none"/>
              </w:rPr>
            </w:pPr>
          </w:p>
        </w:tc>
        <w:tc>
          <w:tcPr>
            <w:tcW w:w="1134" w:type="dxa"/>
            <w:noWrap w:val="0"/>
            <w:vAlign w:val="center"/>
          </w:tcPr>
          <w:p w14:paraId="17ED2FB1">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noWrap w:val="0"/>
            <w:vAlign w:val="center"/>
          </w:tcPr>
          <w:p w14:paraId="2F5264AB">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noWrap w:val="0"/>
            <w:vAlign w:val="center"/>
          </w:tcPr>
          <w:p w14:paraId="5550991E">
            <w:pPr>
              <w:autoSpaceDE w:val="0"/>
              <w:autoSpaceDN w:val="0"/>
              <w:adjustRightInd w:val="0"/>
              <w:snapToGrid w:val="0"/>
              <w:jc w:val="left"/>
              <w:rPr>
                <w:rFonts w:ascii="宋体" w:hAnsi="宋体"/>
                <w:snapToGrid w:val="0"/>
                <w:color w:val="auto"/>
                <w:kern w:val="0"/>
                <w:sz w:val="28"/>
                <w:szCs w:val="28"/>
                <w:highlight w:val="none"/>
              </w:rPr>
            </w:pPr>
          </w:p>
        </w:tc>
        <w:tc>
          <w:tcPr>
            <w:tcW w:w="1275" w:type="dxa"/>
            <w:noWrap w:val="0"/>
            <w:vAlign w:val="center"/>
          </w:tcPr>
          <w:p w14:paraId="496E1A3F">
            <w:pPr>
              <w:autoSpaceDE w:val="0"/>
              <w:autoSpaceDN w:val="0"/>
              <w:adjustRightInd w:val="0"/>
              <w:snapToGrid w:val="0"/>
              <w:jc w:val="left"/>
              <w:rPr>
                <w:rFonts w:ascii="宋体" w:hAnsi="宋体"/>
                <w:snapToGrid w:val="0"/>
                <w:color w:val="auto"/>
                <w:kern w:val="0"/>
                <w:sz w:val="28"/>
                <w:szCs w:val="28"/>
                <w:highlight w:val="none"/>
              </w:rPr>
            </w:pPr>
          </w:p>
        </w:tc>
        <w:tc>
          <w:tcPr>
            <w:tcW w:w="993" w:type="dxa"/>
            <w:noWrap w:val="0"/>
            <w:vAlign w:val="center"/>
          </w:tcPr>
          <w:p w14:paraId="5CFBC4B1">
            <w:pPr>
              <w:autoSpaceDE w:val="0"/>
              <w:autoSpaceDN w:val="0"/>
              <w:adjustRightInd w:val="0"/>
              <w:snapToGrid w:val="0"/>
              <w:jc w:val="left"/>
              <w:rPr>
                <w:rFonts w:ascii="宋体" w:hAnsi="宋体"/>
                <w:snapToGrid w:val="0"/>
                <w:color w:val="auto"/>
                <w:kern w:val="0"/>
                <w:sz w:val="28"/>
                <w:szCs w:val="28"/>
                <w:highlight w:val="none"/>
              </w:rPr>
            </w:pPr>
          </w:p>
        </w:tc>
        <w:tc>
          <w:tcPr>
            <w:tcW w:w="1285" w:type="dxa"/>
            <w:noWrap w:val="0"/>
            <w:vAlign w:val="center"/>
          </w:tcPr>
          <w:p w14:paraId="4245AA64">
            <w:pPr>
              <w:autoSpaceDE w:val="0"/>
              <w:autoSpaceDN w:val="0"/>
              <w:adjustRightInd w:val="0"/>
              <w:snapToGrid w:val="0"/>
              <w:jc w:val="left"/>
              <w:rPr>
                <w:rFonts w:ascii="宋体" w:hAnsi="宋体"/>
                <w:snapToGrid w:val="0"/>
                <w:color w:val="auto"/>
                <w:kern w:val="0"/>
                <w:sz w:val="28"/>
                <w:szCs w:val="28"/>
                <w:highlight w:val="none"/>
              </w:rPr>
            </w:pPr>
          </w:p>
        </w:tc>
        <w:tc>
          <w:tcPr>
            <w:tcW w:w="947" w:type="dxa"/>
            <w:noWrap w:val="0"/>
            <w:vAlign w:val="center"/>
          </w:tcPr>
          <w:p w14:paraId="78806284">
            <w:pPr>
              <w:autoSpaceDE w:val="0"/>
              <w:autoSpaceDN w:val="0"/>
              <w:adjustRightInd w:val="0"/>
              <w:snapToGrid w:val="0"/>
              <w:jc w:val="left"/>
              <w:rPr>
                <w:rFonts w:ascii="宋体" w:hAnsi="宋体"/>
                <w:snapToGrid w:val="0"/>
                <w:color w:val="auto"/>
                <w:kern w:val="0"/>
                <w:sz w:val="28"/>
                <w:szCs w:val="28"/>
                <w:highlight w:val="none"/>
              </w:rPr>
            </w:pPr>
          </w:p>
        </w:tc>
        <w:tc>
          <w:tcPr>
            <w:tcW w:w="1311" w:type="dxa"/>
            <w:noWrap w:val="0"/>
            <w:vAlign w:val="center"/>
          </w:tcPr>
          <w:p w14:paraId="1409286C">
            <w:pPr>
              <w:autoSpaceDE w:val="0"/>
              <w:autoSpaceDN w:val="0"/>
              <w:adjustRightInd w:val="0"/>
              <w:snapToGrid w:val="0"/>
              <w:jc w:val="left"/>
              <w:rPr>
                <w:rFonts w:ascii="宋体" w:hAnsi="宋体"/>
                <w:snapToGrid w:val="0"/>
                <w:color w:val="auto"/>
                <w:kern w:val="0"/>
                <w:sz w:val="28"/>
                <w:szCs w:val="28"/>
                <w:highlight w:val="none"/>
              </w:rPr>
            </w:pPr>
          </w:p>
        </w:tc>
      </w:tr>
      <w:tr w14:paraId="4E8901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73F8DB1F">
            <w:pPr>
              <w:autoSpaceDE w:val="0"/>
              <w:autoSpaceDN w:val="0"/>
              <w:adjustRightInd w:val="0"/>
              <w:snapToGrid w:val="0"/>
              <w:jc w:val="left"/>
              <w:rPr>
                <w:rFonts w:ascii="宋体" w:hAnsi="宋体"/>
                <w:snapToGrid w:val="0"/>
                <w:color w:val="auto"/>
                <w:kern w:val="0"/>
                <w:sz w:val="28"/>
                <w:szCs w:val="28"/>
                <w:highlight w:val="none"/>
              </w:rPr>
            </w:pPr>
          </w:p>
        </w:tc>
        <w:tc>
          <w:tcPr>
            <w:tcW w:w="3260" w:type="dxa"/>
            <w:noWrap w:val="0"/>
            <w:vAlign w:val="center"/>
          </w:tcPr>
          <w:p w14:paraId="5FAFDA19">
            <w:pPr>
              <w:autoSpaceDE w:val="0"/>
              <w:autoSpaceDN w:val="0"/>
              <w:adjustRightInd w:val="0"/>
              <w:snapToGrid w:val="0"/>
              <w:jc w:val="left"/>
              <w:rPr>
                <w:rFonts w:ascii="宋体" w:hAnsi="宋体"/>
                <w:snapToGrid w:val="0"/>
                <w:color w:val="auto"/>
                <w:kern w:val="0"/>
                <w:sz w:val="28"/>
                <w:szCs w:val="28"/>
                <w:highlight w:val="none"/>
              </w:rPr>
            </w:pPr>
          </w:p>
        </w:tc>
        <w:tc>
          <w:tcPr>
            <w:tcW w:w="1134" w:type="dxa"/>
            <w:noWrap w:val="0"/>
            <w:vAlign w:val="center"/>
          </w:tcPr>
          <w:p w14:paraId="60BFD87C">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noWrap w:val="0"/>
            <w:vAlign w:val="center"/>
          </w:tcPr>
          <w:p w14:paraId="4D0C24BD">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noWrap w:val="0"/>
            <w:vAlign w:val="center"/>
          </w:tcPr>
          <w:p w14:paraId="3DD66D13">
            <w:pPr>
              <w:autoSpaceDE w:val="0"/>
              <w:autoSpaceDN w:val="0"/>
              <w:adjustRightInd w:val="0"/>
              <w:snapToGrid w:val="0"/>
              <w:jc w:val="left"/>
              <w:rPr>
                <w:rFonts w:ascii="宋体" w:hAnsi="宋体"/>
                <w:snapToGrid w:val="0"/>
                <w:color w:val="auto"/>
                <w:kern w:val="0"/>
                <w:sz w:val="28"/>
                <w:szCs w:val="28"/>
                <w:highlight w:val="none"/>
              </w:rPr>
            </w:pPr>
          </w:p>
        </w:tc>
        <w:tc>
          <w:tcPr>
            <w:tcW w:w="1275" w:type="dxa"/>
            <w:noWrap w:val="0"/>
            <w:vAlign w:val="center"/>
          </w:tcPr>
          <w:p w14:paraId="2489AE5D">
            <w:pPr>
              <w:autoSpaceDE w:val="0"/>
              <w:autoSpaceDN w:val="0"/>
              <w:adjustRightInd w:val="0"/>
              <w:snapToGrid w:val="0"/>
              <w:jc w:val="left"/>
              <w:rPr>
                <w:rFonts w:ascii="宋体" w:hAnsi="宋体"/>
                <w:snapToGrid w:val="0"/>
                <w:color w:val="auto"/>
                <w:kern w:val="0"/>
                <w:sz w:val="28"/>
                <w:szCs w:val="28"/>
                <w:highlight w:val="none"/>
              </w:rPr>
            </w:pPr>
          </w:p>
        </w:tc>
        <w:tc>
          <w:tcPr>
            <w:tcW w:w="993" w:type="dxa"/>
            <w:noWrap w:val="0"/>
            <w:vAlign w:val="center"/>
          </w:tcPr>
          <w:p w14:paraId="5216307C">
            <w:pPr>
              <w:autoSpaceDE w:val="0"/>
              <w:autoSpaceDN w:val="0"/>
              <w:adjustRightInd w:val="0"/>
              <w:snapToGrid w:val="0"/>
              <w:jc w:val="left"/>
              <w:rPr>
                <w:rFonts w:ascii="宋体" w:hAnsi="宋体"/>
                <w:snapToGrid w:val="0"/>
                <w:color w:val="auto"/>
                <w:kern w:val="0"/>
                <w:sz w:val="28"/>
                <w:szCs w:val="28"/>
                <w:highlight w:val="none"/>
              </w:rPr>
            </w:pPr>
          </w:p>
        </w:tc>
        <w:tc>
          <w:tcPr>
            <w:tcW w:w="1285" w:type="dxa"/>
            <w:noWrap w:val="0"/>
            <w:vAlign w:val="center"/>
          </w:tcPr>
          <w:p w14:paraId="4A499633">
            <w:pPr>
              <w:autoSpaceDE w:val="0"/>
              <w:autoSpaceDN w:val="0"/>
              <w:adjustRightInd w:val="0"/>
              <w:snapToGrid w:val="0"/>
              <w:jc w:val="left"/>
              <w:rPr>
                <w:rFonts w:ascii="宋体" w:hAnsi="宋体"/>
                <w:snapToGrid w:val="0"/>
                <w:color w:val="auto"/>
                <w:kern w:val="0"/>
                <w:sz w:val="28"/>
                <w:szCs w:val="28"/>
                <w:highlight w:val="none"/>
              </w:rPr>
            </w:pPr>
          </w:p>
        </w:tc>
        <w:tc>
          <w:tcPr>
            <w:tcW w:w="947" w:type="dxa"/>
            <w:noWrap w:val="0"/>
            <w:vAlign w:val="center"/>
          </w:tcPr>
          <w:p w14:paraId="4CF02E47">
            <w:pPr>
              <w:autoSpaceDE w:val="0"/>
              <w:autoSpaceDN w:val="0"/>
              <w:adjustRightInd w:val="0"/>
              <w:snapToGrid w:val="0"/>
              <w:jc w:val="left"/>
              <w:rPr>
                <w:rFonts w:ascii="宋体" w:hAnsi="宋体"/>
                <w:snapToGrid w:val="0"/>
                <w:color w:val="auto"/>
                <w:kern w:val="0"/>
                <w:sz w:val="28"/>
                <w:szCs w:val="28"/>
                <w:highlight w:val="none"/>
              </w:rPr>
            </w:pPr>
          </w:p>
        </w:tc>
        <w:tc>
          <w:tcPr>
            <w:tcW w:w="1311" w:type="dxa"/>
            <w:noWrap w:val="0"/>
            <w:vAlign w:val="center"/>
          </w:tcPr>
          <w:p w14:paraId="1EDFED46">
            <w:pPr>
              <w:autoSpaceDE w:val="0"/>
              <w:autoSpaceDN w:val="0"/>
              <w:adjustRightInd w:val="0"/>
              <w:snapToGrid w:val="0"/>
              <w:jc w:val="left"/>
              <w:rPr>
                <w:rFonts w:ascii="宋体" w:hAnsi="宋体"/>
                <w:snapToGrid w:val="0"/>
                <w:color w:val="auto"/>
                <w:kern w:val="0"/>
                <w:sz w:val="28"/>
                <w:szCs w:val="28"/>
                <w:highlight w:val="none"/>
              </w:rPr>
            </w:pPr>
          </w:p>
        </w:tc>
      </w:tr>
      <w:tr w14:paraId="3866BF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54139424">
            <w:pPr>
              <w:autoSpaceDE w:val="0"/>
              <w:autoSpaceDN w:val="0"/>
              <w:adjustRightInd w:val="0"/>
              <w:snapToGrid w:val="0"/>
              <w:jc w:val="left"/>
              <w:rPr>
                <w:rFonts w:ascii="宋体" w:hAnsi="宋体"/>
                <w:snapToGrid w:val="0"/>
                <w:color w:val="auto"/>
                <w:kern w:val="0"/>
                <w:sz w:val="28"/>
                <w:szCs w:val="28"/>
                <w:highlight w:val="none"/>
              </w:rPr>
            </w:pPr>
          </w:p>
        </w:tc>
        <w:tc>
          <w:tcPr>
            <w:tcW w:w="3260" w:type="dxa"/>
            <w:noWrap w:val="0"/>
            <w:vAlign w:val="center"/>
          </w:tcPr>
          <w:p w14:paraId="1DD53B32">
            <w:pPr>
              <w:autoSpaceDE w:val="0"/>
              <w:autoSpaceDN w:val="0"/>
              <w:adjustRightInd w:val="0"/>
              <w:snapToGrid w:val="0"/>
              <w:jc w:val="left"/>
              <w:rPr>
                <w:rFonts w:ascii="宋体" w:hAnsi="宋体"/>
                <w:snapToGrid w:val="0"/>
                <w:color w:val="auto"/>
                <w:kern w:val="0"/>
                <w:sz w:val="28"/>
                <w:szCs w:val="28"/>
                <w:highlight w:val="none"/>
              </w:rPr>
            </w:pPr>
          </w:p>
        </w:tc>
        <w:tc>
          <w:tcPr>
            <w:tcW w:w="1134" w:type="dxa"/>
            <w:noWrap w:val="0"/>
            <w:vAlign w:val="center"/>
          </w:tcPr>
          <w:p w14:paraId="5D36BA56">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noWrap w:val="0"/>
            <w:vAlign w:val="center"/>
          </w:tcPr>
          <w:p w14:paraId="795ACE68">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noWrap w:val="0"/>
            <w:vAlign w:val="center"/>
          </w:tcPr>
          <w:p w14:paraId="3AE3A286">
            <w:pPr>
              <w:autoSpaceDE w:val="0"/>
              <w:autoSpaceDN w:val="0"/>
              <w:adjustRightInd w:val="0"/>
              <w:snapToGrid w:val="0"/>
              <w:jc w:val="left"/>
              <w:rPr>
                <w:rFonts w:ascii="宋体" w:hAnsi="宋体"/>
                <w:snapToGrid w:val="0"/>
                <w:color w:val="auto"/>
                <w:kern w:val="0"/>
                <w:sz w:val="28"/>
                <w:szCs w:val="28"/>
                <w:highlight w:val="none"/>
              </w:rPr>
            </w:pPr>
          </w:p>
        </w:tc>
        <w:tc>
          <w:tcPr>
            <w:tcW w:w="1275" w:type="dxa"/>
            <w:noWrap w:val="0"/>
            <w:vAlign w:val="center"/>
          </w:tcPr>
          <w:p w14:paraId="38EB5ECB">
            <w:pPr>
              <w:autoSpaceDE w:val="0"/>
              <w:autoSpaceDN w:val="0"/>
              <w:adjustRightInd w:val="0"/>
              <w:snapToGrid w:val="0"/>
              <w:jc w:val="left"/>
              <w:rPr>
                <w:rFonts w:ascii="宋体" w:hAnsi="宋体"/>
                <w:snapToGrid w:val="0"/>
                <w:color w:val="auto"/>
                <w:kern w:val="0"/>
                <w:sz w:val="28"/>
                <w:szCs w:val="28"/>
                <w:highlight w:val="none"/>
              </w:rPr>
            </w:pPr>
          </w:p>
        </w:tc>
        <w:tc>
          <w:tcPr>
            <w:tcW w:w="993" w:type="dxa"/>
            <w:noWrap w:val="0"/>
            <w:vAlign w:val="center"/>
          </w:tcPr>
          <w:p w14:paraId="651855FE">
            <w:pPr>
              <w:autoSpaceDE w:val="0"/>
              <w:autoSpaceDN w:val="0"/>
              <w:adjustRightInd w:val="0"/>
              <w:snapToGrid w:val="0"/>
              <w:jc w:val="left"/>
              <w:rPr>
                <w:rFonts w:ascii="宋体" w:hAnsi="宋体"/>
                <w:snapToGrid w:val="0"/>
                <w:color w:val="auto"/>
                <w:kern w:val="0"/>
                <w:sz w:val="28"/>
                <w:szCs w:val="28"/>
                <w:highlight w:val="none"/>
              </w:rPr>
            </w:pPr>
          </w:p>
        </w:tc>
        <w:tc>
          <w:tcPr>
            <w:tcW w:w="1285" w:type="dxa"/>
            <w:noWrap w:val="0"/>
            <w:vAlign w:val="center"/>
          </w:tcPr>
          <w:p w14:paraId="2203B406">
            <w:pPr>
              <w:autoSpaceDE w:val="0"/>
              <w:autoSpaceDN w:val="0"/>
              <w:adjustRightInd w:val="0"/>
              <w:snapToGrid w:val="0"/>
              <w:jc w:val="left"/>
              <w:rPr>
                <w:rFonts w:ascii="宋体" w:hAnsi="宋体"/>
                <w:snapToGrid w:val="0"/>
                <w:color w:val="auto"/>
                <w:kern w:val="0"/>
                <w:sz w:val="28"/>
                <w:szCs w:val="28"/>
                <w:highlight w:val="none"/>
              </w:rPr>
            </w:pPr>
          </w:p>
        </w:tc>
        <w:tc>
          <w:tcPr>
            <w:tcW w:w="947" w:type="dxa"/>
            <w:noWrap w:val="0"/>
            <w:vAlign w:val="center"/>
          </w:tcPr>
          <w:p w14:paraId="2D25F6E0">
            <w:pPr>
              <w:autoSpaceDE w:val="0"/>
              <w:autoSpaceDN w:val="0"/>
              <w:adjustRightInd w:val="0"/>
              <w:snapToGrid w:val="0"/>
              <w:jc w:val="left"/>
              <w:rPr>
                <w:rFonts w:ascii="宋体" w:hAnsi="宋体"/>
                <w:snapToGrid w:val="0"/>
                <w:color w:val="auto"/>
                <w:kern w:val="0"/>
                <w:sz w:val="28"/>
                <w:szCs w:val="28"/>
                <w:highlight w:val="none"/>
              </w:rPr>
            </w:pPr>
          </w:p>
        </w:tc>
        <w:tc>
          <w:tcPr>
            <w:tcW w:w="1311" w:type="dxa"/>
            <w:noWrap w:val="0"/>
            <w:vAlign w:val="center"/>
          </w:tcPr>
          <w:p w14:paraId="06BD1E0C">
            <w:pPr>
              <w:autoSpaceDE w:val="0"/>
              <w:autoSpaceDN w:val="0"/>
              <w:adjustRightInd w:val="0"/>
              <w:snapToGrid w:val="0"/>
              <w:jc w:val="left"/>
              <w:rPr>
                <w:rFonts w:ascii="宋体" w:hAnsi="宋体"/>
                <w:snapToGrid w:val="0"/>
                <w:color w:val="auto"/>
                <w:kern w:val="0"/>
                <w:sz w:val="28"/>
                <w:szCs w:val="28"/>
                <w:highlight w:val="none"/>
              </w:rPr>
            </w:pPr>
          </w:p>
        </w:tc>
      </w:tr>
      <w:tr w14:paraId="579761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6C0732A1">
            <w:pPr>
              <w:autoSpaceDE w:val="0"/>
              <w:autoSpaceDN w:val="0"/>
              <w:adjustRightInd w:val="0"/>
              <w:snapToGrid w:val="0"/>
              <w:jc w:val="left"/>
              <w:rPr>
                <w:rFonts w:ascii="宋体" w:hAnsi="宋体"/>
                <w:snapToGrid w:val="0"/>
                <w:color w:val="auto"/>
                <w:kern w:val="0"/>
                <w:sz w:val="28"/>
                <w:szCs w:val="28"/>
                <w:highlight w:val="none"/>
              </w:rPr>
            </w:pPr>
          </w:p>
        </w:tc>
        <w:tc>
          <w:tcPr>
            <w:tcW w:w="3260" w:type="dxa"/>
            <w:noWrap w:val="0"/>
            <w:vAlign w:val="center"/>
          </w:tcPr>
          <w:p w14:paraId="25FBA995">
            <w:pPr>
              <w:autoSpaceDE w:val="0"/>
              <w:autoSpaceDN w:val="0"/>
              <w:adjustRightInd w:val="0"/>
              <w:snapToGrid w:val="0"/>
              <w:jc w:val="left"/>
              <w:rPr>
                <w:rFonts w:ascii="宋体" w:hAnsi="宋体"/>
                <w:snapToGrid w:val="0"/>
                <w:color w:val="auto"/>
                <w:kern w:val="0"/>
                <w:sz w:val="28"/>
                <w:szCs w:val="28"/>
                <w:highlight w:val="none"/>
              </w:rPr>
            </w:pPr>
          </w:p>
        </w:tc>
        <w:tc>
          <w:tcPr>
            <w:tcW w:w="1134" w:type="dxa"/>
            <w:noWrap w:val="0"/>
            <w:vAlign w:val="center"/>
          </w:tcPr>
          <w:p w14:paraId="06ADA34D">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noWrap w:val="0"/>
            <w:vAlign w:val="center"/>
          </w:tcPr>
          <w:p w14:paraId="19012E0C">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noWrap w:val="0"/>
            <w:vAlign w:val="center"/>
          </w:tcPr>
          <w:p w14:paraId="47D3FB56">
            <w:pPr>
              <w:autoSpaceDE w:val="0"/>
              <w:autoSpaceDN w:val="0"/>
              <w:adjustRightInd w:val="0"/>
              <w:snapToGrid w:val="0"/>
              <w:jc w:val="left"/>
              <w:rPr>
                <w:rFonts w:ascii="宋体" w:hAnsi="宋体"/>
                <w:snapToGrid w:val="0"/>
                <w:color w:val="auto"/>
                <w:kern w:val="0"/>
                <w:sz w:val="28"/>
                <w:szCs w:val="28"/>
                <w:highlight w:val="none"/>
              </w:rPr>
            </w:pPr>
          </w:p>
        </w:tc>
        <w:tc>
          <w:tcPr>
            <w:tcW w:w="1275" w:type="dxa"/>
            <w:noWrap w:val="0"/>
            <w:vAlign w:val="center"/>
          </w:tcPr>
          <w:p w14:paraId="30A26353">
            <w:pPr>
              <w:autoSpaceDE w:val="0"/>
              <w:autoSpaceDN w:val="0"/>
              <w:adjustRightInd w:val="0"/>
              <w:snapToGrid w:val="0"/>
              <w:jc w:val="left"/>
              <w:rPr>
                <w:rFonts w:ascii="宋体" w:hAnsi="宋体"/>
                <w:snapToGrid w:val="0"/>
                <w:color w:val="auto"/>
                <w:kern w:val="0"/>
                <w:sz w:val="28"/>
                <w:szCs w:val="28"/>
                <w:highlight w:val="none"/>
              </w:rPr>
            </w:pPr>
          </w:p>
        </w:tc>
        <w:tc>
          <w:tcPr>
            <w:tcW w:w="993" w:type="dxa"/>
            <w:noWrap w:val="0"/>
            <w:vAlign w:val="center"/>
          </w:tcPr>
          <w:p w14:paraId="17103E36">
            <w:pPr>
              <w:autoSpaceDE w:val="0"/>
              <w:autoSpaceDN w:val="0"/>
              <w:adjustRightInd w:val="0"/>
              <w:snapToGrid w:val="0"/>
              <w:jc w:val="left"/>
              <w:rPr>
                <w:rFonts w:ascii="宋体" w:hAnsi="宋体"/>
                <w:snapToGrid w:val="0"/>
                <w:color w:val="auto"/>
                <w:kern w:val="0"/>
                <w:sz w:val="28"/>
                <w:szCs w:val="28"/>
                <w:highlight w:val="none"/>
              </w:rPr>
            </w:pPr>
          </w:p>
        </w:tc>
        <w:tc>
          <w:tcPr>
            <w:tcW w:w="1285" w:type="dxa"/>
            <w:noWrap w:val="0"/>
            <w:vAlign w:val="center"/>
          </w:tcPr>
          <w:p w14:paraId="1CD4962D">
            <w:pPr>
              <w:autoSpaceDE w:val="0"/>
              <w:autoSpaceDN w:val="0"/>
              <w:adjustRightInd w:val="0"/>
              <w:snapToGrid w:val="0"/>
              <w:jc w:val="left"/>
              <w:rPr>
                <w:rFonts w:ascii="宋体" w:hAnsi="宋体"/>
                <w:snapToGrid w:val="0"/>
                <w:color w:val="auto"/>
                <w:kern w:val="0"/>
                <w:sz w:val="28"/>
                <w:szCs w:val="28"/>
                <w:highlight w:val="none"/>
              </w:rPr>
            </w:pPr>
          </w:p>
        </w:tc>
        <w:tc>
          <w:tcPr>
            <w:tcW w:w="947" w:type="dxa"/>
            <w:noWrap w:val="0"/>
            <w:vAlign w:val="center"/>
          </w:tcPr>
          <w:p w14:paraId="66C60D14">
            <w:pPr>
              <w:autoSpaceDE w:val="0"/>
              <w:autoSpaceDN w:val="0"/>
              <w:adjustRightInd w:val="0"/>
              <w:snapToGrid w:val="0"/>
              <w:jc w:val="left"/>
              <w:rPr>
                <w:rFonts w:ascii="宋体" w:hAnsi="宋体"/>
                <w:snapToGrid w:val="0"/>
                <w:color w:val="auto"/>
                <w:kern w:val="0"/>
                <w:sz w:val="28"/>
                <w:szCs w:val="28"/>
                <w:highlight w:val="none"/>
              </w:rPr>
            </w:pPr>
          </w:p>
        </w:tc>
        <w:tc>
          <w:tcPr>
            <w:tcW w:w="1311" w:type="dxa"/>
            <w:noWrap w:val="0"/>
            <w:vAlign w:val="center"/>
          </w:tcPr>
          <w:p w14:paraId="047F9E27">
            <w:pPr>
              <w:autoSpaceDE w:val="0"/>
              <w:autoSpaceDN w:val="0"/>
              <w:adjustRightInd w:val="0"/>
              <w:snapToGrid w:val="0"/>
              <w:jc w:val="left"/>
              <w:rPr>
                <w:rFonts w:ascii="宋体" w:hAnsi="宋体"/>
                <w:snapToGrid w:val="0"/>
                <w:color w:val="auto"/>
                <w:kern w:val="0"/>
                <w:sz w:val="28"/>
                <w:szCs w:val="28"/>
                <w:highlight w:val="none"/>
              </w:rPr>
            </w:pPr>
          </w:p>
        </w:tc>
      </w:tr>
      <w:tr w14:paraId="0B877F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5FB0D957">
            <w:pPr>
              <w:autoSpaceDE w:val="0"/>
              <w:autoSpaceDN w:val="0"/>
              <w:adjustRightInd w:val="0"/>
              <w:snapToGrid w:val="0"/>
              <w:jc w:val="left"/>
              <w:rPr>
                <w:rFonts w:ascii="宋体" w:hAnsi="宋体"/>
                <w:snapToGrid w:val="0"/>
                <w:color w:val="auto"/>
                <w:kern w:val="0"/>
                <w:sz w:val="28"/>
                <w:szCs w:val="28"/>
                <w:highlight w:val="none"/>
              </w:rPr>
            </w:pPr>
          </w:p>
        </w:tc>
        <w:tc>
          <w:tcPr>
            <w:tcW w:w="3260" w:type="dxa"/>
            <w:noWrap w:val="0"/>
            <w:vAlign w:val="center"/>
          </w:tcPr>
          <w:p w14:paraId="63940598">
            <w:pPr>
              <w:autoSpaceDE w:val="0"/>
              <w:autoSpaceDN w:val="0"/>
              <w:adjustRightInd w:val="0"/>
              <w:snapToGrid w:val="0"/>
              <w:jc w:val="left"/>
              <w:rPr>
                <w:rFonts w:ascii="宋体" w:hAnsi="宋体"/>
                <w:snapToGrid w:val="0"/>
                <w:color w:val="auto"/>
                <w:kern w:val="0"/>
                <w:sz w:val="28"/>
                <w:szCs w:val="28"/>
                <w:highlight w:val="none"/>
              </w:rPr>
            </w:pPr>
          </w:p>
        </w:tc>
        <w:tc>
          <w:tcPr>
            <w:tcW w:w="1134" w:type="dxa"/>
            <w:noWrap w:val="0"/>
            <w:vAlign w:val="center"/>
          </w:tcPr>
          <w:p w14:paraId="5346B48B">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noWrap w:val="0"/>
            <w:vAlign w:val="center"/>
          </w:tcPr>
          <w:p w14:paraId="2305F269">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noWrap w:val="0"/>
            <w:vAlign w:val="center"/>
          </w:tcPr>
          <w:p w14:paraId="36053C2D">
            <w:pPr>
              <w:autoSpaceDE w:val="0"/>
              <w:autoSpaceDN w:val="0"/>
              <w:adjustRightInd w:val="0"/>
              <w:snapToGrid w:val="0"/>
              <w:jc w:val="left"/>
              <w:rPr>
                <w:rFonts w:ascii="宋体" w:hAnsi="宋体"/>
                <w:snapToGrid w:val="0"/>
                <w:color w:val="auto"/>
                <w:kern w:val="0"/>
                <w:sz w:val="28"/>
                <w:szCs w:val="28"/>
                <w:highlight w:val="none"/>
              </w:rPr>
            </w:pPr>
          </w:p>
        </w:tc>
        <w:tc>
          <w:tcPr>
            <w:tcW w:w="1275" w:type="dxa"/>
            <w:noWrap w:val="0"/>
            <w:vAlign w:val="center"/>
          </w:tcPr>
          <w:p w14:paraId="6F87A9B7">
            <w:pPr>
              <w:autoSpaceDE w:val="0"/>
              <w:autoSpaceDN w:val="0"/>
              <w:adjustRightInd w:val="0"/>
              <w:snapToGrid w:val="0"/>
              <w:jc w:val="left"/>
              <w:rPr>
                <w:rFonts w:ascii="宋体" w:hAnsi="宋体"/>
                <w:snapToGrid w:val="0"/>
                <w:color w:val="auto"/>
                <w:kern w:val="0"/>
                <w:sz w:val="28"/>
                <w:szCs w:val="28"/>
                <w:highlight w:val="none"/>
              </w:rPr>
            </w:pPr>
          </w:p>
        </w:tc>
        <w:tc>
          <w:tcPr>
            <w:tcW w:w="993" w:type="dxa"/>
            <w:noWrap w:val="0"/>
            <w:vAlign w:val="center"/>
          </w:tcPr>
          <w:p w14:paraId="0F114731">
            <w:pPr>
              <w:autoSpaceDE w:val="0"/>
              <w:autoSpaceDN w:val="0"/>
              <w:adjustRightInd w:val="0"/>
              <w:snapToGrid w:val="0"/>
              <w:jc w:val="left"/>
              <w:rPr>
                <w:rFonts w:ascii="宋体" w:hAnsi="宋体"/>
                <w:snapToGrid w:val="0"/>
                <w:color w:val="auto"/>
                <w:kern w:val="0"/>
                <w:sz w:val="28"/>
                <w:szCs w:val="28"/>
                <w:highlight w:val="none"/>
              </w:rPr>
            </w:pPr>
          </w:p>
        </w:tc>
        <w:tc>
          <w:tcPr>
            <w:tcW w:w="1285" w:type="dxa"/>
            <w:noWrap w:val="0"/>
            <w:vAlign w:val="center"/>
          </w:tcPr>
          <w:p w14:paraId="74A629C1">
            <w:pPr>
              <w:autoSpaceDE w:val="0"/>
              <w:autoSpaceDN w:val="0"/>
              <w:adjustRightInd w:val="0"/>
              <w:snapToGrid w:val="0"/>
              <w:jc w:val="left"/>
              <w:rPr>
                <w:rFonts w:ascii="宋体" w:hAnsi="宋体"/>
                <w:snapToGrid w:val="0"/>
                <w:color w:val="auto"/>
                <w:kern w:val="0"/>
                <w:sz w:val="28"/>
                <w:szCs w:val="28"/>
                <w:highlight w:val="none"/>
              </w:rPr>
            </w:pPr>
          </w:p>
        </w:tc>
        <w:tc>
          <w:tcPr>
            <w:tcW w:w="947" w:type="dxa"/>
            <w:noWrap w:val="0"/>
            <w:vAlign w:val="center"/>
          </w:tcPr>
          <w:p w14:paraId="29705DAD">
            <w:pPr>
              <w:autoSpaceDE w:val="0"/>
              <w:autoSpaceDN w:val="0"/>
              <w:adjustRightInd w:val="0"/>
              <w:snapToGrid w:val="0"/>
              <w:jc w:val="left"/>
              <w:rPr>
                <w:rFonts w:ascii="宋体" w:hAnsi="宋体"/>
                <w:snapToGrid w:val="0"/>
                <w:color w:val="auto"/>
                <w:kern w:val="0"/>
                <w:sz w:val="28"/>
                <w:szCs w:val="28"/>
                <w:highlight w:val="none"/>
              </w:rPr>
            </w:pPr>
          </w:p>
        </w:tc>
        <w:tc>
          <w:tcPr>
            <w:tcW w:w="1311" w:type="dxa"/>
            <w:noWrap w:val="0"/>
            <w:vAlign w:val="center"/>
          </w:tcPr>
          <w:p w14:paraId="7BF3B2E3">
            <w:pPr>
              <w:autoSpaceDE w:val="0"/>
              <w:autoSpaceDN w:val="0"/>
              <w:adjustRightInd w:val="0"/>
              <w:snapToGrid w:val="0"/>
              <w:jc w:val="left"/>
              <w:rPr>
                <w:rFonts w:ascii="宋体" w:hAnsi="宋体"/>
                <w:snapToGrid w:val="0"/>
                <w:color w:val="auto"/>
                <w:kern w:val="0"/>
                <w:sz w:val="28"/>
                <w:szCs w:val="28"/>
                <w:highlight w:val="none"/>
              </w:rPr>
            </w:pPr>
          </w:p>
        </w:tc>
      </w:tr>
      <w:tr w14:paraId="4F69FE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2532CCD7">
            <w:pPr>
              <w:autoSpaceDE w:val="0"/>
              <w:autoSpaceDN w:val="0"/>
              <w:adjustRightInd w:val="0"/>
              <w:snapToGrid w:val="0"/>
              <w:jc w:val="left"/>
              <w:rPr>
                <w:rFonts w:ascii="宋体" w:hAnsi="宋体"/>
                <w:snapToGrid w:val="0"/>
                <w:color w:val="auto"/>
                <w:kern w:val="0"/>
                <w:sz w:val="28"/>
                <w:szCs w:val="28"/>
                <w:highlight w:val="none"/>
              </w:rPr>
            </w:pPr>
          </w:p>
        </w:tc>
        <w:tc>
          <w:tcPr>
            <w:tcW w:w="3260" w:type="dxa"/>
            <w:noWrap w:val="0"/>
            <w:vAlign w:val="center"/>
          </w:tcPr>
          <w:p w14:paraId="40782CB2">
            <w:pPr>
              <w:autoSpaceDE w:val="0"/>
              <w:autoSpaceDN w:val="0"/>
              <w:adjustRightInd w:val="0"/>
              <w:snapToGrid w:val="0"/>
              <w:jc w:val="left"/>
              <w:rPr>
                <w:rFonts w:ascii="宋体" w:hAnsi="宋体"/>
                <w:snapToGrid w:val="0"/>
                <w:color w:val="auto"/>
                <w:kern w:val="0"/>
                <w:sz w:val="28"/>
                <w:szCs w:val="28"/>
                <w:highlight w:val="none"/>
              </w:rPr>
            </w:pPr>
          </w:p>
        </w:tc>
        <w:tc>
          <w:tcPr>
            <w:tcW w:w="1134" w:type="dxa"/>
            <w:noWrap w:val="0"/>
            <w:vAlign w:val="center"/>
          </w:tcPr>
          <w:p w14:paraId="295CF993">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noWrap w:val="0"/>
            <w:vAlign w:val="center"/>
          </w:tcPr>
          <w:p w14:paraId="123423F8">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noWrap w:val="0"/>
            <w:vAlign w:val="center"/>
          </w:tcPr>
          <w:p w14:paraId="46B16D8D">
            <w:pPr>
              <w:autoSpaceDE w:val="0"/>
              <w:autoSpaceDN w:val="0"/>
              <w:adjustRightInd w:val="0"/>
              <w:snapToGrid w:val="0"/>
              <w:jc w:val="left"/>
              <w:rPr>
                <w:rFonts w:ascii="宋体" w:hAnsi="宋体"/>
                <w:snapToGrid w:val="0"/>
                <w:color w:val="auto"/>
                <w:kern w:val="0"/>
                <w:sz w:val="28"/>
                <w:szCs w:val="28"/>
                <w:highlight w:val="none"/>
              </w:rPr>
            </w:pPr>
          </w:p>
        </w:tc>
        <w:tc>
          <w:tcPr>
            <w:tcW w:w="1275" w:type="dxa"/>
            <w:noWrap w:val="0"/>
            <w:vAlign w:val="center"/>
          </w:tcPr>
          <w:p w14:paraId="080AAF6F">
            <w:pPr>
              <w:autoSpaceDE w:val="0"/>
              <w:autoSpaceDN w:val="0"/>
              <w:adjustRightInd w:val="0"/>
              <w:snapToGrid w:val="0"/>
              <w:jc w:val="left"/>
              <w:rPr>
                <w:rFonts w:ascii="宋体" w:hAnsi="宋体"/>
                <w:snapToGrid w:val="0"/>
                <w:color w:val="auto"/>
                <w:kern w:val="0"/>
                <w:sz w:val="28"/>
                <w:szCs w:val="28"/>
                <w:highlight w:val="none"/>
              </w:rPr>
            </w:pPr>
          </w:p>
        </w:tc>
        <w:tc>
          <w:tcPr>
            <w:tcW w:w="993" w:type="dxa"/>
            <w:noWrap w:val="0"/>
            <w:vAlign w:val="center"/>
          </w:tcPr>
          <w:p w14:paraId="5B879A21">
            <w:pPr>
              <w:autoSpaceDE w:val="0"/>
              <w:autoSpaceDN w:val="0"/>
              <w:adjustRightInd w:val="0"/>
              <w:snapToGrid w:val="0"/>
              <w:jc w:val="left"/>
              <w:rPr>
                <w:rFonts w:ascii="宋体" w:hAnsi="宋体"/>
                <w:snapToGrid w:val="0"/>
                <w:color w:val="auto"/>
                <w:kern w:val="0"/>
                <w:sz w:val="28"/>
                <w:szCs w:val="28"/>
                <w:highlight w:val="none"/>
              </w:rPr>
            </w:pPr>
          </w:p>
        </w:tc>
        <w:tc>
          <w:tcPr>
            <w:tcW w:w="1285" w:type="dxa"/>
            <w:noWrap w:val="0"/>
            <w:vAlign w:val="center"/>
          </w:tcPr>
          <w:p w14:paraId="559B2ACB">
            <w:pPr>
              <w:autoSpaceDE w:val="0"/>
              <w:autoSpaceDN w:val="0"/>
              <w:adjustRightInd w:val="0"/>
              <w:snapToGrid w:val="0"/>
              <w:jc w:val="left"/>
              <w:rPr>
                <w:rFonts w:ascii="宋体" w:hAnsi="宋体"/>
                <w:snapToGrid w:val="0"/>
                <w:color w:val="auto"/>
                <w:kern w:val="0"/>
                <w:sz w:val="28"/>
                <w:szCs w:val="28"/>
                <w:highlight w:val="none"/>
              </w:rPr>
            </w:pPr>
          </w:p>
        </w:tc>
        <w:tc>
          <w:tcPr>
            <w:tcW w:w="947" w:type="dxa"/>
            <w:noWrap w:val="0"/>
            <w:vAlign w:val="center"/>
          </w:tcPr>
          <w:p w14:paraId="0E08DDDB">
            <w:pPr>
              <w:autoSpaceDE w:val="0"/>
              <w:autoSpaceDN w:val="0"/>
              <w:adjustRightInd w:val="0"/>
              <w:snapToGrid w:val="0"/>
              <w:jc w:val="left"/>
              <w:rPr>
                <w:rFonts w:ascii="宋体" w:hAnsi="宋体"/>
                <w:snapToGrid w:val="0"/>
                <w:color w:val="auto"/>
                <w:kern w:val="0"/>
                <w:sz w:val="28"/>
                <w:szCs w:val="28"/>
                <w:highlight w:val="none"/>
              </w:rPr>
            </w:pPr>
          </w:p>
        </w:tc>
        <w:tc>
          <w:tcPr>
            <w:tcW w:w="1311" w:type="dxa"/>
            <w:noWrap w:val="0"/>
            <w:vAlign w:val="center"/>
          </w:tcPr>
          <w:p w14:paraId="0C7CD347">
            <w:pPr>
              <w:autoSpaceDE w:val="0"/>
              <w:autoSpaceDN w:val="0"/>
              <w:adjustRightInd w:val="0"/>
              <w:snapToGrid w:val="0"/>
              <w:jc w:val="left"/>
              <w:rPr>
                <w:rFonts w:ascii="宋体" w:hAnsi="宋体"/>
                <w:snapToGrid w:val="0"/>
                <w:color w:val="auto"/>
                <w:kern w:val="0"/>
                <w:sz w:val="28"/>
                <w:szCs w:val="28"/>
                <w:highlight w:val="none"/>
              </w:rPr>
            </w:pPr>
          </w:p>
        </w:tc>
      </w:tr>
      <w:tr w14:paraId="16B4F9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noWrap w:val="0"/>
            <w:vAlign w:val="center"/>
          </w:tcPr>
          <w:p w14:paraId="5AED6921">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最高限价</w:t>
            </w:r>
          </w:p>
        </w:tc>
        <w:tc>
          <w:tcPr>
            <w:tcW w:w="10064" w:type="dxa"/>
            <w:gridSpan w:val="8"/>
            <w:noWrap w:val="0"/>
            <w:vAlign w:val="center"/>
          </w:tcPr>
          <w:p w14:paraId="0A882E0A">
            <w:pPr>
              <w:autoSpaceDE w:val="0"/>
              <w:autoSpaceDN w:val="0"/>
              <w:adjustRightInd w:val="0"/>
              <w:snapToGrid w:val="0"/>
              <w:jc w:val="left"/>
              <w:rPr>
                <w:rFonts w:ascii="宋体" w:hAnsi="宋体"/>
                <w:snapToGrid w:val="0"/>
                <w:color w:val="auto"/>
                <w:kern w:val="0"/>
                <w:szCs w:val="21"/>
                <w:highlight w:val="none"/>
              </w:rPr>
            </w:pPr>
          </w:p>
        </w:tc>
      </w:tr>
      <w:tr w14:paraId="2B9CB2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noWrap w:val="0"/>
            <w:vAlign w:val="center"/>
          </w:tcPr>
          <w:p w14:paraId="42295FC1">
            <w:pPr>
              <w:autoSpaceDE w:val="0"/>
              <w:autoSpaceDN w:val="0"/>
              <w:adjustRightInd w:val="0"/>
              <w:snapToGri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异常情况</w:t>
            </w:r>
          </w:p>
        </w:tc>
        <w:tc>
          <w:tcPr>
            <w:tcW w:w="10064" w:type="dxa"/>
            <w:gridSpan w:val="8"/>
            <w:tcBorders>
              <w:bottom w:val="single" w:color="auto" w:sz="4" w:space="0"/>
            </w:tcBorders>
            <w:noWrap w:val="0"/>
            <w:vAlign w:val="center"/>
          </w:tcPr>
          <w:p w14:paraId="518D373E">
            <w:pPr>
              <w:autoSpaceDE w:val="0"/>
              <w:autoSpaceDN w:val="0"/>
              <w:adjustRightInd w:val="0"/>
              <w:snapToGrid w:val="0"/>
              <w:jc w:val="left"/>
              <w:rPr>
                <w:rFonts w:ascii="宋体" w:hAnsi="宋体"/>
                <w:snapToGrid w:val="0"/>
                <w:color w:val="auto"/>
                <w:kern w:val="0"/>
                <w:szCs w:val="21"/>
                <w:highlight w:val="none"/>
              </w:rPr>
            </w:pPr>
          </w:p>
        </w:tc>
      </w:tr>
    </w:tbl>
    <w:p w14:paraId="6FE29BB0">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rPr>
      </w:pPr>
    </w:p>
    <w:p w14:paraId="5DF0DAD8">
      <w:pPr>
        <w:tabs>
          <w:tab w:val="left" w:pos="2740"/>
          <w:tab w:val="left" w:pos="4940"/>
          <w:tab w:val="left" w:pos="6930"/>
        </w:tabs>
        <w:autoSpaceDE w:val="0"/>
        <w:autoSpaceDN w:val="0"/>
        <w:adjustRightInd w:val="0"/>
        <w:snapToGrid w:val="0"/>
        <w:spacing w:line="360" w:lineRule="auto"/>
        <w:ind w:firstLine="420"/>
        <w:jc w:val="left"/>
        <w:rPr>
          <w:rFonts w:hint="eastAsia" w:ascii="宋体" w:hAnsi="宋体" w:cs="MingLiU"/>
          <w:snapToGrid w:val="0"/>
          <w:color w:val="auto"/>
          <w:w w:val="200"/>
          <w:kern w:val="0"/>
          <w:szCs w:val="21"/>
          <w:highlight w:val="none"/>
          <w:u w:val="singl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人代表：</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监标人：</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hint="eastAsia" w:ascii="宋体" w:hAnsi="宋体"/>
          <w:snapToGrid w:val="0"/>
          <w:color w:val="auto"/>
          <w:kern w:val="0"/>
          <w:szCs w:val="21"/>
          <w:highlight w:val="none"/>
        </w:rPr>
        <w:t>主持人</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p>
    <w:p w14:paraId="300C89D4">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767980E7">
      <w:pPr>
        <w:autoSpaceDE w:val="0"/>
        <w:autoSpaceDN w:val="0"/>
        <w:adjustRightInd w:val="0"/>
        <w:snapToGrid w:val="0"/>
        <w:spacing w:before="62" w:beforeLines="20" w:line="360" w:lineRule="auto"/>
        <w:jc w:val="center"/>
        <w:rPr>
          <w:rFonts w:ascii="宋体" w:hAnsi="宋体" w:cs="MingLiU"/>
          <w:snapToGrid w:val="0"/>
          <w:color w:val="auto"/>
          <w:w w:val="200"/>
          <w:kern w:val="0"/>
          <w:szCs w:val="21"/>
          <w:highlight w:val="none"/>
          <w:u w:val="single"/>
        </w:rPr>
        <w:sectPr>
          <w:pgSz w:w="16838" w:h="11906" w:orient="landscape"/>
          <w:pgMar w:top="1304" w:right="1304" w:bottom="1134" w:left="1304" w:header="851" w:footer="992" w:gutter="0"/>
          <w:cols w:space="720" w:num="1"/>
          <w:docGrid w:type="lines" w:linePitch="312" w:charSpace="0"/>
        </w:sectPr>
      </w:pPr>
      <w:r>
        <w:rPr>
          <w:rFonts w:ascii="宋体" w:hAnsi="宋体"/>
          <w:snapToGrid w:val="0"/>
          <w:color w:val="auto"/>
          <w:kern w:val="0"/>
          <w:sz w:val="24"/>
          <w:highlight w:val="none"/>
        </w:rPr>
        <w:br w:type="page"/>
      </w:r>
    </w:p>
    <w:p w14:paraId="368EFFA8">
      <w:pPr>
        <w:autoSpaceDE w:val="0"/>
        <w:autoSpaceDN w:val="0"/>
        <w:adjustRightInd w:val="0"/>
        <w:snapToGrid w:val="0"/>
        <w:spacing w:line="360" w:lineRule="auto"/>
        <w:jc w:val="left"/>
        <w:rPr>
          <w:rFonts w:hint="eastAsia" w:ascii="宋体" w:hAnsi="宋体"/>
          <w:b/>
          <w:snapToGrid w:val="0"/>
          <w:color w:val="auto"/>
          <w:kern w:val="0"/>
          <w:highlight w:val="none"/>
        </w:rPr>
      </w:pPr>
    </w:p>
    <w:p w14:paraId="414EE583">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二</w:t>
      </w:r>
      <w:r>
        <w:rPr>
          <w:rFonts w:ascii="宋体" w:hAnsi="宋体"/>
          <w:b/>
          <w:snapToGrid w:val="0"/>
          <w:color w:val="auto"/>
          <w:kern w:val="0"/>
          <w:highlight w:val="none"/>
        </w:rPr>
        <w:t>：问题澄清通知</w:t>
      </w:r>
    </w:p>
    <w:p w14:paraId="2F8ECB70">
      <w:pPr>
        <w:autoSpaceDE w:val="0"/>
        <w:autoSpaceDN w:val="0"/>
        <w:adjustRightInd w:val="0"/>
        <w:snapToGrid w:val="0"/>
        <w:spacing w:line="360" w:lineRule="auto"/>
        <w:jc w:val="left"/>
        <w:rPr>
          <w:rFonts w:ascii="宋体" w:hAnsi="宋体"/>
          <w:b/>
          <w:snapToGrid w:val="0"/>
          <w:color w:val="auto"/>
          <w:kern w:val="0"/>
          <w:sz w:val="24"/>
          <w:highlight w:val="none"/>
        </w:rPr>
      </w:pPr>
    </w:p>
    <w:p w14:paraId="5CFAAF6D">
      <w:pPr>
        <w:autoSpaceDE w:val="0"/>
        <w:autoSpaceDN w:val="0"/>
        <w:adjustRightInd w:val="0"/>
        <w:snapToGrid w:val="0"/>
        <w:spacing w:line="360" w:lineRule="auto"/>
        <w:jc w:val="center"/>
        <w:rPr>
          <w:rFonts w:hint="eastAsia"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14:paraId="626A6AB9">
      <w:pPr>
        <w:autoSpaceDE w:val="0"/>
        <w:autoSpaceDN w:val="0"/>
        <w:adjustRightInd w:val="0"/>
        <w:snapToGrid w:val="0"/>
        <w:spacing w:line="360" w:lineRule="auto"/>
        <w:jc w:val="left"/>
        <w:rPr>
          <w:rFonts w:ascii="宋体" w:hAnsi="宋体"/>
          <w:b/>
          <w:snapToGrid w:val="0"/>
          <w:color w:val="auto"/>
          <w:kern w:val="0"/>
          <w:sz w:val="24"/>
          <w:highlight w:val="none"/>
        </w:rPr>
      </w:pPr>
    </w:p>
    <w:p w14:paraId="1A68F29E">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6587372E">
      <w:pPr>
        <w:autoSpaceDE w:val="0"/>
        <w:autoSpaceDN w:val="0"/>
        <w:adjustRightInd w:val="0"/>
        <w:snapToGrid w:val="0"/>
        <w:spacing w:line="360" w:lineRule="auto"/>
        <w:jc w:val="left"/>
        <w:rPr>
          <w:rFonts w:ascii="宋体" w:hAnsi="宋体"/>
          <w:b/>
          <w:snapToGrid w:val="0"/>
          <w:color w:val="auto"/>
          <w:kern w:val="0"/>
          <w:sz w:val="24"/>
          <w:highlight w:val="none"/>
        </w:rPr>
      </w:pPr>
    </w:p>
    <w:p w14:paraId="36F69D43">
      <w:pPr>
        <w:autoSpaceDE w:val="0"/>
        <w:autoSpaceDN w:val="0"/>
        <w:adjustRightInd w:val="0"/>
        <w:snapToGrid w:val="0"/>
        <w:spacing w:line="360" w:lineRule="auto"/>
        <w:rPr>
          <w:rFonts w:ascii="宋体" w:hAnsi="宋体"/>
          <w:snapToGrid w:val="0"/>
          <w:color w:val="auto"/>
          <w:kern w:val="0"/>
          <w:sz w:val="28"/>
          <w:szCs w:val="28"/>
          <w:highlight w:val="none"/>
        </w:rPr>
      </w:pPr>
    </w:p>
    <w:p w14:paraId="4743C25B">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（投标人名称）：</w:t>
      </w:r>
    </w:p>
    <w:p w14:paraId="74AA7482">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的评标委员会，对你方的投标文件进行了仔细的审查，现需你方对下列问题以书面形式予以澄清：</w:t>
      </w:r>
    </w:p>
    <w:p w14:paraId="3F2F6BA2">
      <w:pPr>
        <w:autoSpaceDE w:val="0"/>
        <w:autoSpaceDN w:val="0"/>
        <w:adjustRightInd w:val="0"/>
        <w:snapToGrid w:val="0"/>
        <w:spacing w:line="360" w:lineRule="auto"/>
        <w:jc w:val="left"/>
        <w:rPr>
          <w:rFonts w:hint="eastAsia" w:ascii="宋体" w:hAnsi="宋体"/>
          <w:snapToGrid w:val="0"/>
          <w:color w:val="auto"/>
          <w:kern w:val="0"/>
          <w:sz w:val="24"/>
          <w:highlight w:val="none"/>
        </w:rPr>
      </w:pPr>
    </w:p>
    <w:p w14:paraId="7BBFCC2D">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4FAF8AD7">
      <w:pPr>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3ED60CF3">
      <w:pPr>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5B59356B">
      <w:pPr>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62EF51B4">
      <w:pPr>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1496B44F">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783F1C5B">
      <w:pPr>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13A232CF">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5C30871E">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14:paraId="35CE44A7">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14:paraId="41335F2C">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14:paraId="5209BC1B">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时前递交至</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（详细地址）或传真至</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（传真号码）。采用传真方式的，应在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时前将原件递交至</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（详细地址）。</w:t>
      </w:r>
    </w:p>
    <w:p w14:paraId="5562AAB7">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4273441">
      <w:pPr>
        <w:autoSpaceDE w:val="0"/>
        <w:autoSpaceDN w:val="0"/>
        <w:adjustRightInd w:val="0"/>
        <w:snapToGrid w:val="0"/>
        <w:spacing w:line="360" w:lineRule="auto"/>
        <w:jc w:val="left"/>
        <w:rPr>
          <w:rFonts w:ascii="宋体" w:hAnsi="宋体"/>
          <w:snapToGrid w:val="0"/>
          <w:color w:val="auto"/>
          <w:kern w:val="0"/>
          <w:sz w:val="28"/>
          <w:szCs w:val="28"/>
          <w:highlight w:val="none"/>
        </w:rPr>
      </w:pPr>
    </w:p>
    <w:p w14:paraId="7691D3B3">
      <w:pPr>
        <w:tabs>
          <w:tab w:val="left" w:pos="6400"/>
        </w:tabs>
        <w:autoSpaceDE w:val="0"/>
        <w:autoSpaceDN w:val="0"/>
        <w:adjustRightInd w:val="0"/>
        <w:snapToGrid w:val="0"/>
        <w:spacing w:line="360" w:lineRule="auto"/>
        <w:jc w:val="right"/>
        <w:rPr>
          <w:rFonts w:ascii="宋体" w:hAnsi="宋体"/>
          <w:snapToGrid w:val="0"/>
          <w:color w:val="auto"/>
          <w:kern w:val="0"/>
          <w:sz w:val="24"/>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r>
        <w:rPr>
          <w:rFonts w:ascii="宋体" w:hAnsi="宋体"/>
          <w:snapToGrid w:val="0"/>
          <w:color w:val="auto"/>
          <w:kern w:val="0"/>
          <w:sz w:val="24"/>
          <w:highlight w:val="none"/>
        </w:rPr>
        <w:t xml:space="preserve"> </w:t>
      </w:r>
    </w:p>
    <w:p w14:paraId="3D68E706">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14:paraId="353C9D0F">
      <w:pPr>
        <w:wordWrap w:val="0"/>
        <w:autoSpaceDE w:val="0"/>
        <w:autoSpaceDN w:val="0"/>
        <w:adjustRightInd w:val="0"/>
        <w:snapToGrid w:val="0"/>
        <w:spacing w:line="360" w:lineRule="auto"/>
        <w:ind w:firstLine="850" w:firstLineChars="405"/>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739FF7A7">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三</w:t>
      </w:r>
      <w:r>
        <w:rPr>
          <w:rFonts w:ascii="宋体" w:hAnsi="宋体"/>
          <w:b/>
          <w:snapToGrid w:val="0"/>
          <w:color w:val="auto"/>
          <w:kern w:val="0"/>
          <w:highlight w:val="none"/>
        </w:rPr>
        <w:t>：问题的澄清</w:t>
      </w:r>
    </w:p>
    <w:p w14:paraId="49AFB1E5">
      <w:pPr>
        <w:autoSpaceDE w:val="0"/>
        <w:autoSpaceDN w:val="0"/>
        <w:adjustRightInd w:val="0"/>
        <w:snapToGrid w:val="0"/>
        <w:spacing w:line="360" w:lineRule="auto"/>
        <w:jc w:val="left"/>
        <w:rPr>
          <w:rFonts w:ascii="宋体" w:hAnsi="宋体"/>
          <w:b/>
          <w:snapToGrid w:val="0"/>
          <w:color w:val="auto"/>
          <w:kern w:val="0"/>
          <w:sz w:val="10"/>
          <w:szCs w:val="10"/>
          <w:highlight w:val="none"/>
        </w:rPr>
      </w:pPr>
    </w:p>
    <w:p w14:paraId="42F34068">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14:paraId="7C37F5E5">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rPr>
      </w:pPr>
    </w:p>
    <w:p w14:paraId="56513FA7">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21A55982">
      <w:pPr>
        <w:autoSpaceDE w:val="0"/>
        <w:autoSpaceDN w:val="0"/>
        <w:adjustRightInd w:val="0"/>
        <w:snapToGrid w:val="0"/>
        <w:spacing w:line="360" w:lineRule="auto"/>
        <w:ind w:firstLine="3150" w:firstLineChars="1500"/>
        <w:rPr>
          <w:rFonts w:hint="eastAsia" w:ascii="宋体" w:hAnsi="宋体"/>
          <w:snapToGrid w:val="0"/>
          <w:color w:val="auto"/>
          <w:kern w:val="0"/>
          <w:szCs w:val="21"/>
          <w:highlight w:val="none"/>
        </w:rPr>
      </w:pPr>
    </w:p>
    <w:p w14:paraId="2C8170D8">
      <w:pPr>
        <w:autoSpaceDE w:val="0"/>
        <w:autoSpaceDN w:val="0"/>
        <w:adjustRightInd w:val="0"/>
        <w:snapToGrid w:val="0"/>
        <w:spacing w:line="360" w:lineRule="auto"/>
        <w:ind w:firstLine="3150" w:firstLineChars="1500"/>
        <w:rPr>
          <w:rFonts w:hint="eastAsia" w:ascii="宋体" w:hAnsi="宋体"/>
          <w:snapToGrid w:val="0"/>
          <w:color w:val="auto"/>
          <w:kern w:val="0"/>
          <w:szCs w:val="21"/>
          <w:highlight w:val="none"/>
        </w:rPr>
      </w:pPr>
    </w:p>
    <w:p w14:paraId="67D6BC82">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评标委员会：</w:t>
      </w:r>
    </w:p>
    <w:p w14:paraId="7DCE9F35">
      <w:pPr>
        <w:tabs>
          <w:tab w:val="left" w:pos="2000"/>
          <w:tab w:val="left" w:pos="3480"/>
          <w:tab w:val="left" w:pos="4200"/>
        </w:tabs>
        <w:autoSpaceDE w:val="0"/>
        <w:autoSpaceDN w:val="0"/>
        <w:adjustRightInd w:val="0"/>
        <w:snapToGrid w:val="0"/>
        <w:spacing w:line="48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14:paraId="70680E34">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3F16B4E9">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33859A17">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329656E3">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4A9C6C8F">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6ADE765A">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2656F788">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38295558">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3FAB3707">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413CDDCE">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2A5907E4">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04334B3B">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539C797F">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39AA7E0D">
      <w:pPr>
        <w:autoSpaceDE w:val="0"/>
        <w:autoSpaceDN w:val="0"/>
        <w:adjustRightInd w:val="0"/>
        <w:snapToGrid w:val="0"/>
        <w:spacing w:line="360" w:lineRule="auto"/>
        <w:jc w:val="left"/>
        <w:rPr>
          <w:rFonts w:ascii="宋体" w:hAnsi="宋体"/>
          <w:snapToGrid w:val="0"/>
          <w:color w:val="auto"/>
          <w:kern w:val="0"/>
          <w:sz w:val="22"/>
          <w:szCs w:val="22"/>
          <w:highlight w:val="none"/>
        </w:rPr>
      </w:pPr>
    </w:p>
    <w:p w14:paraId="4B9A92DC">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7D1126AC">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1481A74A">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06A56E1B">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1B1865FE">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9503B87">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65EF3F26">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14:paraId="690D67FB">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（签字或盖章）</w:t>
      </w:r>
    </w:p>
    <w:p w14:paraId="165C5B7C">
      <w:pPr>
        <w:autoSpaceDE w:val="0"/>
        <w:autoSpaceDN w:val="0"/>
        <w:adjustRightInd w:val="0"/>
        <w:snapToGrid w:val="0"/>
        <w:spacing w:line="360" w:lineRule="auto"/>
        <w:jc w:val="right"/>
        <w:rPr>
          <w:rFonts w:ascii="宋体" w:hAnsi="宋体"/>
          <w:snapToGrid w:val="0"/>
          <w:color w:val="auto"/>
          <w:kern w:val="0"/>
          <w:sz w:val="20"/>
          <w:szCs w:val="20"/>
          <w:highlight w:val="none"/>
        </w:rPr>
      </w:pPr>
    </w:p>
    <w:p w14:paraId="733AD813">
      <w:pPr>
        <w:wordWrap w:val="0"/>
        <w:autoSpaceDE w:val="0"/>
        <w:autoSpaceDN w:val="0"/>
        <w:adjustRightInd w:val="0"/>
        <w:snapToGrid w:val="0"/>
        <w:spacing w:line="360" w:lineRule="auto"/>
        <w:ind w:firstLine="315" w:firstLineChars="150"/>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2E4DBFFF">
      <w:pPr>
        <w:autoSpaceDE w:val="0"/>
        <w:autoSpaceDN w:val="0"/>
        <w:adjustRightInd w:val="0"/>
        <w:snapToGrid w:val="0"/>
        <w:spacing w:line="360" w:lineRule="auto"/>
        <w:jc w:val="left"/>
        <w:rPr>
          <w:rFonts w:ascii="宋体" w:hAnsi="宋体"/>
          <w:b/>
          <w:snapToGrid w:val="0"/>
          <w:color w:val="auto"/>
          <w:kern w:val="0"/>
          <w:sz w:val="24"/>
          <w:highlight w:val="none"/>
        </w:rPr>
      </w:pPr>
    </w:p>
    <w:p w14:paraId="65BEC3C6">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四</w:t>
      </w:r>
      <w:r>
        <w:rPr>
          <w:rFonts w:ascii="宋体" w:hAnsi="宋体"/>
          <w:b/>
          <w:snapToGrid w:val="0"/>
          <w:color w:val="auto"/>
          <w:kern w:val="0"/>
          <w:highlight w:val="none"/>
        </w:rPr>
        <w:t>：中标通知书</w:t>
      </w:r>
    </w:p>
    <w:p w14:paraId="161B2A6E">
      <w:pPr>
        <w:autoSpaceDE w:val="0"/>
        <w:autoSpaceDN w:val="0"/>
        <w:adjustRightInd w:val="0"/>
        <w:spacing w:line="360" w:lineRule="auto"/>
        <w:jc w:val="left"/>
        <w:rPr>
          <w:rFonts w:hint="eastAsia" w:ascii="宋体" w:hAnsi="宋体"/>
          <w:snapToGrid w:val="0"/>
          <w:color w:val="auto"/>
          <w:kern w:val="0"/>
          <w:sz w:val="20"/>
          <w:szCs w:val="20"/>
          <w:highlight w:val="none"/>
        </w:rPr>
      </w:pPr>
    </w:p>
    <w:p w14:paraId="1D93457A">
      <w:pPr>
        <w:autoSpaceDE w:val="0"/>
        <w:autoSpaceDN w:val="0"/>
        <w:adjustRightInd w:val="0"/>
        <w:spacing w:line="360" w:lineRule="auto"/>
        <w:jc w:val="left"/>
        <w:rPr>
          <w:rFonts w:hint="eastAsia" w:ascii="宋体" w:hAnsi="宋体"/>
          <w:snapToGrid w:val="0"/>
          <w:color w:val="auto"/>
          <w:kern w:val="0"/>
          <w:sz w:val="20"/>
          <w:szCs w:val="20"/>
          <w:highlight w:val="none"/>
        </w:rPr>
      </w:pPr>
    </w:p>
    <w:p w14:paraId="74ADE9E2">
      <w:pPr>
        <w:autoSpaceDE w:val="0"/>
        <w:autoSpaceDN w:val="0"/>
        <w:adjustRightInd w:val="0"/>
        <w:spacing w:line="360" w:lineRule="auto"/>
        <w:jc w:val="left"/>
        <w:rPr>
          <w:rFonts w:ascii="宋体" w:hAnsi="宋体"/>
          <w:snapToGrid w:val="0"/>
          <w:color w:val="auto"/>
          <w:kern w:val="0"/>
          <w:sz w:val="20"/>
          <w:szCs w:val="20"/>
          <w:highlight w:val="none"/>
        </w:rPr>
      </w:pPr>
    </w:p>
    <w:p w14:paraId="54D37EC9">
      <w:pPr>
        <w:autoSpaceDE w:val="0"/>
        <w:autoSpaceDN w:val="0"/>
        <w:adjustRightInd w:val="0"/>
        <w:snapToGrid w:val="0"/>
        <w:spacing w:line="360" w:lineRule="auto"/>
        <w:jc w:val="center"/>
        <w:rPr>
          <w:rFonts w:hint="eastAsia"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重庆市建设工程中标通知书</w:t>
      </w:r>
    </w:p>
    <w:p w14:paraId="787CBEF0">
      <w:pPr>
        <w:spacing w:line="360" w:lineRule="auto"/>
        <w:rPr>
          <w:rFonts w:hint="eastAsia"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ascii="宋体" w:hAnsi="宋体"/>
          <w:color w:val="auto"/>
          <w:kern w:val="0"/>
          <w:szCs w:val="21"/>
          <w:highlight w:val="none"/>
          <w:u w:val="single"/>
        </w:rPr>
        <w:t>中标单位</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14:paraId="6C0057E7">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我单位拟建的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（项目名称）</w:t>
      </w:r>
      <w:r>
        <w:rPr>
          <w:rFonts w:ascii="宋体" w:hAnsi="宋体"/>
          <w:bCs/>
          <w:color w:val="auto"/>
          <w:kern w:val="0"/>
          <w:szCs w:val="21"/>
          <w:highlight w:val="none"/>
          <w:u w:val="single"/>
        </w:rPr>
        <w:t xml:space="preserve">     </w:t>
      </w:r>
      <w:r>
        <w:rPr>
          <w:rFonts w:ascii="宋体" w:hAnsi="宋体"/>
          <w:color w:val="auto"/>
          <w:kern w:val="0"/>
          <w:szCs w:val="21"/>
          <w:highlight w:val="none"/>
        </w:rPr>
        <w:t>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日开标，经评标委员会评定，确定你单位为中标人，中标额为</w:t>
      </w:r>
      <w:r>
        <w:rPr>
          <w:rFonts w:hint="eastAsia" w:ascii="宋体" w:hAnsi="宋体"/>
          <w:color w:val="auto"/>
          <w:kern w:val="0"/>
          <w:szCs w:val="21"/>
          <w:highlight w:val="none"/>
        </w:rPr>
        <w:t>（大写）</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（其中含安全文明施工费 </w:t>
      </w:r>
      <w:r>
        <w:rPr>
          <w:rFonts w:ascii="宋体" w:hAnsi="宋体"/>
          <w:bCs/>
          <w:color w:val="auto"/>
          <w:kern w:val="0"/>
          <w:szCs w:val="21"/>
          <w:highlight w:val="none"/>
          <w:u w:val="single"/>
        </w:rPr>
        <w:t xml:space="preserve">￥    </w:t>
      </w:r>
      <w:r>
        <w:rPr>
          <w:rFonts w:ascii="宋体" w:hAnsi="宋体"/>
          <w:color w:val="auto"/>
          <w:kern w:val="0"/>
          <w:szCs w:val="21"/>
          <w:highlight w:val="none"/>
        </w:rPr>
        <w:t>）。中标工程范围：</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，工程规模为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，中标工期 </w:t>
      </w:r>
      <w:r>
        <w:rPr>
          <w:rFonts w:ascii="宋体" w:hAnsi="宋体"/>
          <w:bCs/>
          <w:color w:val="auto"/>
          <w:kern w:val="0"/>
          <w:szCs w:val="21"/>
          <w:highlight w:val="none"/>
          <w:u w:val="single"/>
        </w:rPr>
        <w:t xml:space="preserve">   </w:t>
      </w:r>
      <w:r>
        <w:rPr>
          <w:rFonts w:ascii="宋体" w:hAnsi="宋体"/>
          <w:color w:val="auto"/>
          <w:kern w:val="0"/>
          <w:szCs w:val="21"/>
          <w:highlight w:val="none"/>
          <w:u w:val="single"/>
        </w:rPr>
        <w:t>日历天</w:t>
      </w:r>
      <w:r>
        <w:rPr>
          <w:rFonts w:ascii="宋体" w:hAnsi="宋体"/>
          <w:color w:val="auto"/>
          <w:kern w:val="0"/>
          <w:szCs w:val="21"/>
          <w:highlight w:val="none"/>
        </w:rPr>
        <w:t>，工程质量达到国家施工验收规范标准。 项目经理由</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担任。</w:t>
      </w:r>
    </w:p>
    <w:p w14:paraId="4E816CEB">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你单位收到中标通知书后，在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日内到我单位签订承发包合同。</w:t>
      </w:r>
      <w:r>
        <w:rPr>
          <w:rFonts w:hint="eastAsia" w:ascii="宋体" w:hAnsi="宋体"/>
          <w:color w:val="auto"/>
          <w:kern w:val="0"/>
          <w:szCs w:val="21"/>
          <w:highlight w:val="none"/>
        </w:rPr>
        <w:t>在此之前按</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文件第二章“投标人须知”第7.3款规定向我方提交履约担保。</w:t>
      </w:r>
    </w:p>
    <w:p w14:paraId="7674B418">
      <w:pPr>
        <w:spacing w:line="360" w:lineRule="auto"/>
        <w:rPr>
          <w:rFonts w:ascii="宋体" w:hAnsi="宋体"/>
          <w:color w:val="auto"/>
          <w:kern w:val="0"/>
          <w:szCs w:val="21"/>
          <w:highlight w:val="none"/>
        </w:rPr>
      </w:pPr>
      <w:r>
        <w:rPr>
          <w:rFonts w:ascii="宋体" w:hAnsi="宋体"/>
          <w:color w:val="auto"/>
          <w:kern w:val="0"/>
          <w:szCs w:val="21"/>
          <w:highlight w:val="none"/>
        </w:rPr>
        <w:t xml:space="preserve">    特此通知。</w:t>
      </w:r>
    </w:p>
    <w:p w14:paraId="6C9CCD69">
      <w:pPr>
        <w:spacing w:line="480" w:lineRule="auto"/>
        <w:rPr>
          <w:rFonts w:ascii="宋体" w:hAnsi="宋体"/>
          <w:color w:val="auto"/>
          <w:kern w:val="0"/>
          <w:sz w:val="24"/>
          <w:highlight w:val="none"/>
        </w:rPr>
      </w:pPr>
    </w:p>
    <w:p w14:paraId="1099E607">
      <w:pPr>
        <w:spacing w:line="480" w:lineRule="auto"/>
        <w:rPr>
          <w:rFonts w:ascii="宋体" w:hAnsi="宋体"/>
          <w:color w:val="auto"/>
          <w:kern w:val="0"/>
          <w:sz w:val="24"/>
          <w:highlight w:val="none"/>
        </w:rPr>
      </w:pPr>
    </w:p>
    <w:p w14:paraId="6E2B7849">
      <w:pPr>
        <w:spacing w:line="480" w:lineRule="auto"/>
        <w:rPr>
          <w:rFonts w:ascii="宋体" w:hAnsi="宋体"/>
          <w:color w:val="auto"/>
          <w:kern w:val="0"/>
          <w:sz w:val="24"/>
          <w:highlight w:val="none"/>
        </w:rPr>
      </w:pPr>
    </w:p>
    <w:p w14:paraId="00933409">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lang w:eastAsia="zh-CN"/>
        </w:rPr>
        <w:t>比选</w:t>
      </w:r>
      <w:r>
        <w:rPr>
          <w:rFonts w:ascii="宋体" w:hAnsi="宋体"/>
          <w:color w:val="auto"/>
          <w:kern w:val="0"/>
          <w:sz w:val="24"/>
          <w:highlight w:val="none"/>
        </w:rPr>
        <w:t>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w:t>
      </w:r>
      <w:r>
        <w:rPr>
          <w:rFonts w:ascii="宋体" w:hAnsi="宋体"/>
          <w:snapToGrid w:val="0"/>
          <w:color w:val="auto"/>
          <w:kern w:val="0"/>
          <w:szCs w:val="21"/>
          <w:highlight w:val="none"/>
        </w:rPr>
        <w:t>盖单位法人章</w:t>
      </w:r>
      <w:r>
        <w:rPr>
          <w:rFonts w:ascii="宋体" w:hAnsi="宋体"/>
          <w:color w:val="auto"/>
          <w:kern w:val="0"/>
          <w:sz w:val="24"/>
          <w:highlight w:val="none"/>
        </w:rPr>
        <w:t>）</w:t>
      </w:r>
    </w:p>
    <w:p w14:paraId="750069D5">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法定代表人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（签字或盖章）</w:t>
      </w:r>
    </w:p>
    <w:p w14:paraId="7D18EBBA">
      <w:pPr>
        <w:spacing w:line="480" w:lineRule="auto"/>
        <w:jc w:val="left"/>
        <w:rPr>
          <w:rFonts w:ascii="宋体" w:hAnsi="宋体"/>
          <w:color w:val="auto"/>
          <w:kern w:val="0"/>
          <w:sz w:val="24"/>
          <w:highlight w:val="none"/>
          <w:u w:val="single"/>
        </w:rPr>
      </w:pPr>
      <w:r>
        <w:rPr>
          <w:rFonts w:ascii="宋体" w:hAnsi="宋体"/>
          <w:color w:val="auto"/>
          <w:kern w:val="0"/>
          <w:sz w:val="24"/>
          <w:highlight w:val="none"/>
        </w:rPr>
        <w:t xml:space="preserve">                                 联系人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p>
    <w:p w14:paraId="4D77C2EF">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联系电话</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p>
    <w:p w14:paraId="2BBE1204">
      <w:pPr>
        <w:spacing w:line="480" w:lineRule="auto"/>
        <w:jc w:val="right"/>
        <w:rPr>
          <w:rFonts w:hint="eastAsia" w:ascii="宋体" w:hAnsi="宋体"/>
          <w:color w:val="auto"/>
          <w:kern w:val="0"/>
          <w:sz w:val="24"/>
          <w:highlight w:val="none"/>
        </w:rPr>
      </w:pPr>
    </w:p>
    <w:p w14:paraId="07681942">
      <w:pPr>
        <w:spacing w:line="480" w:lineRule="auto"/>
        <w:jc w:val="right"/>
        <w:rPr>
          <w:rFonts w:hint="eastAsia" w:ascii="宋体" w:hAnsi="宋体"/>
          <w:color w:val="auto"/>
          <w:kern w:val="0"/>
          <w:sz w:val="24"/>
          <w:highlight w:val="none"/>
        </w:rPr>
      </w:pPr>
    </w:p>
    <w:p w14:paraId="6AC7151B">
      <w:pPr>
        <w:spacing w:line="480" w:lineRule="auto"/>
        <w:jc w:val="right"/>
        <w:rPr>
          <w:rFonts w:hint="eastAsia" w:ascii="宋体" w:hAnsi="宋体"/>
          <w:color w:val="auto"/>
          <w:kern w:val="0"/>
          <w:sz w:val="24"/>
          <w:highlight w:val="none"/>
        </w:rPr>
      </w:pPr>
      <w:r>
        <w:rPr>
          <w:rFonts w:ascii="宋体" w:hAnsi="宋体"/>
          <w:color w:val="auto"/>
          <w:kern w:val="0"/>
          <w:sz w:val="24"/>
          <w:highlight w:val="none"/>
        </w:rPr>
        <w:t xml:space="preserve">                   签发日期</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年</w:t>
      </w:r>
      <w:r>
        <w:rPr>
          <w:rFonts w:ascii="宋体" w:hAnsi="宋体"/>
          <w:color w:val="auto"/>
          <w:kern w:val="0"/>
          <w:sz w:val="24"/>
          <w:highlight w:val="none"/>
          <w:u w:val="single"/>
        </w:rPr>
        <w:t xml:space="preserve">     </w:t>
      </w:r>
      <w:r>
        <w:rPr>
          <w:rFonts w:ascii="宋体" w:hAnsi="宋体"/>
          <w:color w:val="auto"/>
          <w:kern w:val="0"/>
          <w:sz w:val="24"/>
          <w:highlight w:val="none"/>
        </w:rPr>
        <w:t>月</w:t>
      </w:r>
      <w:r>
        <w:rPr>
          <w:rFonts w:ascii="宋体" w:hAnsi="宋体"/>
          <w:color w:val="auto"/>
          <w:kern w:val="0"/>
          <w:sz w:val="24"/>
          <w:highlight w:val="none"/>
          <w:u w:val="single"/>
        </w:rPr>
        <w:t xml:space="preserve">     </w:t>
      </w:r>
      <w:r>
        <w:rPr>
          <w:rFonts w:ascii="宋体" w:hAnsi="宋体"/>
          <w:color w:val="auto"/>
          <w:kern w:val="0"/>
          <w:sz w:val="24"/>
          <w:highlight w:val="none"/>
        </w:rPr>
        <w:t>日</w:t>
      </w:r>
    </w:p>
    <w:p w14:paraId="7E46A37E">
      <w:pPr>
        <w:spacing w:line="200" w:lineRule="exact"/>
        <w:rPr>
          <w:rFonts w:hint="eastAsia" w:ascii="宋体" w:hAnsi="宋体"/>
          <w:color w:val="auto"/>
          <w:kern w:val="0"/>
          <w:highlight w:val="none"/>
        </w:rPr>
      </w:pPr>
      <w:r>
        <w:rPr>
          <w:rFonts w:ascii="宋体" w:hAnsi="宋体"/>
          <w:color w:val="auto"/>
          <w:kern w:val="0"/>
          <w:sz w:val="24"/>
          <w:highlight w:val="none"/>
        </w:rPr>
        <w:br w:type="page"/>
      </w:r>
      <w:bookmarkStart w:id="566" w:name="招标文件03章02评标办法综合评估法"/>
      <w:bookmarkEnd w:id="566"/>
      <w:bookmarkStart w:id="567" w:name="招标文件03章02评标办法综合评估法00"/>
      <w:bookmarkEnd w:id="567"/>
      <w:bookmarkStart w:id="568" w:name="_Toc224103384"/>
      <w:bookmarkStart w:id="569" w:name="_Toc200513198"/>
      <w:bookmarkStart w:id="570" w:name="_Toc287620751"/>
      <w:bookmarkStart w:id="571" w:name="_Toc430530500"/>
      <w:bookmarkStart w:id="572" w:name="_Toc287607812"/>
      <w:bookmarkStart w:id="573" w:name="_Toc277082618"/>
    </w:p>
    <w:bookmarkEnd w:id="568"/>
    <w:bookmarkEnd w:id="569"/>
    <w:bookmarkEnd w:id="570"/>
    <w:bookmarkEnd w:id="571"/>
    <w:bookmarkEnd w:id="572"/>
    <w:bookmarkEnd w:id="573"/>
    <w:p w14:paraId="14DFBE38">
      <w:pPr>
        <w:pStyle w:val="3"/>
        <w:spacing w:line="360" w:lineRule="auto"/>
        <w:jc w:val="center"/>
        <w:rPr>
          <w:rFonts w:ascii="宋体" w:hAnsi="宋体"/>
          <w:snapToGrid w:val="0"/>
          <w:kern w:val="0"/>
        </w:rPr>
      </w:pPr>
      <w:bookmarkStart w:id="574" w:name="_Toc57905884"/>
      <w:bookmarkStart w:id="575" w:name="_Toc20466"/>
      <w:bookmarkStart w:id="576" w:name="_Toc5223"/>
      <w:bookmarkStart w:id="577" w:name="_Toc8427"/>
      <w:bookmarkStart w:id="578" w:name="_Toc430530509"/>
      <w:bookmarkStart w:id="579" w:name="_Toc509218785"/>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574"/>
      <w:bookmarkEnd w:id="575"/>
      <w:bookmarkEnd w:id="576"/>
    </w:p>
    <w:p w14:paraId="0F247C3C">
      <w:pPr>
        <w:keepNext/>
        <w:keepLines/>
        <w:spacing w:before="100" w:after="100" w:line="360" w:lineRule="auto"/>
        <w:outlineLvl w:val="1"/>
        <w:rPr>
          <w:rFonts w:ascii="宋体" w:hAnsi="宋体"/>
          <w:b/>
          <w:sz w:val="32"/>
          <w:szCs w:val="32"/>
        </w:rPr>
      </w:pPr>
      <w:bookmarkStart w:id="580" w:name="_Toc32418"/>
      <w:bookmarkStart w:id="581" w:name="_Toc14792"/>
      <w:bookmarkStart w:id="582" w:name="_Toc57905885"/>
      <w:r>
        <w:rPr>
          <w:rFonts w:hint="eastAsia" w:ascii="宋体" w:hAnsi="宋体"/>
          <w:b/>
          <w:sz w:val="32"/>
          <w:szCs w:val="32"/>
        </w:rPr>
        <w:t>评标办法前附表</w:t>
      </w:r>
      <w:bookmarkEnd w:id="580"/>
      <w:bookmarkEnd w:id="581"/>
      <w:bookmarkEnd w:id="582"/>
    </w:p>
    <w:p w14:paraId="2B298C96">
      <w:pPr>
        <w:spacing w:line="400" w:lineRule="exact"/>
        <w:ind w:firstLine="427" w:firstLineChars="196"/>
        <w:rPr>
          <w:rFonts w:ascii="宋体" w:hAnsi="宋体"/>
          <w:spacing w:val="4"/>
          <w:kern w:val="0"/>
          <w:szCs w:val="21"/>
        </w:rPr>
      </w:pPr>
      <w:bookmarkStart w:id="583"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583"/>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2A96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25F0EA21">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14:paraId="5C41E8DD">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14:paraId="0A854CF3">
            <w:pPr>
              <w:spacing w:line="400" w:lineRule="exact"/>
              <w:jc w:val="center"/>
              <w:rPr>
                <w:rFonts w:ascii="宋体" w:hAnsi="宋体"/>
                <w:b/>
                <w:kern w:val="0"/>
              </w:rPr>
            </w:pPr>
            <w:r>
              <w:rPr>
                <w:rFonts w:ascii="宋体" w:hAnsi="宋体"/>
                <w:b/>
                <w:kern w:val="0"/>
              </w:rPr>
              <w:t>评审标准</w:t>
            </w:r>
          </w:p>
        </w:tc>
      </w:tr>
      <w:tr w14:paraId="1F32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C9BEAF1">
            <w:pPr>
              <w:pStyle w:val="86"/>
              <w:spacing w:line="400" w:lineRule="exact"/>
              <w:ind w:firstLine="420"/>
              <w:rPr>
                <w:sz w:val="21"/>
                <w:szCs w:val="21"/>
              </w:rPr>
            </w:pPr>
            <w:r>
              <w:rPr>
                <w:sz w:val="21"/>
                <w:szCs w:val="21"/>
              </w:rPr>
              <w:t>1</w:t>
            </w:r>
          </w:p>
        </w:tc>
        <w:tc>
          <w:tcPr>
            <w:tcW w:w="1560" w:type="dxa"/>
            <w:tcBorders>
              <w:left w:val="single" w:color="auto" w:sz="4" w:space="0"/>
            </w:tcBorders>
            <w:vAlign w:val="center"/>
          </w:tcPr>
          <w:p w14:paraId="3DD0BCF4">
            <w:pPr>
              <w:pStyle w:val="86"/>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14:paraId="6A0E90EE">
            <w:pPr>
              <w:spacing w:line="400" w:lineRule="exact"/>
              <w:ind w:firstLine="436" w:firstLineChars="200"/>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投标人在红名单中优先”的原则排序，投标人是否属于红名单，以开标环节信</w:t>
            </w:r>
            <w:r>
              <w:rPr>
                <w:rFonts w:hint="eastAsia" w:ascii="宋体" w:hAnsi="宋体" w:cs="Times New Roman"/>
                <w:spacing w:val="4"/>
                <w:kern w:val="0"/>
                <w:szCs w:val="21"/>
              </w:rPr>
              <w:t xml:space="preserve">用状况查询结果为准；投标人均在红名单中或均不在红名单中的，由评标委员会按照企业资质等级高原则排序；上述均相同的，由评标委员会现场抽签决定。 </w:t>
            </w:r>
          </w:p>
        </w:tc>
      </w:tr>
      <w:tr w14:paraId="15469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3574490B">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14:paraId="11722DF8">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14:paraId="26421E91">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对报价不高于最高限价的所有投标人的投标文件，按照报价由低到高的顺序排列。</w:t>
            </w:r>
          </w:p>
        </w:tc>
      </w:tr>
      <w:tr w14:paraId="76653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6928BF61">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14:paraId="6F482F7C">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14:paraId="3707043E">
            <w:pPr>
              <w:spacing w:line="400" w:lineRule="exact"/>
              <w:ind w:firstLine="420" w:firstLineChars="200"/>
              <w:jc w:val="left"/>
              <w:rPr>
                <w:rFonts w:ascii="宋体" w:hAnsi="宋体"/>
                <w:kern w:val="0"/>
              </w:rPr>
            </w:pPr>
            <w:r>
              <w:rPr>
                <w:rFonts w:hint="eastAsia" w:ascii="宋体" w:hAnsi="宋体"/>
                <w:kern w:val="0"/>
              </w:rPr>
              <w:t>取报价排序前7名（若实际投标人数量小于勾选数量，</w:t>
            </w:r>
            <w:r>
              <w:rPr>
                <w:rFonts w:hint="eastAsia" w:ascii="宋体" w:hAnsi="宋体"/>
                <w:spacing w:val="4"/>
                <w:kern w:val="0"/>
                <w:szCs w:val="21"/>
              </w:rPr>
              <w:t>则全部纳入）进行符合性审查。符合性审查内容：资格评审、形式评审、响应性评审。符合性审查</w:t>
            </w:r>
            <w:r>
              <w:rPr>
                <w:rFonts w:hint="eastAsia" w:ascii="宋体" w:hAnsi="宋体"/>
                <w:kern w:val="0"/>
              </w:rPr>
              <w:t>合格的投标人中，报价最低的成为第一中标候选人，报价次低的成为第二中标候选人，依次类推。</w:t>
            </w:r>
          </w:p>
        </w:tc>
      </w:tr>
      <w:tr w14:paraId="3769D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03DFB0EC">
            <w:pPr>
              <w:spacing w:line="400" w:lineRule="exact"/>
              <w:jc w:val="center"/>
              <w:rPr>
                <w:rFonts w:ascii="宋体" w:hAnsi="宋体" w:cs="宋体"/>
                <w:szCs w:val="21"/>
              </w:rPr>
            </w:pPr>
            <w:r>
              <w:rPr>
                <w:rFonts w:hint="eastAsia" w:ascii="宋体" w:hAnsi="宋体" w:cs="宋体"/>
                <w:szCs w:val="21"/>
              </w:rPr>
              <w:t>2.2.2</w:t>
            </w:r>
          </w:p>
        </w:tc>
        <w:tc>
          <w:tcPr>
            <w:tcW w:w="1560" w:type="dxa"/>
            <w:vMerge w:val="restart"/>
            <w:tcBorders>
              <w:left w:val="single" w:color="auto" w:sz="4" w:space="0"/>
              <w:right w:val="single" w:color="auto" w:sz="4" w:space="0"/>
            </w:tcBorders>
            <w:vAlign w:val="center"/>
          </w:tcPr>
          <w:p w14:paraId="0BFB5628">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14:paraId="2BC97BCC">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14:paraId="304B0489">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7E997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DA19B3E">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7832D4CD">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6873FA1">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14:paraId="40562CFB">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3A285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2198371">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51BECAC1">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77F4176E">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14:paraId="46284441">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3100B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0759280">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705307A7">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F3BECB8">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14:paraId="6CF9421B">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7A31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381F8DD">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71AD976F">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61A47A84">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14:paraId="272BB5B1">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06BD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5B79A8C">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26C48947">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37B13918">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14:paraId="5249A459">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14:paraId="7D472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2AADC1AF">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60" w:type="dxa"/>
            <w:vMerge w:val="restart"/>
            <w:tcBorders>
              <w:left w:val="single" w:color="auto" w:sz="4" w:space="0"/>
            </w:tcBorders>
            <w:vAlign w:val="center"/>
          </w:tcPr>
          <w:p w14:paraId="010F83BC">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14:paraId="510891D5">
            <w:pPr>
              <w:spacing w:line="400" w:lineRule="exact"/>
              <w:jc w:val="left"/>
              <w:rPr>
                <w:rFonts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14:paraId="1F23EBC9">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14:paraId="39FF5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40AB617">
            <w:pPr>
              <w:spacing w:line="400" w:lineRule="exact"/>
              <w:jc w:val="center"/>
              <w:rPr>
                <w:rFonts w:ascii="宋体" w:hAnsi="宋体"/>
                <w:b/>
                <w:kern w:val="0"/>
              </w:rPr>
            </w:pPr>
          </w:p>
        </w:tc>
        <w:tc>
          <w:tcPr>
            <w:tcW w:w="1560" w:type="dxa"/>
            <w:vMerge w:val="continue"/>
            <w:tcBorders>
              <w:left w:val="single" w:color="auto" w:sz="4" w:space="0"/>
            </w:tcBorders>
            <w:vAlign w:val="center"/>
          </w:tcPr>
          <w:p w14:paraId="4C5AFF69">
            <w:pPr>
              <w:spacing w:line="400" w:lineRule="exact"/>
              <w:jc w:val="center"/>
              <w:rPr>
                <w:rFonts w:ascii="宋体" w:hAnsi="宋体"/>
                <w:b/>
                <w:kern w:val="0"/>
              </w:rPr>
            </w:pPr>
          </w:p>
        </w:tc>
        <w:tc>
          <w:tcPr>
            <w:tcW w:w="2267" w:type="dxa"/>
            <w:tcBorders>
              <w:right w:val="single" w:color="auto" w:sz="4" w:space="0"/>
            </w:tcBorders>
            <w:vAlign w:val="center"/>
          </w:tcPr>
          <w:p w14:paraId="646F392D">
            <w:pPr>
              <w:spacing w:line="400" w:lineRule="exact"/>
              <w:jc w:val="left"/>
              <w:rPr>
                <w:rFonts w:ascii="宋体" w:hAnsi="宋体" w:cs="宋体"/>
                <w:kern w:val="0"/>
              </w:rPr>
            </w:pPr>
            <w:r>
              <w:rPr>
                <w:rFonts w:hint="eastAsia" w:ascii="宋体" w:hAnsi="宋体" w:cs="宋体"/>
                <w:kern w:val="0"/>
              </w:rPr>
              <w:t>投标函签名盖章</w:t>
            </w:r>
          </w:p>
        </w:tc>
        <w:tc>
          <w:tcPr>
            <w:tcW w:w="4615" w:type="dxa"/>
            <w:tcBorders>
              <w:left w:val="single" w:color="auto" w:sz="4" w:space="0"/>
            </w:tcBorders>
            <w:vAlign w:val="center"/>
          </w:tcPr>
          <w:p w14:paraId="1C2260CF">
            <w:pPr>
              <w:snapToGrid w:val="0"/>
              <w:spacing w:line="400" w:lineRule="exact"/>
              <w:ind w:firstLine="420" w:firstLineChars="200"/>
              <w:rPr>
                <w:rFonts w:ascii="宋体" w:hAnsi="宋体" w:cs="宋体"/>
                <w:kern w:val="0"/>
              </w:rPr>
            </w:pPr>
            <w:r>
              <w:rPr>
                <w:rFonts w:hint="eastAsia" w:ascii="宋体" w:hAnsi="宋体" w:cs="宋体"/>
                <w:kern w:val="0"/>
              </w:rPr>
              <w:t>投标函格式规定签名、盖章的位置有法定代表人或其委托代理人签名（或盖章）、加盖单位法人章。</w:t>
            </w:r>
          </w:p>
        </w:tc>
      </w:tr>
      <w:tr w14:paraId="6574F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FB7CB57">
            <w:pPr>
              <w:spacing w:line="400" w:lineRule="exact"/>
              <w:jc w:val="center"/>
              <w:rPr>
                <w:rFonts w:ascii="宋体" w:hAnsi="宋体"/>
                <w:b/>
                <w:kern w:val="0"/>
              </w:rPr>
            </w:pPr>
          </w:p>
        </w:tc>
        <w:tc>
          <w:tcPr>
            <w:tcW w:w="1560" w:type="dxa"/>
            <w:vMerge w:val="continue"/>
            <w:tcBorders>
              <w:left w:val="single" w:color="auto" w:sz="4" w:space="0"/>
            </w:tcBorders>
            <w:vAlign w:val="center"/>
          </w:tcPr>
          <w:p w14:paraId="57C00BF4">
            <w:pPr>
              <w:spacing w:line="400" w:lineRule="exact"/>
              <w:jc w:val="center"/>
              <w:rPr>
                <w:rFonts w:ascii="宋体" w:hAnsi="宋体"/>
                <w:b/>
                <w:kern w:val="0"/>
              </w:rPr>
            </w:pPr>
          </w:p>
        </w:tc>
        <w:tc>
          <w:tcPr>
            <w:tcW w:w="2267" w:type="dxa"/>
            <w:tcBorders>
              <w:right w:val="single" w:color="auto" w:sz="4" w:space="0"/>
            </w:tcBorders>
            <w:vAlign w:val="center"/>
          </w:tcPr>
          <w:p w14:paraId="43727ABE">
            <w:pPr>
              <w:spacing w:line="400" w:lineRule="exact"/>
              <w:jc w:val="left"/>
              <w:rPr>
                <w:rFonts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14:paraId="62896BB2">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w:t>
            </w:r>
          </w:p>
        </w:tc>
      </w:tr>
      <w:tr w14:paraId="34C5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244C6DA">
            <w:pPr>
              <w:spacing w:line="400" w:lineRule="exact"/>
              <w:jc w:val="center"/>
              <w:rPr>
                <w:rFonts w:ascii="宋体" w:hAnsi="宋体"/>
                <w:b/>
                <w:kern w:val="0"/>
              </w:rPr>
            </w:pPr>
          </w:p>
        </w:tc>
        <w:tc>
          <w:tcPr>
            <w:tcW w:w="1560" w:type="dxa"/>
            <w:vMerge w:val="continue"/>
            <w:tcBorders>
              <w:left w:val="single" w:color="auto" w:sz="4" w:space="0"/>
            </w:tcBorders>
            <w:vAlign w:val="center"/>
          </w:tcPr>
          <w:p w14:paraId="7BE99EE2">
            <w:pPr>
              <w:spacing w:line="400" w:lineRule="exact"/>
              <w:jc w:val="center"/>
              <w:rPr>
                <w:rFonts w:ascii="宋体" w:hAnsi="宋体"/>
                <w:b/>
                <w:kern w:val="0"/>
              </w:rPr>
            </w:pPr>
          </w:p>
        </w:tc>
        <w:tc>
          <w:tcPr>
            <w:tcW w:w="2267" w:type="dxa"/>
            <w:tcBorders>
              <w:right w:val="single" w:color="auto" w:sz="4" w:space="0"/>
            </w:tcBorders>
            <w:vAlign w:val="center"/>
          </w:tcPr>
          <w:p w14:paraId="057CBD8A">
            <w:pPr>
              <w:spacing w:line="400" w:lineRule="exact"/>
              <w:jc w:val="left"/>
              <w:rPr>
                <w:rFonts w:ascii="宋体" w:hAnsi="宋体" w:cs="宋体"/>
                <w:kern w:val="0"/>
              </w:rPr>
            </w:pPr>
            <w:r>
              <w:rPr>
                <w:rFonts w:hint="eastAsia" w:ascii="宋体" w:hAnsi="宋体" w:cs="宋体"/>
                <w:kern w:val="0"/>
              </w:rPr>
              <w:t>投标文件份数</w:t>
            </w:r>
          </w:p>
        </w:tc>
        <w:tc>
          <w:tcPr>
            <w:tcW w:w="4615" w:type="dxa"/>
            <w:tcBorders>
              <w:left w:val="single" w:color="auto" w:sz="4" w:space="0"/>
            </w:tcBorders>
            <w:vAlign w:val="center"/>
          </w:tcPr>
          <w:p w14:paraId="512A3675">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符合第二章“投标人须知”第3.7.4项规定。</w:t>
            </w:r>
          </w:p>
        </w:tc>
      </w:tr>
      <w:tr w14:paraId="163CB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DE2C71F">
            <w:pPr>
              <w:spacing w:line="400" w:lineRule="exact"/>
              <w:jc w:val="center"/>
              <w:rPr>
                <w:rFonts w:ascii="宋体" w:hAnsi="宋体"/>
                <w:b/>
                <w:kern w:val="0"/>
              </w:rPr>
            </w:pPr>
          </w:p>
        </w:tc>
        <w:tc>
          <w:tcPr>
            <w:tcW w:w="1560" w:type="dxa"/>
            <w:vMerge w:val="continue"/>
            <w:tcBorders>
              <w:left w:val="single" w:color="auto" w:sz="4" w:space="0"/>
            </w:tcBorders>
            <w:vAlign w:val="center"/>
          </w:tcPr>
          <w:p w14:paraId="771F9EAA">
            <w:pPr>
              <w:spacing w:line="400" w:lineRule="exact"/>
              <w:jc w:val="center"/>
              <w:rPr>
                <w:rFonts w:ascii="宋体" w:hAnsi="宋体"/>
                <w:b/>
                <w:kern w:val="0"/>
              </w:rPr>
            </w:pPr>
          </w:p>
        </w:tc>
        <w:tc>
          <w:tcPr>
            <w:tcW w:w="2267" w:type="dxa"/>
            <w:tcBorders>
              <w:right w:val="single" w:color="auto" w:sz="4" w:space="0"/>
            </w:tcBorders>
            <w:vAlign w:val="center"/>
          </w:tcPr>
          <w:p w14:paraId="33EA05D3">
            <w:pPr>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14:paraId="12D99FC9">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只能有一个有效报价。在招标文件没有规定的情况下，不得提交选择性报价。</w:t>
            </w:r>
          </w:p>
        </w:tc>
      </w:tr>
      <w:tr w14:paraId="24A4E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9BD9473">
            <w:pPr>
              <w:spacing w:line="400" w:lineRule="exact"/>
              <w:jc w:val="center"/>
              <w:rPr>
                <w:rFonts w:ascii="宋体" w:hAnsi="宋体"/>
                <w:b/>
                <w:kern w:val="0"/>
              </w:rPr>
            </w:pPr>
          </w:p>
        </w:tc>
        <w:tc>
          <w:tcPr>
            <w:tcW w:w="1560" w:type="dxa"/>
            <w:vMerge w:val="continue"/>
            <w:tcBorders>
              <w:left w:val="single" w:color="auto" w:sz="4" w:space="0"/>
            </w:tcBorders>
            <w:vAlign w:val="center"/>
          </w:tcPr>
          <w:p w14:paraId="181B31AD">
            <w:pPr>
              <w:spacing w:line="400" w:lineRule="exact"/>
              <w:jc w:val="center"/>
              <w:rPr>
                <w:rFonts w:ascii="宋体" w:hAnsi="宋体"/>
                <w:b/>
                <w:kern w:val="0"/>
              </w:rPr>
            </w:pPr>
          </w:p>
        </w:tc>
        <w:tc>
          <w:tcPr>
            <w:tcW w:w="2267" w:type="dxa"/>
            <w:tcBorders>
              <w:right w:val="single" w:color="auto" w:sz="4" w:space="0"/>
            </w:tcBorders>
            <w:vAlign w:val="center"/>
          </w:tcPr>
          <w:p w14:paraId="6FCFCD23">
            <w:pPr>
              <w:spacing w:line="400" w:lineRule="exact"/>
              <w:jc w:val="left"/>
              <w:rPr>
                <w:rFonts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14:paraId="53151775">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投标文件格式要求法定代表人或其委托代理人签名（或盖章）的须齐全。</w:t>
            </w:r>
          </w:p>
          <w:p w14:paraId="2ED00197">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14:paraId="4DEB0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18180ED">
            <w:pPr>
              <w:spacing w:line="400" w:lineRule="exact"/>
              <w:jc w:val="center"/>
              <w:rPr>
                <w:rFonts w:ascii="宋体" w:hAnsi="宋体"/>
                <w:b/>
                <w:kern w:val="0"/>
              </w:rPr>
            </w:pPr>
          </w:p>
        </w:tc>
        <w:tc>
          <w:tcPr>
            <w:tcW w:w="1560" w:type="dxa"/>
            <w:vMerge w:val="continue"/>
            <w:tcBorders>
              <w:left w:val="single" w:color="auto" w:sz="4" w:space="0"/>
            </w:tcBorders>
            <w:vAlign w:val="center"/>
          </w:tcPr>
          <w:p w14:paraId="03F465D3">
            <w:pPr>
              <w:spacing w:line="400" w:lineRule="exact"/>
              <w:jc w:val="center"/>
              <w:rPr>
                <w:rFonts w:ascii="宋体" w:hAnsi="宋体"/>
                <w:b/>
                <w:kern w:val="0"/>
              </w:rPr>
            </w:pPr>
          </w:p>
        </w:tc>
        <w:tc>
          <w:tcPr>
            <w:tcW w:w="2267" w:type="dxa"/>
            <w:tcBorders>
              <w:right w:val="single" w:color="auto" w:sz="4" w:space="0"/>
            </w:tcBorders>
            <w:vAlign w:val="center"/>
          </w:tcPr>
          <w:p w14:paraId="7A4CF21E">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14:paraId="2441ADF4">
            <w:pPr>
              <w:snapToGrid w:val="0"/>
              <w:spacing w:after="78" w:afterLines="25"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w:t>
            </w:r>
          </w:p>
        </w:tc>
      </w:tr>
      <w:tr w14:paraId="40E5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74707F5D">
            <w:pPr>
              <w:spacing w:line="400" w:lineRule="exact"/>
              <w:jc w:val="center"/>
              <w:rPr>
                <w:rFonts w:ascii="宋体" w:hAnsi="宋体"/>
                <w:kern w:val="0"/>
              </w:rPr>
            </w:pPr>
            <w:r>
              <w:rPr>
                <w:rFonts w:hint="eastAsia" w:ascii="宋体" w:hAnsi="宋体"/>
                <w:kern w:val="0"/>
              </w:rPr>
              <w:t>2.2.4</w:t>
            </w:r>
          </w:p>
        </w:tc>
        <w:tc>
          <w:tcPr>
            <w:tcW w:w="1560" w:type="dxa"/>
            <w:vMerge w:val="restart"/>
            <w:tcBorders>
              <w:left w:val="single" w:color="auto" w:sz="4" w:space="0"/>
            </w:tcBorders>
            <w:vAlign w:val="center"/>
          </w:tcPr>
          <w:p w14:paraId="693D5031">
            <w:pPr>
              <w:spacing w:line="400" w:lineRule="exact"/>
              <w:jc w:val="center"/>
              <w:rPr>
                <w:rFonts w:ascii="宋体" w:hAnsi="宋体"/>
                <w:kern w:val="0"/>
              </w:rPr>
            </w:pPr>
            <w:r>
              <w:rPr>
                <w:rFonts w:hint="eastAsia" w:ascii="宋体" w:hAnsi="宋体"/>
                <w:kern w:val="0"/>
              </w:rPr>
              <w:t>响应性评审标准</w:t>
            </w:r>
          </w:p>
        </w:tc>
        <w:tc>
          <w:tcPr>
            <w:tcW w:w="2267" w:type="dxa"/>
            <w:tcBorders>
              <w:right w:val="single" w:color="auto" w:sz="4" w:space="0"/>
            </w:tcBorders>
            <w:vAlign w:val="center"/>
          </w:tcPr>
          <w:p w14:paraId="7A4084F8">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14:paraId="66084BDC">
            <w:pPr>
              <w:snapToGrid w:val="0"/>
              <w:spacing w:line="400" w:lineRule="exact"/>
              <w:ind w:firstLine="420" w:firstLineChars="200"/>
              <w:rPr>
                <w:rFonts w:ascii="宋体" w:hAnsi="宋体" w:cs="宋体"/>
                <w:szCs w:val="21"/>
              </w:rPr>
            </w:pPr>
            <w:r>
              <w:rPr>
                <w:rFonts w:hint="eastAsia" w:ascii="宋体" w:hAnsi="宋体" w:cs="宋体"/>
                <w:szCs w:val="21"/>
              </w:rPr>
              <w:t>1.投标总报价必须与已标价工程量清单总报价一致。</w:t>
            </w:r>
          </w:p>
          <w:p w14:paraId="53B8E40E">
            <w:pPr>
              <w:snapToGrid w:val="0"/>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投标总报价不得高于招标人公布的投标总报价最高限价。</w:t>
            </w:r>
          </w:p>
          <w:p w14:paraId="261BE91A">
            <w:pPr>
              <w:spacing w:line="400" w:lineRule="exact"/>
              <w:ind w:firstLine="420" w:firstLineChars="200"/>
              <w:jc w:val="left"/>
              <w:rPr>
                <w:rFonts w:ascii="宋体" w:hAnsi="宋体" w:cs="宋体"/>
                <w:bCs/>
                <w:szCs w:val="21"/>
              </w:rPr>
            </w:pPr>
            <w:r>
              <w:rPr>
                <w:rFonts w:hint="eastAsia" w:ascii="宋体" w:hAnsi="宋体" w:cs="宋体"/>
                <w:szCs w:val="21"/>
              </w:rPr>
              <w:t>3.投标总报价低于最高限价85%的，投标人应在编制投标文件时，在投标函部分中递交低价风险担保缴纳承诺书。</w:t>
            </w:r>
            <w:r>
              <w:rPr>
                <w:rFonts w:hint="eastAsia" w:ascii="宋体" w:hAnsi="宋体" w:cs="宋体"/>
                <w:bCs/>
                <w:szCs w:val="21"/>
              </w:rPr>
              <w:t>承诺书格式详见第八章投标文件格式。</w:t>
            </w:r>
          </w:p>
        </w:tc>
      </w:tr>
      <w:tr w14:paraId="4C6F1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842B994">
            <w:pPr>
              <w:spacing w:line="400" w:lineRule="exact"/>
              <w:jc w:val="center"/>
              <w:rPr>
                <w:rFonts w:ascii="宋体" w:hAnsi="宋体"/>
                <w:kern w:val="0"/>
              </w:rPr>
            </w:pPr>
          </w:p>
        </w:tc>
        <w:tc>
          <w:tcPr>
            <w:tcW w:w="1560" w:type="dxa"/>
            <w:vMerge w:val="continue"/>
            <w:tcBorders>
              <w:left w:val="single" w:color="auto" w:sz="4" w:space="0"/>
            </w:tcBorders>
            <w:vAlign w:val="center"/>
          </w:tcPr>
          <w:p w14:paraId="305D565F">
            <w:pPr>
              <w:spacing w:line="400" w:lineRule="exact"/>
              <w:jc w:val="center"/>
              <w:rPr>
                <w:rFonts w:ascii="宋体" w:hAnsi="宋体"/>
                <w:kern w:val="0"/>
              </w:rPr>
            </w:pPr>
          </w:p>
        </w:tc>
        <w:tc>
          <w:tcPr>
            <w:tcW w:w="2267" w:type="dxa"/>
            <w:tcBorders>
              <w:right w:val="single" w:color="auto" w:sz="4" w:space="0"/>
            </w:tcBorders>
            <w:vAlign w:val="center"/>
          </w:tcPr>
          <w:p w14:paraId="071CB6A2">
            <w:pPr>
              <w:snapToGrid w:val="0"/>
              <w:spacing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14:paraId="4D65CD78">
            <w:pPr>
              <w:snapToGrid w:val="0"/>
              <w:spacing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暂列金额、暂估价、安全文明施工费等暂定金额必须按照招标文件给定的金额填报。</w:t>
            </w:r>
          </w:p>
        </w:tc>
      </w:tr>
      <w:tr w14:paraId="78541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B71BC75">
            <w:pPr>
              <w:spacing w:line="400" w:lineRule="exact"/>
              <w:jc w:val="center"/>
              <w:rPr>
                <w:rFonts w:ascii="宋体" w:hAnsi="宋体"/>
                <w:kern w:val="0"/>
              </w:rPr>
            </w:pPr>
          </w:p>
        </w:tc>
        <w:tc>
          <w:tcPr>
            <w:tcW w:w="1560" w:type="dxa"/>
            <w:vMerge w:val="continue"/>
            <w:tcBorders>
              <w:left w:val="single" w:color="auto" w:sz="4" w:space="0"/>
            </w:tcBorders>
            <w:vAlign w:val="center"/>
          </w:tcPr>
          <w:p w14:paraId="43979517">
            <w:pPr>
              <w:spacing w:line="400" w:lineRule="exact"/>
              <w:jc w:val="center"/>
              <w:rPr>
                <w:rFonts w:ascii="宋体" w:hAnsi="宋体"/>
                <w:kern w:val="0"/>
              </w:rPr>
            </w:pPr>
          </w:p>
        </w:tc>
        <w:tc>
          <w:tcPr>
            <w:tcW w:w="2267" w:type="dxa"/>
            <w:tcBorders>
              <w:right w:val="single" w:color="auto" w:sz="4" w:space="0"/>
            </w:tcBorders>
            <w:vAlign w:val="center"/>
          </w:tcPr>
          <w:p w14:paraId="6EE76776">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14:paraId="2942C9AA">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14:paraId="53650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D744EDB">
            <w:pPr>
              <w:spacing w:line="400" w:lineRule="exact"/>
              <w:jc w:val="center"/>
              <w:rPr>
                <w:rFonts w:ascii="宋体" w:hAnsi="宋体"/>
                <w:kern w:val="0"/>
              </w:rPr>
            </w:pPr>
          </w:p>
        </w:tc>
        <w:tc>
          <w:tcPr>
            <w:tcW w:w="1560" w:type="dxa"/>
            <w:vMerge w:val="continue"/>
            <w:tcBorders>
              <w:left w:val="single" w:color="auto" w:sz="4" w:space="0"/>
            </w:tcBorders>
            <w:vAlign w:val="center"/>
          </w:tcPr>
          <w:p w14:paraId="3EE29730">
            <w:pPr>
              <w:spacing w:line="400" w:lineRule="exact"/>
              <w:jc w:val="center"/>
              <w:rPr>
                <w:rFonts w:ascii="宋体" w:hAnsi="宋体"/>
                <w:kern w:val="0"/>
              </w:rPr>
            </w:pPr>
          </w:p>
        </w:tc>
        <w:tc>
          <w:tcPr>
            <w:tcW w:w="2267" w:type="dxa"/>
            <w:tcBorders>
              <w:right w:val="single" w:color="auto" w:sz="4" w:space="0"/>
            </w:tcBorders>
            <w:vAlign w:val="center"/>
          </w:tcPr>
          <w:p w14:paraId="57BAEF75">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14:paraId="1E1FDF63">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符合第二章“投标人须知”第1.3.2项规定</w:t>
            </w:r>
          </w:p>
        </w:tc>
      </w:tr>
      <w:tr w14:paraId="6D7C9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ECC7A27">
            <w:pPr>
              <w:spacing w:line="400" w:lineRule="exact"/>
              <w:jc w:val="center"/>
              <w:rPr>
                <w:rFonts w:ascii="宋体" w:hAnsi="宋体"/>
                <w:kern w:val="0"/>
              </w:rPr>
            </w:pPr>
          </w:p>
        </w:tc>
        <w:tc>
          <w:tcPr>
            <w:tcW w:w="1560" w:type="dxa"/>
            <w:vMerge w:val="continue"/>
            <w:tcBorders>
              <w:left w:val="single" w:color="auto" w:sz="4" w:space="0"/>
            </w:tcBorders>
            <w:vAlign w:val="center"/>
          </w:tcPr>
          <w:p w14:paraId="4A5EA9D6">
            <w:pPr>
              <w:spacing w:line="400" w:lineRule="exact"/>
              <w:jc w:val="center"/>
              <w:rPr>
                <w:rFonts w:ascii="宋体" w:hAnsi="宋体"/>
                <w:kern w:val="0"/>
              </w:rPr>
            </w:pPr>
          </w:p>
        </w:tc>
        <w:tc>
          <w:tcPr>
            <w:tcW w:w="2267" w:type="dxa"/>
            <w:tcBorders>
              <w:right w:val="single" w:color="auto" w:sz="4" w:space="0"/>
            </w:tcBorders>
            <w:vAlign w:val="center"/>
          </w:tcPr>
          <w:p w14:paraId="284C4F1B">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14:paraId="6AEAF235">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符合第二章“投标人须知”第1.3.3项规定</w:t>
            </w:r>
          </w:p>
        </w:tc>
      </w:tr>
      <w:tr w14:paraId="2ACCC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09459DD">
            <w:pPr>
              <w:spacing w:line="400" w:lineRule="exact"/>
              <w:jc w:val="center"/>
              <w:rPr>
                <w:rFonts w:ascii="宋体" w:hAnsi="宋体"/>
                <w:kern w:val="0"/>
              </w:rPr>
            </w:pPr>
          </w:p>
        </w:tc>
        <w:tc>
          <w:tcPr>
            <w:tcW w:w="1560" w:type="dxa"/>
            <w:vMerge w:val="continue"/>
            <w:tcBorders>
              <w:left w:val="single" w:color="auto" w:sz="4" w:space="0"/>
            </w:tcBorders>
            <w:vAlign w:val="center"/>
          </w:tcPr>
          <w:p w14:paraId="3D471D96">
            <w:pPr>
              <w:spacing w:line="400" w:lineRule="exact"/>
              <w:jc w:val="center"/>
              <w:rPr>
                <w:rFonts w:ascii="宋体" w:hAnsi="宋体"/>
                <w:kern w:val="0"/>
              </w:rPr>
            </w:pPr>
          </w:p>
        </w:tc>
        <w:tc>
          <w:tcPr>
            <w:tcW w:w="2267" w:type="dxa"/>
            <w:tcBorders>
              <w:right w:val="single" w:color="auto" w:sz="4" w:space="0"/>
            </w:tcBorders>
            <w:vAlign w:val="center"/>
          </w:tcPr>
          <w:p w14:paraId="28495A40">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14:paraId="59733CEA">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符合第二章“投标人须知”第3.3.1项规定</w:t>
            </w:r>
          </w:p>
        </w:tc>
      </w:tr>
      <w:tr w14:paraId="24463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883A00A">
            <w:pPr>
              <w:spacing w:line="400" w:lineRule="exact"/>
              <w:jc w:val="center"/>
              <w:rPr>
                <w:rFonts w:ascii="宋体" w:hAnsi="宋体"/>
                <w:kern w:val="0"/>
              </w:rPr>
            </w:pPr>
          </w:p>
        </w:tc>
        <w:tc>
          <w:tcPr>
            <w:tcW w:w="1560" w:type="dxa"/>
            <w:vMerge w:val="continue"/>
            <w:tcBorders>
              <w:left w:val="single" w:color="auto" w:sz="4" w:space="0"/>
            </w:tcBorders>
            <w:vAlign w:val="center"/>
          </w:tcPr>
          <w:p w14:paraId="12F7C3D9">
            <w:pPr>
              <w:spacing w:line="400" w:lineRule="exact"/>
              <w:jc w:val="center"/>
              <w:rPr>
                <w:rFonts w:ascii="宋体" w:hAnsi="宋体"/>
                <w:kern w:val="0"/>
              </w:rPr>
            </w:pPr>
          </w:p>
        </w:tc>
        <w:tc>
          <w:tcPr>
            <w:tcW w:w="2267" w:type="dxa"/>
            <w:tcBorders>
              <w:right w:val="single" w:color="auto" w:sz="4" w:space="0"/>
            </w:tcBorders>
            <w:vAlign w:val="center"/>
          </w:tcPr>
          <w:p w14:paraId="2BCF3BAB">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14:paraId="6666D033">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符合第二章“投标人须知前附表”第3.4项规定。</w:t>
            </w:r>
          </w:p>
        </w:tc>
      </w:tr>
      <w:tr w14:paraId="770CC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A42FDD6">
            <w:pPr>
              <w:spacing w:line="400" w:lineRule="exact"/>
              <w:jc w:val="center"/>
              <w:rPr>
                <w:rFonts w:ascii="宋体" w:hAnsi="宋体"/>
                <w:kern w:val="0"/>
              </w:rPr>
            </w:pPr>
          </w:p>
        </w:tc>
        <w:tc>
          <w:tcPr>
            <w:tcW w:w="1560" w:type="dxa"/>
            <w:vMerge w:val="continue"/>
            <w:tcBorders>
              <w:left w:val="single" w:color="auto" w:sz="4" w:space="0"/>
            </w:tcBorders>
            <w:vAlign w:val="center"/>
          </w:tcPr>
          <w:p w14:paraId="093ABDA6">
            <w:pPr>
              <w:spacing w:line="400" w:lineRule="exact"/>
              <w:jc w:val="center"/>
              <w:rPr>
                <w:rFonts w:ascii="宋体" w:hAnsi="宋体"/>
                <w:kern w:val="0"/>
              </w:rPr>
            </w:pPr>
          </w:p>
        </w:tc>
        <w:tc>
          <w:tcPr>
            <w:tcW w:w="2267" w:type="dxa"/>
            <w:tcBorders>
              <w:right w:val="single" w:color="auto" w:sz="4" w:space="0"/>
            </w:tcBorders>
            <w:vAlign w:val="center"/>
          </w:tcPr>
          <w:p w14:paraId="1DDD5EA7">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14:paraId="6AE38C3F">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符合第四章“合同条款及格式”规定，投标文件不应附有招标人不能接受的条件。（由投标人承诺，承诺书格式详见第八章投标文件格式。）</w:t>
            </w:r>
          </w:p>
        </w:tc>
      </w:tr>
      <w:tr w14:paraId="40658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3EE59A6">
            <w:pPr>
              <w:spacing w:line="400" w:lineRule="exact"/>
              <w:jc w:val="center"/>
              <w:rPr>
                <w:rFonts w:ascii="宋体" w:hAnsi="宋体"/>
                <w:kern w:val="0"/>
              </w:rPr>
            </w:pPr>
          </w:p>
        </w:tc>
        <w:tc>
          <w:tcPr>
            <w:tcW w:w="1560" w:type="dxa"/>
            <w:vMerge w:val="continue"/>
            <w:tcBorders>
              <w:left w:val="single" w:color="auto" w:sz="4" w:space="0"/>
            </w:tcBorders>
            <w:vAlign w:val="center"/>
          </w:tcPr>
          <w:p w14:paraId="1D8C8FCC">
            <w:pPr>
              <w:spacing w:line="400" w:lineRule="exact"/>
              <w:jc w:val="center"/>
              <w:rPr>
                <w:rFonts w:ascii="宋体" w:hAnsi="宋体"/>
                <w:kern w:val="0"/>
              </w:rPr>
            </w:pPr>
          </w:p>
        </w:tc>
        <w:tc>
          <w:tcPr>
            <w:tcW w:w="2267" w:type="dxa"/>
            <w:tcBorders>
              <w:right w:val="single" w:color="auto" w:sz="4" w:space="0"/>
            </w:tcBorders>
            <w:vAlign w:val="center"/>
          </w:tcPr>
          <w:p w14:paraId="5C8A0FE1">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14:paraId="2FF4CF6D">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14:paraId="13017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2A1BF18">
            <w:pPr>
              <w:spacing w:line="400" w:lineRule="exact"/>
              <w:jc w:val="center"/>
              <w:rPr>
                <w:rFonts w:ascii="宋体" w:hAnsi="宋体"/>
                <w:kern w:val="0"/>
              </w:rPr>
            </w:pPr>
          </w:p>
        </w:tc>
        <w:tc>
          <w:tcPr>
            <w:tcW w:w="1560" w:type="dxa"/>
            <w:vMerge w:val="continue"/>
            <w:tcBorders>
              <w:left w:val="single" w:color="auto" w:sz="4" w:space="0"/>
            </w:tcBorders>
            <w:vAlign w:val="center"/>
          </w:tcPr>
          <w:p w14:paraId="1DD0A336">
            <w:pPr>
              <w:spacing w:line="400" w:lineRule="exact"/>
              <w:jc w:val="center"/>
              <w:rPr>
                <w:rFonts w:ascii="宋体" w:hAnsi="宋体"/>
                <w:kern w:val="0"/>
              </w:rPr>
            </w:pPr>
          </w:p>
        </w:tc>
        <w:tc>
          <w:tcPr>
            <w:tcW w:w="2267" w:type="dxa"/>
            <w:tcBorders>
              <w:right w:val="single" w:color="auto" w:sz="4" w:space="0"/>
            </w:tcBorders>
            <w:vAlign w:val="center"/>
          </w:tcPr>
          <w:p w14:paraId="414D47FD">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14:paraId="570CDD08">
            <w:pPr>
              <w:spacing w:after="62" w:afterLines="20" w:line="400" w:lineRule="exact"/>
              <w:ind w:firstLine="420" w:firstLineChars="200"/>
              <w:rPr>
                <w:rFonts w:ascii="宋体" w:hAnsi="宋体" w:cs="宋体"/>
                <w:kern w:val="0"/>
              </w:rPr>
            </w:pPr>
            <w:r>
              <w:rPr>
                <w:rFonts w:hint="eastAsia" w:ascii="宋体" w:hAnsi="宋体" w:cs="宋体"/>
                <w:kern w:val="0"/>
              </w:rPr>
              <w:t>投标人承诺满足以下内容：</w:t>
            </w:r>
          </w:p>
          <w:p w14:paraId="4D36EA04">
            <w:pPr>
              <w:spacing w:after="62" w:afterLines="20"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14:paraId="46DD11BB">
            <w:pPr>
              <w:snapToGrid w:val="0"/>
              <w:spacing w:after="31" w:afterLines="10" w:line="400" w:lineRule="exact"/>
              <w:ind w:firstLine="420" w:firstLineChars="200"/>
              <w:rPr>
                <w:rFonts w:ascii="宋体" w:hAnsi="宋体" w:cs="宋体"/>
                <w:kern w:val="0"/>
              </w:rPr>
            </w:pPr>
            <w:r>
              <w:rPr>
                <w:rFonts w:hint="eastAsia" w:ascii="宋体" w:hAnsi="宋体" w:cs="宋体"/>
                <w:kern w:val="0"/>
              </w:rPr>
              <w:t>2.招标文件中规定工程量清单不允许修改的内容不得修改。</w:t>
            </w:r>
          </w:p>
          <w:p w14:paraId="7C6098FD">
            <w:pPr>
              <w:snapToGrid w:val="0"/>
              <w:spacing w:after="31" w:afterLines="10" w:line="400" w:lineRule="exact"/>
              <w:ind w:firstLine="420" w:firstLineChars="200"/>
              <w:rPr>
                <w:rFonts w:ascii="宋体" w:hAnsi="宋体" w:cs="宋体"/>
                <w:kern w:val="0"/>
              </w:rPr>
            </w:pPr>
            <w:r>
              <w:rPr>
                <w:rFonts w:hint="eastAsia" w:ascii="宋体" w:hAnsi="宋体" w:cs="宋体"/>
                <w:kern w:val="0"/>
              </w:rPr>
              <w:t>3.每项工程量清单综合单价报价不得高于对应工程量清单综合单价最高限价。</w:t>
            </w:r>
          </w:p>
        </w:tc>
      </w:tr>
      <w:tr w14:paraId="220DE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0137A97">
            <w:pPr>
              <w:spacing w:line="400" w:lineRule="exact"/>
              <w:jc w:val="center"/>
              <w:rPr>
                <w:rFonts w:ascii="宋体" w:hAnsi="宋体"/>
                <w:kern w:val="0"/>
              </w:rPr>
            </w:pPr>
          </w:p>
        </w:tc>
        <w:tc>
          <w:tcPr>
            <w:tcW w:w="1560" w:type="dxa"/>
            <w:vMerge w:val="continue"/>
            <w:tcBorders>
              <w:left w:val="single" w:color="auto" w:sz="4" w:space="0"/>
            </w:tcBorders>
            <w:vAlign w:val="center"/>
          </w:tcPr>
          <w:p w14:paraId="05B4C84F">
            <w:pPr>
              <w:spacing w:line="400" w:lineRule="exact"/>
              <w:jc w:val="center"/>
              <w:rPr>
                <w:rFonts w:ascii="宋体" w:hAnsi="宋体"/>
                <w:kern w:val="0"/>
              </w:rPr>
            </w:pPr>
          </w:p>
        </w:tc>
        <w:tc>
          <w:tcPr>
            <w:tcW w:w="2267" w:type="dxa"/>
            <w:tcBorders>
              <w:right w:val="single" w:color="auto" w:sz="4" w:space="0"/>
            </w:tcBorders>
            <w:vAlign w:val="center"/>
          </w:tcPr>
          <w:p w14:paraId="5C0F4EE5">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14:paraId="1296D6A6">
            <w:pPr>
              <w:snapToGrid w:val="0"/>
              <w:spacing w:line="400" w:lineRule="exact"/>
              <w:ind w:firstLine="420" w:firstLineChars="200"/>
              <w:rPr>
                <w:rFonts w:ascii="宋体" w:hAnsi="宋体" w:cs="宋体"/>
                <w:kern w:val="0"/>
              </w:rPr>
            </w:pPr>
            <w:r>
              <w:rPr>
                <w:rFonts w:hint="eastAsia" w:ascii="宋体" w:hAnsi="宋体" w:cs="宋体"/>
                <w:kern w:val="0"/>
              </w:rPr>
              <w:t>符合第三章3.评标程序第3.2.3项规定。</w:t>
            </w:r>
          </w:p>
        </w:tc>
      </w:tr>
      <w:tr w14:paraId="1EDC0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A77B2C3">
            <w:pPr>
              <w:spacing w:line="400" w:lineRule="exact"/>
              <w:jc w:val="center"/>
              <w:rPr>
                <w:rFonts w:ascii="宋体" w:hAnsi="宋体"/>
                <w:kern w:val="0"/>
              </w:rPr>
            </w:pPr>
          </w:p>
        </w:tc>
        <w:tc>
          <w:tcPr>
            <w:tcW w:w="1560" w:type="dxa"/>
            <w:vMerge w:val="continue"/>
            <w:tcBorders>
              <w:left w:val="single" w:color="auto" w:sz="4" w:space="0"/>
            </w:tcBorders>
            <w:vAlign w:val="center"/>
          </w:tcPr>
          <w:p w14:paraId="64F4FA60">
            <w:pPr>
              <w:spacing w:line="400" w:lineRule="exact"/>
              <w:jc w:val="center"/>
              <w:rPr>
                <w:rFonts w:ascii="宋体" w:hAnsi="宋体"/>
                <w:kern w:val="0"/>
              </w:rPr>
            </w:pPr>
          </w:p>
        </w:tc>
        <w:tc>
          <w:tcPr>
            <w:tcW w:w="2267" w:type="dxa"/>
            <w:tcBorders>
              <w:right w:val="single" w:color="auto" w:sz="4" w:space="0"/>
            </w:tcBorders>
            <w:vAlign w:val="center"/>
          </w:tcPr>
          <w:p w14:paraId="1D9B8095">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14:paraId="1760AC27">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符合第二章“投标人须知”第1.4.3项规定。</w:t>
            </w:r>
          </w:p>
          <w:p w14:paraId="5915E1F9">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14:paraId="63D9F624">
            <w:pPr>
              <w:snapToGrid w:val="0"/>
              <w:spacing w:after="31" w:afterLines="10"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14:paraId="37760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4021C6CE">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14:paraId="049A9EB5">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14:paraId="56C6A189">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w:t>
            </w:r>
          </w:p>
          <w:p w14:paraId="7F87E0EB">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14:paraId="75EE6974">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14:paraId="6E380D1E">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14:paraId="727A0086">
            <w:pPr>
              <w:spacing w:after="31" w:afterLines="10"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w:t>
            </w:r>
            <w:r>
              <w:rPr>
                <w:rFonts w:hint="eastAsia" w:ascii="宋体" w:hAnsi="宋体" w:cs="Times New Roman"/>
                <w:spacing w:val="4"/>
                <w:kern w:val="0"/>
                <w:szCs w:val="21"/>
              </w:rPr>
              <w:t>按照企业资质等级高原则排序；上述均相同的，由评标委员会现场抽签决定。</w:t>
            </w:r>
          </w:p>
        </w:tc>
      </w:tr>
      <w:tr w14:paraId="10491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1D1F8341">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7F8D4B7B">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14:paraId="611C6A1A">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14:paraId="7DF1E4B8">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tc>
      </w:tr>
    </w:tbl>
    <w:p w14:paraId="443588E8">
      <w:pPr>
        <w:pStyle w:val="4"/>
        <w:spacing w:before="0" w:after="0" w:line="360" w:lineRule="auto"/>
        <w:rPr>
          <w:rFonts w:ascii="宋体" w:hAnsi="宋体"/>
          <w:bCs w:val="0"/>
          <w:snapToGrid w:val="0"/>
        </w:rPr>
      </w:pPr>
      <w:r>
        <w:rPr>
          <w:rFonts w:ascii="宋体" w:hAnsi="宋体"/>
          <w:bCs w:val="0"/>
          <w:snapToGrid w:val="0"/>
        </w:rPr>
        <w:br w:type="page"/>
      </w:r>
      <w:bookmarkStart w:id="584" w:name="_Toc22282"/>
      <w:bookmarkStart w:id="585" w:name="_Toc57905886"/>
      <w:bookmarkStart w:id="586" w:name="_Toc27750"/>
      <w:r>
        <w:rPr>
          <w:rFonts w:ascii="宋体" w:hAnsi="宋体"/>
          <w:b w:val="0"/>
          <w:snapToGrid w:val="0"/>
        </w:rPr>
        <w:t>1.  评标方法</w:t>
      </w:r>
      <w:bookmarkEnd w:id="584"/>
      <w:bookmarkEnd w:id="585"/>
      <w:bookmarkEnd w:id="586"/>
    </w:p>
    <w:p w14:paraId="2819067D">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14:paraId="2035EF15">
      <w:pPr>
        <w:pStyle w:val="4"/>
        <w:spacing w:before="0" w:after="0" w:line="360" w:lineRule="auto"/>
        <w:rPr>
          <w:rFonts w:ascii="宋体" w:hAnsi="宋体"/>
          <w:b w:val="0"/>
          <w:snapToGrid w:val="0"/>
        </w:rPr>
      </w:pPr>
      <w:bookmarkStart w:id="587" w:name="_Toc5369"/>
      <w:bookmarkStart w:id="588" w:name="_Toc20502"/>
      <w:bookmarkStart w:id="589" w:name="_Toc57905887"/>
      <w:r>
        <w:rPr>
          <w:rFonts w:ascii="宋体" w:hAnsi="宋体"/>
          <w:b w:val="0"/>
          <w:snapToGrid w:val="0"/>
        </w:rPr>
        <w:t>2.  评审标准</w:t>
      </w:r>
      <w:bookmarkEnd w:id="587"/>
      <w:bookmarkEnd w:id="588"/>
      <w:bookmarkEnd w:id="589"/>
    </w:p>
    <w:p w14:paraId="64538D2E">
      <w:pPr>
        <w:pStyle w:val="5"/>
        <w:spacing w:before="0" w:after="0" w:line="360" w:lineRule="auto"/>
        <w:rPr>
          <w:rFonts w:ascii="宋体" w:hAnsi="宋体" w:cs="宋体"/>
          <w:sz w:val="21"/>
          <w:szCs w:val="21"/>
        </w:rPr>
      </w:pPr>
      <w:bookmarkStart w:id="590" w:name="_Toc3739"/>
      <w:bookmarkStart w:id="591" w:name="_Toc57905888"/>
      <w:bookmarkStart w:id="592" w:name="_Toc8295"/>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bookmarkEnd w:id="590"/>
      <w:r>
        <w:rPr>
          <w:rFonts w:hint="eastAsia" w:ascii="宋体" w:hAnsi="宋体" w:cs="宋体"/>
          <w:sz w:val="21"/>
          <w:szCs w:val="21"/>
        </w:rPr>
        <w:t>标准</w:t>
      </w:r>
      <w:bookmarkEnd w:id="591"/>
      <w:bookmarkEnd w:id="592"/>
    </w:p>
    <w:p w14:paraId="75389151">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14:paraId="2F026CFC">
      <w:pPr>
        <w:pStyle w:val="5"/>
        <w:spacing w:before="0" w:after="0" w:line="360" w:lineRule="auto"/>
        <w:rPr>
          <w:rFonts w:ascii="宋体" w:hAnsi="宋体" w:cs="宋体"/>
          <w:sz w:val="21"/>
          <w:szCs w:val="21"/>
        </w:rPr>
      </w:pPr>
      <w:bookmarkStart w:id="593" w:name="_Toc16832"/>
      <w:bookmarkStart w:id="594" w:name="_Toc57905889"/>
      <w:bookmarkStart w:id="595" w:name="_Toc7772"/>
      <w:r>
        <w:rPr>
          <w:rFonts w:ascii="宋体" w:hAnsi="宋体" w:cs="宋体"/>
          <w:sz w:val="21"/>
          <w:szCs w:val="21"/>
        </w:rPr>
        <w:t>2.</w:t>
      </w:r>
      <w:r>
        <w:rPr>
          <w:rFonts w:hint="eastAsia" w:ascii="宋体" w:hAnsi="宋体" w:cs="宋体"/>
          <w:sz w:val="21"/>
          <w:szCs w:val="21"/>
        </w:rPr>
        <w:t>2符合性审查</w:t>
      </w:r>
      <w:bookmarkEnd w:id="593"/>
      <w:r>
        <w:rPr>
          <w:rFonts w:hint="eastAsia" w:ascii="宋体" w:hAnsi="宋体" w:cs="宋体"/>
          <w:sz w:val="21"/>
          <w:szCs w:val="21"/>
        </w:rPr>
        <w:t>标准</w:t>
      </w:r>
      <w:bookmarkEnd w:id="594"/>
      <w:bookmarkEnd w:id="595"/>
    </w:p>
    <w:p w14:paraId="244DB12A">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。符合性审查内容：资格评审、形式评审、响应性评审。</w:t>
      </w:r>
    </w:p>
    <w:p w14:paraId="62B8CDD5">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  技术方案评审标准：见评标办法前附表。</w:t>
      </w:r>
    </w:p>
    <w:p w14:paraId="271AD69D">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资格评审标准：见评标办法前附表。</w:t>
      </w:r>
    </w:p>
    <w:p w14:paraId="5A170337">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14:paraId="6DB82028">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14:paraId="2B0304FE">
      <w:pPr>
        <w:pStyle w:val="4"/>
        <w:spacing w:before="0" w:after="0" w:line="360" w:lineRule="auto"/>
        <w:rPr>
          <w:rFonts w:ascii="宋体" w:hAnsi="宋体"/>
          <w:b w:val="0"/>
          <w:snapToGrid w:val="0"/>
        </w:rPr>
      </w:pPr>
      <w:bookmarkStart w:id="596" w:name="_Toc13296"/>
      <w:bookmarkStart w:id="597" w:name="_Toc57905890"/>
      <w:bookmarkStart w:id="598" w:name="_Toc6630"/>
      <w:r>
        <w:rPr>
          <w:rFonts w:ascii="宋体" w:hAnsi="宋体"/>
          <w:b w:val="0"/>
          <w:snapToGrid w:val="0"/>
        </w:rPr>
        <w:t>3.  评标程序</w:t>
      </w:r>
      <w:bookmarkEnd w:id="596"/>
      <w:bookmarkEnd w:id="597"/>
      <w:bookmarkEnd w:id="598"/>
    </w:p>
    <w:p w14:paraId="6FFCCEB6">
      <w:pPr>
        <w:pStyle w:val="5"/>
        <w:spacing w:before="0" w:after="0" w:line="360" w:lineRule="auto"/>
        <w:rPr>
          <w:rFonts w:ascii="宋体" w:hAnsi="宋体" w:cs="宋体"/>
          <w:sz w:val="21"/>
          <w:szCs w:val="21"/>
        </w:rPr>
      </w:pPr>
      <w:bookmarkStart w:id="599" w:name="_Toc57905891"/>
      <w:bookmarkStart w:id="600" w:name="_Toc13381"/>
      <w:bookmarkStart w:id="601" w:name="_Toc17317"/>
      <w:r>
        <w:rPr>
          <w:rFonts w:ascii="宋体" w:hAnsi="宋体" w:cs="宋体"/>
          <w:sz w:val="21"/>
          <w:szCs w:val="21"/>
        </w:rPr>
        <w:t>3.1</w:t>
      </w:r>
      <w:r>
        <w:rPr>
          <w:rFonts w:hint="eastAsia" w:ascii="宋体" w:hAnsi="宋体" w:cs="宋体"/>
          <w:sz w:val="21"/>
          <w:szCs w:val="21"/>
        </w:rPr>
        <w:t>报价排序</w:t>
      </w:r>
      <w:bookmarkEnd w:id="599"/>
      <w:bookmarkEnd w:id="600"/>
      <w:bookmarkEnd w:id="601"/>
    </w:p>
    <w:p w14:paraId="7588250C">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w:t>
      </w:r>
    </w:p>
    <w:p w14:paraId="6676945C">
      <w:pPr>
        <w:pStyle w:val="5"/>
        <w:spacing w:before="0" w:after="0" w:line="360" w:lineRule="auto"/>
        <w:rPr>
          <w:rFonts w:ascii="宋体" w:hAnsi="宋体" w:cs="宋体"/>
          <w:sz w:val="21"/>
          <w:szCs w:val="21"/>
        </w:rPr>
      </w:pPr>
      <w:bookmarkStart w:id="602" w:name="_Toc23300"/>
      <w:bookmarkStart w:id="603" w:name="_Toc57905892"/>
      <w:bookmarkStart w:id="604" w:name="_Toc25028"/>
      <w:r>
        <w:rPr>
          <w:rFonts w:ascii="宋体" w:hAnsi="宋体" w:cs="宋体"/>
          <w:sz w:val="21"/>
          <w:szCs w:val="21"/>
        </w:rPr>
        <w:t>3.</w:t>
      </w:r>
      <w:r>
        <w:rPr>
          <w:rFonts w:hint="eastAsia" w:ascii="宋体" w:hAnsi="宋体" w:cs="宋体"/>
          <w:sz w:val="21"/>
          <w:szCs w:val="21"/>
        </w:rPr>
        <w:t>2符合性审查</w:t>
      </w:r>
      <w:bookmarkEnd w:id="602"/>
      <w:bookmarkEnd w:id="603"/>
      <w:bookmarkEnd w:id="604"/>
    </w:p>
    <w:p w14:paraId="5D4BCEE5">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款规定的标准对投标文件进行符合性审查。符合性审查顺序：资格评审、形式评审、响应性评审。</w:t>
      </w:r>
    </w:p>
    <w:p w14:paraId="3B001900">
      <w:pPr>
        <w:spacing w:line="360" w:lineRule="auto"/>
        <w:ind w:firstLine="413" w:firstLineChars="197"/>
        <w:rPr>
          <w:rFonts w:ascii="宋体" w:hAnsi="宋体" w:cs="宋体"/>
          <w:szCs w:val="21"/>
        </w:rPr>
      </w:pPr>
      <w:r>
        <w:rPr>
          <w:rFonts w:hint="eastAsia" w:ascii="宋体" w:hAnsi="宋体" w:cs="宋体"/>
          <w:szCs w:val="21"/>
        </w:rPr>
        <w:t>按照资格、形式、响应性的顺序进行评审。有一项不符合评审标准的，作否决投标处理。</w:t>
      </w:r>
    </w:p>
    <w:p w14:paraId="7D85A901">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14:paraId="185AA7A8">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14:paraId="0699CE79">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14:paraId="5A70C0A0">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14:paraId="497EF10E">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14:paraId="6CC5A2DA">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14:paraId="437F32FA">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（2）投标函中的总报价与已标价工程量清单总报价不一致的，由评标委员会作否决投标处理。</w:t>
      </w:r>
    </w:p>
    <w:p w14:paraId="3F25B0B5">
      <w:pPr>
        <w:pStyle w:val="5"/>
        <w:spacing w:before="0" w:after="0" w:line="360" w:lineRule="auto"/>
        <w:rPr>
          <w:rFonts w:ascii="宋体" w:hAnsi="宋体" w:cs="宋体"/>
          <w:sz w:val="21"/>
          <w:szCs w:val="21"/>
        </w:rPr>
      </w:pPr>
      <w:bookmarkStart w:id="605" w:name="_Toc57905893"/>
      <w:bookmarkStart w:id="606" w:name="_Toc5505"/>
      <w:bookmarkStart w:id="607" w:name="_Toc14527"/>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605"/>
      <w:bookmarkEnd w:id="606"/>
      <w:bookmarkEnd w:id="607"/>
    </w:p>
    <w:p w14:paraId="365CA182">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51ACB117">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14:paraId="13CD0E28">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14:paraId="7EB3B2A0">
      <w:pPr>
        <w:pStyle w:val="5"/>
        <w:spacing w:before="0" w:after="0" w:line="360" w:lineRule="auto"/>
        <w:rPr>
          <w:rFonts w:ascii="宋体" w:hAnsi="宋体" w:cs="宋体"/>
          <w:sz w:val="21"/>
          <w:szCs w:val="21"/>
        </w:rPr>
      </w:pPr>
      <w:bookmarkStart w:id="608" w:name="_Toc57905894"/>
      <w:bookmarkStart w:id="609" w:name="_Toc484465184"/>
      <w:bookmarkStart w:id="610" w:name="_Toc479262406"/>
      <w:bookmarkStart w:id="611" w:name="_Toc26860"/>
      <w:bookmarkStart w:id="612" w:name="_Toc5276"/>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608"/>
      <w:bookmarkEnd w:id="609"/>
      <w:bookmarkEnd w:id="610"/>
      <w:bookmarkEnd w:id="611"/>
      <w:bookmarkEnd w:id="612"/>
    </w:p>
    <w:p w14:paraId="529A807C">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除第二章“投标人须知”前附表授权直接确定中标人外，评标委员会按经评审的最低投标价法推荐中标候选人。</w:t>
      </w:r>
    </w:p>
    <w:p w14:paraId="444E6F21">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评标委员会完成评标后，应当向招标人提交书面评标报告和中标候选人名单。</w:t>
      </w:r>
    </w:p>
    <w:p w14:paraId="6379315B">
      <w:pPr>
        <w:pStyle w:val="33"/>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14:paraId="4B3EEC5D">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0F5F3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486348A">
            <w:pPr>
              <w:spacing w:line="400" w:lineRule="exact"/>
              <w:jc w:val="center"/>
              <w:rPr>
                <w:rFonts w:ascii="宋体" w:hAnsi="宋体"/>
                <w:b/>
                <w:szCs w:val="21"/>
              </w:rPr>
            </w:pPr>
            <w:r>
              <w:rPr>
                <w:rFonts w:ascii="宋体" w:hAnsi="宋体"/>
                <w:b/>
                <w:szCs w:val="21"/>
              </w:rPr>
              <w:t>章节号</w:t>
            </w:r>
          </w:p>
        </w:tc>
        <w:tc>
          <w:tcPr>
            <w:tcW w:w="1899" w:type="dxa"/>
            <w:vAlign w:val="center"/>
          </w:tcPr>
          <w:p w14:paraId="2B00779F">
            <w:pPr>
              <w:spacing w:line="400" w:lineRule="exact"/>
              <w:jc w:val="center"/>
              <w:rPr>
                <w:rFonts w:ascii="宋体" w:hAnsi="宋体"/>
                <w:b/>
                <w:szCs w:val="21"/>
              </w:rPr>
            </w:pPr>
            <w:r>
              <w:rPr>
                <w:rFonts w:ascii="宋体" w:hAnsi="宋体"/>
                <w:b/>
                <w:szCs w:val="21"/>
              </w:rPr>
              <w:t>条款名称</w:t>
            </w:r>
          </w:p>
        </w:tc>
        <w:tc>
          <w:tcPr>
            <w:tcW w:w="6333" w:type="dxa"/>
            <w:vAlign w:val="center"/>
          </w:tcPr>
          <w:p w14:paraId="67847EFF">
            <w:pPr>
              <w:spacing w:line="400" w:lineRule="exact"/>
              <w:jc w:val="center"/>
              <w:rPr>
                <w:rFonts w:ascii="宋体" w:hAnsi="宋体"/>
                <w:b/>
                <w:szCs w:val="21"/>
              </w:rPr>
            </w:pPr>
            <w:r>
              <w:rPr>
                <w:rFonts w:ascii="宋体" w:hAnsi="宋体"/>
                <w:b/>
                <w:szCs w:val="21"/>
              </w:rPr>
              <w:t>否决投标条件</w:t>
            </w:r>
          </w:p>
        </w:tc>
      </w:tr>
      <w:tr w14:paraId="785B3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0A7691B8">
            <w:pPr>
              <w:spacing w:line="400" w:lineRule="exact"/>
              <w:jc w:val="center"/>
              <w:rPr>
                <w:rFonts w:ascii="宋体" w:hAnsi="宋体"/>
                <w:szCs w:val="21"/>
              </w:rPr>
            </w:pPr>
            <w:r>
              <w:rPr>
                <w:rFonts w:hint="eastAsia" w:ascii="宋体" w:hAnsi="宋体"/>
                <w:szCs w:val="21"/>
              </w:rPr>
              <w:t>第三章</w:t>
            </w:r>
          </w:p>
        </w:tc>
        <w:tc>
          <w:tcPr>
            <w:tcW w:w="1899" w:type="dxa"/>
            <w:vAlign w:val="center"/>
          </w:tcPr>
          <w:p w14:paraId="42C90CC2">
            <w:pPr>
              <w:spacing w:line="400" w:lineRule="exact"/>
              <w:jc w:val="center"/>
              <w:rPr>
                <w:rFonts w:ascii="宋体" w:hAnsi="宋体"/>
                <w:szCs w:val="21"/>
              </w:rPr>
            </w:pPr>
            <w:r>
              <w:rPr>
                <w:rFonts w:hint="eastAsia" w:ascii="宋体" w:hAnsi="宋体"/>
                <w:szCs w:val="21"/>
              </w:rPr>
              <w:t>技术方案评审</w:t>
            </w:r>
          </w:p>
          <w:p w14:paraId="45DD2601">
            <w:pPr>
              <w:spacing w:line="400" w:lineRule="exact"/>
              <w:jc w:val="center"/>
              <w:rPr>
                <w:rFonts w:ascii="宋体" w:hAnsi="宋体"/>
                <w:szCs w:val="21"/>
              </w:rPr>
            </w:pPr>
            <w:r>
              <w:rPr>
                <w:rFonts w:hint="eastAsia" w:ascii="宋体" w:hAnsi="宋体"/>
                <w:szCs w:val="21"/>
              </w:rPr>
              <w:t>（如有）</w:t>
            </w:r>
          </w:p>
        </w:tc>
        <w:tc>
          <w:tcPr>
            <w:tcW w:w="6333" w:type="dxa"/>
            <w:vAlign w:val="center"/>
          </w:tcPr>
          <w:p w14:paraId="65D7AE3D">
            <w:pPr>
              <w:spacing w:line="400" w:lineRule="exact"/>
              <w:ind w:firstLine="420" w:firstLineChars="200"/>
              <w:rPr>
                <w:rFonts w:ascii="宋体" w:hAnsi="宋体"/>
                <w:szCs w:val="21"/>
              </w:rPr>
            </w:pPr>
            <w:r>
              <w:rPr>
                <w:rFonts w:hint="eastAsia" w:ascii="宋体" w:hAnsi="宋体"/>
                <w:szCs w:val="21"/>
              </w:rPr>
              <w:t>A-1投标人的技术方案综合性评审不合格，由评标委员会作否决投标处理。</w:t>
            </w:r>
          </w:p>
        </w:tc>
      </w:tr>
      <w:tr w14:paraId="49D49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EF1DE31">
            <w:pPr>
              <w:spacing w:line="400" w:lineRule="exact"/>
              <w:jc w:val="center"/>
              <w:rPr>
                <w:rFonts w:ascii="宋体" w:hAnsi="宋体"/>
                <w:szCs w:val="21"/>
              </w:rPr>
            </w:pPr>
          </w:p>
        </w:tc>
        <w:tc>
          <w:tcPr>
            <w:tcW w:w="1899" w:type="dxa"/>
            <w:vMerge w:val="restart"/>
            <w:vAlign w:val="center"/>
          </w:tcPr>
          <w:p w14:paraId="47732241">
            <w:pPr>
              <w:spacing w:line="400" w:lineRule="exact"/>
              <w:jc w:val="center"/>
              <w:rPr>
                <w:rFonts w:ascii="宋体" w:hAnsi="宋体"/>
                <w:szCs w:val="21"/>
              </w:rPr>
            </w:pPr>
            <w:r>
              <w:rPr>
                <w:rFonts w:hint="eastAsia" w:ascii="宋体" w:hAnsi="宋体"/>
                <w:szCs w:val="21"/>
              </w:rPr>
              <w:t>资格评审</w:t>
            </w:r>
          </w:p>
        </w:tc>
        <w:tc>
          <w:tcPr>
            <w:tcW w:w="6333" w:type="dxa"/>
            <w:vAlign w:val="center"/>
          </w:tcPr>
          <w:p w14:paraId="7BAC0376">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14:paraId="675F71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C6D8709">
            <w:pPr>
              <w:spacing w:line="400" w:lineRule="exact"/>
              <w:jc w:val="center"/>
              <w:rPr>
                <w:rFonts w:ascii="宋体" w:hAnsi="宋体"/>
                <w:szCs w:val="21"/>
              </w:rPr>
            </w:pPr>
          </w:p>
        </w:tc>
        <w:tc>
          <w:tcPr>
            <w:tcW w:w="1899" w:type="dxa"/>
            <w:vMerge w:val="continue"/>
            <w:vAlign w:val="center"/>
          </w:tcPr>
          <w:p w14:paraId="2A1D5268">
            <w:pPr>
              <w:spacing w:line="400" w:lineRule="exact"/>
              <w:jc w:val="center"/>
              <w:rPr>
                <w:rFonts w:ascii="宋体" w:hAnsi="宋体"/>
                <w:szCs w:val="21"/>
              </w:rPr>
            </w:pPr>
          </w:p>
        </w:tc>
        <w:tc>
          <w:tcPr>
            <w:tcW w:w="6333" w:type="dxa"/>
            <w:vAlign w:val="center"/>
          </w:tcPr>
          <w:p w14:paraId="161E34A2">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14:paraId="0BD7E1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B27C748">
            <w:pPr>
              <w:spacing w:line="400" w:lineRule="exact"/>
              <w:jc w:val="center"/>
              <w:rPr>
                <w:rFonts w:ascii="宋体" w:hAnsi="宋体"/>
                <w:szCs w:val="21"/>
              </w:rPr>
            </w:pPr>
          </w:p>
        </w:tc>
        <w:tc>
          <w:tcPr>
            <w:tcW w:w="1899" w:type="dxa"/>
            <w:vMerge w:val="continue"/>
            <w:vAlign w:val="center"/>
          </w:tcPr>
          <w:p w14:paraId="6CA70BCF">
            <w:pPr>
              <w:spacing w:line="400" w:lineRule="exact"/>
              <w:jc w:val="center"/>
              <w:rPr>
                <w:rFonts w:ascii="宋体" w:hAnsi="宋体"/>
                <w:szCs w:val="21"/>
              </w:rPr>
            </w:pPr>
          </w:p>
        </w:tc>
        <w:tc>
          <w:tcPr>
            <w:tcW w:w="6333" w:type="dxa"/>
            <w:vAlign w:val="center"/>
          </w:tcPr>
          <w:p w14:paraId="45DCFE4B">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14:paraId="0BBEB0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D4F6131">
            <w:pPr>
              <w:spacing w:line="400" w:lineRule="exact"/>
              <w:jc w:val="center"/>
              <w:rPr>
                <w:rFonts w:ascii="宋体" w:hAnsi="宋体"/>
                <w:szCs w:val="21"/>
              </w:rPr>
            </w:pPr>
          </w:p>
        </w:tc>
        <w:tc>
          <w:tcPr>
            <w:tcW w:w="1899" w:type="dxa"/>
            <w:vMerge w:val="continue"/>
            <w:vAlign w:val="center"/>
          </w:tcPr>
          <w:p w14:paraId="0707C230">
            <w:pPr>
              <w:spacing w:line="400" w:lineRule="exact"/>
              <w:jc w:val="center"/>
              <w:rPr>
                <w:rFonts w:ascii="宋体" w:hAnsi="宋体"/>
                <w:szCs w:val="21"/>
              </w:rPr>
            </w:pPr>
          </w:p>
        </w:tc>
        <w:tc>
          <w:tcPr>
            <w:tcW w:w="6333" w:type="dxa"/>
            <w:vAlign w:val="center"/>
          </w:tcPr>
          <w:p w14:paraId="1D5F5F4F">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A-5投标人的投标截止日投标资格情况须满足投标人须知前附表1.4.1项第4条的要求，否则由评标委员会作否决投标处理。</w:t>
            </w:r>
          </w:p>
        </w:tc>
      </w:tr>
      <w:tr w14:paraId="037821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2C1963F">
            <w:pPr>
              <w:spacing w:line="400" w:lineRule="exact"/>
              <w:jc w:val="center"/>
              <w:rPr>
                <w:rFonts w:ascii="宋体" w:hAnsi="宋体"/>
                <w:szCs w:val="21"/>
              </w:rPr>
            </w:pPr>
          </w:p>
        </w:tc>
        <w:tc>
          <w:tcPr>
            <w:tcW w:w="1899" w:type="dxa"/>
            <w:vMerge w:val="continue"/>
            <w:vAlign w:val="center"/>
          </w:tcPr>
          <w:p w14:paraId="057B5F84">
            <w:pPr>
              <w:spacing w:line="400" w:lineRule="exact"/>
              <w:jc w:val="center"/>
              <w:rPr>
                <w:rFonts w:ascii="宋体" w:hAnsi="宋体"/>
                <w:szCs w:val="21"/>
              </w:rPr>
            </w:pPr>
          </w:p>
        </w:tc>
        <w:tc>
          <w:tcPr>
            <w:tcW w:w="6333" w:type="dxa"/>
            <w:vAlign w:val="center"/>
          </w:tcPr>
          <w:p w14:paraId="41B9595D">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14:paraId="2AC96E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C3DB64D">
            <w:pPr>
              <w:spacing w:line="400" w:lineRule="exact"/>
              <w:jc w:val="center"/>
              <w:rPr>
                <w:rFonts w:ascii="宋体" w:hAnsi="宋体"/>
                <w:szCs w:val="21"/>
              </w:rPr>
            </w:pPr>
          </w:p>
        </w:tc>
        <w:tc>
          <w:tcPr>
            <w:tcW w:w="1899" w:type="dxa"/>
            <w:vMerge w:val="continue"/>
            <w:vAlign w:val="center"/>
          </w:tcPr>
          <w:p w14:paraId="306F6FE8">
            <w:pPr>
              <w:spacing w:line="400" w:lineRule="exact"/>
              <w:jc w:val="center"/>
              <w:rPr>
                <w:rFonts w:ascii="宋体" w:hAnsi="宋体"/>
                <w:szCs w:val="21"/>
              </w:rPr>
            </w:pPr>
          </w:p>
        </w:tc>
        <w:tc>
          <w:tcPr>
            <w:tcW w:w="6333" w:type="dxa"/>
            <w:vAlign w:val="center"/>
          </w:tcPr>
          <w:p w14:paraId="11388732">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14:paraId="1E80CB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FBC599B">
            <w:pPr>
              <w:spacing w:line="400" w:lineRule="exact"/>
              <w:jc w:val="center"/>
              <w:rPr>
                <w:rFonts w:ascii="宋体" w:hAnsi="宋体"/>
                <w:szCs w:val="21"/>
              </w:rPr>
            </w:pPr>
          </w:p>
        </w:tc>
        <w:tc>
          <w:tcPr>
            <w:tcW w:w="1899" w:type="dxa"/>
            <w:vMerge w:val="continue"/>
            <w:vAlign w:val="center"/>
          </w:tcPr>
          <w:p w14:paraId="26087537">
            <w:pPr>
              <w:spacing w:line="400" w:lineRule="exact"/>
              <w:jc w:val="center"/>
              <w:rPr>
                <w:rFonts w:ascii="宋体" w:hAnsi="宋体"/>
                <w:szCs w:val="21"/>
              </w:rPr>
            </w:pPr>
          </w:p>
        </w:tc>
        <w:tc>
          <w:tcPr>
            <w:tcW w:w="6333" w:type="dxa"/>
            <w:vAlign w:val="center"/>
          </w:tcPr>
          <w:p w14:paraId="662B7250">
            <w:pPr>
              <w:spacing w:line="400" w:lineRule="exact"/>
              <w:ind w:firstLine="420" w:firstLineChars="200"/>
              <w:rPr>
                <w:rFonts w:ascii="宋体" w:hAnsi="宋体"/>
                <w:szCs w:val="21"/>
              </w:rPr>
            </w:pPr>
            <w:r>
              <w:rPr>
                <w:rFonts w:hint="eastAsia" w:ascii="宋体" w:hAnsi="宋体"/>
                <w:szCs w:val="21"/>
              </w:rPr>
              <w:t>A-8若有联合体投标人，则：</w:t>
            </w:r>
          </w:p>
          <w:p w14:paraId="0D889C63">
            <w:pPr>
              <w:spacing w:line="400" w:lineRule="exact"/>
              <w:ind w:firstLine="420" w:firstLineChars="200"/>
              <w:rPr>
                <w:rFonts w:ascii="宋体" w:hAnsi="宋体"/>
                <w:szCs w:val="21"/>
              </w:rPr>
            </w:pPr>
            <w:r>
              <w:rPr>
                <w:rFonts w:hint="eastAsia" w:ascii="宋体" w:hAnsi="宋体"/>
                <w:szCs w:val="21"/>
              </w:rPr>
              <w:t>（1）联合体各方应按照招标文件提供的格式签订联合体协议书，明确联合体牵头人和各方权利义务；</w:t>
            </w:r>
          </w:p>
          <w:p w14:paraId="69E2CCBF">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14:paraId="3D5C00D5">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14:paraId="3558C742">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14:paraId="7D629D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6CEBA00">
            <w:pPr>
              <w:spacing w:line="400" w:lineRule="exact"/>
              <w:jc w:val="center"/>
              <w:rPr>
                <w:rFonts w:ascii="宋体" w:hAnsi="宋体"/>
                <w:szCs w:val="21"/>
              </w:rPr>
            </w:pPr>
          </w:p>
        </w:tc>
        <w:tc>
          <w:tcPr>
            <w:tcW w:w="1899" w:type="dxa"/>
            <w:vMerge w:val="restart"/>
            <w:vAlign w:val="center"/>
          </w:tcPr>
          <w:p w14:paraId="1288FEDE">
            <w:pPr>
              <w:spacing w:line="400" w:lineRule="exact"/>
              <w:jc w:val="center"/>
              <w:rPr>
                <w:rFonts w:ascii="宋体" w:hAnsi="宋体"/>
                <w:szCs w:val="21"/>
              </w:rPr>
            </w:pPr>
            <w:r>
              <w:rPr>
                <w:rFonts w:hint="eastAsia" w:ascii="宋体" w:hAnsi="宋体"/>
                <w:szCs w:val="21"/>
              </w:rPr>
              <w:t>形式评审</w:t>
            </w:r>
          </w:p>
        </w:tc>
        <w:tc>
          <w:tcPr>
            <w:tcW w:w="6333" w:type="dxa"/>
          </w:tcPr>
          <w:p w14:paraId="7BAE88F5">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741C92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D440EB7">
            <w:pPr>
              <w:spacing w:line="400" w:lineRule="exact"/>
              <w:jc w:val="center"/>
              <w:rPr>
                <w:rFonts w:ascii="宋体" w:hAnsi="宋体"/>
                <w:szCs w:val="21"/>
              </w:rPr>
            </w:pPr>
          </w:p>
        </w:tc>
        <w:tc>
          <w:tcPr>
            <w:tcW w:w="1899" w:type="dxa"/>
            <w:vMerge w:val="continue"/>
            <w:vAlign w:val="center"/>
          </w:tcPr>
          <w:p w14:paraId="4803566B">
            <w:pPr>
              <w:spacing w:line="400" w:lineRule="exact"/>
              <w:jc w:val="center"/>
              <w:rPr>
                <w:rFonts w:ascii="宋体" w:hAnsi="宋体"/>
                <w:szCs w:val="21"/>
              </w:rPr>
            </w:pPr>
          </w:p>
        </w:tc>
        <w:tc>
          <w:tcPr>
            <w:tcW w:w="6333" w:type="dxa"/>
          </w:tcPr>
          <w:p w14:paraId="62C67981">
            <w:pPr>
              <w:spacing w:line="400" w:lineRule="exact"/>
              <w:ind w:firstLine="420" w:firstLineChars="200"/>
              <w:rPr>
                <w:rFonts w:ascii="宋体" w:hAnsi="宋体"/>
                <w:szCs w:val="21"/>
              </w:rPr>
            </w:pPr>
            <w:r>
              <w:rPr>
                <w:rFonts w:hint="eastAsia" w:ascii="宋体" w:hAnsi="宋体"/>
                <w:szCs w:val="21"/>
              </w:rPr>
              <w:t>A-10投标函格式规定签名、盖章的位置有法定代表人或其委托代理人签名（或盖章）、加盖单位法人章，否则由评标委员会作否决投标处理。</w:t>
            </w:r>
          </w:p>
        </w:tc>
      </w:tr>
      <w:tr w14:paraId="2F9706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AF0BA91">
            <w:pPr>
              <w:spacing w:line="400" w:lineRule="exact"/>
              <w:jc w:val="center"/>
              <w:rPr>
                <w:rFonts w:ascii="宋体" w:hAnsi="宋体"/>
                <w:szCs w:val="21"/>
              </w:rPr>
            </w:pPr>
          </w:p>
        </w:tc>
        <w:tc>
          <w:tcPr>
            <w:tcW w:w="1899" w:type="dxa"/>
            <w:vMerge w:val="continue"/>
            <w:vAlign w:val="center"/>
          </w:tcPr>
          <w:p w14:paraId="21A546FD">
            <w:pPr>
              <w:spacing w:line="400" w:lineRule="exact"/>
              <w:jc w:val="center"/>
              <w:rPr>
                <w:rFonts w:ascii="宋体" w:hAnsi="宋体"/>
                <w:szCs w:val="21"/>
              </w:rPr>
            </w:pPr>
          </w:p>
        </w:tc>
        <w:tc>
          <w:tcPr>
            <w:tcW w:w="6333" w:type="dxa"/>
          </w:tcPr>
          <w:p w14:paraId="08E60DB8">
            <w:pPr>
              <w:spacing w:line="400" w:lineRule="exact"/>
              <w:ind w:firstLine="420" w:firstLineChars="200"/>
              <w:rPr>
                <w:rFonts w:ascii="宋体" w:hAnsi="宋体"/>
                <w:szCs w:val="21"/>
              </w:rPr>
            </w:pPr>
            <w:r>
              <w:rPr>
                <w:rFonts w:hint="eastAsia" w:ascii="宋体" w:hAnsi="宋体"/>
                <w:szCs w:val="21"/>
              </w:rPr>
              <w:t>A-11投标文件格式符合第二章“投标人须知”第3.7款的要求，否则由评标委员会作否决投标处理。</w:t>
            </w:r>
          </w:p>
          <w:p w14:paraId="0C1D3384">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编制投标文件时不得对第八章“投标文件格式”的相应要素作实质性修改，否则由评标委员会作否决投标处理。</w:t>
            </w:r>
          </w:p>
        </w:tc>
      </w:tr>
      <w:tr w14:paraId="190111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D57A441">
            <w:pPr>
              <w:spacing w:line="400" w:lineRule="exact"/>
              <w:jc w:val="center"/>
              <w:rPr>
                <w:rFonts w:ascii="宋体" w:hAnsi="宋体"/>
                <w:szCs w:val="21"/>
              </w:rPr>
            </w:pPr>
          </w:p>
        </w:tc>
        <w:tc>
          <w:tcPr>
            <w:tcW w:w="1899" w:type="dxa"/>
            <w:vMerge w:val="continue"/>
            <w:vAlign w:val="center"/>
          </w:tcPr>
          <w:p w14:paraId="0961CC86">
            <w:pPr>
              <w:spacing w:line="400" w:lineRule="exact"/>
              <w:jc w:val="center"/>
              <w:rPr>
                <w:rFonts w:ascii="宋体" w:hAnsi="宋体"/>
                <w:szCs w:val="21"/>
              </w:rPr>
            </w:pPr>
          </w:p>
        </w:tc>
        <w:tc>
          <w:tcPr>
            <w:tcW w:w="6333" w:type="dxa"/>
          </w:tcPr>
          <w:p w14:paraId="70080A92">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A-12投标文件份数符合第二章“投标人须知”第3.7.4项的规定，</w:t>
            </w:r>
            <w:r>
              <w:rPr>
                <w:rFonts w:hint="eastAsia" w:ascii="宋体" w:hAnsi="宋体"/>
                <w:kern w:val="0"/>
                <w:szCs w:val="21"/>
              </w:rPr>
              <w:t>否则由评标委员会作否决投标处理。</w:t>
            </w:r>
          </w:p>
        </w:tc>
      </w:tr>
      <w:tr w14:paraId="30F0F0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0241052">
            <w:pPr>
              <w:spacing w:line="400" w:lineRule="exact"/>
              <w:jc w:val="center"/>
              <w:rPr>
                <w:rFonts w:ascii="宋体" w:hAnsi="宋体"/>
                <w:szCs w:val="21"/>
              </w:rPr>
            </w:pPr>
          </w:p>
        </w:tc>
        <w:tc>
          <w:tcPr>
            <w:tcW w:w="1899" w:type="dxa"/>
            <w:vMerge w:val="continue"/>
            <w:vAlign w:val="center"/>
          </w:tcPr>
          <w:p w14:paraId="4E16D0FB">
            <w:pPr>
              <w:spacing w:line="400" w:lineRule="exact"/>
              <w:jc w:val="center"/>
              <w:rPr>
                <w:rFonts w:ascii="宋体" w:hAnsi="宋体"/>
                <w:szCs w:val="21"/>
              </w:rPr>
            </w:pPr>
          </w:p>
        </w:tc>
        <w:tc>
          <w:tcPr>
            <w:tcW w:w="6333" w:type="dxa"/>
          </w:tcPr>
          <w:p w14:paraId="51C0824F">
            <w:pPr>
              <w:spacing w:line="400" w:lineRule="exact"/>
              <w:ind w:firstLine="420" w:firstLineChars="200"/>
              <w:rPr>
                <w:rFonts w:ascii="宋体" w:hAnsi="宋体"/>
                <w:szCs w:val="21"/>
              </w:rPr>
            </w:pPr>
            <w:r>
              <w:rPr>
                <w:rFonts w:hint="eastAsia" w:ascii="宋体" w:hAnsi="宋体"/>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1B2610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0F631A">
            <w:pPr>
              <w:spacing w:line="400" w:lineRule="exact"/>
              <w:jc w:val="center"/>
              <w:rPr>
                <w:rFonts w:ascii="宋体" w:hAnsi="宋体"/>
                <w:szCs w:val="21"/>
              </w:rPr>
            </w:pPr>
          </w:p>
        </w:tc>
        <w:tc>
          <w:tcPr>
            <w:tcW w:w="1899" w:type="dxa"/>
            <w:vMerge w:val="continue"/>
            <w:vAlign w:val="center"/>
          </w:tcPr>
          <w:p w14:paraId="62ED4A3A">
            <w:pPr>
              <w:spacing w:line="400" w:lineRule="exact"/>
              <w:jc w:val="center"/>
              <w:rPr>
                <w:rFonts w:ascii="宋体" w:hAnsi="宋体"/>
                <w:szCs w:val="21"/>
              </w:rPr>
            </w:pPr>
          </w:p>
        </w:tc>
        <w:tc>
          <w:tcPr>
            <w:tcW w:w="6333" w:type="dxa"/>
          </w:tcPr>
          <w:p w14:paraId="6C29CCA3">
            <w:pPr>
              <w:spacing w:line="400" w:lineRule="exact"/>
              <w:ind w:firstLine="420" w:firstLineChars="200"/>
              <w:rPr>
                <w:rFonts w:ascii="宋体" w:hAnsi="宋体"/>
                <w:szCs w:val="21"/>
              </w:rPr>
            </w:pPr>
            <w:r>
              <w:rPr>
                <w:rFonts w:hint="eastAsia" w:ascii="宋体" w:hAnsi="宋体"/>
                <w:szCs w:val="21"/>
              </w:rPr>
              <w:t>A-14只能有一个有效报价。在招标文件没有规定的情况下，不得提交选择性报价，否则由评标委员会作否决投标处理。</w:t>
            </w:r>
          </w:p>
        </w:tc>
      </w:tr>
      <w:tr w14:paraId="771B7A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B45C357">
            <w:pPr>
              <w:spacing w:line="400" w:lineRule="exact"/>
              <w:jc w:val="center"/>
              <w:rPr>
                <w:rFonts w:ascii="宋体" w:hAnsi="宋体"/>
                <w:szCs w:val="21"/>
              </w:rPr>
            </w:pPr>
          </w:p>
        </w:tc>
        <w:tc>
          <w:tcPr>
            <w:tcW w:w="1899" w:type="dxa"/>
            <w:vMerge w:val="continue"/>
            <w:vAlign w:val="center"/>
          </w:tcPr>
          <w:p w14:paraId="76CB17FE">
            <w:pPr>
              <w:spacing w:line="400" w:lineRule="exact"/>
              <w:jc w:val="center"/>
              <w:rPr>
                <w:rFonts w:ascii="宋体" w:hAnsi="宋体"/>
                <w:szCs w:val="21"/>
              </w:rPr>
            </w:pPr>
          </w:p>
        </w:tc>
        <w:tc>
          <w:tcPr>
            <w:tcW w:w="6333" w:type="dxa"/>
          </w:tcPr>
          <w:p w14:paraId="2C2A0646">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A-15</w:t>
            </w:r>
            <w:r>
              <w:rPr>
                <w:rFonts w:hint="eastAsia" w:ascii="宋体" w:hAnsi="宋体" w:cs="宋体"/>
                <w:kern w:val="0"/>
              </w:rPr>
              <w:t>第八章 投标文件格式要求法定代表人或其委托代理人签名（或盖章）的须齐全。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，否则由评标委员会作否决投标处理。</w:t>
            </w:r>
          </w:p>
        </w:tc>
      </w:tr>
      <w:tr w14:paraId="66508C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640A55">
            <w:pPr>
              <w:spacing w:line="400" w:lineRule="exact"/>
              <w:jc w:val="center"/>
              <w:rPr>
                <w:rFonts w:ascii="宋体" w:hAnsi="宋体"/>
                <w:szCs w:val="21"/>
              </w:rPr>
            </w:pPr>
          </w:p>
        </w:tc>
        <w:tc>
          <w:tcPr>
            <w:tcW w:w="1899" w:type="dxa"/>
            <w:vMerge w:val="continue"/>
            <w:vAlign w:val="center"/>
          </w:tcPr>
          <w:p w14:paraId="6349F0EC">
            <w:pPr>
              <w:spacing w:line="400" w:lineRule="exact"/>
              <w:jc w:val="center"/>
              <w:rPr>
                <w:rFonts w:ascii="宋体" w:hAnsi="宋体"/>
                <w:szCs w:val="21"/>
              </w:rPr>
            </w:pPr>
          </w:p>
        </w:tc>
        <w:tc>
          <w:tcPr>
            <w:tcW w:w="6333" w:type="dxa"/>
          </w:tcPr>
          <w:p w14:paraId="790D9744">
            <w:pPr>
              <w:spacing w:line="400" w:lineRule="exact"/>
              <w:ind w:firstLine="420" w:firstLineChars="200"/>
              <w:rPr>
                <w:rFonts w:ascii="宋体" w:hAnsi="宋体"/>
                <w:szCs w:val="21"/>
              </w:rPr>
            </w:pPr>
            <w:r>
              <w:rPr>
                <w:rFonts w:hint="eastAsia" w:ascii="宋体" w:hAnsi="宋体"/>
                <w:szCs w:val="21"/>
              </w:rPr>
              <w:t>A-16投标人法定代表人的委托代理人有法定代表人签署的授权委托书，否则由评标委员会作否决投标处理。</w:t>
            </w:r>
          </w:p>
        </w:tc>
      </w:tr>
      <w:tr w14:paraId="08C246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0D5952E">
            <w:pPr>
              <w:spacing w:line="400" w:lineRule="exact"/>
              <w:jc w:val="center"/>
              <w:rPr>
                <w:rFonts w:ascii="宋体" w:hAnsi="宋体"/>
                <w:szCs w:val="21"/>
              </w:rPr>
            </w:pPr>
          </w:p>
        </w:tc>
        <w:tc>
          <w:tcPr>
            <w:tcW w:w="1899" w:type="dxa"/>
            <w:vMerge w:val="restart"/>
            <w:vAlign w:val="center"/>
          </w:tcPr>
          <w:p w14:paraId="033EE888">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14:paraId="5D3DEFFD">
            <w:pPr>
              <w:spacing w:line="400" w:lineRule="exact"/>
              <w:ind w:firstLine="420" w:firstLineChars="200"/>
              <w:rPr>
                <w:rFonts w:ascii="宋体" w:hAnsi="宋体"/>
                <w:szCs w:val="21"/>
              </w:rPr>
            </w:pPr>
            <w:r>
              <w:rPr>
                <w:rFonts w:hint="eastAsia" w:ascii="宋体" w:hAnsi="宋体"/>
                <w:szCs w:val="21"/>
              </w:rPr>
              <w:t>A-17</w:t>
            </w:r>
            <w:r>
              <w:rPr>
                <w:rFonts w:hint="eastAsia" w:ascii="宋体" w:hAnsi="宋体" w:cs="宋体"/>
                <w:szCs w:val="21"/>
              </w:rPr>
              <w:t>投标总报价必须与已标价工程量清单总报价一致</w:t>
            </w:r>
            <w:r>
              <w:rPr>
                <w:rFonts w:hint="eastAsia" w:ascii="宋体" w:hAnsi="宋体"/>
                <w:szCs w:val="21"/>
              </w:rPr>
              <w:t>，否则由评标委员会作否决投标处理。</w:t>
            </w:r>
          </w:p>
        </w:tc>
      </w:tr>
      <w:tr w14:paraId="05E7AE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B17B48E">
            <w:pPr>
              <w:spacing w:line="400" w:lineRule="exact"/>
              <w:jc w:val="center"/>
              <w:rPr>
                <w:rFonts w:ascii="宋体" w:hAnsi="宋体"/>
                <w:szCs w:val="21"/>
              </w:rPr>
            </w:pPr>
          </w:p>
        </w:tc>
        <w:tc>
          <w:tcPr>
            <w:tcW w:w="1899" w:type="dxa"/>
            <w:vMerge w:val="continue"/>
            <w:vAlign w:val="center"/>
          </w:tcPr>
          <w:p w14:paraId="07E2A8B9">
            <w:pPr>
              <w:spacing w:line="400" w:lineRule="exact"/>
              <w:jc w:val="center"/>
              <w:rPr>
                <w:rFonts w:ascii="宋体" w:hAnsi="宋体"/>
                <w:szCs w:val="21"/>
              </w:rPr>
            </w:pPr>
          </w:p>
        </w:tc>
        <w:tc>
          <w:tcPr>
            <w:tcW w:w="6333" w:type="dxa"/>
            <w:vAlign w:val="center"/>
          </w:tcPr>
          <w:p w14:paraId="19FE758D">
            <w:pPr>
              <w:spacing w:line="400" w:lineRule="exact"/>
              <w:ind w:firstLine="420" w:firstLineChars="200"/>
              <w:rPr>
                <w:rFonts w:ascii="宋体" w:hAnsi="宋体"/>
                <w:szCs w:val="21"/>
              </w:rPr>
            </w:pPr>
            <w:r>
              <w:rPr>
                <w:rFonts w:hint="eastAsia" w:ascii="宋体" w:hAnsi="宋体"/>
                <w:szCs w:val="21"/>
              </w:rPr>
              <w:t>A-18投标总报价不得高于招标人公布的投标总报价最高限价，否则由评标委员会作否决投标处理。</w:t>
            </w:r>
          </w:p>
        </w:tc>
      </w:tr>
      <w:tr w14:paraId="38EDD6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38D89BA">
            <w:pPr>
              <w:spacing w:line="400" w:lineRule="exact"/>
              <w:jc w:val="center"/>
              <w:rPr>
                <w:rFonts w:ascii="宋体" w:hAnsi="宋体"/>
                <w:szCs w:val="21"/>
              </w:rPr>
            </w:pPr>
          </w:p>
        </w:tc>
        <w:tc>
          <w:tcPr>
            <w:tcW w:w="1899" w:type="dxa"/>
            <w:vMerge w:val="continue"/>
            <w:vAlign w:val="center"/>
          </w:tcPr>
          <w:p w14:paraId="61C0081F">
            <w:pPr>
              <w:spacing w:line="400" w:lineRule="exact"/>
              <w:jc w:val="center"/>
              <w:rPr>
                <w:rFonts w:ascii="宋体" w:hAnsi="宋体"/>
                <w:szCs w:val="21"/>
              </w:rPr>
            </w:pPr>
          </w:p>
        </w:tc>
        <w:tc>
          <w:tcPr>
            <w:tcW w:w="6333" w:type="dxa"/>
            <w:vAlign w:val="center"/>
          </w:tcPr>
          <w:p w14:paraId="12606835">
            <w:pPr>
              <w:spacing w:line="400" w:lineRule="exact"/>
              <w:ind w:firstLine="420" w:firstLineChars="200"/>
              <w:rPr>
                <w:rFonts w:ascii="宋体" w:hAnsi="宋体"/>
                <w:szCs w:val="21"/>
              </w:rPr>
            </w:pPr>
            <w:r>
              <w:rPr>
                <w:rFonts w:hint="eastAsia" w:ascii="宋体" w:hAnsi="宋体"/>
                <w:szCs w:val="21"/>
              </w:rPr>
              <w:t>A-19投标总报价低于最高限价85%的，投标人应在编制投标文件时，在投标函部分中递交低价风险担保缴纳承诺书。承诺书格式详见第八章投标文件格式，否则由评标委员会作否决投标处理。</w:t>
            </w:r>
          </w:p>
        </w:tc>
      </w:tr>
      <w:tr w14:paraId="22891B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6AA660">
            <w:pPr>
              <w:spacing w:line="400" w:lineRule="exact"/>
              <w:jc w:val="center"/>
              <w:rPr>
                <w:rFonts w:ascii="宋体" w:hAnsi="宋体"/>
                <w:szCs w:val="21"/>
              </w:rPr>
            </w:pPr>
          </w:p>
        </w:tc>
        <w:tc>
          <w:tcPr>
            <w:tcW w:w="1899" w:type="dxa"/>
            <w:vMerge w:val="continue"/>
            <w:vAlign w:val="center"/>
          </w:tcPr>
          <w:p w14:paraId="46E47282">
            <w:pPr>
              <w:spacing w:line="400" w:lineRule="exact"/>
              <w:jc w:val="center"/>
              <w:rPr>
                <w:rFonts w:ascii="宋体" w:hAnsi="宋体"/>
                <w:szCs w:val="21"/>
              </w:rPr>
            </w:pPr>
          </w:p>
        </w:tc>
        <w:tc>
          <w:tcPr>
            <w:tcW w:w="6333" w:type="dxa"/>
            <w:vAlign w:val="center"/>
          </w:tcPr>
          <w:p w14:paraId="06A49B39">
            <w:pPr>
              <w:spacing w:line="400" w:lineRule="exact"/>
              <w:ind w:firstLine="420" w:firstLineChars="200"/>
              <w:rPr>
                <w:rFonts w:ascii="宋体" w:hAnsi="宋体"/>
                <w:szCs w:val="21"/>
              </w:rPr>
            </w:pPr>
            <w:r>
              <w:rPr>
                <w:rFonts w:hint="eastAsia" w:ascii="宋体" w:hAnsi="宋体"/>
                <w:szCs w:val="21"/>
              </w:rPr>
              <w:t>A-20暂列金额、暂估价、安全文明施工费等暂定金额必须按照招标文件给定的金额填报，否则由评标委员会作否决投标处理。</w:t>
            </w:r>
          </w:p>
        </w:tc>
      </w:tr>
      <w:tr w14:paraId="50A643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8B78A37">
            <w:pPr>
              <w:spacing w:line="400" w:lineRule="exact"/>
              <w:jc w:val="center"/>
              <w:rPr>
                <w:rFonts w:ascii="宋体" w:hAnsi="宋体"/>
                <w:szCs w:val="21"/>
              </w:rPr>
            </w:pPr>
          </w:p>
        </w:tc>
        <w:tc>
          <w:tcPr>
            <w:tcW w:w="1899" w:type="dxa"/>
            <w:vMerge w:val="continue"/>
            <w:vAlign w:val="center"/>
          </w:tcPr>
          <w:p w14:paraId="1B516DEA">
            <w:pPr>
              <w:spacing w:line="400" w:lineRule="exact"/>
              <w:jc w:val="center"/>
              <w:rPr>
                <w:rFonts w:ascii="宋体" w:hAnsi="宋体"/>
                <w:szCs w:val="21"/>
              </w:rPr>
            </w:pPr>
          </w:p>
        </w:tc>
        <w:tc>
          <w:tcPr>
            <w:tcW w:w="6333" w:type="dxa"/>
            <w:vAlign w:val="center"/>
          </w:tcPr>
          <w:p w14:paraId="0E79E1B2">
            <w:pPr>
              <w:spacing w:line="400" w:lineRule="exact"/>
              <w:ind w:firstLine="420" w:firstLineChars="200"/>
              <w:rPr>
                <w:rFonts w:ascii="宋体" w:hAnsi="宋体"/>
                <w:szCs w:val="21"/>
              </w:rPr>
            </w:pPr>
            <w:r>
              <w:rPr>
                <w:rFonts w:hint="eastAsia" w:ascii="宋体" w:hAnsi="宋体"/>
                <w:szCs w:val="21"/>
              </w:rPr>
              <w:t>A-21投标内容符合第二章“投标人须知”第1.3.1项规定，否则由评标委员会作否决投标处理。</w:t>
            </w:r>
          </w:p>
        </w:tc>
      </w:tr>
      <w:tr w14:paraId="311CC8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B8442EC">
            <w:pPr>
              <w:spacing w:line="400" w:lineRule="exact"/>
              <w:jc w:val="center"/>
              <w:rPr>
                <w:rFonts w:ascii="宋体" w:hAnsi="宋体"/>
                <w:szCs w:val="21"/>
              </w:rPr>
            </w:pPr>
          </w:p>
        </w:tc>
        <w:tc>
          <w:tcPr>
            <w:tcW w:w="1899" w:type="dxa"/>
            <w:vMerge w:val="continue"/>
            <w:vAlign w:val="center"/>
          </w:tcPr>
          <w:p w14:paraId="53E9A2D3">
            <w:pPr>
              <w:spacing w:line="400" w:lineRule="exact"/>
              <w:jc w:val="center"/>
              <w:rPr>
                <w:rFonts w:ascii="宋体" w:hAnsi="宋体"/>
                <w:szCs w:val="21"/>
              </w:rPr>
            </w:pPr>
          </w:p>
        </w:tc>
        <w:tc>
          <w:tcPr>
            <w:tcW w:w="6333" w:type="dxa"/>
            <w:vAlign w:val="center"/>
          </w:tcPr>
          <w:p w14:paraId="339471E8">
            <w:pPr>
              <w:spacing w:line="400" w:lineRule="exact"/>
              <w:ind w:firstLine="420" w:firstLineChars="200"/>
              <w:rPr>
                <w:rFonts w:ascii="宋体" w:hAnsi="宋体"/>
                <w:szCs w:val="21"/>
              </w:rPr>
            </w:pPr>
            <w:r>
              <w:rPr>
                <w:rFonts w:hint="eastAsia" w:ascii="宋体" w:hAnsi="宋体"/>
                <w:szCs w:val="21"/>
              </w:rPr>
              <w:t>A-22工期符合第二章“投标人须知”第1.3.2项规定，否则由评标委员会作否决投标处理。</w:t>
            </w:r>
          </w:p>
        </w:tc>
      </w:tr>
      <w:tr w14:paraId="2DDF3A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A6CC4F7">
            <w:pPr>
              <w:spacing w:line="400" w:lineRule="exact"/>
              <w:jc w:val="center"/>
              <w:rPr>
                <w:rFonts w:ascii="宋体" w:hAnsi="宋体"/>
                <w:szCs w:val="21"/>
              </w:rPr>
            </w:pPr>
          </w:p>
        </w:tc>
        <w:tc>
          <w:tcPr>
            <w:tcW w:w="1899" w:type="dxa"/>
            <w:vMerge w:val="continue"/>
            <w:vAlign w:val="center"/>
          </w:tcPr>
          <w:p w14:paraId="173EF4AC">
            <w:pPr>
              <w:spacing w:line="400" w:lineRule="exact"/>
              <w:jc w:val="center"/>
              <w:rPr>
                <w:rFonts w:ascii="宋体" w:hAnsi="宋体"/>
                <w:szCs w:val="21"/>
              </w:rPr>
            </w:pPr>
          </w:p>
        </w:tc>
        <w:tc>
          <w:tcPr>
            <w:tcW w:w="6333" w:type="dxa"/>
            <w:vAlign w:val="center"/>
          </w:tcPr>
          <w:p w14:paraId="0BE63440">
            <w:pPr>
              <w:spacing w:line="400" w:lineRule="exact"/>
              <w:ind w:firstLine="420" w:firstLineChars="200"/>
              <w:rPr>
                <w:rFonts w:ascii="宋体" w:hAnsi="宋体"/>
                <w:szCs w:val="21"/>
              </w:rPr>
            </w:pPr>
            <w:r>
              <w:rPr>
                <w:rFonts w:hint="eastAsia" w:ascii="宋体" w:hAnsi="宋体"/>
                <w:szCs w:val="21"/>
              </w:rPr>
              <w:t>A-23工程质量符合第二章“投标人须知”第1.3.3项规定，否则由评标委员会作否决投标处理。</w:t>
            </w:r>
          </w:p>
        </w:tc>
      </w:tr>
      <w:tr w14:paraId="38BF15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58C1232">
            <w:pPr>
              <w:spacing w:line="400" w:lineRule="exact"/>
              <w:jc w:val="center"/>
              <w:rPr>
                <w:rFonts w:ascii="宋体" w:hAnsi="宋体"/>
                <w:szCs w:val="21"/>
              </w:rPr>
            </w:pPr>
          </w:p>
        </w:tc>
        <w:tc>
          <w:tcPr>
            <w:tcW w:w="1899" w:type="dxa"/>
            <w:vMerge w:val="continue"/>
            <w:vAlign w:val="center"/>
          </w:tcPr>
          <w:p w14:paraId="4BC5BA0A">
            <w:pPr>
              <w:spacing w:line="400" w:lineRule="exact"/>
              <w:jc w:val="center"/>
              <w:rPr>
                <w:rFonts w:ascii="宋体" w:hAnsi="宋体"/>
                <w:szCs w:val="21"/>
              </w:rPr>
            </w:pPr>
          </w:p>
        </w:tc>
        <w:tc>
          <w:tcPr>
            <w:tcW w:w="6333" w:type="dxa"/>
            <w:vAlign w:val="center"/>
          </w:tcPr>
          <w:p w14:paraId="784BA5B1">
            <w:pPr>
              <w:spacing w:line="400" w:lineRule="exact"/>
              <w:ind w:firstLine="420" w:firstLineChars="200"/>
              <w:rPr>
                <w:rFonts w:ascii="宋体" w:hAnsi="宋体"/>
                <w:szCs w:val="21"/>
              </w:rPr>
            </w:pPr>
            <w:r>
              <w:rPr>
                <w:rFonts w:hint="eastAsia" w:ascii="宋体" w:hAnsi="宋体"/>
                <w:szCs w:val="21"/>
              </w:rPr>
              <w:t>A-24投标有效期符合第二章“投标人须知”第3.3.1项规定，否则由评标委员会作否决投标处理。</w:t>
            </w:r>
          </w:p>
        </w:tc>
      </w:tr>
      <w:tr w14:paraId="5DCAF8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8469022">
            <w:pPr>
              <w:spacing w:line="400" w:lineRule="exact"/>
              <w:jc w:val="center"/>
              <w:rPr>
                <w:rFonts w:ascii="宋体" w:hAnsi="宋体"/>
                <w:szCs w:val="21"/>
              </w:rPr>
            </w:pPr>
          </w:p>
        </w:tc>
        <w:tc>
          <w:tcPr>
            <w:tcW w:w="1899" w:type="dxa"/>
            <w:vMerge w:val="continue"/>
            <w:vAlign w:val="center"/>
          </w:tcPr>
          <w:p w14:paraId="03014FD0">
            <w:pPr>
              <w:spacing w:line="400" w:lineRule="exact"/>
              <w:jc w:val="center"/>
              <w:rPr>
                <w:rFonts w:ascii="宋体" w:hAnsi="宋体"/>
                <w:szCs w:val="21"/>
              </w:rPr>
            </w:pPr>
          </w:p>
        </w:tc>
        <w:tc>
          <w:tcPr>
            <w:tcW w:w="6333" w:type="dxa"/>
            <w:vAlign w:val="center"/>
          </w:tcPr>
          <w:p w14:paraId="4C726465">
            <w:pPr>
              <w:spacing w:line="400" w:lineRule="exact"/>
              <w:ind w:firstLine="420" w:firstLineChars="200"/>
              <w:rPr>
                <w:rFonts w:ascii="宋体" w:hAnsi="宋体"/>
                <w:szCs w:val="21"/>
              </w:rPr>
            </w:pPr>
            <w:r>
              <w:rPr>
                <w:rFonts w:hint="eastAsia" w:ascii="宋体" w:hAnsi="宋体"/>
                <w:szCs w:val="21"/>
              </w:rPr>
              <w:t>A-25</w:t>
            </w:r>
            <w:r>
              <w:rPr>
                <w:rFonts w:ascii="宋体" w:hAnsi="宋体"/>
                <w:szCs w:val="21"/>
              </w:rPr>
              <w:t>投标人应按投标人须知前附表</w:t>
            </w:r>
            <w:r>
              <w:rPr>
                <w:rFonts w:hint="eastAsia" w:ascii="宋体" w:hAnsi="宋体"/>
                <w:szCs w:val="21"/>
              </w:rPr>
              <w:t>第3.4款的</w:t>
            </w:r>
            <w:r>
              <w:rPr>
                <w:rFonts w:ascii="宋体" w:hAnsi="宋体"/>
                <w:szCs w:val="21"/>
              </w:rPr>
              <w:t>规定递交投标保证金，并作为其投标文件的组成部分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3F0374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106218">
            <w:pPr>
              <w:spacing w:line="400" w:lineRule="exact"/>
              <w:jc w:val="center"/>
              <w:rPr>
                <w:rFonts w:ascii="宋体" w:hAnsi="宋体"/>
                <w:szCs w:val="21"/>
              </w:rPr>
            </w:pPr>
          </w:p>
        </w:tc>
        <w:tc>
          <w:tcPr>
            <w:tcW w:w="1899" w:type="dxa"/>
            <w:vMerge w:val="continue"/>
            <w:vAlign w:val="center"/>
          </w:tcPr>
          <w:p w14:paraId="61BCF69B">
            <w:pPr>
              <w:spacing w:line="400" w:lineRule="exact"/>
              <w:jc w:val="center"/>
              <w:rPr>
                <w:rFonts w:ascii="宋体" w:hAnsi="宋体"/>
                <w:szCs w:val="21"/>
              </w:rPr>
            </w:pPr>
          </w:p>
        </w:tc>
        <w:tc>
          <w:tcPr>
            <w:tcW w:w="6333" w:type="dxa"/>
            <w:vAlign w:val="center"/>
          </w:tcPr>
          <w:p w14:paraId="0C19BE83">
            <w:pPr>
              <w:spacing w:line="400" w:lineRule="exact"/>
              <w:ind w:firstLine="420" w:firstLineChars="200"/>
              <w:rPr>
                <w:rFonts w:ascii="宋体" w:hAnsi="宋体"/>
                <w:szCs w:val="21"/>
              </w:rPr>
            </w:pPr>
            <w:r>
              <w:rPr>
                <w:rFonts w:hint="eastAsia" w:ascii="宋体" w:hAnsi="宋体"/>
                <w:szCs w:val="21"/>
              </w:rPr>
              <w:t>A-26符合第四章“合同条款及格式”规定，投标文件不应附有招标人不能接受的条件，否则由评标委员会作否决投标处理。（由投标人承诺，承诺书格式详见第八章投标文件格式。）</w:t>
            </w:r>
          </w:p>
        </w:tc>
      </w:tr>
      <w:tr w14:paraId="613F46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2115AC2">
            <w:pPr>
              <w:spacing w:line="400" w:lineRule="exact"/>
              <w:jc w:val="center"/>
              <w:rPr>
                <w:rFonts w:ascii="宋体" w:hAnsi="宋体"/>
                <w:szCs w:val="21"/>
              </w:rPr>
            </w:pPr>
          </w:p>
        </w:tc>
        <w:tc>
          <w:tcPr>
            <w:tcW w:w="1899" w:type="dxa"/>
            <w:vMerge w:val="continue"/>
            <w:vAlign w:val="center"/>
          </w:tcPr>
          <w:p w14:paraId="2B1B56BF">
            <w:pPr>
              <w:spacing w:line="400" w:lineRule="exact"/>
              <w:jc w:val="center"/>
              <w:rPr>
                <w:rFonts w:ascii="宋体" w:hAnsi="宋体"/>
                <w:szCs w:val="21"/>
              </w:rPr>
            </w:pPr>
          </w:p>
        </w:tc>
        <w:tc>
          <w:tcPr>
            <w:tcW w:w="6333" w:type="dxa"/>
            <w:vAlign w:val="center"/>
          </w:tcPr>
          <w:p w14:paraId="66C2581C">
            <w:pPr>
              <w:spacing w:line="400" w:lineRule="exact"/>
              <w:ind w:firstLine="420" w:firstLineChars="200"/>
              <w:rPr>
                <w:rFonts w:ascii="宋体" w:hAnsi="宋体"/>
                <w:szCs w:val="21"/>
              </w:rPr>
            </w:pPr>
            <w:r>
              <w:rPr>
                <w:rFonts w:hint="eastAsia" w:ascii="宋体" w:hAnsi="宋体"/>
                <w:szCs w:val="21"/>
              </w:rPr>
              <w:t>A-27符合第七章“技术标准和要求”规定。否则由评标委员会作否决投标处理（如有）。（由投标人承诺，承诺书格式详见第八章投标文件格式。）</w:t>
            </w:r>
          </w:p>
        </w:tc>
      </w:tr>
      <w:tr w14:paraId="71C810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D0A07A8">
            <w:pPr>
              <w:spacing w:line="400" w:lineRule="exact"/>
              <w:jc w:val="center"/>
              <w:rPr>
                <w:rFonts w:ascii="宋体" w:hAnsi="宋体"/>
                <w:szCs w:val="21"/>
              </w:rPr>
            </w:pPr>
          </w:p>
        </w:tc>
        <w:tc>
          <w:tcPr>
            <w:tcW w:w="1899" w:type="dxa"/>
            <w:vMerge w:val="continue"/>
            <w:vAlign w:val="center"/>
          </w:tcPr>
          <w:p w14:paraId="480013CA">
            <w:pPr>
              <w:spacing w:line="400" w:lineRule="exact"/>
              <w:jc w:val="center"/>
              <w:rPr>
                <w:rFonts w:ascii="宋体" w:hAnsi="宋体"/>
                <w:szCs w:val="21"/>
              </w:rPr>
            </w:pPr>
          </w:p>
        </w:tc>
        <w:tc>
          <w:tcPr>
            <w:tcW w:w="6333" w:type="dxa"/>
            <w:vAlign w:val="center"/>
          </w:tcPr>
          <w:p w14:paraId="6656AB7E">
            <w:pPr>
              <w:spacing w:line="400" w:lineRule="exact"/>
              <w:ind w:firstLine="420" w:firstLineChars="200"/>
              <w:rPr>
                <w:rFonts w:ascii="宋体" w:hAnsi="宋体"/>
                <w:szCs w:val="21"/>
              </w:rPr>
            </w:pPr>
            <w:r>
              <w:rPr>
                <w:rFonts w:hint="eastAsia" w:ascii="宋体" w:hAnsi="宋体"/>
                <w:szCs w:val="21"/>
              </w:rPr>
              <w:t>A-28投标人提供的关于已标价工程量清单的承诺符合招标文件的要求，</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05598F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916F40B">
            <w:pPr>
              <w:spacing w:line="400" w:lineRule="exact"/>
              <w:jc w:val="center"/>
              <w:rPr>
                <w:rFonts w:ascii="宋体" w:hAnsi="宋体"/>
                <w:szCs w:val="21"/>
              </w:rPr>
            </w:pPr>
          </w:p>
        </w:tc>
        <w:tc>
          <w:tcPr>
            <w:tcW w:w="1899" w:type="dxa"/>
            <w:vMerge w:val="continue"/>
            <w:vAlign w:val="center"/>
          </w:tcPr>
          <w:p w14:paraId="2C9E4D92">
            <w:pPr>
              <w:spacing w:line="400" w:lineRule="exact"/>
              <w:jc w:val="center"/>
              <w:rPr>
                <w:rFonts w:ascii="宋体" w:hAnsi="宋体"/>
                <w:szCs w:val="21"/>
              </w:rPr>
            </w:pPr>
          </w:p>
        </w:tc>
        <w:tc>
          <w:tcPr>
            <w:tcW w:w="6333" w:type="dxa"/>
            <w:vAlign w:val="center"/>
          </w:tcPr>
          <w:p w14:paraId="6E145EA3">
            <w:pPr>
              <w:spacing w:line="400" w:lineRule="exact"/>
              <w:ind w:firstLine="420" w:firstLineChars="200"/>
              <w:rPr>
                <w:rFonts w:ascii="宋体" w:hAnsi="宋体"/>
                <w:szCs w:val="21"/>
              </w:rPr>
            </w:pPr>
            <w:r>
              <w:rPr>
                <w:rFonts w:hint="eastAsia" w:ascii="宋体" w:hAnsi="宋体"/>
                <w:szCs w:val="21"/>
              </w:rPr>
              <w:t>A-29投标报价有算术错误的，按照第三章“评标办法”第3.2.3项规定执行，否则由评标委员会作否决投标处理。</w:t>
            </w:r>
          </w:p>
        </w:tc>
      </w:tr>
      <w:tr w14:paraId="284349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12E93D">
            <w:pPr>
              <w:spacing w:line="400" w:lineRule="exact"/>
              <w:jc w:val="center"/>
              <w:rPr>
                <w:rFonts w:ascii="宋体" w:hAnsi="宋体"/>
                <w:szCs w:val="21"/>
              </w:rPr>
            </w:pPr>
          </w:p>
        </w:tc>
        <w:tc>
          <w:tcPr>
            <w:tcW w:w="1899" w:type="dxa"/>
            <w:vMerge w:val="continue"/>
            <w:vAlign w:val="center"/>
          </w:tcPr>
          <w:p w14:paraId="24AF5525">
            <w:pPr>
              <w:spacing w:line="400" w:lineRule="exact"/>
              <w:jc w:val="center"/>
              <w:rPr>
                <w:rFonts w:ascii="宋体" w:hAnsi="宋体"/>
                <w:szCs w:val="21"/>
              </w:rPr>
            </w:pPr>
          </w:p>
        </w:tc>
        <w:tc>
          <w:tcPr>
            <w:tcW w:w="6333" w:type="dxa"/>
            <w:vAlign w:val="center"/>
          </w:tcPr>
          <w:p w14:paraId="51361E20">
            <w:pPr>
              <w:spacing w:line="400" w:lineRule="exact"/>
              <w:ind w:firstLine="420" w:firstLineChars="200"/>
              <w:rPr>
                <w:rFonts w:ascii="宋体" w:hAnsi="宋体"/>
                <w:szCs w:val="21"/>
              </w:rPr>
            </w:pPr>
            <w:r>
              <w:rPr>
                <w:rFonts w:hint="eastAsia" w:ascii="宋体" w:hAnsi="宋体"/>
                <w:szCs w:val="21"/>
              </w:rPr>
              <w:t>A-30投标人有以下情形之一的，其投标文件由评标委员会</w:t>
            </w:r>
            <w:r>
              <w:rPr>
                <w:rFonts w:ascii="宋体" w:hAnsi="宋体"/>
                <w:szCs w:val="21"/>
              </w:rPr>
              <w:t>作否决投标处理</w:t>
            </w:r>
            <w:r>
              <w:rPr>
                <w:rFonts w:hint="eastAsia" w:ascii="宋体" w:hAnsi="宋体"/>
                <w:szCs w:val="21"/>
              </w:rPr>
              <w:t>：</w:t>
            </w:r>
          </w:p>
          <w:p w14:paraId="45400A03">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14:paraId="6D7417EA">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3A370346">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bl>
    <w:p w14:paraId="6657FCC2">
      <w:pPr>
        <w:spacing w:line="480" w:lineRule="auto"/>
        <w:jc w:val="left"/>
        <w:rPr>
          <w:rFonts w:ascii="宋体" w:hAnsi="宋体"/>
          <w:kern w:val="0"/>
          <w:sz w:val="24"/>
        </w:rPr>
      </w:pPr>
    </w:p>
    <w:p w14:paraId="377197D8">
      <w:pPr>
        <w:spacing w:line="200" w:lineRule="exact"/>
        <w:rPr>
          <w:rFonts w:ascii="宋体" w:hAnsi="宋体"/>
          <w:kern w:val="0"/>
        </w:rPr>
      </w:pPr>
      <w:r>
        <w:rPr>
          <w:rFonts w:ascii="宋体" w:hAnsi="宋体"/>
          <w:snapToGrid w:val="0"/>
          <w:kern w:val="0"/>
        </w:rPr>
        <w:br w:type="page"/>
      </w:r>
    </w:p>
    <w:p w14:paraId="47263A88">
      <w:pPr>
        <w:pStyle w:val="3"/>
        <w:spacing w:line="360" w:lineRule="auto"/>
        <w:jc w:val="center"/>
        <w:rPr>
          <w:rFonts w:ascii="宋体" w:hAnsi="宋体"/>
          <w:color w:val="auto"/>
          <w:kern w:val="0"/>
          <w:highlight w:val="none"/>
        </w:rPr>
      </w:pPr>
      <w:bookmarkStart w:id="613" w:name="_Toc8458"/>
      <w:r>
        <w:rPr>
          <w:rFonts w:hint="eastAsia" w:ascii="宋体" w:hAnsi="宋体"/>
          <w:color w:val="auto"/>
          <w:kern w:val="0"/>
          <w:highlight w:val="none"/>
        </w:rPr>
        <w:t>第四章  合同条款及格式</w:t>
      </w:r>
      <w:bookmarkEnd w:id="577"/>
      <w:bookmarkEnd w:id="578"/>
      <w:bookmarkEnd w:id="579"/>
      <w:bookmarkEnd w:id="613"/>
    </w:p>
    <w:p w14:paraId="553B0344">
      <w:pPr>
        <w:rPr>
          <w:rFonts w:ascii="宋体" w:hAnsi="宋体"/>
          <w:color w:val="auto"/>
          <w:sz w:val="44"/>
          <w:szCs w:val="44"/>
          <w:highlight w:val="none"/>
        </w:rPr>
      </w:pPr>
      <w:r>
        <w:rPr>
          <w:rFonts w:ascii="宋体" w:hAnsi="宋体"/>
          <w:color w:val="auto"/>
          <w:highlight w:val="none"/>
        </w:rPr>
        <w:br w:type="page"/>
      </w:r>
      <w:bookmarkStart w:id="614" w:name="_Toc351203480"/>
      <w:bookmarkStart w:id="615" w:name="_Toc296503025"/>
      <w:bookmarkStart w:id="616" w:name="_Toc296890982"/>
    </w:p>
    <w:p w14:paraId="61379CA4">
      <w:pPr>
        <w:spacing w:line="360" w:lineRule="auto"/>
        <w:jc w:val="center"/>
        <w:rPr>
          <w:rFonts w:ascii="宋体" w:hAnsi="宋体"/>
          <w:color w:val="auto"/>
          <w:sz w:val="44"/>
          <w:szCs w:val="44"/>
          <w:highlight w:val="none"/>
        </w:rPr>
      </w:pPr>
      <w:r>
        <w:rPr>
          <w:rFonts w:hint="eastAsia" w:ascii="宋体" w:hAnsi="宋体"/>
          <w:color w:val="auto"/>
          <w:sz w:val="44"/>
          <w:szCs w:val="44"/>
          <w:highlight w:val="none"/>
        </w:rPr>
        <w:t>第一部分 合同协议书</w:t>
      </w:r>
    </w:p>
    <w:p w14:paraId="4749392C">
      <w:pPr>
        <w:pStyle w:val="137"/>
        <w:snapToGrid w:val="0"/>
        <w:spacing w:before="0" w:line="360" w:lineRule="auto"/>
        <w:ind w:firstLine="562" w:firstLineChars="200"/>
        <w:rPr>
          <w:rFonts w:ascii="宋体" w:hAnsi="宋体"/>
          <w:color w:val="auto"/>
          <w:highlight w:val="none"/>
        </w:rPr>
      </w:pPr>
    </w:p>
    <w:p w14:paraId="78ADC6B0">
      <w:pPr>
        <w:rPr>
          <w:rFonts w:ascii="宋体" w:hAnsi="宋体"/>
          <w:b/>
          <w:color w:val="auto"/>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576B0C35"/>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576B0C35"/>
                  </w:txbxContent>
                </v:textbox>
              </v:rect>
            </w:pict>
          </mc:Fallback>
        </mc:AlternateContent>
      </w:r>
      <w:r>
        <w:rPr>
          <w:rFonts w:ascii="宋体" w:hAnsi="宋体"/>
          <w:color w:val="auto"/>
          <w:highlight w:val="none"/>
        </w:rPr>
        <w:br w:type="page"/>
      </w:r>
    </w:p>
    <w:p w14:paraId="0D0339D0">
      <w:pPr>
        <w:pStyle w:val="5"/>
        <w:jc w:val="center"/>
        <w:rPr>
          <w:rFonts w:ascii="宋体" w:hAnsi="宋体"/>
          <w:b w:val="0"/>
          <w:color w:val="auto"/>
          <w:sz w:val="44"/>
          <w:szCs w:val="44"/>
          <w:highlight w:val="none"/>
        </w:rPr>
      </w:pPr>
      <w:bookmarkStart w:id="617" w:name="_Toc12845"/>
      <w:bookmarkStart w:id="618" w:name="_Toc5214"/>
      <w:bookmarkStart w:id="619" w:name="_Toc534185765"/>
      <w:bookmarkStart w:id="620" w:name="_Toc509218786"/>
      <w:bookmarkStart w:id="621" w:name="_Toc351203494"/>
      <w:r>
        <w:rPr>
          <w:rFonts w:ascii="宋体" w:hAnsi="宋体"/>
          <w:color w:val="auto"/>
          <w:sz w:val="44"/>
          <w:szCs w:val="44"/>
          <w:highlight w:val="none"/>
        </w:rPr>
        <w:t>第一部分 合同协议书</w:t>
      </w:r>
      <w:bookmarkEnd w:id="617"/>
      <w:bookmarkEnd w:id="618"/>
      <w:bookmarkEnd w:id="619"/>
      <w:bookmarkEnd w:id="620"/>
    </w:p>
    <w:bookmarkEnd w:id="621"/>
    <w:p w14:paraId="5E4FF467">
      <w:pPr>
        <w:snapToGrid w:val="0"/>
        <w:spacing w:line="600" w:lineRule="exact"/>
        <w:ind w:firstLine="480" w:firstLineChars="200"/>
        <w:rPr>
          <w:rFonts w:ascii="宋体" w:hAnsi="宋体"/>
          <w:color w:val="auto"/>
          <w:sz w:val="24"/>
          <w:highlight w:val="none"/>
        </w:rPr>
      </w:pPr>
      <w:bookmarkStart w:id="622" w:name="_Toc351203632"/>
    </w:p>
    <w:p w14:paraId="788327D2">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795E3D53">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60BD088C">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color w:val="auto"/>
          <w:szCs w:val="21"/>
          <w:highlight w:val="none"/>
          <w:u w:val="single"/>
        </w:rPr>
        <w:t xml:space="preserve">                           </w:t>
      </w:r>
      <w:r>
        <w:rPr>
          <w:rFonts w:hint="eastAsia" w:ascii="宋体" w:hAnsi="宋体"/>
          <w:color w:val="auto"/>
          <w:szCs w:val="21"/>
          <w:highlight w:val="none"/>
        </w:rPr>
        <w:t>工程施工及有关事项协商一致，共同达成如下协议：</w:t>
      </w:r>
    </w:p>
    <w:p w14:paraId="6001320B">
      <w:pPr>
        <w:pStyle w:val="6"/>
        <w:keepNext/>
        <w:keepLines/>
        <w:spacing w:before="120" w:after="120" w:line="360" w:lineRule="auto"/>
        <w:ind w:firstLine="422" w:firstLineChars="200"/>
        <w:jc w:val="both"/>
        <w:rPr>
          <w:color w:val="auto"/>
          <w:kern w:val="2"/>
          <w:sz w:val="21"/>
          <w:szCs w:val="21"/>
          <w:highlight w:val="none"/>
        </w:rPr>
      </w:pPr>
      <w:bookmarkStart w:id="623" w:name="_Toc532375573"/>
      <w:bookmarkStart w:id="624" w:name="_Toc351203481"/>
      <w:bookmarkStart w:id="625" w:name="_Toc532377166"/>
      <w:r>
        <w:rPr>
          <w:rFonts w:hint="eastAsia"/>
          <w:color w:val="auto"/>
          <w:kern w:val="2"/>
          <w:sz w:val="21"/>
          <w:szCs w:val="21"/>
          <w:highlight w:val="none"/>
        </w:rPr>
        <w:t>一、工程概况</w:t>
      </w:r>
      <w:bookmarkEnd w:id="623"/>
      <w:bookmarkEnd w:id="624"/>
      <w:bookmarkEnd w:id="625"/>
    </w:p>
    <w:p w14:paraId="7B283845">
      <w:pPr>
        <w:snapToGrid w:val="0"/>
        <w:spacing w:line="360" w:lineRule="auto"/>
        <w:ind w:firstLine="420" w:firstLineChars="200"/>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61AFBF08">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0A505590">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56CF9F1B">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6AD6D849">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4888CC5">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0C499679">
      <w:pPr>
        <w:pStyle w:val="6"/>
        <w:keepNext/>
        <w:keepLines/>
        <w:spacing w:before="120" w:after="120" w:line="360" w:lineRule="auto"/>
        <w:ind w:firstLine="422" w:firstLineChars="200"/>
        <w:jc w:val="both"/>
        <w:rPr>
          <w:color w:val="auto"/>
          <w:kern w:val="2"/>
          <w:sz w:val="21"/>
          <w:szCs w:val="21"/>
          <w:highlight w:val="none"/>
        </w:rPr>
      </w:pPr>
      <w:bookmarkStart w:id="626" w:name="_Toc532377167"/>
      <w:bookmarkStart w:id="627" w:name="_Toc351203482"/>
      <w:bookmarkStart w:id="628" w:name="_Toc532375574"/>
      <w:r>
        <w:rPr>
          <w:rFonts w:hint="eastAsia"/>
          <w:color w:val="auto"/>
          <w:kern w:val="2"/>
          <w:sz w:val="21"/>
          <w:szCs w:val="21"/>
          <w:highlight w:val="none"/>
        </w:rPr>
        <w:t>二、合同工期</w:t>
      </w:r>
      <w:bookmarkEnd w:id="626"/>
      <w:bookmarkEnd w:id="627"/>
      <w:bookmarkEnd w:id="628"/>
    </w:p>
    <w:p w14:paraId="59755BF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承包人投标函中承诺的工期：</w:t>
      </w:r>
      <w:r>
        <w:rPr>
          <w:rFonts w:hint="eastAsia" w:ascii="宋体" w:hAnsi="宋体"/>
          <w:bCs/>
          <w:color w:val="auto"/>
          <w:szCs w:val="21"/>
          <w:highlight w:val="none"/>
          <w:u w:val="single"/>
          <w:lang w:val="en-US" w:eastAsia="zh-CN"/>
        </w:rPr>
        <w:t>20日历天</w:t>
      </w:r>
      <w:r>
        <w:rPr>
          <w:rFonts w:hint="eastAsia" w:ascii="宋体" w:hAnsi="宋体"/>
          <w:bCs/>
          <w:color w:val="auto"/>
          <w:szCs w:val="21"/>
          <w:highlight w:val="none"/>
        </w:rPr>
        <w:t>。</w:t>
      </w:r>
    </w:p>
    <w:p w14:paraId="277A029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日，实际开工日期以监理工程师签发的工程开工通知明确的开工日期为准。</w:t>
      </w:r>
    </w:p>
    <w:p w14:paraId="16E1913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日，实际竣工日期以工程竣工验收合格之日为准。</w:t>
      </w:r>
    </w:p>
    <w:p w14:paraId="66B51587">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工期总日历天数</w:t>
      </w:r>
      <w:r>
        <w:rPr>
          <w:rFonts w:hint="eastAsia" w:ascii="宋体" w:hAnsi="宋体"/>
          <w:bCs/>
          <w:color w:val="auto"/>
          <w:szCs w:val="21"/>
          <w:highlight w:val="none"/>
          <w:u w:val="single"/>
        </w:rPr>
        <w:t></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14:paraId="175A1BB7">
      <w:pPr>
        <w:pStyle w:val="6"/>
        <w:keepNext/>
        <w:keepLines/>
        <w:spacing w:before="120" w:after="120" w:line="360" w:lineRule="auto"/>
        <w:ind w:firstLine="422" w:firstLineChars="200"/>
        <w:jc w:val="both"/>
        <w:rPr>
          <w:color w:val="auto"/>
          <w:kern w:val="2"/>
          <w:sz w:val="21"/>
          <w:szCs w:val="21"/>
          <w:highlight w:val="none"/>
        </w:rPr>
      </w:pPr>
      <w:bookmarkStart w:id="629" w:name="_Toc351203483"/>
      <w:bookmarkStart w:id="630" w:name="_Toc532375575"/>
      <w:bookmarkStart w:id="631" w:name="_Toc532377168"/>
      <w:r>
        <w:rPr>
          <w:rFonts w:hint="eastAsia"/>
          <w:color w:val="auto"/>
          <w:kern w:val="2"/>
          <w:sz w:val="21"/>
          <w:szCs w:val="21"/>
          <w:highlight w:val="none"/>
        </w:rPr>
        <w:t>三、质量标准</w:t>
      </w:r>
      <w:bookmarkEnd w:id="629"/>
      <w:bookmarkEnd w:id="630"/>
      <w:bookmarkEnd w:id="631"/>
    </w:p>
    <w:p w14:paraId="33F24FB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w:t>
      </w:r>
      <w:r>
        <w:rPr>
          <w:rFonts w:hint="eastAsia" w:ascii="宋体" w:hAnsi="宋体"/>
          <w:color w:val="auto"/>
          <w:szCs w:val="21"/>
          <w:highlight w:val="none"/>
          <w:u w:val="single"/>
        </w:rPr>
        <w:t>国家和重庆市现行有关施工质量验收规范和标准要求，并达到合格</w:t>
      </w:r>
      <w:r>
        <w:rPr>
          <w:rFonts w:hint="eastAsia" w:ascii="宋体" w:hAnsi="宋体"/>
          <w:color w:val="auto"/>
          <w:szCs w:val="21"/>
          <w:highlight w:val="none"/>
        </w:rPr>
        <w:t>标准。</w:t>
      </w:r>
    </w:p>
    <w:p w14:paraId="1C6EA511">
      <w:pPr>
        <w:pStyle w:val="6"/>
        <w:keepNext/>
        <w:keepLines/>
        <w:spacing w:before="120" w:after="120" w:line="360" w:lineRule="auto"/>
        <w:ind w:firstLine="422" w:firstLineChars="200"/>
        <w:jc w:val="both"/>
        <w:rPr>
          <w:color w:val="auto"/>
          <w:kern w:val="2"/>
          <w:sz w:val="21"/>
          <w:szCs w:val="21"/>
          <w:highlight w:val="none"/>
        </w:rPr>
      </w:pPr>
      <w:bookmarkStart w:id="632" w:name="_Toc532377169"/>
      <w:bookmarkStart w:id="633" w:name="_Toc532375576"/>
      <w:bookmarkStart w:id="634" w:name="_Toc351203484"/>
      <w:r>
        <w:rPr>
          <w:rFonts w:hint="eastAsia"/>
          <w:color w:val="auto"/>
          <w:kern w:val="2"/>
          <w:sz w:val="21"/>
          <w:szCs w:val="21"/>
          <w:highlight w:val="none"/>
        </w:rPr>
        <w:t>四、签约合同价与合同价格形式</w:t>
      </w:r>
      <w:bookmarkEnd w:id="632"/>
      <w:bookmarkEnd w:id="633"/>
      <w:bookmarkEnd w:id="634"/>
      <w:r>
        <w:rPr>
          <w:rFonts w:hint="eastAsia"/>
          <w:color w:val="auto"/>
          <w:kern w:val="2"/>
          <w:sz w:val="21"/>
          <w:szCs w:val="21"/>
          <w:highlight w:val="none"/>
        </w:rPr>
        <w:tab/>
      </w:r>
    </w:p>
    <w:p w14:paraId="32AE11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1.承包人投标函中承诺的中标价为：</w:t>
      </w:r>
    </w:p>
    <w:p w14:paraId="3077FE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7D59B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2.签约合同价为：</w:t>
      </w:r>
    </w:p>
    <w:p w14:paraId="01BFC98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6448F10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其中：</w:t>
      </w:r>
    </w:p>
    <w:p w14:paraId="064C5F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（1）安全文明施工费：</w:t>
      </w:r>
    </w:p>
    <w:p w14:paraId="7A7677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1E4BFF3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）人工费（工资款）</w:t>
      </w:r>
    </w:p>
    <w:p w14:paraId="4630DF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该项目实行人工费（工资款）与其他工程款分账管理，发包人将应付工程款中的人工费（工资款），以不低于已完成合同价款的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，农民工工资单独支付至承包人设立的农民工工资专用账户。</w:t>
      </w:r>
    </w:p>
    <w:p w14:paraId="529A61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3.合同价格形式：</w:t>
      </w:r>
      <w:r>
        <w:rPr>
          <w:rFonts w:ascii="宋体" w:hAnsi="宋体"/>
          <w:color w:val="auto"/>
          <w:szCs w:val="21"/>
          <w:highlight w:val="none"/>
          <w:u w:val="single"/>
        </w:rPr>
        <w:t xml:space="preserve">              </w:t>
      </w:r>
      <w:r>
        <w:rPr>
          <w:rFonts w:hint="eastAsia" w:ascii="宋体" w:hAnsi="宋体"/>
          <w:color w:val="auto"/>
          <w:szCs w:val="21"/>
          <w:highlight w:val="none"/>
        </w:rPr>
        <w:t>。</w:t>
      </w:r>
    </w:p>
    <w:p w14:paraId="621E6A40">
      <w:pPr>
        <w:pStyle w:val="6"/>
        <w:keepNext/>
        <w:keepLines/>
        <w:spacing w:before="120" w:after="120" w:line="360" w:lineRule="auto"/>
        <w:ind w:firstLine="422" w:firstLineChars="200"/>
        <w:jc w:val="both"/>
        <w:rPr>
          <w:color w:val="auto"/>
          <w:kern w:val="2"/>
          <w:sz w:val="21"/>
          <w:szCs w:val="21"/>
          <w:highlight w:val="none"/>
        </w:rPr>
      </w:pPr>
      <w:bookmarkStart w:id="635" w:name="_Toc351203485"/>
      <w:bookmarkStart w:id="636" w:name="_Toc532377170"/>
      <w:bookmarkStart w:id="637" w:name="_Toc532375577"/>
      <w:r>
        <w:rPr>
          <w:rFonts w:hint="eastAsia"/>
          <w:color w:val="auto"/>
          <w:kern w:val="2"/>
          <w:sz w:val="21"/>
          <w:szCs w:val="21"/>
          <w:highlight w:val="none"/>
        </w:rPr>
        <w:t>五、</w:t>
      </w:r>
      <w:bookmarkEnd w:id="635"/>
      <w:r>
        <w:rPr>
          <w:rFonts w:hint="eastAsia"/>
          <w:color w:val="auto"/>
          <w:kern w:val="2"/>
          <w:sz w:val="21"/>
          <w:szCs w:val="21"/>
          <w:highlight w:val="none"/>
        </w:rPr>
        <w:t>项目经理及技术负责人</w:t>
      </w:r>
      <w:bookmarkEnd w:id="636"/>
      <w:bookmarkEnd w:id="637"/>
    </w:p>
    <w:p w14:paraId="45F094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承包人投标文件中承诺的项目经理：</w:t>
      </w:r>
    </w:p>
    <w:p w14:paraId="4DF8A3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7A42B1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63E16E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1EDFE1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承包人投标文件中承诺的技术负责人：</w:t>
      </w:r>
    </w:p>
    <w:p w14:paraId="65828A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3F6BB3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2E111CE2">
      <w:pPr>
        <w:pStyle w:val="2"/>
        <w:spacing w:line="360" w:lineRule="auto"/>
        <w:rPr>
          <w:rFonts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D7BB248">
      <w:pPr>
        <w:pStyle w:val="6"/>
        <w:keepNext/>
        <w:keepLines/>
        <w:spacing w:before="120" w:after="120" w:line="360" w:lineRule="auto"/>
        <w:ind w:firstLine="422" w:firstLineChars="200"/>
        <w:jc w:val="both"/>
        <w:rPr>
          <w:color w:val="auto"/>
          <w:kern w:val="2"/>
          <w:sz w:val="21"/>
          <w:szCs w:val="21"/>
          <w:highlight w:val="none"/>
        </w:rPr>
      </w:pPr>
      <w:bookmarkStart w:id="638" w:name="_Toc532375578"/>
      <w:bookmarkStart w:id="639" w:name="_Toc532377171"/>
      <w:bookmarkStart w:id="640" w:name="_Toc351203486"/>
      <w:r>
        <w:rPr>
          <w:rFonts w:hint="eastAsia"/>
          <w:color w:val="auto"/>
          <w:kern w:val="2"/>
          <w:sz w:val="21"/>
          <w:szCs w:val="21"/>
          <w:highlight w:val="none"/>
        </w:rPr>
        <w:t>六、合同文件构成</w:t>
      </w:r>
      <w:bookmarkEnd w:id="638"/>
      <w:bookmarkEnd w:id="639"/>
      <w:bookmarkEnd w:id="640"/>
    </w:p>
    <w:p w14:paraId="7EBFE00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合同由以下文件构成：</w:t>
      </w:r>
    </w:p>
    <w:p w14:paraId="5B3EE6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14:paraId="0E8B5F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w:t>
      </w:r>
    </w:p>
    <w:p w14:paraId="50D78C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（3）投标函及投标函附录；</w:t>
      </w:r>
    </w:p>
    <w:p w14:paraId="13A8FF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14:paraId="2F9A5C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14:paraId="5A196A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（6）投标文件（投标函及投标函附录除外）；</w:t>
      </w:r>
    </w:p>
    <w:p w14:paraId="42C504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比选</w:t>
      </w:r>
      <w:r>
        <w:rPr>
          <w:rFonts w:hint="eastAsia" w:ascii="宋体" w:hAnsi="宋体"/>
          <w:color w:val="auto"/>
          <w:szCs w:val="21"/>
          <w:highlight w:val="none"/>
        </w:rPr>
        <w:t>文件及修改文件；</w:t>
      </w:r>
    </w:p>
    <w:p w14:paraId="5012EA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（8）技术标准和要求；</w:t>
      </w:r>
    </w:p>
    <w:p w14:paraId="7AADBA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（9）图纸；</w:t>
      </w:r>
    </w:p>
    <w:p w14:paraId="3B6B41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（10）其他合同文件。</w:t>
      </w:r>
    </w:p>
    <w:p w14:paraId="565D09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14:paraId="3E68AB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92E4259">
      <w:pPr>
        <w:pStyle w:val="6"/>
        <w:keepNext/>
        <w:keepLines/>
        <w:spacing w:before="120" w:after="120" w:line="360" w:lineRule="auto"/>
        <w:ind w:firstLine="422" w:firstLineChars="200"/>
        <w:jc w:val="both"/>
        <w:rPr>
          <w:color w:val="auto"/>
          <w:kern w:val="2"/>
          <w:sz w:val="21"/>
          <w:szCs w:val="21"/>
          <w:highlight w:val="none"/>
        </w:rPr>
      </w:pPr>
      <w:bookmarkStart w:id="641" w:name="_Toc532377172"/>
      <w:bookmarkStart w:id="642" w:name="_Toc532375579"/>
      <w:bookmarkStart w:id="643" w:name="_Toc351203487"/>
      <w:r>
        <w:rPr>
          <w:rFonts w:hint="eastAsia"/>
          <w:color w:val="auto"/>
          <w:kern w:val="2"/>
          <w:sz w:val="21"/>
          <w:szCs w:val="21"/>
          <w:highlight w:val="none"/>
        </w:rPr>
        <w:t>七、承诺</w:t>
      </w:r>
      <w:bookmarkEnd w:id="641"/>
      <w:bookmarkEnd w:id="642"/>
      <w:bookmarkEnd w:id="643"/>
    </w:p>
    <w:p w14:paraId="4501417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14:paraId="2EE51BE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14:paraId="25C636A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14:paraId="5ABEFEFC">
      <w:pPr>
        <w:pStyle w:val="6"/>
        <w:keepNext/>
        <w:keepLines/>
        <w:spacing w:before="120" w:after="120" w:line="360" w:lineRule="auto"/>
        <w:ind w:firstLine="422" w:firstLineChars="200"/>
        <w:jc w:val="both"/>
        <w:rPr>
          <w:color w:val="auto"/>
          <w:kern w:val="2"/>
          <w:sz w:val="21"/>
          <w:szCs w:val="21"/>
          <w:highlight w:val="none"/>
        </w:rPr>
      </w:pPr>
      <w:bookmarkStart w:id="644" w:name="_Toc532375580"/>
      <w:bookmarkStart w:id="645" w:name="_Toc351203488"/>
      <w:bookmarkStart w:id="646" w:name="_Toc532377173"/>
      <w:r>
        <w:rPr>
          <w:rFonts w:hint="eastAsia"/>
          <w:color w:val="auto"/>
          <w:kern w:val="2"/>
          <w:sz w:val="21"/>
          <w:szCs w:val="21"/>
          <w:highlight w:val="none"/>
        </w:rPr>
        <w:t>八、词语含义</w:t>
      </w:r>
      <w:bookmarkEnd w:id="644"/>
      <w:bookmarkEnd w:id="645"/>
      <w:bookmarkEnd w:id="646"/>
    </w:p>
    <w:p w14:paraId="69540F0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14:paraId="49816C3F">
      <w:pPr>
        <w:pStyle w:val="6"/>
        <w:keepNext/>
        <w:keepLines/>
        <w:spacing w:before="120" w:after="120" w:line="360" w:lineRule="auto"/>
        <w:ind w:firstLine="422" w:firstLineChars="200"/>
        <w:jc w:val="both"/>
        <w:rPr>
          <w:color w:val="auto"/>
          <w:kern w:val="2"/>
          <w:sz w:val="21"/>
          <w:szCs w:val="21"/>
          <w:highlight w:val="none"/>
        </w:rPr>
      </w:pPr>
      <w:bookmarkStart w:id="647" w:name="_Toc532377174"/>
      <w:bookmarkStart w:id="648" w:name="_Toc532375581"/>
      <w:r>
        <w:rPr>
          <w:rFonts w:hint="eastAsia"/>
          <w:color w:val="auto"/>
          <w:kern w:val="2"/>
          <w:sz w:val="21"/>
          <w:szCs w:val="21"/>
          <w:highlight w:val="none"/>
        </w:rPr>
        <w:t>九、签订时间</w:t>
      </w:r>
      <w:bookmarkEnd w:id="647"/>
      <w:bookmarkEnd w:id="648"/>
    </w:p>
    <w:p w14:paraId="1E745B18">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29912F30">
      <w:pPr>
        <w:pStyle w:val="6"/>
        <w:keepNext/>
        <w:keepLines/>
        <w:spacing w:before="120" w:after="120" w:line="360" w:lineRule="auto"/>
        <w:ind w:firstLine="422" w:firstLineChars="200"/>
        <w:jc w:val="both"/>
        <w:rPr>
          <w:color w:val="auto"/>
          <w:kern w:val="2"/>
          <w:sz w:val="21"/>
          <w:szCs w:val="21"/>
          <w:highlight w:val="none"/>
        </w:rPr>
      </w:pPr>
      <w:bookmarkStart w:id="649" w:name="_Toc351203489"/>
      <w:bookmarkStart w:id="650" w:name="_Toc532377175"/>
      <w:bookmarkStart w:id="651" w:name="_Toc532375582"/>
      <w:r>
        <w:rPr>
          <w:rFonts w:hint="eastAsia"/>
          <w:color w:val="auto"/>
          <w:kern w:val="2"/>
          <w:sz w:val="21"/>
          <w:szCs w:val="21"/>
          <w:highlight w:val="none"/>
        </w:rPr>
        <w:t>十、</w:t>
      </w:r>
      <w:bookmarkEnd w:id="649"/>
      <w:bookmarkStart w:id="652" w:name="_Toc351203490"/>
      <w:r>
        <w:rPr>
          <w:rFonts w:hint="eastAsia"/>
          <w:color w:val="auto"/>
          <w:kern w:val="2"/>
          <w:sz w:val="21"/>
          <w:szCs w:val="21"/>
          <w:highlight w:val="none"/>
        </w:rPr>
        <w:t>签订地点</w:t>
      </w:r>
      <w:bookmarkEnd w:id="650"/>
      <w:bookmarkEnd w:id="651"/>
      <w:bookmarkEnd w:id="652"/>
    </w:p>
    <w:p w14:paraId="35901E1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2DE3C882">
      <w:pPr>
        <w:pStyle w:val="6"/>
        <w:keepNext/>
        <w:keepLines/>
        <w:spacing w:before="120" w:after="120" w:line="360" w:lineRule="auto"/>
        <w:ind w:firstLine="422" w:firstLineChars="200"/>
        <w:jc w:val="both"/>
        <w:rPr>
          <w:color w:val="auto"/>
          <w:kern w:val="2"/>
          <w:sz w:val="21"/>
          <w:szCs w:val="21"/>
          <w:highlight w:val="none"/>
        </w:rPr>
      </w:pPr>
      <w:bookmarkStart w:id="653" w:name="_Toc532377176"/>
      <w:bookmarkStart w:id="654" w:name="_Toc532375583"/>
      <w:bookmarkStart w:id="655" w:name="_Toc351203491"/>
      <w:r>
        <w:rPr>
          <w:rFonts w:hint="eastAsia"/>
          <w:color w:val="auto"/>
          <w:kern w:val="2"/>
          <w:sz w:val="21"/>
          <w:szCs w:val="21"/>
          <w:highlight w:val="none"/>
        </w:rPr>
        <w:t>十一、补充协议</w:t>
      </w:r>
      <w:bookmarkEnd w:id="653"/>
      <w:bookmarkEnd w:id="654"/>
      <w:bookmarkEnd w:id="655"/>
    </w:p>
    <w:p w14:paraId="34941B93">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7880159F">
      <w:pPr>
        <w:pStyle w:val="6"/>
        <w:keepNext/>
        <w:keepLines/>
        <w:spacing w:before="120" w:after="120" w:line="360" w:lineRule="auto"/>
        <w:ind w:firstLine="422" w:firstLineChars="200"/>
        <w:jc w:val="both"/>
        <w:rPr>
          <w:color w:val="auto"/>
          <w:kern w:val="2"/>
          <w:sz w:val="21"/>
          <w:szCs w:val="21"/>
          <w:highlight w:val="none"/>
        </w:rPr>
      </w:pPr>
      <w:bookmarkStart w:id="656" w:name="_Toc351203492"/>
      <w:bookmarkStart w:id="657" w:name="_Toc532375584"/>
      <w:bookmarkStart w:id="658" w:name="_Toc532377177"/>
      <w:r>
        <w:rPr>
          <w:rFonts w:hint="eastAsia"/>
          <w:color w:val="auto"/>
          <w:kern w:val="2"/>
          <w:sz w:val="21"/>
          <w:szCs w:val="21"/>
          <w:highlight w:val="none"/>
        </w:rPr>
        <w:t>十二、合同生效</w:t>
      </w:r>
      <w:bookmarkEnd w:id="656"/>
      <w:bookmarkEnd w:id="657"/>
      <w:bookmarkEnd w:id="658"/>
    </w:p>
    <w:p w14:paraId="7C8C018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14:paraId="05E6B497">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经双方法定代表人或其委托代理人签字并加盖</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14:paraId="275A198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159340C">
      <w:pPr>
        <w:pStyle w:val="6"/>
        <w:keepNext/>
        <w:keepLines/>
        <w:spacing w:before="120" w:after="120" w:line="360" w:lineRule="auto"/>
        <w:ind w:firstLine="422" w:firstLineChars="200"/>
        <w:jc w:val="both"/>
        <w:rPr>
          <w:color w:val="auto"/>
          <w:kern w:val="2"/>
          <w:sz w:val="21"/>
          <w:szCs w:val="21"/>
          <w:highlight w:val="none"/>
        </w:rPr>
      </w:pPr>
      <w:bookmarkStart w:id="659" w:name="_Toc351203493"/>
      <w:bookmarkStart w:id="660" w:name="_Toc532375585"/>
      <w:bookmarkStart w:id="661" w:name="_Toc532377178"/>
      <w:r>
        <w:rPr>
          <w:rFonts w:hint="eastAsia"/>
          <w:color w:val="auto"/>
          <w:kern w:val="2"/>
          <w:sz w:val="21"/>
          <w:szCs w:val="21"/>
          <w:highlight w:val="none"/>
        </w:rPr>
        <w:t>十三、合同份数</w:t>
      </w:r>
      <w:bookmarkEnd w:id="659"/>
      <w:bookmarkEnd w:id="660"/>
      <w:bookmarkEnd w:id="661"/>
    </w:p>
    <w:p w14:paraId="256BFB23">
      <w:pPr>
        <w:spacing w:line="360" w:lineRule="auto"/>
        <w:ind w:firstLine="420" w:firstLineChars="200"/>
        <w:rPr>
          <w:rFonts w:ascii="宋体" w:hAnsi="宋体"/>
          <w:bCs/>
          <w:color w:val="auto"/>
          <w:szCs w:val="21"/>
          <w:highlight w:val="none"/>
        </w:rPr>
      </w:pPr>
      <w:r>
        <w:rPr>
          <w:rFonts w:hint="eastAsia" w:ascii="宋体" w:hAnsi="宋体" w:cs="Times New Roman"/>
          <w:szCs w:val="21"/>
          <w:lang w:val="en-US" w:eastAsia="zh-CN"/>
        </w:rPr>
        <w:t>合同一式</w:t>
      </w:r>
      <w:r>
        <w:rPr>
          <w:rFonts w:hint="eastAsia" w:ascii="宋体" w:hAnsi="宋体" w:cs="Times New Roman"/>
          <w:szCs w:val="21"/>
          <w:u w:val="single"/>
          <w:lang w:val="en-US" w:eastAsia="zh-CN"/>
        </w:rPr>
        <w:t xml:space="preserve"> 陆 </w:t>
      </w:r>
      <w:r>
        <w:rPr>
          <w:rFonts w:hint="eastAsia" w:ascii="宋体" w:hAnsi="宋体" w:cs="Times New Roman"/>
          <w:szCs w:val="21"/>
          <w:lang w:val="en-US" w:eastAsia="zh-CN"/>
        </w:rPr>
        <w:t>份，发包人持</w:t>
      </w:r>
      <w:r>
        <w:rPr>
          <w:rFonts w:hint="eastAsia" w:ascii="宋体" w:hAnsi="宋体" w:cs="Times New Roman"/>
          <w:szCs w:val="21"/>
          <w:u w:val="single"/>
          <w:lang w:val="en-US" w:eastAsia="zh-CN"/>
        </w:rPr>
        <w:t xml:space="preserve"> 肆 </w:t>
      </w:r>
      <w:r>
        <w:rPr>
          <w:rFonts w:hint="eastAsia" w:ascii="宋体" w:hAnsi="宋体" w:cs="Times New Roman"/>
          <w:szCs w:val="21"/>
          <w:lang w:val="en-US" w:eastAsia="zh-CN"/>
        </w:rPr>
        <w:t>份，承包人执</w:t>
      </w:r>
      <w:r>
        <w:rPr>
          <w:rFonts w:hint="eastAsia" w:ascii="宋体" w:hAnsi="宋体" w:cs="Times New Roman"/>
          <w:szCs w:val="21"/>
          <w:u w:val="single"/>
          <w:lang w:val="en-US" w:eastAsia="zh-CN"/>
        </w:rPr>
        <w:t xml:space="preserve"> 贰 </w:t>
      </w:r>
      <w:r>
        <w:rPr>
          <w:rFonts w:hint="eastAsia" w:ascii="宋体" w:hAnsi="宋体" w:cs="Times New Roman"/>
          <w:szCs w:val="21"/>
          <w:lang w:val="en-US" w:eastAsia="zh-CN"/>
        </w:rPr>
        <w:t>份，具有相同法律效力</w:t>
      </w:r>
      <w:r>
        <w:rPr>
          <w:rFonts w:hint="eastAsia" w:ascii="宋体" w:hAnsi="宋体"/>
          <w:bCs/>
          <w:color w:val="auto"/>
          <w:szCs w:val="21"/>
          <w:highlight w:val="none"/>
        </w:rPr>
        <w:t>。</w:t>
      </w:r>
    </w:p>
    <w:p w14:paraId="20B9BDBB">
      <w:pPr>
        <w:spacing w:line="360" w:lineRule="auto"/>
        <w:ind w:firstLine="420" w:firstLineChars="200"/>
        <w:rPr>
          <w:rFonts w:ascii="宋体" w:hAnsi="宋体"/>
          <w:bCs/>
          <w:color w:val="auto"/>
          <w:szCs w:val="21"/>
          <w:highlight w:val="none"/>
        </w:rPr>
      </w:pPr>
    </w:p>
    <w:p w14:paraId="7283AF4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（以下为签字盖章页）。</w:t>
      </w:r>
    </w:p>
    <w:p w14:paraId="126D6732">
      <w:pPr>
        <w:pStyle w:val="2"/>
        <w:spacing w:line="360" w:lineRule="auto"/>
        <w:ind w:firstLine="420" w:firstLineChars="200"/>
        <w:rPr>
          <w:rFonts w:ascii="宋体" w:hAnsi="宋体"/>
          <w:color w:val="auto"/>
          <w:szCs w:val="21"/>
          <w:highlight w:val="none"/>
        </w:rPr>
      </w:pPr>
    </w:p>
    <w:p w14:paraId="3C86D2CD">
      <w:pPr>
        <w:pStyle w:val="2"/>
        <w:spacing w:line="360" w:lineRule="auto"/>
        <w:ind w:firstLine="420" w:firstLineChars="200"/>
        <w:rPr>
          <w:rFonts w:ascii="宋体" w:hAnsi="宋体"/>
          <w:color w:val="auto"/>
          <w:szCs w:val="21"/>
          <w:highlight w:val="none"/>
        </w:rPr>
      </w:pPr>
    </w:p>
    <w:p w14:paraId="029B0DCE">
      <w:pPr>
        <w:adjustRightInd w:val="0"/>
        <w:spacing w:line="360" w:lineRule="auto"/>
        <w:ind w:firstLine="420" w:firstLineChars="200"/>
        <w:rPr>
          <w:rFonts w:ascii="宋体" w:hAnsi="宋体"/>
          <w:snapToGrid w:val="0"/>
          <w:color w:val="auto"/>
          <w:kern w:val="0"/>
          <w:szCs w:val="21"/>
          <w:highlight w:val="none"/>
        </w:rPr>
      </w:pPr>
      <w:bookmarkStart w:id="662"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02E1934D">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p>
    <w:p w14:paraId="3F58A86C">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53C56003">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5C84999">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C2771EE">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326996D">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2B686CD">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63220FD3">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6057DDDE">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（签字）</w:t>
      </w:r>
    </w:p>
    <w:p w14:paraId="66CD1B4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BC1F603">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2C9223D">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CCAAC20">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71B5C59">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5BD03E5A">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7A5F7F4">
      <w:pPr>
        <w:pStyle w:val="2"/>
        <w:spacing w:line="360" w:lineRule="auto"/>
        <w:rPr>
          <w:rFonts w:ascii="宋体" w:hAnsi="宋体"/>
          <w:color w:val="auto"/>
          <w:szCs w:val="21"/>
          <w:highlight w:val="none"/>
        </w:rPr>
      </w:pPr>
    </w:p>
    <w:p w14:paraId="56FA5938">
      <w:pPr>
        <w:spacing w:line="360" w:lineRule="auto"/>
        <w:jc w:val="right"/>
        <w:rPr>
          <w:rFonts w:hint="eastAsia" w:ascii="宋体" w:hAnsi="宋体"/>
          <w:snapToGrid w:val="0"/>
          <w:color w:val="auto"/>
          <w:kern w:val="0"/>
          <w:szCs w:val="21"/>
          <w:highlight w:val="none"/>
        </w:rPr>
      </w:pPr>
    </w:p>
    <w:p w14:paraId="278ABDD3">
      <w:pPr>
        <w:spacing w:line="360" w:lineRule="auto"/>
        <w:jc w:val="right"/>
        <w:rPr>
          <w:rFonts w:hint="eastAsia" w:ascii="宋体" w:hAnsi="宋体"/>
          <w:snapToGrid w:val="0"/>
          <w:color w:val="auto"/>
          <w:kern w:val="0"/>
          <w:szCs w:val="21"/>
          <w:highlight w:val="none"/>
        </w:rPr>
      </w:pPr>
    </w:p>
    <w:p w14:paraId="7A0E0EAE">
      <w:pPr>
        <w:spacing w:line="360" w:lineRule="auto"/>
        <w:jc w:val="right"/>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662"/>
    </w:p>
    <w:p w14:paraId="21156F1F">
      <w:pPr>
        <w:pStyle w:val="5"/>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663" w:name="_Toc18044"/>
      <w:bookmarkStart w:id="664" w:name="_Toc19856"/>
      <w:bookmarkStart w:id="665" w:name="_Toc532377179"/>
      <w:bookmarkStart w:id="666" w:name="_Toc532375586"/>
      <w:bookmarkStart w:id="667" w:name="_Toc529388289"/>
      <w:r>
        <w:rPr>
          <w:rFonts w:hint="eastAsia" w:ascii="宋体" w:hAnsi="宋体"/>
          <w:color w:val="auto"/>
          <w:sz w:val="44"/>
          <w:szCs w:val="44"/>
          <w:highlight w:val="none"/>
        </w:rPr>
        <w:t>第二部分 通用合同条款</w:t>
      </w:r>
      <w:bookmarkEnd w:id="663"/>
      <w:bookmarkEnd w:id="664"/>
      <w:bookmarkEnd w:id="665"/>
      <w:bookmarkEnd w:id="666"/>
      <w:bookmarkEnd w:id="667"/>
    </w:p>
    <w:p w14:paraId="542D7E76">
      <w:pPr>
        <w:pStyle w:val="6"/>
        <w:keepNext/>
        <w:keepLines/>
        <w:spacing w:before="156" w:beforeLines="50" w:beforeAutospacing="0" w:after="156" w:afterLines="50" w:afterAutospacing="0" w:line="360" w:lineRule="auto"/>
        <w:jc w:val="both"/>
        <w:rPr>
          <w:color w:val="auto"/>
          <w:kern w:val="2"/>
          <w:sz w:val="21"/>
          <w:szCs w:val="21"/>
          <w:highlight w:val="none"/>
        </w:rPr>
      </w:pPr>
      <w:bookmarkStart w:id="668" w:name="_Toc532375587"/>
      <w:bookmarkStart w:id="669" w:name="_Toc351203495"/>
      <w:bookmarkStart w:id="670" w:name="_Toc532377180"/>
      <w:r>
        <w:rPr>
          <w:rFonts w:hint="eastAsia"/>
          <w:color w:val="auto"/>
          <w:kern w:val="2"/>
          <w:sz w:val="21"/>
          <w:szCs w:val="21"/>
          <w:highlight w:val="none"/>
        </w:rPr>
        <w:t>1.</w:t>
      </w:r>
      <w:bookmarkStart w:id="671" w:name="_Toc303538972"/>
      <w:bookmarkEnd w:id="671"/>
      <w:bookmarkStart w:id="672" w:name="_Toc303538973"/>
      <w:bookmarkEnd w:id="672"/>
      <w:bookmarkStart w:id="673" w:name="_Toc303538974"/>
      <w:bookmarkEnd w:id="673"/>
      <w:bookmarkStart w:id="674" w:name="_Toc303538975"/>
      <w:bookmarkEnd w:id="674"/>
      <w:bookmarkStart w:id="675" w:name="_Toc303538976"/>
      <w:bookmarkEnd w:id="675"/>
      <w:bookmarkStart w:id="676" w:name="_Toc296503027"/>
      <w:bookmarkStart w:id="677" w:name="_Toc296346528"/>
      <w:r>
        <w:rPr>
          <w:rFonts w:hint="eastAsia"/>
          <w:color w:val="auto"/>
          <w:kern w:val="2"/>
          <w:sz w:val="21"/>
          <w:szCs w:val="21"/>
          <w:highlight w:val="none"/>
        </w:rPr>
        <w:t>一般约定</w:t>
      </w:r>
      <w:bookmarkEnd w:id="668"/>
      <w:bookmarkEnd w:id="669"/>
      <w:bookmarkEnd w:id="670"/>
      <w:bookmarkEnd w:id="676"/>
      <w:bookmarkEnd w:id="677"/>
    </w:p>
    <w:p w14:paraId="188B8F9F">
      <w:pPr>
        <w:pStyle w:val="7"/>
        <w:spacing w:before="0" w:beforeAutospacing="0" w:after="0" w:afterAutospacing="0" w:line="360" w:lineRule="auto"/>
        <w:ind w:firstLine="422" w:firstLineChars="200"/>
        <w:rPr>
          <w:color w:val="auto"/>
          <w:sz w:val="21"/>
          <w:szCs w:val="21"/>
          <w:highlight w:val="none"/>
        </w:rPr>
      </w:pPr>
      <w:bookmarkStart w:id="678" w:name="_Toc296503028"/>
      <w:bookmarkStart w:id="679" w:name="_Toc296346529"/>
      <w:bookmarkStart w:id="680" w:name="_Toc337558728"/>
      <w:bookmarkStart w:id="681" w:name="_Toc351203496"/>
      <w:bookmarkStart w:id="682" w:name="_Toc532377181"/>
      <w:r>
        <w:rPr>
          <w:rFonts w:hint="eastAsia"/>
          <w:color w:val="auto"/>
          <w:sz w:val="21"/>
          <w:szCs w:val="21"/>
          <w:highlight w:val="none"/>
        </w:rPr>
        <w:t>1.1词语定义</w:t>
      </w:r>
      <w:bookmarkEnd w:id="678"/>
      <w:bookmarkEnd w:id="679"/>
      <w:bookmarkEnd w:id="680"/>
      <w:r>
        <w:rPr>
          <w:rFonts w:hint="eastAsia"/>
          <w:color w:val="auto"/>
          <w:sz w:val="21"/>
          <w:szCs w:val="21"/>
          <w:highlight w:val="none"/>
        </w:rPr>
        <w:t>与解释</w:t>
      </w:r>
      <w:bookmarkEnd w:id="681"/>
      <w:bookmarkEnd w:id="682"/>
    </w:p>
    <w:p w14:paraId="3BD4ADF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合同协议书、通用合同条款、专用合同条款中的下列词语具有本款所赋予的含义：</w:t>
      </w:r>
    </w:p>
    <w:p w14:paraId="5AFF8E41">
      <w:pPr>
        <w:pStyle w:val="7"/>
        <w:spacing w:before="0" w:beforeAutospacing="0" w:after="0" w:afterAutospacing="0" w:line="360" w:lineRule="auto"/>
        <w:ind w:firstLine="420" w:firstLineChars="200"/>
        <w:rPr>
          <w:b w:val="0"/>
          <w:bCs w:val="0"/>
          <w:color w:val="auto"/>
          <w:sz w:val="21"/>
          <w:szCs w:val="21"/>
          <w:highlight w:val="none"/>
        </w:rPr>
      </w:pPr>
      <w:bookmarkStart w:id="683" w:name="_Toc532377182"/>
      <w:r>
        <w:rPr>
          <w:rFonts w:hint="eastAsia"/>
          <w:b w:val="0"/>
          <w:bCs w:val="0"/>
          <w:color w:val="auto"/>
          <w:sz w:val="21"/>
          <w:szCs w:val="21"/>
          <w:highlight w:val="none"/>
        </w:rPr>
        <w:t>1.1.1 合同</w:t>
      </w:r>
      <w:bookmarkEnd w:id="683"/>
    </w:p>
    <w:p w14:paraId="0C937CA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highlight w:val="none"/>
        </w:rPr>
        <w:t>及其附件</w:t>
      </w:r>
      <w:r>
        <w:rPr>
          <w:rFonts w:hint="eastAsia" w:ascii="宋体" w:hAnsi="宋体"/>
          <w:color w:val="auto"/>
          <w:kern w:val="0"/>
          <w:szCs w:val="21"/>
          <w:highlight w:val="none"/>
        </w:rPr>
        <w:t>、通用合同条款、技术标准和要求、图纸、已标价工程量清单或预算书以及其他合同文件。</w:t>
      </w:r>
    </w:p>
    <w:p w14:paraId="554C146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1.1.1.2 合同协议书：是指构成合同的由发包人和承包人共同签署的称为“合同协议书”的书面文件。</w:t>
      </w:r>
    </w:p>
    <w:p w14:paraId="5889830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 中标通知书：是指构成合同的由发包人通知承包人中标的书面文件。</w:t>
      </w:r>
    </w:p>
    <w:p w14:paraId="0ACE777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1.1.1.4 投标函：是指构成合同的由承包人填写并签署的用于投标的称为“投标函”的文件。</w:t>
      </w:r>
    </w:p>
    <w:p w14:paraId="7DC94F3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1.1.1.5 投标函附录：是指构成合同的附在投标函后的称为“投标函附录”的文件。</w:t>
      </w:r>
    </w:p>
    <w:p w14:paraId="448266C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 技术标准和要求：是指构成合同的施工应当遵守的或指导施工的国家、行业或地方的技术标准和要求，以及合同约定的技术标准和要求。</w:t>
      </w:r>
    </w:p>
    <w:p w14:paraId="367D6AA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5ECC6BE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已标价工程量清单：是指构成合同的由承包人按照规定的格式和要求填写并标明价格的工程量清单，包括说明和表格。</w:t>
      </w:r>
    </w:p>
    <w:p w14:paraId="5EC401F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1.1.1.9 预算书：是指构成合同的由承包人按照发包人规定的格式和要求编制的工程预算文件。</w:t>
      </w:r>
    </w:p>
    <w:p w14:paraId="6FBA5AB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1.1.1.10 其他合同文件：是指经合同当事人约定的与工程施工有关的具有合同约束力的文件或书面协议。合同当事人可以在专用合同条款中进行约定。</w:t>
      </w:r>
    </w:p>
    <w:p w14:paraId="48A3586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 合同当事人及其他相关方</w:t>
      </w:r>
    </w:p>
    <w:p w14:paraId="1617807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1.1.2.1 合同当事人：是指发包人和（或）承包人。</w:t>
      </w:r>
    </w:p>
    <w:p w14:paraId="3BC1873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1.1.2.2 发包人：是指与承包人签订合同协议书的当事人及取得该当事人资格的合法继承人。</w:t>
      </w:r>
    </w:p>
    <w:p w14:paraId="61EC427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1.1.2.3 承包人：是指与发包人签订合同协议书的，具有相应工程施工承包资质的当事人及取得该当事人资格的合法继承人。</w:t>
      </w:r>
    </w:p>
    <w:p w14:paraId="6B5EF26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1.1.2.4 监理人：是指在专用合同条款中指明的，受发包人委托按照法律规定进行工程监督管理的法人或其他组织。</w:t>
      </w:r>
    </w:p>
    <w:p w14:paraId="6AA0A79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1.1.2.5 设计人：是指在专用合同条款中指明的，受发包人委托负责工程设计并具备相应工程设计资质的法人或其他组织。</w:t>
      </w:r>
    </w:p>
    <w:p w14:paraId="352ADAB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1.1.2.6 分包人：</w:t>
      </w:r>
      <w:bookmarkStart w:id="684" w:name="#go5"/>
      <w:bookmarkEnd w:id="684"/>
      <w:r>
        <w:rPr>
          <w:rFonts w:hint="eastAsia" w:ascii="宋体" w:hAnsi="宋体"/>
          <w:color w:val="auto"/>
          <w:kern w:val="0"/>
          <w:szCs w:val="21"/>
          <w:highlight w:val="none"/>
        </w:rPr>
        <w:t>是指按照法律规定和合同约定，分包部分工程或工作，并与承包人签订分包合同的具有相应资质的法人。</w:t>
      </w:r>
    </w:p>
    <w:p w14:paraId="50CCA39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1.1.2.7 发包人代表：是指由发包人任命并派驻施工现场在发包人授权范围内行使发包人权利的人。</w:t>
      </w:r>
    </w:p>
    <w:p w14:paraId="1B12477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1.1.2.8 项目经理：是指由承包人任命并派驻施工现场，在承包人授权范围内负责合同履行，且按照法律规定具有相应资格的项目负责人。</w:t>
      </w:r>
    </w:p>
    <w:p w14:paraId="1C27B78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1.1.2.9 总监理工程师：是指由监理人任命并派驻施工现场进行工程监理的总负责人。</w:t>
      </w:r>
    </w:p>
    <w:p w14:paraId="5B0CF9F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 工程和设备</w:t>
      </w:r>
    </w:p>
    <w:p w14:paraId="5423BDC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1.1.3.1 工程：是指与合同协议书中工程承包范围对应的永久工程和（或）临时工程。</w:t>
      </w:r>
    </w:p>
    <w:p w14:paraId="2BE2640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1.1.3.2 永久工程：是指按合同约定建造并移交给发包人的工程，包括工程设备。</w:t>
      </w:r>
    </w:p>
    <w:p w14:paraId="332C734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1.1.3.3 临时工程：是指为完成合同约定的永久工程所修建的各类临时性工程，不包括施工设备。</w:t>
      </w:r>
    </w:p>
    <w:p w14:paraId="6362B4D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1.1.3.4 单位工程：是指在合同协议书中指明的，具备独立施工条件并能形成独立使用功能的永久工程。</w:t>
      </w:r>
    </w:p>
    <w:p w14:paraId="21492C2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1.1.3.5 工程设备：是指构成永久工程的机电设备、金属结构设备、仪器及其他类似的设备和装置。</w:t>
      </w:r>
    </w:p>
    <w:p w14:paraId="69459A1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1.1.3.6 施工设备：是指为完成合同约定的各项工作所需的设备、器具和其他物品，但不包括工程设备、临时工程和材料。</w:t>
      </w:r>
    </w:p>
    <w:p w14:paraId="18D6669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1.1.3.7 施工现场：是指用于工程施工的场所，以及在专用合同条款中指明作为施工场所组成部分的其他场所，包括永久占地和临时占地。</w:t>
      </w:r>
    </w:p>
    <w:p w14:paraId="05A41B4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1.1.3.8临时设施：是指为完成合同约定的各项工作所服务的临时性生产和生活设施。</w:t>
      </w:r>
    </w:p>
    <w:p w14:paraId="1406323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1.1.3.9 永久占地：是指专用合同条款中指明为实施工程需永久占用的土地。</w:t>
      </w:r>
    </w:p>
    <w:p w14:paraId="03FF47C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1.1.3.10 临时占地：是指专用合同条款中指明为实施工程需要临时占用的土地。</w:t>
      </w:r>
    </w:p>
    <w:p w14:paraId="5022F95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 日期和期限</w:t>
      </w:r>
    </w:p>
    <w:p w14:paraId="03D443D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ECD10C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14:paraId="73AA88B1">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1.1.4.3 工期：是指在合同协议书约定的承包人完成工程所需的期限，包括按照合同约定所作的期限变更。</w:t>
      </w:r>
    </w:p>
    <w:p w14:paraId="3DAB326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1.1.4.4 缺陷责任期：是指承包人按照合同约定承担缺陷修复义务，且发包人预留质量保证金（已缴纳履约保证金的除外）的期限，自工程实际竣工日期起计算。</w:t>
      </w:r>
    </w:p>
    <w:p w14:paraId="7331710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1.1.4.5 保修期：是指承包人按照合同约定对工程承担保修责任的期限，从工程竣工验收合格之日起计算。</w:t>
      </w:r>
    </w:p>
    <w:p w14:paraId="7DB7F31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1.1.4.6 基准日期：</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发包的工程以投标截止日前28天的日期为基准日期，直接发包的工程以合同签订日前28天的日期为基准日期。</w:t>
      </w:r>
    </w:p>
    <w:p w14:paraId="2BD2230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1.1.4.7 天：除特别指明外，均指日历天。合同中按天计算时间的，开始当天不计入，从次日开始计算，期限最后一天的截止时间为当天24：00时。</w:t>
      </w:r>
    </w:p>
    <w:p w14:paraId="0E9F31F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 合同价格和费用</w:t>
      </w:r>
    </w:p>
    <w:p w14:paraId="441CDD32">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1.1.5.1 签约合同价：是指</w:t>
      </w:r>
      <w:r>
        <w:rPr>
          <w:rFonts w:hint="eastAsia" w:ascii="宋体" w:hAnsi="宋体"/>
          <w:color w:val="auto"/>
          <w:szCs w:val="21"/>
          <w:highlight w:val="none"/>
        </w:rPr>
        <w:t>发包人和承包人在合同协议书中确定的总金额，包括安全文明施工费、暂估价及暂列金额等。</w:t>
      </w:r>
    </w:p>
    <w:p w14:paraId="21EB41F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1.1.5.2 合同价格：是指发包人用于支付承包人按照合同约定完成承包范围内全部工作的金额，包括合同履行过程中按合同约定发生的价格变化。</w:t>
      </w:r>
    </w:p>
    <w:p w14:paraId="2E5C71E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1.1.5.3 费用：是指为履行合同所发生的或将要发生的所有必需的开支，包括管理费和应分摊的其他费用，但不包括利润。</w:t>
      </w:r>
    </w:p>
    <w:p w14:paraId="75B0ABF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1.1.5.4 暂估价：是指发包人在工程量清单或预算书中提供的用于支付必然发生但暂时不能确定价格的材料、工程设备的单价、专业工程以及服务工作的金额。</w:t>
      </w:r>
    </w:p>
    <w:p w14:paraId="5D0C754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767CD3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1.1.5.6 计日工：是指合同履行过程中，承包人完成发包人提出的零星工作或需要采用计日工计价的变更工作时，按合同中约定的单价计价的一种方式。</w:t>
      </w:r>
    </w:p>
    <w:p w14:paraId="10AA13D3">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1.1.5.7 质量保证金</w:t>
      </w:r>
      <w:bookmarkStart w:id="685" w:name="#go2"/>
      <w:bookmarkEnd w:id="685"/>
      <w:r>
        <w:rPr>
          <w:rFonts w:hint="eastAsia" w:ascii="宋体" w:hAnsi="宋体"/>
          <w:color w:val="auto"/>
          <w:kern w:val="0"/>
          <w:szCs w:val="21"/>
          <w:highlight w:val="none"/>
        </w:rPr>
        <w:t>：是指按照第15.3款〔质量保证金〕约定承包人用于保证其在缺陷责任期内履行缺陷修补义务的担保</w:t>
      </w:r>
      <w:r>
        <w:rPr>
          <w:rFonts w:hint="eastAsia" w:ascii="宋体" w:hAnsi="宋体"/>
          <w:color w:val="auto"/>
          <w:szCs w:val="21"/>
          <w:highlight w:val="none"/>
        </w:rPr>
        <w:t>。</w:t>
      </w:r>
    </w:p>
    <w:p w14:paraId="644B786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1.1.5.8 总价项目：是指在现行国家、行业以及地方的计量规则中无工程量计算规则，在已标价工程量清单或预算书中以总价或以费率形式计算的项目。</w:t>
      </w:r>
    </w:p>
    <w:p w14:paraId="2F3595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14:paraId="3FEC4A8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1.1.6.1 书面形式：是指合同文件、信函、电报、传真等可以有形地表现所载内容的形式。</w:t>
      </w:r>
    </w:p>
    <w:p w14:paraId="6B545A5E">
      <w:pPr>
        <w:pStyle w:val="7"/>
        <w:spacing w:before="0" w:beforeAutospacing="0" w:after="0" w:afterAutospacing="0" w:line="360" w:lineRule="auto"/>
        <w:ind w:firstLine="422" w:firstLineChars="200"/>
        <w:rPr>
          <w:color w:val="auto"/>
          <w:sz w:val="21"/>
          <w:szCs w:val="21"/>
          <w:highlight w:val="none"/>
        </w:rPr>
      </w:pPr>
      <w:bookmarkStart w:id="686" w:name="_Toc532377183"/>
      <w:r>
        <w:rPr>
          <w:rFonts w:hint="eastAsia"/>
          <w:color w:val="auto"/>
          <w:sz w:val="21"/>
          <w:szCs w:val="21"/>
          <w:highlight w:val="none"/>
        </w:rPr>
        <w:t>1.2 语言文字</w:t>
      </w:r>
      <w:bookmarkEnd w:id="686"/>
    </w:p>
    <w:p w14:paraId="7015119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14:paraId="4C88CCB3">
      <w:pPr>
        <w:pStyle w:val="7"/>
        <w:spacing w:before="0" w:beforeAutospacing="0" w:after="0" w:afterAutospacing="0" w:line="360" w:lineRule="auto"/>
        <w:ind w:firstLine="422" w:firstLineChars="200"/>
        <w:rPr>
          <w:color w:val="auto"/>
          <w:sz w:val="21"/>
          <w:szCs w:val="21"/>
          <w:highlight w:val="none"/>
        </w:rPr>
      </w:pPr>
      <w:bookmarkStart w:id="687" w:name="_Toc337558730"/>
      <w:bookmarkStart w:id="688" w:name="_Toc351203498"/>
      <w:bookmarkStart w:id="689" w:name="_Toc296346531"/>
      <w:bookmarkStart w:id="690" w:name="_Toc532377184"/>
      <w:bookmarkStart w:id="691" w:name="_Toc296503030"/>
      <w:r>
        <w:rPr>
          <w:rFonts w:hint="eastAsia"/>
          <w:color w:val="auto"/>
          <w:sz w:val="21"/>
          <w:szCs w:val="21"/>
          <w:highlight w:val="none"/>
        </w:rPr>
        <w:t>1.3法律</w:t>
      </w:r>
      <w:bookmarkEnd w:id="687"/>
      <w:bookmarkEnd w:id="688"/>
      <w:bookmarkEnd w:id="689"/>
      <w:bookmarkEnd w:id="690"/>
      <w:bookmarkEnd w:id="691"/>
    </w:p>
    <w:p w14:paraId="7361A18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合同所称法律是指中华人民共和国法律、行政法规、部门规章，以及工程所在地的地方性法规、自治条例、单行条例和地方政府规章等。</w:t>
      </w:r>
    </w:p>
    <w:p w14:paraId="58959B6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合同当事人可以在专用合同条款中约定合同适用的其他规范性文件。</w:t>
      </w:r>
    </w:p>
    <w:p w14:paraId="6AF4CCD4">
      <w:pPr>
        <w:pStyle w:val="7"/>
        <w:spacing w:before="0" w:beforeAutospacing="0" w:after="0" w:afterAutospacing="0" w:line="360" w:lineRule="auto"/>
        <w:ind w:firstLine="422" w:firstLineChars="200"/>
        <w:rPr>
          <w:color w:val="auto"/>
          <w:sz w:val="21"/>
          <w:szCs w:val="21"/>
          <w:highlight w:val="none"/>
        </w:rPr>
      </w:pPr>
      <w:bookmarkStart w:id="692" w:name="_Toc532377185"/>
      <w:bookmarkStart w:id="693" w:name="_Toc351203499"/>
      <w:r>
        <w:rPr>
          <w:rFonts w:hint="eastAsia"/>
          <w:color w:val="auto"/>
          <w:sz w:val="21"/>
          <w:szCs w:val="21"/>
          <w:highlight w:val="none"/>
        </w:rPr>
        <w:t>1.4 标准和规范</w:t>
      </w:r>
      <w:bookmarkEnd w:id="692"/>
      <w:bookmarkEnd w:id="693"/>
    </w:p>
    <w:p w14:paraId="08DCD6F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1.4.1 适用于工程的国家标准、行业标准、工程所在地的地方性标准，以及相应的规范、规程等，合同当事人有特别要求的，应在专用合同条款中约定。</w:t>
      </w:r>
    </w:p>
    <w:p w14:paraId="34F5B6B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发包人要求使用国外标准、规范的，发包人负责提供原文版本和中文译本，并在专用合同条款中约定提供标准规范的名称、份数和时间。</w:t>
      </w:r>
    </w:p>
    <w:p w14:paraId="3DC48EA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FE1321D">
      <w:pPr>
        <w:pStyle w:val="7"/>
        <w:spacing w:before="0" w:beforeAutospacing="0" w:after="0" w:afterAutospacing="0" w:line="360" w:lineRule="auto"/>
        <w:ind w:firstLine="422" w:firstLineChars="200"/>
        <w:rPr>
          <w:color w:val="auto"/>
          <w:sz w:val="21"/>
          <w:szCs w:val="21"/>
          <w:highlight w:val="none"/>
        </w:rPr>
      </w:pPr>
      <w:bookmarkStart w:id="694" w:name="_Toc532377186"/>
      <w:bookmarkStart w:id="695" w:name="_Toc351203500"/>
      <w:r>
        <w:rPr>
          <w:rFonts w:hint="eastAsia"/>
          <w:color w:val="auto"/>
          <w:sz w:val="21"/>
          <w:szCs w:val="21"/>
          <w:highlight w:val="none"/>
        </w:rPr>
        <w:t>1</w:t>
      </w:r>
      <w:bookmarkStart w:id="696" w:name="_Toc296503031"/>
      <w:bookmarkStart w:id="697" w:name="_Toc296346532"/>
      <w:bookmarkStart w:id="698" w:name="_Toc337558731"/>
      <w:r>
        <w:rPr>
          <w:rFonts w:hint="eastAsia"/>
          <w:color w:val="auto"/>
          <w:sz w:val="21"/>
          <w:szCs w:val="21"/>
          <w:highlight w:val="none"/>
        </w:rPr>
        <w:t>.5 合同文件的优先顺序</w:t>
      </w:r>
      <w:bookmarkEnd w:id="694"/>
      <w:bookmarkEnd w:id="695"/>
    </w:p>
    <w:bookmarkEnd w:id="696"/>
    <w:bookmarkEnd w:id="697"/>
    <w:bookmarkEnd w:id="698"/>
    <w:p w14:paraId="139FD73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组成合同的各项文件应互相解释，互为说明。除专用合同条款另有约定外，解释合同文件的优先顺序如下：</w:t>
      </w:r>
    </w:p>
    <w:p w14:paraId="5FE01F2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（1）合同协议书；</w:t>
      </w:r>
    </w:p>
    <w:p w14:paraId="673218D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（2）中标通知书（如有）；</w:t>
      </w:r>
    </w:p>
    <w:p w14:paraId="1F445D2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（3）投标函及其附录（如有）；</w:t>
      </w:r>
    </w:p>
    <w:p w14:paraId="20F56C8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（4）专用合同条款及其附件；</w:t>
      </w:r>
    </w:p>
    <w:p w14:paraId="6146754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（5）通用合同条款；</w:t>
      </w:r>
    </w:p>
    <w:p w14:paraId="4F09DC2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（6）技术标准和要求；</w:t>
      </w:r>
    </w:p>
    <w:p w14:paraId="2163019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（7）图纸；</w:t>
      </w:r>
    </w:p>
    <w:p w14:paraId="1B8EE60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（8）已标价工程量清单或预算书；</w:t>
      </w:r>
    </w:p>
    <w:p w14:paraId="5800F36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（9）其他合同文件。</w:t>
      </w:r>
    </w:p>
    <w:p w14:paraId="2B1FC12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上述各项合同文件包括合同当事人就该项合同文件所作出的补充和修改，属于同一类内容的文件，应以最新签署的为准。</w:t>
      </w:r>
    </w:p>
    <w:p w14:paraId="1F25BF4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在合同订立及履行过程中形成的与合同有关的文件均构成合同文件组成部分，并根据其性质确定优先解释顺序。</w:t>
      </w:r>
    </w:p>
    <w:p w14:paraId="33AEADF5">
      <w:pPr>
        <w:pStyle w:val="7"/>
        <w:spacing w:before="0" w:beforeAutospacing="0" w:after="0" w:afterAutospacing="0" w:line="360" w:lineRule="auto"/>
        <w:ind w:firstLine="422" w:firstLineChars="200"/>
        <w:rPr>
          <w:color w:val="auto"/>
          <w:sz w:val="21"/>
          <w:szCs w:val="21"/>
          <w:highlight w:val="none"/>
        </w:rPr>
      </w:pPr>
      <w:bookmarkStart w:id="699" w:name="_Toc532377187"/>
      <w:bookmarkStart w:id="700" w:name="_Toc351203501"/>
      <w:r>
        <w:rPr>
          <w:rFonts w:hint="eastAsia"/>
          <w:color w:val="auto"/>
          <w:sz w:val="21"/>
          <w:szCs w:val="21"/>
          <w:highlight w:val="none"/>
        </w:rPr>
        <w:t>1</w:t>
      </w:r>
      <w:bookmarkStart w:id="701" w:name="_Toc337558732"/>
      <w:bookmarkStart w:id="702" w:name="_Toc296503032"/>
      <w:bookmarkStart w:id="703" w:name="_Toc296346533"/>
      <w:r>
        <w:rPr>
          <w:rFonts w:hint="eastAsia"/>
          <w:color w:val="auto"/>
          <w:sz w:val="21"/>
          <w:szCs w:val="21"/>
          <w:highlight w:val="none"/>
        </w:rPr>
        <w:t>.6图纸和承包人文件</w:t>
      </w:r>
      <w:bookmarkEnd w:id="699"/>
      <w:bookmarkEnd w:id="700"/>
    </w:p>
    <w:bookmarkEnd w:id="701"/>
    <w:bookmarkEnd w:id="702"/>
    <w:bookmarkEnd w:id="703"/>
    <w:p w14:paraId="42C836F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 图纸的提供和交底</w:t>
      </w:r>
    </w:p>
    <w:p w14:paraId="4017E5C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6EFC62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因发包人未按合同约定提供图纸导致承包人费用增加和（或）工期延误的，按照第7.5.1项〔因发包人原因导致工期延误〕约定办理。</w:t>
      </w:r>
    </w:p>
    <w:p w14:paraId="74BD80A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 图纸的错误</w:t>
      </w:r>
    </w:p>
    <w:p w14:paraId="5F34ACE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33EF44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1.6.3 图纸的修改和补充</w:t>
      </w:r>
    </w:p>
    <w:p w14:paraId="6C9C4F0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B3B613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1.6.4 承包人文件</w:t>
      </w:r>
    </w:p>
    <w:p w14:paraId="3446082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3262359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965419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1.6.5 图纸和承包人文件的保管</w:t>
      </w:r>
    </w:p>
    <w:p w14:paraId="764E8AA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除专用合同条款另有约定外，承包人应在施工现场另外保存一套完整的图纸和承包人文件，供发包人、监理人及有关人员进行工程检查时使用。</w:t>
      </w:r>
    </w:p>
    <w:p w14:paraId="7E1F1812">
      <w:pPr>
        <w:pStyle w:val="7"/>
        <w:spacing w:before="0" w:beforeAutospacing="0" w:after="0" w:afterAutospacing="0" w:line="360" w:lineRule="auto"/>
        <w:ind w:firstLine="422" w:firstLineChars="200"/>
        <w:rPr>
          <w:color w:val="auto"/>
          <w:sz w:val="21"/>
          <w:szCs w:val="21"/>
          <w:highlight w:val="none"/>
        </w:rPr>
      </w:pPr>
      <w:bookmarkStart w:id="704" w:name="_Toc351203502"/>
      <w:bookmarkStart w:id="705" w:name="_Toc532377188"/>
      <w:r>
        <w:rPr>
          <w:rFonts w:hint="eastAsia"/>
          <w:color w:val="auto"/>
          <w:sz w:val="21"/>
          <w:szCs w:val="21"/>
          <w:highlight w:val="none"/>
        </w:rPr>
        <w:t>1</w:t>
      </w:r>
      <w:bookmarkStart w:id="706" w:name="_Toc296503033"/>
      <w:bookmarkStart w:id="707" w:name="_Toc296346534"/>
      <w:bookmarkStart w:id="708" w:name="_Toc337558733"/>
      <w:r>
        <w:rPr>
          <w:rFonts w:hint="eastAsia"/>
          <w:color w:val="auto"/>
          <w:sz w:val="21"/>
          <w:szCs w:val="21"/>
          <w:highlight w:val="none"/>
        </w:rPr>
        <w:t>.7联络</w:t>
      </w:r>
      <w:bookmarkEnd w:id="704"/>
      <w:bookmarkEnd w:id="705"/>
    </w:p>
    <w:bookmarkEnd w:id="706"/>
    <w:bookmarkEnd w:id="707"/>
    <w:bookmarkEnd w:id="708"/>
    <w:p w14:paraId="450BCED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与合同有关的通知、批准、证明、证书、指示、指令、要求、请求、同意、意见、确定和决定等，均应采用书面形式，并应在合同约定的期限内送达接收人和送达地点。</w:t>
      </w:r>
    </w:p>
    <w:p w14:paraId="5CE416F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535C4CA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 发包人和承包人应当及时签收另一方送达至送达地点和指定接收人的来往信函。拒不签收的，由此增加的费用和（或）延误的工期由拒绝接收一方承担。</w:t>
      </w:r>
    </w:p>
    <w:p w14:paraId="5E8B22D4">
      <w:pPr>
        <w:pStyle w:val="7"/>
        <w:spacing w:before="0" w:beforeAutospacing="0" w:after="0" w:afterAutospacing="0" w:line="360" w:lineRule="auto"/>
        <w:ind w:firstLine="422" w:firstLineChars="200"/>
        <w:rPr>
          <w:color w:val="auto"/>
          <w:sz w:val="21"/>
          <w:szCs w:val="21"/>
          <w:highlight w:val="none"/>
        </w:rPr>
      </w:pPr>
      <w:bookmarkStart w:id="709" w:name="_Toc532377189"/>
      <w:bookmarkStart w:id="710" w:name="_Toc351203503"/>
      <w:r>
        <w:rPr>
          <w:rFonts w:hint="eastAsia"/>
          <w:color w:val="auto"/>
          <w:sz w:val="21"/>
          <w:szCs w:val="21"/>
          <w:highlight w:val="none"/>
        </w:rPr>
        <w:t>1</w:t>
      </w:r>
      <w:bookmarkStart w:id="711" w:name="_Toc337558734"/>
      <w:bookmarkStart w:id="712" w:name="_Toc296503035"/>
      <w:bookmarkStart w:id="713" w:name="_Toc296346536"/>
      <w:r>
        <w:rPr>
          <w:rFonts w:hint="eastAsia"/>
          <w:color w:val="auto"/>
          <w:sz w:val="21"/>
          <w:szCs w:val="21"/>
          <w:highlight w:val="none"/>
        </w:rPr>
        <w:t>.8严禁贿赂</w:t>
      </w:r>
      <w:bookmarkEnd w:id="709"/>
      <w:bookmarkEnd w:id="710"/>
    </w:p>
    <w:bookmarkEnd w:id="711"/>
    <w:bookmarkEnd w:id="712"/>
    <w:bookmarkEnd w:id="713"/>
    <w:p w14:paraId="08970BA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14:paraId="009844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2034A26E">
      <w:pPr>
        <w:pStyle w:val="7"/>
        <w:spacing w:before="0" w:beforeAutospacing="0" w:after="0" w:afterAutospacing="0" w:line="360" w:lineRule="auto"/>
        <w:ind w:firstLine="422" w:firstLineChars="200"/>
        <w:rPr>
          <w:color w:val="auto"/>
          <w:sz w:val="21"/>
          <w:szCs w:val="21"/>
          <w:highlight w:val="none"/>
        </w:rPr>
      </w:pPr>
      <w:bookmarkStart w:id="714" w:name="_Toc351203504"/>
      <w:bookmarkStart w:id="715" w:name="_Toc532377190"/>
      <w:r>
        <w:rPr>
          <w:rFonts w:hint="eastAsia"/>
          <w:color w:val="auto"/>
          <w:sz w:val="21"/>
          <w:szCs w:val="21"/>
          <w:highlight w:val="none"/>
        </w:rPr>
        <w:t>1</w:t>
      </w:r>
      <w:bookmarkStart w:id="716" w:name="_Toc296503036"/>
      <w:bookmarkStart w:id="717" w:name="_Toc296346537"/>
      <w:bookmarkStart w:id="718" w:name="_Toc337558735"/>
      <w:r>
        <w:rPr>
          <w:rFonts w:hint="eastAsia"/>
          <w:color w:val="auto"/>
          <w:sz w:val="21"/>
          <w:szCs w:val="21"/>
          <w:highlight w:val="none"/>
        </w:rPr>
        <w:t>.9化石、文物</w:t>
      </w:r>
      <w:bookmarkEnd w:id="714"/>
      <w:bookmarkEnd w:id="715"/>
    </w:p>
    <w:bookmarkEnd w:id="716"/>
    <w:bookmarkEnd w:id="717"/>
    <w:bookmarkEnd w:id="718"/>
    <w:p w14:paraId="15BEBD7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FBA193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发包人、监理人和承包人应按有关政府行政管理部门要求采取妥善的保护措施，由此增加的费用和（或）延误的工期由发包人承担。</w:t>
      </w:r>
    </w:p>
    <w:p w14:paraId="3C27814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承包人发现文物后不及时报告或隐瞒不报，致使文物丢失或损坏的，应赔偿损失，并承担相应的法律责任。</w:t>
      </w:r>
    </w:p>
    <w:p w14:paraId="51235188">
      <w:pPr>
        <w:pStyle w:val="7"/>
        <w:spacing w:before="0" w:beforeAutospacing="0" w:after="0" w:afterAutospacing="0" w:line="360" w:lineRule="auto"/>
        <w:ind w:firstLine="422" w:firstLineChars="200"/>
        <w:rPr>
          <w:color w:val="auto"/>
          <w:sz w:val="21"/>
          <w:szCs w:val="21"/>
          <w:highlight w:val="none"/>
        </w:rPr>
      </w:pPr>
      <w:bookmarkStart w:id="719" w:name="_Toc351203505"/>
      <w:bookmarkStart w:id="720" w:name="_Toc532377191"/>
      <w:r>
        <w:rPr>
          <w:rFonts w:hint="eastAsia"/>
          <w:color w:val="auto"/>
          <w:sz w:val="21"/>
          <w:szCs w:val="21"/>
          <w:highlight w:val="none"/>
        </w:rPr>
        <w:t>1</w:t>
      </w:r>
      <w:bookmarkStart w:id="721" w:name="_Toc337558736"/>
      <w:r>
        <w:rPr>
          <w:rFonts w:hint="eastAsia"/>
          <w:color w:val="auto"/>
          <w:sz w:val="21"/>
          <w:szCs w:val="21"/>
          <w:highlight w:val="none"/>
        </w:rPr>
        <w:t>.10交通运输</w:t>
      </w:r>
      <w:bookmarkEnd w:id="719"/>
      <w:bookmarkEnd w:id="720"/>
    </w:p>
    <w:bookmarkEnd w:id="721"/>
    <w:p w14:paraId="2C8CF8F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1.10.1 出入现场的权利</w:t>
      </w:r>
    </w:p>
    <w:p w14:paraId="38C9713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1EE4F0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96AB99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1.10.2 场外交通</w:t>
      </w:r>
    </w:p>
    <w:p w14:paraId="17C98F4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5EE027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1.10.3场内交通</w:t>
      </w:r>
    </w:p>
    <w:p w14:paraId="2935878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EA6C65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B85161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场外交通和场内交通的边界由合同当事人在专用合同条款中约定。</w:t>
      </w:r>
    </w:p>
    <w:p w14:paraId="7B70058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1.10.4 超大件和超重件的运输</w:t>
      </w:r>
    </w:p>
    <w:p w14:paraId="4E62EA1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DDAA60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1.10.5 道路和桥梁的损坏责任</w:t>
      </w:r>
    </w:p>
    <w:p w14:paraId="61F0ADD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因承包人运输造成施工场地内外公共道路和桥梁损坏的，由承包人承担修复损坏的全部费用和可能引起的赔偿。</w:t>
      </w:r>
    </w:p>
    <w:p w14:paraId="313CA74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1.10.6 水路和航空运输</w:t>
      </w:r>
    </w:p>
    <w:p w14:paraId="13860EF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031E133F">
      <w:pPr>
        <w:pStyle w:val="7"/>
        <w:spacing w:before="0" w:beforeAutospacing="0" w:after="0" w:afterAutospacing="0" w:line="360" w:lineRule="auto"/>
        <w:ind w:firstLine="422" w:firstLineChars="200"/>
        <w:rPr>
          <w:color w:val="auto"/>
          <w:sz w:val="21"/>
          <w:szCs w:val="21"/>
          <w:highlight w:val="none"/>
        </w:rPr>
      </w:pPr>
      <w:bookmarkStart w:id="722" w:name="_Toc532377192"/>
      <w:bookmarkStart w:id="723" w:name="_Toc351203506"/>
      <w:r>
        <w:rPr>
          <w:rFonts w:hint="eastAsia"/>
          <w:color w:val="auto"/>
          <w:sz w:val="21"/>
          <w:szCs w:val="21"/>
          <w:highlight w:val="none"/>
        </w:rPr>
        <w:t>1</w:t>
      </w:r>
      <w:bookmarkStart w:id="724" w:name="_Toc337558737"/>
      <w:bookmarkStart w:id="725" w:name="_Toc296346538"/>
      <w:bookmarkStart w:id="726" w:name="_Toc296503037"/>
      <w:r>
        <w:rPr>
          <w:rFonts w:hint="eastAsia"/>
          <w:color w:val="auto"/>
          <w:sz w:val="21"/>
          <w:szCs w:val="21"/>
          <w:highlight w:val="none"/>
        </w:rPr>
        <w:t>.11知识产权</w:t>
      </w:r>
      <w:bookmarkEnd w:id="722"/>
      <w:bookmarkEnd w:id="723"/>
      <w:bookmarkEnd w:id="724"/>
    </w:p>
    <w:bookmarkEnd w:id="725"/>
    <w:bookmarkEnd w:id="726"/>
    <w:p w14:paraId="7C05929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E9D414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934BB2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A050D1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1.11.4 除专用合同条款另有约定外，承包人在合同签订前和签订时已确定采用的专利、专有技术、技术秘密的使用费已包含在签约合同价中。</w:t>
      </w:r>
    </w:p>
    <w:p w14:paraId="11F199F3">
      <w:pPr>
        <w:pStyle w:val="7"/>
        <w:spacing w:before="0" w:beforeAutospacing="0" w:after="0" w:afterAutospacing="0" w:line="360" w:lineRule="auto"/>
        <w:ind w:firstLine="422" w:firstLineChars="200"/>
        <w:rPr>
          <w:color w:val="auto"/>
          <w:sz w:val="21"/>
          <w:szCs w:val="21"/>
          <w:highlight w:val="none"/>
        </w:rPr>
      </w:pPr>
      <w:bookmarkStart w:id="727" w:name="_Toc532377193"/>
      <w:bookmarkStart w:id="728" w:name="_Toc351203507"/>
      <w:r>
        <w:rPr>
          <w:rFonts w:hint="eastAsia"/>
          <w:color w:val="auto"/>
          <w:sz w:val="21"/>
          <w:szCs w:val="21"/>
          <w:highlight w:val="none"/>
        </w:rPr>
        <w:t>1</w:t>
      </w:r>
      <w:bookmarkStart w:id="729" w:name="_Toc337558738"/>
      <w:r>
        <w:rPr>
          <w:rFonts w:hint="eastAsia"/>
          <w:color w:val="auto"/>
          <w:sz w:val="21"/>
          <w:szCs w:val="21"/>
          <w:highlight w:val="none"/>
        </w:rPr>
        <w:t>.12保密</w:t>
      </w:r>
      <w:bookmarkEnd w:id="727"/>
      <w:bookmarkEnd w:id="728"/>
    </w:p>
    <w:bookmarkEnd w:id="729"/>
    <w:p w14:paraId="0437DD8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除法律规定或合同另有约定外，未经发包人同意，承包人不得将发包人提供的图纸、文件以及声明需要保密的资料信息等商业秘密泄露给第三方。</w:t>
      </w:r>
    </w:p>
    <w:p w14:paraId="2C02EBE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除法律规定或合同另有约定外，未经承包人同意，发包人不得将承包人提供的技术秘密及声明需要保密的资料信息等商业秘密泄露给第三方。</w:t>
      </w:r>
    </w:p>
    <w:p w14:paraId="251A1D91">
      <w:pPr>
        <w:pStyle w:val="7"/>
        <w:spacing w:before="0" w:beforeAutospacing="0" w:after="0" w:afterAutospacing="0" w:line="360" w:lineRule="auto"/>
        <w:ind w:firstLine="422" w:firstLineChars="200"/>
        <w:rPr>
          <w:color w:val="auto"/>
          <w:sz w:val="21"/>
          <w:szCs w:val="21"/>
          <w:highlight w:val="none"/>
        </w:rPr>
      </w:pPr>
      <w:bookmarkStart w:id="730" w:name="_Toc351203508"/>
      <w:bookmarkStart w:id="731" w:name="_Toc532377194"/>
      <w:r>
        <w:rPr>
          <w:rFonts w:hint="eastAsia"/>
          <w:color w:val="auto"/>
          <w:sz w:val="21"/>
          <w:szCs w:val="21"/>
          <w:highlight w:val="none"/>
        </w:rPr>
        <w:t>1.13工程量清单错误的修正</w:t>
      </w:r>
      <w:bookmarkEnd w:id="730"/>
      <w:bookmarkEnd w:id="731"/>
    </w:p>
    <w:p w14:paraId="58118BC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除专用合同条款另有约定外，发包人提供的工程量清单，应被认为是准确的和完整的。出现下列情形之一时，发包人应予以修正，并相应调整合同价格：</w:t>
      </w:r>
    </w:p>
    <w:p w14:paraId="65E7FFC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（1）工程量清单存在缺项、漏项的；</w:t>
      </w:r>
    </w:p>
    <w:p w14:paraId="1680C73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（2）工程量清单偏差超出专用合同条款约定的工程量偏差范围的；</w:t>
      </w:r>
    </w:p>
    <w:p w14:paraId="67FFFD1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（3）未按照国家现行计量规范强制性规定计量的。</w:t>
      </w:r>
    </w:p>
    <w:p w14:paraId="4961E2B8">
      <w:pPr>
        <w:pStyle w:val="6"/>
        <w:keepNext/>
        <w:keepLines/>
        <w:spacing w:before="156" w:beforeLines="50" w:beforeAutospacing="0" w:after="156" w:afterLines="50" w:afterAutospacing="0" w:line="360" w:lineRule="auto"/>
        <w:jc w:val="both"/>
        <w:rPr>
          <w:color w:val="auto"/>
          <w:kern w:val="2"/>
          <w:sz w:val="21"/>
          <w:szCs w:val="21"/>
          <w:highlight w:val="none"/>
        </w:rPr>
      </w:pPr>
      <w:bookmarkStart w:id="732" w:name="_Toc532375588"/>
      <w:bookmarkStart w:id="733" w:name="_Toc351203509"/>
      <w:bookmarkStart w:id="734" w:name="_Toc532377195"/>
      <w:r>
        <w:rPr>
          <w:rFonts w:hint="eastAsia"/>
          <w:color w:val="auto"/>
          <w:kern w:val="2"/>
          <w:sz w:val="21"/>
          <w:szCs w:val="21"/>
          <w:highlight w:val="none"/>
        </w:rPr>
        <w:t>2</w:t>
      </w:r>
      <w:bookmarkStart w:id="735" w:name="_Toc296346539"/>
      <w:bookmarkStart w:id="736" w:name="_Toc296503038"/>
      <w:bookmarkStart w:id="737" w:name="_Toc337558739"/>
      <w:bookmarkStart w:id="738" w:name="OLE_LINK2"/>
      <w:r>
        <w:rPr>
          <w:rFonts w:hint="eastAsia"/>
          <w:color w:val="auto"/>
          <w:kern w:val="2"/>
          <w:sz w:val="21"/>
          <w:szCs w:val="21"/>
          <w:highlight w:val="none"/>
        </w:rPr>
        <w:t>. 发包人</w:t>
      </w:r>
      <w:bookmarkEnd w:id="732"/>
      <w:bookmarkEnd w:id="733"/>
      <w:bookmarkEnd w:id="734"/>
    </w:p>
    <w:bookmarkEnd w:id="735"/>
    <w:bookmarkEnd w:id="736"/>
    <w:bookmarkEnd w:id="737"/>
    <w:p w14:paraId="342613BD">
      <w:pPr>
        <w:pStyle w:val="7"/>
        <w:spacing w:before="0" w:beforeAutospacing="0" w:after="0" w:afterAutospacing="0" w:line="360" w:lineRule="auto"/>
        <w:ind w:firstLine="422" w:firstLineChars="200"/>
        <w:rPr>
          <w:color w:val="auto"/>
          <w:sz w:val="21"/>
          <w:szCs w:val="21"/>
          <w:highlight w:val="none"/>
        </w:rPr>
      </w:pPr>
      <w:bookmarkStart w:id="739" w:name="_Toc532377196"/>
      <w:bookmarkStart w:id="740" w:name="_Toc351203510"/>
      <w:r>
        <w:rPr>
          <w:rFonts w:hint="eastAsia"/>
          <w:color w:val="auto"/>
          <w:sz w:val="21"/>
          <w:szCs w:val="21"/>
          <w:highlight w:val="none"/>
        </w:rPr>
        <w:t>2</w:t>
      </w:r>
      <w:bookmarkStart w:id="741" w:name="_Toc296346540"/>
      <w:bookmarkStart w:id="742" w:name="_Toc337558740"/>
      <w:bookmarkStart w:id="743" w:name="_Toc296503039"/>
      <w:r>
        <w:rPr>
          <w:rFonts w:hint="eastAsia"/>
          <w:color w:val="auto"/>
          <w:sz w:val="21"/>
          <w:szCs w:val="21"/>
          <w:highlight w:val="none"/>
        </w:rPr>
        <w:t>.1 许可或批准</w:t>
      </w:r>
      <w:bookmarkEnd w:id="739"/>
      <w:bookmarkEnd w:id="740"/>
    </w:p>
    <w:p w14:paraId="3D94FF9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33A3F2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因发包人原因未能及时办理完毕前述许可、批准或备案，由发包人承担由此增加的费用和（或）延误的工期，并支付承包人合理的利润。</w:t>
      </w:r>
    </w:p>
    <w:p w14:paraId="0E6D25F4">
      <w:pPr>
        <w:pStyle w:val="7"/>
        <w:spacing w:before="0" w:beforeAutospacing="0" w:after="0" w:afterAutospacing="0" w:line="360" w:lineRule="auto"/>
        <w:ind w:firstLine="422" w:firstLineChars="200"/>
        <w:rPr>
          <w:color w:val="auto"/>
          <w:sz w:val="21"/>
          <w:szCs w:val="21"/>
          <w:highlight w:val="none"/>
        </w:rPr>
      </w:pPr>
      <w:bookmarkStart w:id="744" w:name="_Toc351203511"/>
      <w:bookmarkStart w:id="745" w:name="_Toc532377197"/>
      <w:r>
        <w:rPr>
          <w:rFonts w:hint="eastAsia"/>
          <w:color w:val="auto"/>
          <w:sz w:val="21"/>
          <w:szCs w:val="21"/>
          <w:highlight w:val="none"/>
        </w:rPr>
        <w:t>2.2 发包人代表</w:t>
      </w:r>
      <w:bookmarkEnd w:id="744"/>
      <w:bookmarkEnd w:id="745"/>
    </w:p>
    <w:p w14:paraId="4EBFE88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4009CB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发包人代表不能按照合同约定履行其职责及义务，并导致合同无法继续正常履行的，承包人可以要求发包人撤换发包人代表。</w:t>
      </w:r>
    </w:p>
    <w:p w14:paraId="3A11B37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不属于法定必须监理的工程，监理人的职权可以由发包人代表或发包人指定的其他人员行使。</w:t>
      </w:r>
    </w:p>
    <w:p w14:paraId="43FB2875">
      <w:pPr>
        <w:pStyle w:val="7"/>
        <w:spacing w:before="0" w:beforeAutospacing="0" w:after="0" w:afterAutospacing="0" w:line="360" w:lineRule="auto"/>
        <w:ind w:firstLine="422" w:firstLineChars="200"/>
        <w:rPr>
          <w:color w:val="auto"/>
          <w:sz w:val="21"/>
          <w:szCs w:val="21"/>
          <w:highlight w:val="none"/>
        </w:rPr>
      </w:pPr>
      <w:bookmarkStart w:id="746" w:name="_Toc351203512"/>
      <w:bookmarkStart w:id="747" w:name="_Toc532377198"/>
      <w:r>
        <w:rPr>
          <w:rFonts w:hint="eastAsia"/>
          <w:color w:val="auto"/>
          <w:sz w:val="21"/>
          <w:szCs w:val="21"/>
          <w:highlight w:val="none"/>
        </w:rPr>
        <w:t>2.3 发包人人员</w:t>
      </w:r>
      <w:bookmarkEnd w:id="746"/>
      <w:bookmarkEnd w:id="747"/>
    </w:p>
    <w:p w14:paraId="159C777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27FE13B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发包人人员包括发包人代表及其他由发包人派驻施工现场的人员。</w:t>
      </w:r>
      <w:bookmarkEnd w:id="741"/>
      <w:bookmarkEnd w:id="742"/>
      <w:bookmarkEnd w:id="743"/>
    </w:p>
    <w:p w14:paraId="28ADE3E4">
      <w:pPr>
        <w:pStyle w:val="7"/>
        <w:spacing w:before="0" w:beforeAutospacing="0" w:after="0" w:afterAutospacing="0" w:line="360" w:lineRule="auto"/>
        <w:ind w:firstLine="422" w:firstLineChars="200"/>
        <w:rPr>
          <w:color w:val="auto"/>
          <w:sz w:val="21"/>
          <w:szCs w:val="21"/>
          <w:highlight w:val="none"/>
        </w:rPr>
      </w:pPr>
      <w:bookmarkStart w:id="748" w:name="_Toc351203513"/>
      <w:bookmarkStart w:id="749" w:name="_Toc532377199"/>
      <w:r>
        <w:rPr>
          <w:rFonts w:hint="eastAsia"/>
          <w:color w:val="auto"/>
          <w:sz w:val="21"/>
          <w:szCs w:val="21"/>
          <w:highlight w:val="none"/>
        </w:rPr>
        <w:t>2</w:t>
      </w:r>
      <w:bookmarkStart w:id="750" w:name="_Toc296503040"/>
      <w:bookmarkStart w:id="751" w:name="_Toc337558741"/>
      <w:bookmarkStart w:id="752" w:name="_Toc296346541"/>
      <w:r>
        <w:rPr>
          <w:rFonts w:hint="eastAsia"/>
          <w:color w:val="auto"/>
          <w:sz w:val="21"/>
          <w:szCs w:val="21"/>
          <w:highlight w:val="none"/>
        </w:rPr>
        <w:t>.4 施工现场、施工条件和基础资料的提供</w:t>
      </w:r>
      <w:bookmarkEnd w:id="748"/>
      <w:bookmarkEnd w:id="749"/>
      <w:bookmarkEnd w:id="750"/>
      <w:bookmarkEnd w:id="751"/>
      <w:bookmarkEnd w:id="752"/>
    </w:p>
    <w:p w14:paraId="702B518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2.4.1 提供施工现场</w:t>
      </w:r>
    </w:p>
    <w:p w14:paraId="1BD2E0D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w:t>
      </w:r>
      <w:bookmarkEnd w:id="738"/>
      <w:r>
        <w:rPr>
          <w:rFonts w:hint="eastAsia" w:ascii="宋体" w:hAnsi="宋体"/>
          <w:color w:val="auto"/>
          <w:kern w:val="0"/>
          <w:szCs w:val="21"/>
          <w:highlight w:val="none"/>
        </w:rPr>
        <w:t>专用合同条款另有约定外，发包人应最迟于开工日期7天前向承包人移交施工现场。</w:t>
      </w:r>
    </w:p>
    <w:p w14:paraId="5F99A3A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2.4.2 提供施工条件</w:t>
      </w:r>
    </w:p>
    <w:p w14:paraId="428B742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除专用合同条款另有约定外，发包人应负责提供施工所需要的条件，包括：</w:t>
      </w:r>
    </w:p>
    <w:p w14:paraId="23C61EB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（1）将施工用水、电力、通讯线路等施工所必需的条件接至施工现场内；</w:t>
      </w:r>
    </w:p>
    <w:p w14:paraId="6497D9D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（2）保证向承包人提供正常施工所需要的进入施工现场的交通条件；</w:t>
      </w:r>
    </w:p>
    <w:p w14:paraId="35352FD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（3）协调处理施工现场周围地下管线和邻近建筑物、构筑物、古树名木的保护工作，并承担相关费用；</w:t>
      </w:r>
    </w:p>
    <w:p w14:paraId="21C2BF0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（4）按照专用合同条款约定应提供的其他设施和条件。</w:t>
      </w:r>
    </w:p>
    <w:p w14:paraId="0F8B8DD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2.4.3 提供基础资料</w:t>
      </w:r>
    </w:p>
    <w:p w14:paraId="0626ABF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120188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14:paraId="73CB7B3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2.4.4 逾期提供的责任</w:t>
      </w:r>
    </w:p>
    <w:p w14:paraId="5F6F2A2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因发包人原因未能按合同约定及时向承包人提供施工现场、施工条件、基础资料的，由发包人承担由此增加的费用和（或）延误的工期。</w:t>
      </w:r>
    </w:p>
    <w:p w14:paraId="59C67BE8">
      <w:pPr>
        <w:pStyle w:val="7"/>
        <w:spacing w:before="0" w:beforeAutospacing="0" w:after="0" w:afterAutospacing="0" w:line="360" w:lineRule="auto"/>
        <w:ind w:firstLine="422" w:firstLineChars="200"/>
        <w:rPr>
          <w:color w:val="auto"/>
          <w:sz w:val="21"/>
          <w:szCs w:val="21"/>
          <w:highlight w:val="none"/>
        </w:rPr>
      </w:pPr>
      <w:bookmarkStart w:id="753" w:name="_Toc532377200"/>
      <w:bookmarkStart w:id="754" w:name="_Toc351203514"/>
      <w:r>
        <w:rPr>
          <w:rFonts w:hint="eastAsia"/>
          <w:color w:val="auto"/>
          <w:sz w:val="21"/>
          <w:szCs w:val="21"/>
          <w:highlight w:val="none"/>
        </w:rPr>
        <w:t>2</w:t>
      </w:r>
      <w:bookmarkStart w:id="755" w:name="_Toc296346543"/>
      <w:bookmarkStart w:id="756" w:name="_Toc337558745"/>
      <w:bookmarkStart w:id="757" w:name="_Toc296503042"/>
      <w:r>
        <w:rPr>
          <w:rFonts w:hint="eastAsia"/>
          <w:color w:val="auto"/>
          <w:sz w:val="21"/>
          <w:szCs w:val="21"/>
          <w:highlight w:val="none"/>
        </w:rPr>
        <w:t>.5 资</w:t>
      </w:r>
      <w:bookmarkEnd w:id="755"/>
      <w:bookmarkEnd w:id="756"/>
      <w:bookmarkEnd w:id="757"/>
      <w:r>
        <w:rPr>
          <w:rFonts w:hint="eastAsia"/>
          <w:color w:val="auto"/>
          <w:sz w:val="21"/>
          <w:szCs w:val="21"/>
          <w:highlight w:val="none"/>
        </w:rPr>
        <w:t>金来源证明及支付担保</w:t>
      </w:r>
      <w:bookmarkEnd w:id="753"/>
      <w:bookmarkEnd w:id="754"/>
    </w:p>
    <w:p w14:paraId="1529D3B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72F4176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2C4F51B">
      <w:pPr>
        <w:pStyle w:val="7"/>
        <w:spacing w:before="0" w:beforeAutospacing="0" w:after="0" w:afterAutospacing="0" w:line="360" w:lineRule="auto"/>
        <w:ind w:firstLine="422" w:firstLineChars="200"/>
        <w:rPr>
          <w:color w:val="auto"/>
          <w:sz w:val="21"/>
          <w:szCs w:val="21"/>
          <w:highlight w:val="none"/>
        </w:rPr>
      </w:pPr>
      <w:bookmarkStart w:id="758" w:name="_Toc532377201"/>
      <w:bookmarkStart w:id="759" w:name="_Toc351203515"/>
      <w:r>
        <w:rPr>
          <w:rFonts w:hint="eastAsia"/>
          <w:color w:val="auto"/>
          <w:sz w:val="21"/>
          <w:szCs w:val="21"/>
          <w:highlight w:val="none"/>
        </w:rPr>
        <w:t>2.6 支付合同价款</w:t>
      </w:r>
      <w:bookmarkEnd w:id="758"/>
      <w:bookmarkEnd w:id="759"/>
    </w:p>
    <w:p w14:paraId="11FCF2B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发包人应按合同约定向承包人及时支付合同价款。</w:t>
      </w:r>
    </w:p>
    <w:p w14:paraId="105C3DAB">
      <w:pPr>
        <w:pStyle w:val="7"/>
        <w:spacing w:before="0" w:beforeAutospacing="0" w:after="0" w:afterAutospacing="0" w:line="360" w:lineRule="auto"/>
        <w:ind w:firstLine="422" w:firstLineChars="200"/>
        <w:rPr>
          <w:color w:val="auto"/>
          <w:sz w:val="21"/>
          <w:szCs w:val="21"/>
          <w:highlight w:val="none"/>
        </w:rPr>
      </w:pPr>
      <w:bookmarkStart w:id="760" w:name="_Toc532377202"/>
      <w:bookmarkStart w:id="761" w:name="_Toc351203516"/>
      <w:r>
        <w:rPr>
          <w:rFonts w:hint="eastAsia"/>
          <w:color w:val="auto"/>
          <w:sz w:val="21"/>
          <w:szCs w:val="21"/>
          <w:highlight w:val="none"/>
        </w:rPr>
        <w:t>2.7 组织竣工验收</w:t>
      </w:r>
      <w:bookmarkEnd w:id="760"/>
      <w:bookmarkEnd w:id="761"/>
    </w:p>
    <w:p w14:paraId="245FB4E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发包人应按合同约定及时组织竣工验收。</w:t>
      </w:r>
    </w:p>
    <w:p w14:paraId="3D6D29EB">
      <w:pPr>
        <w:pStyle w:val="7"/>
        <w:spacing w:before="0" w:beforeAutospacing="0" w:after="0" w:afterAutospacing="0" w:line="360" w:lineRule="auto"/>
        <w:ind w:firstLine="422" w:firstLineChars="200"/>
        <w:rPr>
          <w:color w:val="auto"/>
          <w:sz w:val="21"/>
          <w:szCs w:val="21"/>
          <w:highlight w:val="none"/>
        </w:rPr>
      </w:pPr>
      <w:bookmarkStart w:id="762" w:name="_Toc532377203"/>
      <w:bookmarkStart w:id="763" w:name="_Toc351203517"/>
      <w:r>
        <w:rPr>
          <w:rFonts w:hint="eastAsia"/>
          <w:color w:val="auto"/>
          <w:sz w:val="21"/>
          <w:szCs w:val="21"/>
          <w:highlight w:val="none"/>
        </w:rPr>
        <w:t>2.8 现场统一管理协议</w:t>
      </w:r>
      <w:bookmarkEnd w:id="762"/>
      <w:bookmarkEnd w:id="763"/>
    </w:p>
    <w:p w14:paraId="20053B5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14:paraId="0A32B93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64" w:name="_Toc532377204"/>
      <w:bookmarkStart w:id="765" w:name="_Toc351203518"/>
      <w:bookmarkStart w:id="766" w:name="_Toc532375589"/>
      <w:r>
        <w:rPr>
          <w:rFonts w:hint="eastAsia"/>
          <w:color w:val="auto"/>
          <w:kern w:val="2"/>
          <w:sz w:val="21"/>
          <w:szCs w:val="21"/>
          <w:highlight w:val="none"/>
        </w:rPr>
        <w:t>3</w:t>
      </w:r>
      <w:bookmarkStart w:id="767" w:name="_Toc296346546"/>
      <w:bookmarkStart w:id="768" w:name="_Toc296503045"/>
      <w:bookmarkStart w:id="769" w:name="_Toc337558746"/>
      <w:r>
        <w:rPr>
          <w:rFonts w:hint="eastAsia"/>
          <w:color w:val="auto"/>
          <w:kern w:val="2"/>
          <w:sz w:val="21"/>
          <w:szCs w:val="21"/>
          <w:highlight w:val="none"/>
        </w:rPr>
        <w:t>. 承包人</w:t>
      </w:r>
      <w:bookmarkEnd w:id="764"/>
      <w:bookmarkEnd w:id="765"/>
      <w:bookmarkEnd w:id="766"/>
    </w:p>
    <w:bookmarkEnd w:id="767"/>
    <w:bookmarkEnd w:id="768"/>
    <w:bookmarkEnd w:id="769"/>
    <w:p w14:paraId="5CB99D91">
      <w:pPr>
        <w:pStyle w:val="7"/>
        <w:spacing w:before="0" w:beforeAutospacing="0" w:after="0" w:afterAutospacing="0" w:line="360" w:lineRule="auto"/>
        <w:ind w:firstLine="422" w:firstLineChars="200"/>
        <w:rPr>
          <w:color w:val="auto"/>
          <w:sz w:val="21"/>
          <w:szCs w:val="21"/>
          <w:highlight w:val="none"/>
        </w:rPr>
      </w:pPr>
      <w:bookmarkStart w:id="770" w:name="_Toc351203519"/>
      <w:bookmarkStart w:id="771" w:name="_Toc532377205"/>
      <w:r>
        <w:rPr>
          <w:rFonts w:hint="eastAsia"/>
          <w:color w:val="auto"/>
          <w:sz w:val="21"/>
          <w:szCs w:val="21"/>
          <w:highlight w:val="none"/>
        </w:rPr>
        <w:t>3</w:t>
      </w:r>
      <w:bookmarkStart w:id="772" w:name="_Toc296346547"/>
      <w:bookmarkStart w:id="773" w:name="_Toc296503046"/>
      <w:bookmarkStart w:id="774" w:name="_Toc337558747"/>
      <w:r>
        <w:rPr>
          <w:rFonts w:hint="eastAsia"/>
          <w:color w:val="auto"/>
          <w:sz w:val="21"/>
          <w:szCs w:val="21"/>
          <w:highlight w:val="none"/>
        </w:rPr>
        <w:t>.1 承包人的一般义务</w:t>
      </w:r>
      <w:bookmarkEnd w:id="770"/>
      <w:bookmarkEnd w:id="771"/>
    </w:p>
    <w:bookmarkEnd w:id="772"/>
    <w:bookmarkEnd w:id="773"/>
    <w:bookmarkEnd w:id="774"/>
    <w:p w14:paraId="14E4C6D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承包人在履行合同过程中应遵守法律和工程建设标准规范，并履行以下义务：</w:t>
      </w:r>
    </w:p>
    <w:p w14:paraId="40B9413D">
      <w:pPr>
        <w:numPr>
          <w:ilvl w:val="0"/>
          <w:numId w:val="3"/>
        </w:num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办理法律规定应由承包人办理的许可和批准，并将办理结果书面报送发包人留存；</w:t>
      </w:r>
    </w:p>
    <w:p w14:paraId="5AFAADD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（2）按法律规定和合同约定完成工程，并在保修期内承担保修义务；</w:t>
      </w:r>
    </w:p>
    <w:p w14:paraId="1A88363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（3）按法律规定和合同约定采取施工安全和环境保护措施，办理工伤保险，确保工程及人员、材料、设备和设施的安全；</w:t>
      </w:r>
    </w:p>
    <w:p w14:paraId="36704F5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（4）按合同约定的工作内容和施工进度要求，编制施工组织设计和施工措施计划，并对所有施工作业和施工方法的完备性和安全可靠性负责；</w:t>
      </w:r>
    </w:p>
    <w:p w14:paraId="58D4212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71EDAF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（6）按照第6.3款〔环境保护〕约定负责施工场地及其周边环境与生态的保护工作；</w:t>
      </w:r>
    </w:p>
    <w:p w14:paraId="65A3A21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（7）按第6.1款〔安全文明施工〕约定采取施工安全措施，确保工程及其人员、材料、设备和设施的安全，防止因工程施工造成的人身伤害和财产损失；</w:t>
      </w:r>
    </w:p>
    <w:p w14:paraId="4EFD120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（8）将发包人按合同约定支付的各项价款专用于合同工程，且应及时支付其雇用人员工资，并及时向分包人支付合同价款；</w:t>
      </w:r>
    </w:p>
    <w:p w14:paraId="23C1485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（9）按照法律规定和合同约定编制竣工资料，完成竣工资料立卷及归档，并按专用合同条款约定的竣工资料的套数、内容、时间等要求移交发包人；</w:t>
      </w:r>
    </w:p>
    <w:p w14:paraId="43D15D0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（10）应履行的其他义务。</w:t>
      </w:r>
    </w:p>
    <w:p w14:paraId="099520E2">
      <w:pPr>
        <w:pStyle w:val="7"/>
        <w:spacing w:before="0" w:beforeAutospacing="0" w:after="0" w:afterAutospacing="0" w:line="360" w:lineRule="auto"/>
        <w:ind w:firstLine="422" w:firstLineChars="200"/>
        <w:rPr>
          <w:color w:val="auto"/>
          <w:sz w:val="21"/>
          <w:szCs w:val="21"/>
          <w:highlight w:val="none"/>
        </w:rPr>
      </w:pPr>
      <w:bookmarkStart w:id="775" w:name="_Toc351203520"/>
      <w:bookmarkStart w:id="776" w:name="_Toc532377206"/>
      <w:r>
        <w:rPr>
          <w:rFonts w:hint="eastAsia"/>
          <w:color w:val="auto"/>
          <w:sz w:val="21"/>
          <w:szCs w:val="21"/>
          <w:highlight w:val="none"/>
        </w:rPr>
        <w:t>3</w:t>
      </w:r>
      <w:bookmarkStart w:id="777" w:name="_Toc337558748"/>
      <w:bookmarkStart w:id="778" w:name="_Toc296503047"/>
      <w:bookmarkStart w:id="779" w:name="_Toc296346548"/>
      <w:r>
        <w:rPr>
          <w:rFonts w:hint="eastAsia"/>
          <w:color w:val="auto"/>
          <w:sz w:val="21"/>
          <w:szCs w:val="21"/>
          <w:highlight w:val="none"/>
        </w:rPr>
        <w:t xml:space="preserve">.2 </w:t>
      </w:r>
      <w:bookmarkEnd w:id="775"/>
      <w:r>
        <w:rPr>
          <w:rFonts w:hint="eastAsia"/>
          <w:color w:val="auto"/>
          <w:sz w:val="21"/>
          <w:szCs w:val="21"/>
          <w:highlight w:val="none"/>
        </w:rPr>
        <w:t>项目经理</w:t>
      </w:r>
      <w:bookmarkEnd w:id="776"/>
    </w:p>
    <w:bookmarkEnd w:id="777"/>
    <w:bookmarkEnd w:id="778"/>
    <w:bookmarkEnd w:id="779"/>
    <w:p w14:paraId="4D4CBBD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3970CE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779D28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承包人违反上述约定的，应按照专用合同条款的约定，承担违约责任。</w:t>
      </w:r>
    </w:p>
    <w:p w14:paraId="14D1976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8C7423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0A401FB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C935D0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4FAA99A2">
      <w:pPr>
        <w:pStyle w:val="7"/>
        <w:spacing w:before="0" w:beforeAutospacing="0" w:after="0" w:afterAutospacing="0" w:line="360" w:lineRule="auto"/>
        <w:ind w:firstLine="422" w:firstLineChars="200"/>
        <w:rPr>
          <w:color w:val="auto"/>
          <w:sz w:val="21"/>
          <w:szCs w:val="21"/>
          <w:highlight w:val="none"/>
        </w:rPr>
      </w:pPr>
      <w:bookmarkStart w:id="780" w:name="_Toc532377207"/>
      <w:bookmarkStart w:id="781" w:name="_Toc351203521"/>
      <w:r>
        <w:rPr>
          <w:rFonts w:hint="eastAsia"/>
          <w:color w:val="auto"/>
          <w:sz w:val="21"/>
          <w:szCs w:val="21"/>
          <w:highlight w:val="none"/>
        </w:rPr>
        <w:t>3</w:t>
      </w:r>
      <w:bookmarkStart w:id="782" w:name="_Toc296346549"/>
      <w:bookmarkStart w:id="783" w:name="_Toc296503048"/>
      <w:bookmarkStart w:id="784" w:name="_Toc337558749"/>
      <w:r>
        <w:rPr>
          <w:rFonts w:hint="eastAsia"/>
          <w:color w:val="auto"/>
          <w:sz w:val="21"/>
          <w:szCs w:val="21"/>
          <w:highlight w:val="none"/>
        </w:rPr>
        <w:t xml:space="preserve">.3 </w:t>
      </w:r>
      <w:bookmarkEnd w:id="782"/>
      <w:bookmarkEnd w:id="783"/>
      <w:r>
        <w:rPr>
          <w:rFonts w:hint="eastAsia"/>
          <w:color w:val="auto"/>
          <w:sz w:val="21"/>
          <w:szCs w:val="21"/>
          <w:highlight w:val="none"/>
        </w:rPr>
        <w:t>承包人人员</w:t>
      </w:r>
      <w:bookmarkEnd w:id="780"/>
      <w:bookmarkEnd w:id="781"/>
    </w:p>
    <w:bookmarkEnd w:id="784"/>
    <w:p w14:paraId="5500DA1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B26D7C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A69146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特殊工种作业人员均应持有相应的资格证明，监理人可以随时检查。</w:t>
      </w:r>
    </w:p>
    <w:p w14:paraId="3D1C0AB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303618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418D7C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3.3.5 承包人擅自更换主要施工管理人员，或前述人员未经监理人或发包人同意擅自离开施工现场的，应按照专用合同条款约定承担违约责任。</w:t>
      </w:r>
    </w:p>
    <w:p w14:paraId="366E73F0">
      <w:pPr>
        <w:pStyle w:val="7"/>
        <w:spacing w:before="0" w:beforeAutospacing="0" w:after="0" w:afterAutospacing="0" w:line="360" w:lineRule="auto"/>
        <w:ind w:firstLine="422" w:firstLineChars="200"/>
        <w:rPr>
          <w:color w:val="auto"/>
          <w:sz w:val="21"/>
          <w:szCs w:val="21"/>
          <w:highlight w:val="none"/>
        </w:rPr>
      </w:pPr>
      <w:bookmarkStart w:id="785" w:name="_Toc351203522"/>
      <w:bookmarkStart w:id="786" w:name="_Toc532377208"/>
      <w:r>
        <w:rPr>
          <w:rFonts w:hint="eastAsia"/>
          <w:color w:val="auto"/>
          <w:sz w:val="21"/>
          <w:szCs w:val="21"/>
          <w:highlight w:val="none"/>
        </w:rPr>
        <w:t>3</w:t>
      </w:r>
      <w:bookmarkStart w:id="787" w:name="_Toc296346551"/>
      <w:bookmarkStart w:id="788" w:name="_Toc296503050"/>
      <w:bookmarkStart w:id="789" w:name="_Toc337558750"/>
      <w:r>
        <w:rPr>
          <w:rFonts w:hint="eastAsia"/>
          <w:color w:val="auto"/>
          <w:sz w:val="21"/>
          <w:szCs w:val="21"/>
          <w:highlight w:val="none"/>
        </w:rPr>
        <w:t>.4 承包人现场查勘</w:t>
      </w:r>
      <w:bookmarkEnd w:id="785"/>
      <w:bookmarkEnd w:id="786"/>
    </w:p>
    <w:bookmarkEnd w:id="787"/>
    <w:bookmarkEnd w:id="788"/>
    <w:bookmarkEnd w:id="789"/>
    <w:p w14:paraId="7CAC3CA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4261D13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E789191">
      <w:pPr>
        <w:pStyle w:val="7"/>
        <w:spacing w:before="0" w:beforeAutospacing="0" w:after="0" w:afterAutospacing="0" w:line="360" w:lineRule="auto"/>
        <w:ind w:firstLine="422" w:firstLineChars="200"/>
        <w:rPr>
          <w:color w:val="auto"/>
          <w:sz w:val="21"/>
          <w:szCs w:val="21"/>
          <w:highlight w:val="none"/>
        </w:rPr>
      </w:pPr>
      <w:bookmarkStart w:id="790" w:name="_Toc532377209"/>
      <w:bookmarkStart w:id="791" w:name="_Toc351203523"/>
      <w:r>
        <w:rPr>
          <w:rFonts w:hint="eastAsia"/>
          <w:color w:val="auto"/>
          <w:sz w:val="21"/>
          <w:szCs w:val="21"/>
          <w:highlight w:val="none"/>
        </w:rPr>
        <w:t>3</w:t>
      </w:r>
      <w:bookmarkStart w:id="792" w:name="_Toc337558751"/>
      <w:bookmarkStart w:id="793" w:name="_Toc296503051"/>
      <w:bookmarkStart w:id="794" w:name="_Toc296346552"/>
      <w:r>
        <w:rPr>
          <w:rFonts w:hint="eastAsia"/>
          <w:color w:val="auto"/>
          <w:sz w:val="21"/>
          <w:szCs w:val="21"/>
          <w:highlight w:val="none"/>
        </w:rPr>
        <w:t>.5 分包</w:t>
      </w:r>
      <w:bookmarkEnd w:id="790"/>
      <w:bookmarkEnd w:id="791"/>
    </w:p>
    <w:bookmarkEnd w:id="792"/>
    <w:bookmarkEnd w:id="793"/>
    <w:bookmarkEnd w:id="794"/>
    <w:p w14:paraId="795EBCB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3.5.1 分包的一般约定</w:t>
      </w:r>
    </w:p>
    <w:p w14:paraId="1D4D2E3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B36BBF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承包人不得以劳务分包的名义转包或违法分包工程。</w:t>
      </w:r>
    </w:p>
    <w:p w14:paraId="18CF9DF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3.5.2 分包的确定</w:t>
      </w:r>
    </w:p>
    <w:p w14:paraId="5FC38DF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8A74CE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3.5.3 分包管理</w:t>
      </w:r>
    </w:p>
    <w:p w14:paraId="458AC6B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14:paraId="582CC27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3.5.4 分包合同价款</w:t>
      </w:r>
    </w:p>
    <w:p w14:paraId="1C22EB7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（1）除本项第（2）目约定的情况或专用合同条款另有约定外，分包合同价款由承包人与分包人结算，未经承包人同意，发包人不得向分包人支付分包工程价款；</w:t>
      </w:r>
    </w:p>
    <w:p w14:paraId="431A061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（2）生效法律文书要求发包人向分包人支付分包合同价款的，发包人有权从应付承包人工程款中扣除该部分款项。</w:t>
      </w:r>
    </w:p>
    <w:p w14:paraId="406C769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3.5.5 分包合同权益的转让</w:t>
      </w:r>
    </w:p>
    <w:p w14:paraId="2A26E62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95" w:name="_Toc351203524"/>
    </w:p>
    <w:p w14:paraId="0D879B56">
      <w:pPr>
        <w:pStyle w:val="7"/>
        <w:spacing w:before="0" w:beforeAutospacing="0" w:after="0" w:afterAutospacing="0" w:line="360" w:lineRule="auto"/>
        <w:ind w:firstLine="422" w:firstLineChars="200"/>
        <w:rPr>
          <w:color w:val="auto"/>
          <w:sz w:val="21"/>
          <w:szCs w:val="21"/>
          <w:highlight w:val="none"/>
        </w:rPr>
      </w:pPr>
      <w:bookmarkStart w:id="796" w:name="_Toc532377210"/>
      <w:r>
        <w:rPr>
          <w:rFonts w:hint="eastAsia"/>
          <w:color w:val="auto"/>
          <w:sz w:val="21"/>
          <w:szCs w:val="21"/>
          <w:highlight w:val="none"/>
        </w:rPr>
        <w:t>3.6 工程照管与成品、半成品保护</w:t>
      </w:r>
      <w:bookmarkEnd w:id="795"/>
      <w:bookmarkEnd w:id="796"/>
    </w:p>
    <w:p w14:paraId="48ED7D4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14:paraId="46DCE95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（2）在承包人负责照管期间，因承包人原因造成工程、材料、工程设备损坏的，由承包人负责修复或更换，并承担由此增加的费用和（或）延误的工期。</w:t>
      </w:r>
    </w:p>
    <w:p w14:paraId="4413FCC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19001484">
      <w:pPr>
        <w:pStyle w:val="7"/>
        <w:spacing w:before="0" w:beforeAutospacing="0" w:after="0" w:afterAutospacing="0" w:line="360" w:lineRule="auto"/>
        <w:ind w:firstLine="422" w:firstLineChars="200"/>
        <w:rPr>
          <w:color w:val="auto"/>
          <w:sz w:val="21"/>
          <w:szCs w:val="21"/>
          <w:highlight w:val="none"/>
        </w:rPr>
      </w:pPr>
      <w:bookmarkStart w:id="797" w:name="_Toc351203525"/>
      <w:bookmarkStart w:id="798" w:name="_Toc532377211"/>
      <w:r>
        <w:rPr>
          <w:rFonts w:hint="eastAsia"/>
          <w:color w:val="auto"/>
          <w:sz w:val="21"/>
          <w:szCs w:val="21"/>
          <w:highlight w:val="none"/>
        </w:rPr>
        <w:t>3</w:t>
      </w:r>
      <w:bookmarkStart w:id="799" w:name="_Toc296503052"/>
      <w:bookmarkStart w:id="800" w:name="_Toc337558752"/>
      <w:bookmarkStart w:id="801" w:name="_Toc296346553"/>
      <w:r>
        <w:rPr>
          <w:rFonts w:hint="eastAsia"/>
          <w:color w:val="auto"/>
          <w:sz w:val="21"/>
          <w:szCs w:val="21"/>
          <w:highlight w:val="none"/>
        </w:rPr>
        <w:t>.7 履约担保</w:t>
      </w:r>
      <w:bookmarkEnd w:id="797"/>
      <w:bookmarkEnd w:id="798"/>
    </w:p>
    <w:bookmarkEnd w:id="799"/>
    <w:bookmarkEnd w:id="800"/>
    <w:bookmarkEnd w:id="801"/>
    <w:p w14:paraId="0FD459A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9A06DE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14:paraId="617426A0">
      <w:pPr>
        <w:pStyle w:val="7"/>
        <w:spacing w:before="0" w:beforeAutospacing="0" w:after="0" w:afterAutospacing="0" w:line="360" w:lineRule="auto"/>
        <w:ind w:firstLine="422" w:firstLineChars="200"/>
        <w:rPr>
          <w:color w:val="auto"/>
          <w:sz w:val="21"/>
          <w:szCs w:val="21"/>
          <w:highlight w:val="none"/>
        </w:rPr>
      </w:pPr>
      <w:bookmarkStart w:id="802" w:name="_Toc351203526"/>
      <w:bookmarkStart w:id="803" w:name="_Toc532377212"/>
      <w:r>
        <w:rPr>
          <w:rFonts w:hint="eastAsia"/>
          <w:color w:val="auto"/>
          <w:sz w:val="21"/>
          <w:szCs w:val="21"/>
          <w:highlight w:val="none"/>
        </w:rPr>
        <w:t>3.8 联合体</w:t>
      </w:r>
      <w:bookmarkEnd w:id="802"/>
      <w:bookmarkEnd w:id="803"/>
    </w:p>
    <w:p w14:paraId="67C8014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3.8.1 联合体各方应共同与发包人签订合同协议书。联合体各方应为履行合同向发包人承担连带责任。</w:t>
      </w:r>
    </w:p>
    <w:p w14:paraId="0C228A0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3.8.2 联合体协议经发包人确认后作为合同附件。在履行合同过程中，未经发包人同意，不得修改联合体协议。</w:t>
      </w:r>
    </w:p>
    <w:p w14:paraId="36EEA17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3.8.3 联合体牵头人负责与发包人和监理人联系，并接受指示，负责组织联合体各成员全面履行合同。</w:t>
      </w:r>
    </w:p>
    <w:p w14:paraId="4C63ECD7">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04" w:name="_Toc532377213"/>
      <w:bookmarkStart w:id="805" w:name="_Toc351203527"/>
      <w:bookmarkStart w:id="806" w:name="_Toc532375590"/>
      <w:r>
        <w:rPr>
          <w:rFonts w:hint="eastAsia"/>
          <w:color w:val="auto"/>
          <w:kern w:val="2"/>
          <w:sz w:val="21"/>
          <w:szCs w:val="21"/>
          <w:highlight w:val="none"/>
        </w:rPr>
        <w:t>4</w:t>
      </w:r>
      <w:bookmarkStart w:id="807" w:name="_Toc296346554"/>
      <w:bookmarkStart w:id="808" w:name="_Toc296503053"/>
      <w:bookmarkStart w:id="809" w:name="_Toc337558753"/>
      <w:r>
        <w:rPr>
          <w:rFonts w:hint="eastAsia"/>
          <w:color w:val="auto"/>
          <w:kern w:val="2"/>
          <w:sz w:val="21"/>
          <w:szCs w:val="21"/>
          <w:highlight w:val="none"/>
        </w:rPr>
        <w:t>. 监</w:t>
      </w:r>
      <w:bookmarkEnd w:id="807"/>
      <w:bookmarkEnd w:id="808"/>
      <w:r>
        <w:rPr>
          <w:rFonts w:hint="eastAsia"/>
          <w:color w:val="auto"/>
          <w:kern w:val="2"/>
          <w:sz w:val="21"/>
          <w:szCs w:val="21"/>
          <w:highlight w:val="none"/>
        </w:rPr>
        <w:t>理人</w:t>
      </w:r>
      <w:bookmarkEnd w:id="804"/>
      <w:bookmarkEnd w:id="805"/>
      <w:bookmarkEnd w:id="806"/>
    </w:p>
    <w:bookmarkEnd w:id="809"/>
    <w:p w14:paraId="5F999D03">
      <w:pPr>
        <w:pStyle w:val="7"/>
        <w:spacing w:before="0" w:beforeAutospacing="0" w:after="0" w:afterAutospacing="0" w:line="360" w:lineRule="auto"/>
        <w:ind w:firstLine="422" w:firstLineChars="200"/>
        <w:rPr>
          <w:color w:val="auto"/>
          <w:sz w:val="21"/>
          <w:szCs w:val="21"/>
          <w:highlight w:val="none"/>
        </w:rPr>
      </w:pPr>
      <w:bookmarkStart w:id="810" w:name="_Toc532377214"/>
      <w:bookmarkStart w:id="811" w:name="_Toc351203528"/>
      <w:r>
        <w:rPr>
          <w:rFonts w:hint="eastAsia"/>
          <w:color w:val="auto"/>
          <w:sz w:val="21"/>
          <w:szCs w:val="21"/>
          <w:highlight w:val="none"/>
        </w:rPr>
        <w:t>4</w:t>
      </w:r>
      <w:bookmarkStart w:id="812" w:name="_Toc296503054"/>
      <w:bookmarkStart w:id="813" w:name="_Toc337558754"/>
      <w:bookmarkStart w:id="814" w:name="_Toc296346555"/>
      <w:r>
        <w:rPr>
          <w:rFonts w:hint="eastAsia"/>
          <w:color w:val="auto"/>
          <w:sz w:val="21"/>
          <w:szCs w:val="21"/>
          <w:highlight w:val="none"/>
        </w:rPr>
        <w:t>.1监理人的一般规定</w:t>
      </w:r>
      <w:bookmarkEnd w:id="810"/>
      <w:bookmarkEnd w:id="811"/>
    </w:p>
    <w:bookmarkEnd w:id="812"/>
    <w:bookmarkEnd w:id="813"/>
    <w:bookmarkEnd w:id="814"/>
    <w:p w14:paraId="71C8162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E13FD8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除专用合同条款另有约定外，监理人在施工现场的办公场所、生活场所由承包人提供，所发生的费用由发包人承担。</w:t>
      </w:r>
    </w:p>
    <w:p w14:paraId="6B5DBDE4">
      <w:pPr>
        <w:pStyle w:val="7"/>
        <w:spacing w:before="0" w:beforeAutospacing="0" w:after="0" w:afterAutospacing="0" w:line="360" w:lineRule="auto"/>
        <w:ind w:firstLine="422" w:firstLineChars="200"/>
        <w:rPr>
          <w:color w:val="auto"/>
          <w:sz w:val="21"/>
          <w:szCs w:val="21"/>
          <w:highlight w:val="none"/>
        </w:rPr>
      </w:pPr>
      <w:bookmarkStart w:id="815" w:name="_Toc351203529"/>
      <w:bookmarkStart w:id="816" w:name="_Toc532377215"/>
      <w:r>
        <w:rPr>
          <w:rFonts w:hint="eastAsia"/>
          <w:color w:val="auto"/>
          <w:sz w:val="21"/>
          <w:szCs w:val="21"/>
          <w:highlight w:val="none"/>
        </w:rPr>
        <w:t>4</w:t>
      </w:r>
      <w:bookmarkStart w:id="817" w:name="_Toc337558755"/>
      <w:r>
        <w:rPr>
          <w:rFonts w:hint="eastAsia"/>
          <w:color w:val="auto"/>
          <w:sz w:val="21"/>
          <w:szCs w:val="21"/>
          <w:highlight w:val="none"/>
        </w:rPr>
        <w:t>.2监理人员</w:t>
      </w:r>
      <w:bookmarkEnd w:id="815"/>
      <w:bookmarkEnd w:id="816"/>
    </w:p>
    <w:bookmarkEnd w:id="817"/>
    <w:p w14:paraId="5427FC1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351D451">
      <w:pPr>
        <w:pStyle w:val="7"/>
        <w:spacing w:before="0" w:beforeAutospacing="0" w:after="0" w:afterAutospacing="0" w:line="360" w:lineRule="auto"/>
        <w:ind w:firstLine="422" w:firstLineChars="200"/>
        <w:rPr>
          <w:color w:val="auto"/>
          <w:sz w:val="21"/>
          <w:szCs w:val="21"/>
          <w:highlight w:val="none"/>
        </w:rPr>
      </w:pPr>
      <w:bookmarkStart w:id="818" w:name="_Toc351203530"/>
      <w:bookmarkStart w:id="819" w:name="_Toc532377216"/>
      <w:r>
        <w:rPr>
          <w:rFonts w:hint="eastAsia"/>
          <w:color w:val="auto"/>
          <w:sz w:val="21"/>
          <w:szCs w:val="21"/>
          <w:highlight w:val="none"/>
        </w:rPr>
        <w:t>4</w:t>
      </w:r>
      <w:bookmarkStart w:id="820" w:name="_Toc296346556"/>
      <w:bookmarkStart w:id="821" w:name="_Toc296503055"/>
      <w:bookmarkStart w:id="822" w:name="_Toc337558756"/>
      <w:r>
        <w:rPr>
          <w:rFonts w:hint="eastAsia"/>
          <w:color w:val="auto"/>
          <w:sz w:val="21"/>
          <w:szCs w:val="21"/>
          <w:highlight w:val="none"/>
        </w:rPr>
        <w:t>.3</w:t>
      </w:r>
      <w:bookmarkEnd w:id="820"/>
      <w:bookmarkEnd w:id="821"/>
      <w:r>
        <w:rPr>
          <w:rFonts w:hint="eastAsia"/>
          <w:color w:val="auto"/>
          <w:sz w:val="21"/>
          <w:szCs w:val="21"/>
          <w:highlight w:val="none"/>
        </w:rPr>
        <w:t>监理人的指</w:t>
      </w:r>
      <w:bookmarkEnd w:id="822"/>
      <w:r>
        <w:rPr>
          <w:rFonts w:hint="eastAsia"/>
          <w:color w:val="auto"/>
          <w:sz w:val="21"/>
          <w:szCs w:val="21"/>
          <w:highlight w:val="none"/>
        </w:rPr>
        <w:t>示</w:t>
      </w:r>
      <w:bookmarkEnd w:id="818"/>
      <w:bookmarkEnd w:id="819"/>
    </w:p>
    <w:p w14:paraId="1211FD6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C3CA83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A1AE9B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32057F4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47F4A6A4">
      <w:pPr>
        <w:pStyle w:val="7"/>
        <w:spacing w:before="0" w:beforeAutospacing="0" w:after="0" w:afterAutospacing="0" w:line="360" w:lineRule="auto"/>
        <w:ind w:firstLine="422" w:firstLineChars="200"/>
        <w:rPr>
          <w:color w:val="auto"/>
          <w:sz w:val="21"/>
          <w:szCs w:val="21"/>
          <w:highlight w:val="none"/>
        </w:rPr>
      </w:pPr>
      <w:bookmarkStart w:id="823" w:name="_Toc351203531"/>
      <w:bookmarkStart w:id="824" w:name="_Toc532377217"/>
      <w:r>
        <w:rPr>
          <w:rFonts w:hint="eastAsia"/>
          <w:color w:val="auto"/>
          <w:sz w:val="21"/>
          <w:szCs w:val="21"/>
          <w:highlight w:val="none"/>
        </w:rPr>
        <w:t>4</w:t>
      </w:r>
      <w:bookmarkStart w:id="825" w:name="_Toc337558757"/>
      <w:bookmarkStart w:id="826" w:name="_Toc296346558"/>
      <w:bookmarkStart w:id="827" w:name="_Toc296503057"/>
      <w:r>
        <w:rPr>
          <w:rFonts w:hint="eastAsia"/>
          <w:color w:val="auto"/>
          <w:sz w:val="21"/>
          <w:szCs w:val="21"/>
          <w:highlight w:val="none"/>
        </w:rPr>
        <w:t>.4 商定或确定</w:t>
      </w:r>
      <w:bookmarkEnd w:id="823"/>
      <w:bookmarkEnd w:id="824"/>
    </w:p>
    <w:bookmarkEnd w:id="825"/>
    <w:bookmarkEnd w:id="826"/>
    <w:bookmarkEnd w:id="827"/>
    <w:p w14:paraId="2EC728B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14:paraId="5ED4D9D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4DD4FA5">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28" w:name="_Toc532377218"/>
      <w:bookmarkStart w:id="829" w:name="_Toc351203532"/>
      <w:bookmarkStart w:id="830" w:name="_Toc532375591"/>
      <w:r>
        <w:rPr>
          <w:rFonts w:hint="eastAsia"/>
          <w:color w:val="auto"/>
          <w:kern w:val="2"/>
          <w:sz w:val="21"/>
          <w:szCs w:val="21"/>
          <w:highlight w:val="none"/>
        </w:rPr>
        <w:t>5</w:t>
      </w:r>
      <w:bookmarkStart w:id="831" w:name="_Toc337558758"/>
      <w:r>
        <w:rPr>
          <w:rFonts w:hint="eastAsia"/>
          <w:color w:val="auto"/>
          <w:kern w:val="2"/>
          <w:sz w:val="21"/>
          <w:szCs w:val="21"/>
          <w:highlight w:val="none"/>
        </w:rPr>
        <w:t>. 工程质量</w:t>
      </w:r>
      <w:bookmarkEnd w:id="828"/>
      <w:bookmarkEnd w:id="829"/>
      <w:bookmarkEnd w:id="830"/>
    </w:p>
    <w:bookmarkEnd w:id="831"/>
    <w:p w14:paraId="64FABF6E">
      <w:pPr>
        <w:pStyle w:val="7"/>
        <w:spacing w:before="0" w:beforeAutospacing="0" w:after="0" w:afterAutospacing="0" w:line="360" w:lineRule="auto"/>
        <w:ind w:firstLine="422" w:firstLineChars="200"/>
        <w:rPr>
          <w:color w:val="auto"/>
          <w:sz w:val="21"/>
          <w:szCs w:val="21"/>
          <w:highlight w:val="none"/>
        </w:rPr>
      </w:pPr>
      <w:bookmarkStart w:id="832" w:name="_Toc532377219"/>
      <w:bookmarkStart w:id="833" w:name="_Toc351203533"/>
      <w:r>
        <w:rPr>
          <w:rFonts w:hint="eastAsia"/>
          <w:color w:val="auto"/>
          <w:sz w:val="21"/>
          <w:szCs w:val="21"/>
          <w:highlight w:val="none"/>
        </w:rPr>
        <w:t>5</w:t>
      </w:r>
      <w:bookmarkStart w:id="834" w:name="_Toc337558759"/>
      <w:r>
        <w:rPr>
          <w:rFonts w:hint="eastAsia"/>
          <w:color w:val="auto"/>
          <w:sz w:val="21"/>
          <w:szCs w:val="21"/>
          <w:highlight w:val="none"/>
        </w:rPr>
        <w:t>.1质量要求</w:t>
      </w:r>
      <w:bookmarkEnd w:id="832"/>
      <w:bookmarkEnd w:id="833"/>
    </w:p>
    <w:bookmarkEnd w:id="834"/>
    <w:p w14:paraId="5FE175D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5.1.1 工程质量标准必须符合现行国家有关工程施工质量验收规范和标准的要求。有关工程质量的特殊标准或要求由合同当事人在专用合同条款中约定。</w:t>
      </w:r>
    </w:p>
    <w:p w14:paraId="4D889ED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5.1.2 因发包人原因造成工程质量未达到合同约定标准的，由发包人承担由此增加的费用和（或）延误的工期，并支付承包人合理的利润。</w:t>
      </w:r>
    </w:p>
    <w:p w14:paraId="2F88E63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27448036">
      <w:pPr>
        <w:pStyle w:val="7"/>
        <w:spacing w:before="0" w:beforeAutospacing="0" w:after="0" w:afterAutospacing="0" w:line="360" w:lineRule="auto"/>
        <w:ind w:firstLine="422" w:firstLineChars="200"/>
        <w:rPr>
          <w:color w:val="auto"/>
          <w:sz w:val="21"/>
          <w:szCs w:val="21"/>
          <w:highlight w:val="none"/>
        </w:rPr>
      </w:pPr>
      <w:bookmarkStart w:id="835" w:name="_Toc532377220"/>
      <w:bookmarkStart w:id="836" w:name="_Toc351203534"/>
      <w:r>
        <w:rPr>
          <w:rFonts w:hint="eastAsia"/>
          <w:color w:val="auto"/>
          <w:sz w:val="21"/>
          <w:szCs w:val="21"/>
          <w:highlight w:val="none"/>
        </w:rPr>
        <w:t>5</w:t>
      </w:r>
      <w:bookmarkStart w:id="837" w:name="_Toc337558760"/>
      <w:r>
        <w:rPr>
          <w:rFonts w:hint="eastAsia"/>
          <w:color w:val="auto"/>
          <w:sz w:val="21"/>
          <w:szCs w:val="21"/>
          <w:highlight w:val="none"/>
        </w:rPr>
        <w:t>.2质量保证措施</w:t>
      </w:r>
      <w:bookmarkEnd w:id="835"/>
      <w:bookmarkEnd w:id="836"/>
    </w:p>
    <w:bookmarkEnd w:id="837"/>
    <w:p w14:paraId="1CA64B3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5.2.1 发包人的质量管理</w:t>
      </w:r>
    </w:p>
    <w:p w14:paraId="0FE43FF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发包人应按照法律规定及合同约定完成与工程质量有关的各项工作。</w:t>
      </w:r>
    </w:p>
    <w:p w14:paraId="147A776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5.2.2 承包人的质量管理</w:t>
      </w:r>
    </w:p>
    <w:p w14:paraId="14D4167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536159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承包人应对施工人员进行质量教育和技术培训，定期考核施工人员的劳动技能，严格执行施工规范和操作规程。</w:t>
      </w:r>
    </w:p>
    <w:p w14:paraId="1656C67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DF57BC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5.2.3 监理人的质量检查和检验</w:t>
      </w:r>
    </w:p>
    <w:p w14:paraId="52D2B61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0A285E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78DCFB3">
      <w:pPr>
        <w:pStyle w:val="7"/>
        <w:spacing w:before="0" w:beforeAutospacing="0" w:after="0" w:afterAutospacing="0" w:line="360" w:lineRule="auto"/>
        <w:ind w:firstLine="422" w:firstLineChars="200"/>
        <w:rPr>
          <w:color w:val="auto"/>
          <w:sz w:val="21"/>
          <w:szCs w:val="21"/>
          <w:highlight w:val="none"/>
        </w:rPr>
      </w:pPr>
      <w:bookmarkStart w:id="838" w:name="_Toc532377221"/>
      <w:bookmarkStart w:id="839" w:name="_Toc351203535"/>
      <w:r>
        <w:rPr>
          <w:rFonts w:hint="eastAsia"/>
          <w:color w:val="auto"/>
          <w:sz w:val="21"/>
          <w:szCs w:val="21"/>
          <w:highlight w:val="none"/>
        </w:rPr>
        <w:t>5</w:t>
      </w:r>
      <w:bookmarkStart w:id="840" w:name="_Toc337558761"/>
      <w:r>
        <w:rPr>
          <w:rFonts w:hint="eastAsia"/>
          <w:color w:val="auto"/>
          <w:sz w:val="21"/>
          <w:szCs w:val="21"/>
          <w:highlight w:val="none"/>
        </w:rPr>
        <w:t>.3 隐蔽工程检查</w:t>
      </w:r>
      <w:bookmarkEnd w:id="838"/>
      <w:bookmarkEnd w:id="839"/>
    </w:p>
    <w:bookmarkEnd w:id="840"/>
    <w:p w14:paraId="7C1F1BC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5.3.1承包人自检</w:t>
      </w:r>
    </w:p>
    <w:p w14:paraId="4E745F9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承包人应当对工程隐蔽部位进行自检，并经自检确认是否具备覆盖条件。</w:t>
      </w:r>
    </w:p>
    <w:p w14:paraId="247DBE1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5.3.2检查程序</w:t>
      </w:r>
    </w:p>
    <w:p w14:paraId="063BD8B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61E7E3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04148B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81C370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5.3.3 重新检查</w:t>
      </w:r>
    </w:p>
    <w:p w14:paraId="6AD1E34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1BD6BF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5.3.4 承包人私自覆盖</w:t>
      </w:r>
    </w:p>
    <w:p w14:paraId="31D3A4F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0286E4AA">
      <w:pPr>
        <w:pStyle w:val="7"/>
        <w:spacing w:before="0" w:beforeAutospacing="0" w:after="0" w:afterAutospacing="0" w:line="360" w:lineRule="auto"/>
        <w:ind w:firstLine="422" w:firstLineChars="200"/>
        <w:rPr>
          <w:color w:val="auto"/>
          <w:sz w:val="21"/>
          <w:szCs w:val="21"/>
          <w:highlight w:val="none"/>
        </w:rPr>
      </w:pPr>
      <w:bookmarkStart w:id="841" w:name="_Toc532377222"/>
      <w:r>
        <w:rPr>
          <w:rFonts w:hint="eastAsia"/>
          <w:color w:val="auto"/>
          <w:sz w:val="21"/>
          <w:szCs w:val="21"/>
          <w:highlight w:val="none"/>
        </w:rPr>
        <w:t>5.4不合格工程的处理</w:t>
      </w:r>
      <w:bookmarkEnd w:id="841"/>
    </w:p>
    <w:p w14:paraId="5D5E66C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14E3B7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5.4.2 因发包人原因造成工程不合格的，由此增加的费用和（或）延误的工期由发包人承担，并支付承包人合理的利润。</w:t>
      </w:r>
    </w:p>
    <w:p w14:paraId="117CAB73">
      <w:pPr>
        <w:pStyle w:val="7"/>
        <w:spacing w:before="0" w:beforeAutospacing="0" w:after="0" w:afterAutospacing="0" w:line="360" w:lineRule="auto"/>
        <w:ind w:firstLine="422" w:firstLineChars="200"/>
        <w:rPr>
          <w:color w:val="auto"/>
          <w:sz w:val="21"/>
          <w:szCs w:val="21"/>
          <w:highlight w:val="none"/>
        </w:rPr>
      </w:pPr>
      <w:bookmarkStart w:id="842" w:name="_Toc532377223"/>
      <w:bookmarkStart w:id="843" w:name="_Toc351203537"/>
      <w:r>
        <w:rPr>
          <w:rFonts w:hint="eastAsia"/>
          <w:color w:val="auto"/>
          <w:sz w:val="21"/>
          <w:szCs w:val="21"/>
          <w:highlight w:val="none"/>
        </w:rPr>
        <w:t>5.5 质量争议检测</w:t>
      </w:r>
      <w:bookmarkEnd w:id="842"/>
      <w:bookmarkEnd w:id="843"/>
    </w:p>
    <w:p w14:paraId="50232DD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合同当事人对工程质量有争议的，由双方协商确定的工程质量检测机构鉴定，由此产生的费用及因此造成的损失，由责任方承担。</w:t>
      </w:r>
    </w:p>
    <w:p w14:paraId="515C1C1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合同当事人均有责任的，由双方根据其责任分别承担。合同当事人无法达成一致的，按照第4.4款〔商定或确定〕执行。</w:t>
      </w:r>
    </w:p>
    <w:p w14:paraId="50A90513">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44" w:name="_Toc532375592"/>
      <w:bookmarkStart w:id="845" w:name="_Toc532377224"/>
      <w:bookmarkStart w:id="846" w:name="_Toc351203538"/>
      <w:r>
        <w:rPr>
          <w:rFonts w:hint="eastAsia"/>
          <w:color w:val="auto"/>
          <w:kern w:val="2"/>
          <w:sz w:val="21"/>
          <w:szCs w:val="21"/>
          <w:highlight w:val="none"/>
        </w:rPr>
        <w:t>6</w:t>
      </w:r>
      <w:bookmarkStart w:id="847" w:name="_Toc337558763"/>
      <w:r>
        <w:rPr>
          <w:rFonts w:hint="eastAsia"/>
          <w:color w:val="auto"/>
          <w:kern w:val="2"/>
          <w:sz w:val="21"/>
          <w:szCs w:val="21"/>
          <w:highlight w:val="none"/>
        </w:rPr>
        <w:t>. 安全文明施工与环境保护</w:t>
      </w:r>
      <w:bookmarkEnd w:id="844"/>
      <w:bookmarkEnd w:id="845"/>
      <w:bookmarkEnd w:id="846"/>
    </w:p>
    <w:bookmarkEnd w:id="847"/>
    <w:p w14:paraId="4709ABCA">
      <w:pPr>
        <w:pStyle w:val="7"/>
        <w:spacing w:before="0" w:beforeAutospacing="0" w:after="0" w:afterAutospacing="0" w:line="360" w:lineRule="auto"/>
        <w:ind w:firstLine="422" w:firstLineChars="200"/>
        <w:rPr>
          <w:color w:val="auto"/>
          <w:sz w:val="21"/>
          <w:szCs w:val="21"/>
          <w:highlight w:val="none"/>
        </w:rPr>
      </w:pPr>
      <w:bookmarkStart w:id="848" w:name="_Toc351203539"/>
      <w:bookmarkStart w:id="849" w:name="_Toc532377225"/>
      <w:r>
        <w:rPr>
          <w:rFonts w:hint="eastAsia"/>
          <w:color w:val="auto"/>
          <w:sz w:val="21"/>
          <w:szCs w:val="21"/>
          <w:highlight w:val="none"/>
        </w:rPr>
        <w:t>6</w:t>
      </w:r>
      <w:bookmarkStart w:id="850" w:name="_Toc337558764"/>
      <w:r>
        <w:rPr>
          <w:rFonts w:hint="eastAsia"/>
          <w:color w:val="auto"/>
          <w:sz w:val="21"/>
          <w:szCs w:val="21"/>
          <w:highlight w:val="none"/>
        </w:rPr>
        <w:t>.1安全文明施工</w:t>
      </w:r>
      <w:bookmarkEnd w:id="848"/>
      <w:bookmarkEnd w:id="849"/>
    </w:p>
    <w:bookmarkEnd w:id="850"/>
    <w:p w14:paraId="7EE9C7A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6.1.1安全生产要求</w:t>
      </w:r>
    </w:p>
    <w:p w14:paraId="746DE71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50D847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4A640D5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因安全生产需要暂停施工的，按照第7.8款〔暂停施工〕的约定执行。</w:t>
      </w:r>
    </w:p>
    <w:p w14:paraId="117D9F1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6.1.2 安全生产保证措施</w:t>
      </w:r>
    </w:p>
    <w:p w14:paraId="6B64539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676D959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6.1.3特别安全生产事项</w:t>
      </w:r>
    </w:p>
    <w:p w14:paraId="342FA08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864DB7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9CBB23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C4DDD2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需单独编制危险性较大分部分项专项工程施工方案的，及要求进行专家论证的超过一定规模的危险性较大的分部分项工程，承包人应及时编制和组织论证。</w:t>
      </w:r>
    </w:p>
    <w:p w14:paraId="1A82066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6.1.4 治安保卫</w:t>
      </w:r>
    </w:p>
    <w:p w14:paraId="3156415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582430A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发包人和承包人除应协助现场治安管理机构或联防组织维护施工场地的社会治安外，还应做好包括生活区在内的各自管辖区的治安保卫工作。</w:t>
      </w:r>
    </w:p>
    <w:p w14:paraId="684C791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B49466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6.1.5 文明施工</w:t>
      </w:r>
    </w:p>
    <w:p w14:paraId="381EFF9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FA95C7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B5B9FF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6.1.6 安全文明施工费</w:t>
      </w:r>
    </w:p>
    <w:p w14:paraId="3BF6452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4D6F231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C99BD4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0F0961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FE1806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6.1.7 紧急情况处理</w:t>
      </w:r>
    </w:p>
    <w:p w14:paraId="0BCB693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1F0B4E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6.1.8 事故处理</w:t>
      </w:r>
    </w:p>
    <w:p w14:paraId="5434545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940BC0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 安全生产责任</w:t>
      </w:r>
    </w:p>
    <w:p w14:paraId="2AE52BB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6.1.9.1 发包人的安全责任</w:t>
      </w:r>
    </w:p>
    <w:p w14:paraId="3093046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发包人应负责赔偿以下各种情况造成的损失：</w:t>
      </w:r>
    </w:p>
    <w:p w14:paraId="7A9E6A9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（1）工程或工程的任何部分对土地的占用所造成的第三者财产损失；</w:t>
      </w:r>
    </w:p>
    <w:p w14:paraId="6B299C8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（2）由于发包人原因在施工场地及其毗邻地带造成的第三者人身伤亡和财产损失；</w:t>
      </w:r>
    </w:p>
    <w:p w14:paraId="4DC1C81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（3）由于发包人原因对承包人、监理人造成的人员人身伤亡和财产损失；</w:t>
      </w:r>
    </w:p>
    <w:p w14:paraId="740344B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（4）由于发包人原因造成的发包人自身人员的人身伤害以及财产损失。</w:t>
      </w:r>
    </w:p>
    <w:p w14:paraId="74FE25C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6.1.9.2 承包人的安全责任</w:t>
      </w:r>
    </w:p>
    <w:p w14:paraId="5BA4A02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由于承包人原因在施工场地内及其毗邻地带造成的发包人、监理人以及第三者人员伤亡和财产损失，由承包人负责赔偿。</w:t>
      </w:r>
    </w:p>
    <w:p w14:paraId="33FC2B74">
      <w:pPr>
        <w:pStyle w:val="7"/>
        <w:spacing w:before="0" w:beforeAutospacing="0" w:after="0" w:afterAutospacing="0" w:line="360" w:lineRule="auto"/>
        <w:ind w:firstLine="422" w:firstLineChars="200"/>
        <w:rPr>
          <w:color w:val="auto"/>
          <w:sz w:val="21"/>
          <w:szCs w:val="21"/>
          <w:highlight w:val="none"/>
        </w:rPr>
      </w:pPr>
      <w:bookmarkStart w:id="851" w:name="_Toc532377226"/>
      <w:bookmarkStart w:id="852" w:name="_Toc351203540"/>
      <w:r>
        <w:rPr>
          <w:rFonts w:hint="eastAsia"/>
          <w:color w:val="auto"/>
          <w:sz w:val="21"/>
          <w:szCs w:val="21"/>
          <w:highlight w:val="none"/>
        </w:rPr>
        <w:t>6</w:t>
      </w:r>
      <w:bookmarkStart w:id="853" w:name="_Toc337558765"/>
      <w:r>
        <w:rPr>
          <w:rFonts w:hint="eastAsia"/>
          <w:color w:val="auto"/>
          <w:sz w:val="21"/>
          <w:szCs w:val="21"/>
          <w:highlight w:val="none"/>
        </w:rPr>
        <w:t>.2 职业健康</w:t>
      </w:r>
      <w:bookmarkEnd w:id="851"/>
      <w:bookmarkEnd w:id="852"/>
    </w:p>
    <w:bookmarkEnd w:id="853"/>
    <w:p w14:paraId="0793003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6.2.1 劳动保护</w:t>
      </w:r>
    </w:p>
    <w:p w14:paraId="1EECD6F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BBAE77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A45B6C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EF01A4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6.2.2 生活条件</w:t>
      </w:r>
    </w:p>
    <w:p w14:paraId="5264A5B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9DCA5C1">
      <w:pPr>
        <w:pStyle w:val="7"/>
        <w:spacing w:before="0" w:beforeAutospacing="0" w:after="0" w:afterAutospacing="0" w:line="360" w:lineRule="auto"/>
        <w:ind w:firstLine="422" w:firstLineChars="200"/>
        <w:rPr>
          <w:color w:val="auto"/>
          <w:sz w:val="21"/>
          <w:szCs w:val="21"/>
          <w:highlight w:val="none"/>
        </w:rPr>
      </w:pPr>
      <w:bookmarkStart w:id="854" w:name="_Toc532377227"/>
      <w:bookmarkStart w:id="855" w:name="_Toc351203541"/>
      <w:r>
        <w:rPr>
          <w:rFonts w:hint="eastAsia"/>
          <w:color w:val="auto"/>
          <w:sz w:val="21"/>
          <w:szCs w:val="21"/>
          <w:highlight w:val="none"/>
        </w:rPr>
        <w:t>6</w:t>
      </w:r>
      <w:bookmarkStart w:id="856" w:name="_Toc337558766"/>
      <w:r>
        <w:rPr>
          <w:rFonts w:hint="eastAsia"/>
          <w:color w:val="auto"/>
          <w:sz w:val="21"/>
          <w:szCs w:val="21"/>
          <w:highlight w:val="none"/>
        </w:rPr>
        <w:t>.3 环境保护</w:t>
      </w:r>
      <w:bookmarkEnd w:id="854"/>
      <w:bookmarkEnd w:id="855"/>
    </w:p>
    <w:bookmarkEnd w:id="856"/>
    <w:p w14:paraId="5EC9BA4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B229F5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14:paraId="1F030FD9">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57" w:name="_Toc351203542"/>
      <w:bookmarkStart w:id="858" w:name="_Toc532377228"/>
      <w:bookmarkStart w:id="859" w:name="_Toc532375593"/>
      <w:r>
        <w:rPr>
          <w:rFonts w:hint="eastAsia"/>
          <w:color w:val="auto"/>
          <w:kern w:val="2"/>
          <w:sz w:val="21"/>
          <w:szCs w:val="21"/>
          <w:highlight w:val="none"/>
        </w:rPr>
        <w:t>7</w:t>
      </w:r>
      <w:bookmarkStart w:id="860" w:name="_Toc337558767"/>
      <w:r>
        <w:rPr>
          <w:rFonts w:hint="eastAsia"/>
          <w:color w:val="auto"/>
          <w:kern w:val="2"/>
          <w:sz w:val="21"/>
          <w:szCs w:val="21"/>
          <w:highlight w:val="none"/>
        </w:rPr>
        <w:t>. 工期和进度</w:t>
      </w:r>
      <w:bookmarkEnd w:id="857"/>
      <w:bookmarkEnd w:id="858"/>
      <w:bookmarkEnd w:id="859"/>
    </w:p>
    <w:bookmarkEnd w:id="860"/>
    <w:p w14:paraId="408CC2A1">
      <w:pPr>
        <w:pStyle w:val="7"/>
        <w:spacing w:before="0" w:beforeAutospacing="0" w:after="0" w:afterAutospacing="0" w:line="360" w:lineRule="auto"/>
        <w:ind w:firstLine="422" w:firstLineChars="200"/>
        <w:rPr>
          <w:color w:val="auto"/>
          <w:sz w:val="21"/>
          <w:szCs w:val="21"/>
          <w:highlight w:val="none"/>
        </w:rPr>
      </w:pPr>
      <w:bookmarkStart w:id="861" w:name="_Toc532377229"/>
      <w:bookmarkStart w:id="862" w:name="_Toc351203543"/>
      <w:r>
        <w:rPr>
          <w:rFonts w:hint="eastAsia"/>
          <w:color w:val="auto"/>
          <w:sz w:val="21"/>
          <w:szCs w:val="21"/>
          <w:highlight w:val="none"/>
        </w:rPr>
        <w:t>7</w:t>
      </w:r>
      <w:bookmarkStart w:id="863" w:name="_Toc337558768"/>
      <w:bookmarkStart w:id="864" w:name="_Toc296503066"/>
      <w:bookmarkStart w:id="865" w:name="_Toc296346567"/>
      <w:r>
        <w:rPr>
          <w:rFonts w:hint="eastAsia"/>
          <w:color w:val="auto"/>
          <w:sz w:val="21"/>
          <w:szCs w:val="21"/>
          <w:highlight w:val="none"/>
        </w:rPr>
        <w:t>.1施工组织设计</w:t>
      </w:r>
      <w:bookmarkEnd w:id="861"/>
      <w:bookmarkEnd w:id="862"/>
    </w:p>
    <w:bookmarkEnd w:id="863"/>
    <w:p w14:paraId="37D1004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7.1.1 施工组织设计的内容</w:t>
      </w:r>
    </w:p>
    <w:p w14:paraId="73465AF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施工组织设计应包含以下内容：</w:t>
      </w:r>
    </w:p>
    <w:p w14:paraId="4C9D454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（1）施工方案； </w:t>
      </w:r>
    </w:p>
    <w:p w14:paraId="216DDCE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（2）施工现场平面布置图；</w:t>
      </w:r>
    </w:p>
    <w:p w14:paraId="6639A52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（3）施工进度计划和保证措施； </w:t>
      </w:r>
    </w:p>
    <w:p w14:paraId="342699D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（4）劳动力及材料供应计划；</w:t>
      </w:r>
    </w:p>
    <w:p w14:paraId="2EAF08F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（5）施工机械设备的选用；</w:t>
      </w:r>
    </w:p>
    <w:p w14:paraId="52AF6F8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（6）质量保证体系及措施；</w:t>
      </w:r>
    </w:p>
    <w:p w14:paraId="4F4B6D8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（7）安全生产、文明施工措施；</w:t>
      </w:r>
    </w:p>
    <w:p w14:paraId="3FF3251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（8）环境保护、成本控制措施；</w:t>
      </w:r>
    </w:p>
    <w:p w14:paraId="3C97FB7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（9）合同当事人约定的其他内容。</w:t>
      </w:r>
    </w:p>
    <w:p w14:paraId="744B0FB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7.1.2 施工组织设计的提交和修改</w:t>
      </w:r>
    </w:p>
    <w:p w14:paraId="34B64BA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0B6776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施工进度计划的编制和修改按照第7.2款〔施工进度计划〕执行。</w:t>
      </w:r>
    </w:p>
    <w:p w14:paraId="43735AE2">
      <w:pPr>
        <w:pStyle w:val="7"/>
        <w:spacing w:before="0" w:beforeAutospacing="0" w:after="0" w:afterAutospacing="0" w:line="360" w:lineRule="auto"/>
        <w:ind w:firstLine="422" w:firstLineChars="200"/>
        <w:rPr>
          <w:color w:val="auto"/>
          <w:sz w:val="21"/>
          <w:szCs w:val="21"/>
          <w:highlight w:val="none"/>
        </w:rPr>
      </w:pPr>
      <w:bookmarkStart w:id="866" w:name="_Toc351203544"/>
      <w:bookmarkStart w:id="867" w:name="_Toc532377230"/>
      <w:r>
        <w:rPr>
          <w:rFonts w:hint="eastAsia"/>
          <w:color w:val="auto"/>
          <w:sz w:val="21"/>
          <w:szCs w:val="21"/>
          <w:highlight w:val="none"/>
        </w:rPr>
        <w:t>7</w:t>
      </w:r>
      <w:bookmarkStart w:id="868" w:name="_Toc337558769"/>
      <w:r>
        <w:rPr>
          <w:rFonts w:hint="eastAsia"/>
          <w:color w:val="auto"/>
          <w:sz w:val="21"/>
          <w:szCs w:val="21"/>
          <w:highlight w:val="none"/>
        </w:rPr>
        <w:t>.2 施工进度计划</w:t>
      </w:r>
      <w:bookmarkEnd w:id="866"/>
      <w:bookmarkEnd w:id="867"/>
    </w:p>
    <w:bookmarkEnd w:id="868"/>
    <w:p w14:paraId="5BF8233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7.2.1 施工进度计划的编制</w:t>
      </w:r>
    </w:p>
    <w:p w14:paraId="5E2BE88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B30A56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7.2.2 施工进度计划的修订</w:t>
      </w:r>
    </w:p>
    <w:p w14:paraId="3E8F66F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B75A3F4">
      <w:pPr>
        <w:pStyle w:val="7"/>
        <w:spacing w:before="0" w:beforeAutospacing="0" w:after="0" w:afterAutospacing="0" w:line="360" w:lineRule="auto"/>
        <w:ind w:firstLine="422" w:firstLineChars="200"/>
        <w:rPr>
          <w:color w:val="auto"/>
          <w:sz w:val="21"/>
          <w:szCs w:val="21"/>
          <w:highlight w:val="none"/>
        </w:rPr>
      </w:pPr>
      <w:bookmarkStart w:id="869" w:name="_Toc351203545"/>
      <w:bookmarkStart w:id="870" w:name="_Toc532377231"/>
      <w:r>
        <w:rPr>
          <w:rFonts w:hint="eastAsia"/>
          <w:color w:val="auto"/>
          <w:sz w:val="21"/>
          <w:szCs w:val="21"/>
          <w:highlight w:val="none"/>
        </w:rPr>
        <w:t>7</w:t>
      </w:r>
      <w:bookmarkStart w:id="871" w:name="_Toc337558770"/>
      <w:r>
        <w:rPr>
          <w:rFonts w:hint="eastAsia"/>
          <w:color w:val="auto"/>
          <w:sz w:val="21"/>
          <w:szCs w:val="21"/>
          <w:highlight w:val="none"/>
        </w:rPr>
        <w:t>.3 开工</w:t>
      </w:r>
      <w:bookmarkEnd w:id="869"/>
      <w:bookmarkEnd w:id="870"/>
    </w:p>
    <w:p w14:paraId="1E6C488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7.3.1 开工准备</w:t>
      </w:r>
    </w:p>
    <w:p w14:paraId="30F08A1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F0CD9C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除专用合同条款另有约定外，合同当事人应按约定完成开工准备工作。</w:t>
      </w:r>
    </w:p>
    <w:p w14:paraId="2341136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7.3.2 开工通知</w:t>
      </w:r>
    </w:p>
    <w:bookmarkEnd w:id="871"/>
    <w:p w14:paraId="431F538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75B54E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68834FD">
      <w:pPr>
        <w:pStyle w:val="7"/>
        <w:spacing w:before="0" w:beforeAutospacing="0" w:after="0" w:afterAutospacing="0" w:line="360" w:lineRule="auto"/>
        <w:ind w:firstLine="422" w:firstLineChars="200"/>
        <w:rPr>
          <w:color w:val="auto"/>
          <w:sz w:val="21"/>
          <w:szCs w:val="21"/>
          <w:highlight w:val="none"/>
        </w:rPr>
      </w:pPr>
      <w:bookmarkStart w:id="872" w:name="_Toc351203546"/>
      <w:bookmarkStart w:id="873" w:name="_Toc532377232"/>
      <w:r>
        <w:rPr>
          <w:rFonts w:hint="eastAsia"/>
          <w:color w:val="auto"/>
          <w:sz w:val="21"/>
          <w:szCs w:val="21"/>
          <w:highlight w:val="none"/>
        </w:rPr>
        <w:t>7.4测量放线</w:t>
      </w:r>
      <w:bookmarkEnd w:id="872"/>
      <w:bookmarkEnd w:id="873"/>
    </w:p>
    <w:p w14:paraId="0662377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633239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3FF049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639A90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施工过程中对施工现场内水准点等测量标志物的保护工作由承包人负责。</w:t>
      </w:r>
      <w:bookmarkStart w:id="874" w:name="_Toc351203547"/>
    </w:p>
    <w:p w14:paraId="097B3E68">
      <w:pPr>
        <w:pStyle w:val="7"/>
        <w:spacing w:before="0" w:beforeAutospacing="0" w:after="0" w:afterAutospacing="0" w:line="360" w:lineRule="auto"/>
        <w:ind w:firstLine="422" w:firstLineChars="200"/>
        <w:rPr>
          <w:color w:val="auto"/>
          <w:sz w:val="21"/>
          <w:szCs w:val="21"/>
          <w:highlight w:val="none"/>
        </w:rPr>
      </w:pPr>
      <w:bookmarkStart w:id="875" w:name="_Toc532377233"/>
      <w:r>
        <w:rPr>
          <w:rFonts w:hint="eastAsia"/>
          <w:color w:val="auto"/>
          <w:sz w:val="21"/>
          <w:szCs w:val="21"/>
          <w:highlight w:val="none"/>
        </w:rPr>
        <w:t>7</w:t>
      </w:r>
      <w:bookmarkEnd w:id="864"/>
      <w:bookmarkEnd w:id="865"/>
      <w:bookmarkStart w:id="876" w:name="_Toc296346574"/>
      <w:bookmarkStart w:id="877" w:name="_Toc337558772"/>
      <w:bookmarkStart w:id="878" w:name="_Toc296503073"/>
      <w:r>
        <w:rPr>
          <w:rFonts w:hint="eastAsia"/>
          <w:color w:val="auto"/>
          <w:sz w:val="21"/>
          <w:szCs w:val="21"/>
          <w:highlight w:val="none"/>
        </w:rPr>
        <w:t>.5 工期延误</w:t>
      </w:r>
      <w:bookmarkEnd w:id="874"/>
      <w:bookmarkEnd w:id="875"/>
    </w:p>
    <w:bookmarkEnd w:id="876"/>
    <w:bookmarkEnd w:id="877"/>
    <w:bookmarkEnd w:id="878"/>
    <w:p w14:paraId="69B6039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7.5.1 因发包人原因导致工期延误</w:t>
      </w:r>
    </w:p>
    <w:p w14:paraId="3C6F1FB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14:paraId="1D33006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（1）发包人未能按合同约定提供图纸或所提供图纸不符合合同约定的；</w:t>
      </w:r>
    </w:p>
    <w:p w14:paraId="1BCDF02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（2）发包人未能按合同约定提供施工现场、施工条件、基础资料、许可、批准等开工条件的；</w:t>
      </w:r>
    </w:p>
    <w:p w14:paraId="49E3592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（3）发包人提供的测量基准点、基准线和水准点及其书面资料存在错误或疏漏的；</w:t>
      </w:r>
    </w:p>
    <w:p w14:paraId="0D38E5A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（4）发包人未能在计划开工日期之日起7天内同意下达开工通知的；</w:t>
      </w:r>
    </w:p>
    <w:p w14:paraId="216BE83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（5）发包人未能按合同约定日期支付工程预付款、进度款或竣工结算款的；</w:t>
      </w:r>
    </w:p>
    <w:p w14:paraId="3051F40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（6）监理人未按合同约定发出指示、批准等文件的；</w:t>
      </w:r>
    </w:p>
    <w:p w14:paraId="56C5DB3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（7）专用合同条款中约定的其他情形。</w:t>
      </w:r>
    </w:p>
    <w:p w14:paraId="5F4801E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BA16B6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7.5.2 因承包人原因导致工期延误</w:t>
      </w:r>
    </w:p>
    <w:p w14:paraId="132D4CC1">
      <w:pPr>
        <w:autoSpaceDE w:val="0"/>
        <w:autoSpaceDN w:val="0"/>
        <w:spacing w:line="360" w:lineRule="auto"/>
        <w:ind w:firstLine="420" w:firstLineChars="200"/>
        <w:jc w:val="left"/>
        <w:rPr>
          <w:rFonts w:ascii="宋体" w:hAnsi="宋体"/>
          <w:color w:val="auto"/>
          <w:kern w:val="0"/>
          <w:szCs w:val="21"/>
          <w:highlight w:val="none"/>
        </w:rPr>
      </w:pPr>
      <w:bookmarkStart w:id="879" w:name="_Toc296503076"/>
      <w:bookmarkStart w:id="880" w:name="_Toc296346577"/>
      <w:r>
        <w:rPr>
          <w:rFonts w:hint="eastAsia" w:ascii="宋体" w:hAnsi="宋体"/>
          <w:color w:val="auto"/>
          <w:kern w:val="0"/>
          <w:szCs w:val="21"/>
          <w:highlight w:val="none"/>
        </w:rPr>
        <w:t>因</w:t>
      </w:r>
      <w:bookmarkEnd w:id="879"/>
      <w:bookmarkEnd w:id="880"/>
      <w:r>
        <w:rPr>
          <w:rFonts w:hint="eastAsia" w:ascii="宋体" w:hAnsi="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5F8BA687">
      <w:pPr>
        <w:pStyle w:val="7"/>
        <w:spacing w:before="0" w:beforeAutospacing="0" w:after="0" w:afterAutospacing="0" w:line="360" w:lineRule="auto"/>
        <w:ind w:firstLine="422" w:firstLineChars="200"/>
        <w:rPr>
          <w:color w:val="auto"/>
          <w:sz w:val="21"/>
          <w:szCs w:val="21"/>
          <w:highlight w:val="none"/>
        </w:rPr>
      </w:pPr>
      <w:bookmarkStart w:id="881" w:name="_Toc351203548"/>
      <w:bookmarkStart w:id="882" w:name="_Toc532377234"/>
      <w:r>
        <w:rPr>
          <w:rFonts w:hint="eastAsia"/>
          <w:color w:val="auto"/>
          <w:sz w:val="21"/>
          <w:szCs w:val="21"/>
          <w:highlight w:val="none"/>
        </w:rPr>
        <w:t>7</w:t>
      </w:r>
      <w:bookmarkStart w:id="883" w:name="_Toc296503074"/>
      <w:bookmarkStart w:id="884" w:name="_Toc296346575"/>
      <w:bookmarkStart w:id="885" w:name="_Toc337558773"/>
      <w:bookmarkStart w:id="886" w:name="_Toc296503077"/>
      <w:bookmarkStart w:id="887" w:name="_Toc296346578"/>
      <w:r>
        <w:rPr>
          <w:rFonts w:hint="eastAsia"/>
          <w:color w:val="auto"/>
          <w:sz w:val="21"/>
          <w:szCs w:val="21"/>
          <w:highlight w:val="none"/>
        </w:rPr>
        <w:t>.6 不利物质条件</w:t>
      </w:r>
      <w:bookmarkEnd w:id="881"/>
      <w:bookmarkEnd w:id="882"/>
    </w:p>
    <w:bookmarkEnd w:id="883"/>
    <w:bookmarkEnd w:id="884"/>
    <w:bookmarkEnd w:id="885"/>
    <w:p w14:paraId="7EE7D02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CAF0EA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314ED06">
      <w:pPr>
        <w:pStyle w:val="7"/>
        <w:spacing w:before="0" w:beforeAutospacing="0" w:after="0" w:afterAutospacing="0" w:line="360" w:lineRule="auto"/>
        <w:ind w:firstLine="422" w:firstLineChars="200"/>
        <w:rPr>
          <w:color w:val="auto"/>
          <w:sz w:val="21"/>
          <w:szCs w:val="21"/>
          <w:highlight w:val="none"/>
        </w:rPr>
      </w:pPr>
      <w:bookmarkStart w:id="888" w:name="_Toc532377235"/>
      <w:bookmarkStart w:id="889" w:name="_Toc351203549"/>
      <w:r>
        <w:rPr>
          <w:rFonts w:hint="eastAsia"/>
          <w:color w:val="auto"/>
          <w:sz w:val="21"/>
          <w:szCs w:val="21"/>
          <w:highlight w:val="none"/>
        </w:rPr>
        <w:t>7</w:t>
      </w:r>
      <w:bookmarkStart w:id="890" w:name="_Toc296346576"/>
      <w:bookmarkStart w:id="891" w:name="_Toc337558774"/>
      <w:bookmarkStart w:id="892" w:name="_Toc296503075"/>
      <w:r>
        <w:rPr>
          <w:rFonts w:hint="eastAsia"/>
          <w:color w:val="auto"/>
          <w:sz w:val="21"/>
          <w:szCs w:val="21"/>
          <w:highlight w:val="none"/>
        </w:rPr>
        <w:t>.7 异常恶劣的气候条件</w:t>
      </w:r>
      <w:bookmarkEnd w:id="888"/>
      <w:bookmarkEnd w:id="889"/>
    </w:p>
    <w:bookmarkEnd w:id="890"/>
    <w:bookmarkEnd w:id="891"/>
    <w:bookmarkEnd w:id="892"/>
    <w:p w14:paraId="40A0BBC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C06E8B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893" w:name="_Toc351203550"/>
    </w:p>
    <w:p w14:paraId="716391B8">
      <w:pPr>
        <w:pStyle w:val="7"/>
        <w:spacing w:before="0" w:beforeAutospacing="0" w:after="0" w:afterAutospacing="0" w:line="360" w:lineRule="auto"/>
        <w:ind w:firstLine="422" w:firstLineChars="200"/>
        <w:rPr>
          <w:color w:val="auto"/>
          <w:sz w:val="21"/>
          <w:szCs w:val="21"/>
          <w:highlight w:val="none"/>
        </w:rPr>
      </w:pPr>
      <w:bookmarkStart w:id="894" w:name="_Toc532377236"/>
      <w:r>
        <w:rPr>
          <w:rFonts w:hint="eastAsia"/>
          <w:color w:val="auto"/>
          <w:sz w:val="21"/>
          <w:szCs w:val="21"/>
          <w:highlight w:val="none"/>
        </w:rPr>
        <w:t>7</w:t>
      </w:r>
      <w:bookmarkStart w:id="895" w:name="_Toc337558775"/>
      <w:r>
        <w:rPr>
          <w:rFonts w:hint="eastAsia"/>
          <w:color w:val="auto"/>
          <w:sz w:val="21"/>
          <w:szCs w:val="21"/>
          <w:highlight w:val="none"/>
        </w:rPr>
        <w:t>.8 暂停施工</w:t>
      </w:r>
      <w:bookmarkEnd w:id="893"/>
      <w:bookmarkEnd w:id="894"/>
    </w:p>
    <w:bookmarkEnd w:id="886"/>
    <w:bookmarkEnd w:id="887"/>
    <w:bookmarkEnd w:id="895"/>
    <w:p w14:paraId="3A1532D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7.8.1发包人原因引起的暂停施工</w:t>
      </w:r>
    </w:p>
    <w:p w14:paraId="27A97AE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483EB40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因发包人原因引起的暂停施工，发包人应承担由此增加的费用和（或）延误的工期，并支付承包人合理的利润。</w:t>
      </w:r>
    </w:p>
    <w:p w14:paraId="40738DA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7.8.2 承包人原因引起的暂停施工</w:t>
      </w:r>
    </w:p>
    <w:p w14:paraId="0D4FA95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A7DE50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7.8.3 指示暂停施工</w:t>
      </w:r>
    </w:p>
    <w:p w14:paraId="21852A2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监理人认为有必要时，并经发包人批准后，可向承包人作出暂停施工的指示，承包人应按监理人指示暂停施工。</w:t>
      </w:r>
    </w:p>
    <w:p w14:paraId="255F9F3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7.8.4 紧急情况下的暂停施工</w:t>
      </w:r>
    </w:p>
    <w:p w14:paraId="2954184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B62BF0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7.8.5 暂停施工后的复工</w:t>
      </w:r>
    </w:p>
    <w:p w14:paraId="50F7416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A93FDE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14:paraId="6DE187E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7.8.6 暂停施工持续56天以上</w:t>
      </w:r>
    </w:p>
    <w:p w14:paraId="72B49DF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7799E2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170525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7.8.7 暂停施工期间的工程照管</w:t>
      </w:r>
    </w:p>
    <w:p w14:paraId="33C6F81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暂停施工期间，承包人应负责妥善照管工程并提供安全保障，由此增加的费用由责任方承担。</w:t>
      </w:r>
    </w:p>
    <w:p w14:paraId="4ED75CD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7.8.8 暂停施工的措施</w:t>
      </w:r>
    </w:p>
    <w:p w14:paraId="77D785F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暂停施工期间，发包人和承包人均应采取必要的措施确保工程质量及安全，防止因暂停施工扩大损失。</w:t>
      </w:r>
    </w:p>
    <w:p w14:paraId="0263C932">
      <w:pPr>
        <w:pStyle w:val="7"/>
        <w:spacing w:before="0" w:beforeAutospacing="0" w:after="0" w:afterAutospacing="0" w:line="360" w:lineRule="auto"/>
        <w:ind w:firstLine="422" w:firstLineChars="200"/>
        <w:rPr>
          <w:color w:val="auto"/>
          <w:sz w:val="21"/>
          <w:szCs w:val="21"/>
          <w:highlight w:val="none"/>
        </w:rPr>
      </w:pPr>
      <w:bookmarkStart w:id="896" w:name="_Toc532377237"/>
      <w:bookmarkStart w:id="897" w:name="_Toc351203551"/>
      <w:r>
        <w:rPr>
          <w:rFonts w:hint="eastAsia"/>
          <w:color w:val="auto"/>
          <w:sz w:val="21"/>
          <w:szCs w:val="21"/>
          <w:highlight w:val="none"/>
        </w:rPr>
        <w:t>7.9提前竣工</w:t>
      </w:r>
      <w:bookmarkEnd w:id="896"/>
      <w:bookmarkEnd w:id="897"/>
    </w:p>
    <w:p w14:paraId="4BA5408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1D5BE1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7.9.2 发包人要求承包人提前竣工，或承包人提出提前竣工的建议能够给发包人带来效益的，合同当事人可以在专用合同条款中约定提前竣工的奖励。</w:t>
      </w:r>
    </w:p>
    <w:p w14:paraId="604FEAD2">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98" w:name="_Toc532375594"/>
      <w:bookmarkStart w:id="899" w:name="_Toc532377238"/>
      <w:bookmarkStart w:id="900" w:name="_Toc351203552"/>
      <w:r>
        <w:rPr>
          <w:rFonts w:hint="eastAsia"/>
          <w:color w:val="auto"/>
          <w:kern w:val="2"/>
          <w:sz w:val="21"/>
          <w:szCs w:val="21"/>
          <w:highlight w:val="none"/>
        </w:rPr>
        <w:t>8</w:t>
      </w:r>
      <w:bookmarkStart w:id="901" w:name="_Toc296346559"/>
      <w:bookmarkStart w:id="902" w:name="_Toc337558776"/>
      <w:bookmarkStart w:id="903" w:name="_Toc296503058"/>
      <w:r>
        <w:rPr>
          <w:rFonts w:hint="eastAsia"/>
          <w:color w:val="auto"/>
          <w:kern w:val="2"/>
          <w:sz w:val="21"/>
          <w:szCs w:val="21"/>
          <w:highlight w:val="none"/>
        </w:rPr>
        <w:t>. 材料与设备</w:t>
      </w:r>
      <w:bookmarkEnd w:id="898"/>
      <w:bookmarkEnd w:id="899"/>
      <w:bookmarkEnd w:id="900"/>
    </w:p>
    <w:bookmarkEnd w:id="901"/>
    <w:bookmarkEnd w:id="902"/>
    <w:bookmarkEnd w:id="903"/>
    <w:p w14:paraId="415485D3">
      <w:pPr>
        <w:pStyle w:val="7"/>
        <w:spacing w:before="0" w:beforeAutospacing="0" w:after="0" w:afterAutospacing="0" w:line="360" w:lineRule="auto"/>
        <w:ind w:firstLine="422" w:firstLineChars="200"/>
        <w:rPr>
          <w:color w:val="auto"/>
          <w:sz w:val="21"/>
          <w:szCs w:val="21"/>
          <w:highlight w:val="none"/>
        </w:rPr>
      </w:pPr>
      <w:bookmarkStart w:id="904" w:name="_Toc532377239"/>
      <w:bookmarkStart w:id="905" w:name="_Toc351203553"/>
      <w:r>
        <w:rPr>
          <w:rFonts w:hint="eastAsia"/>
          <w:color w:val="auto"/>
          <w:sz w:val="21"/>
          <w:szCs w:val="21"/>
          <w:highlight w:val="none"/>
        </w:rPr>
        <w:t>8</w:t>
      </w:r>
      <w:bookmarkStart w:id="906" w:name="_Toc296346560"/>
      <w:bookmarkStart w:id="907" w:name="_Toc337558777"/>
      <w:bookmarkStart w:id="908" w:name="_Toc296503059"/>
      <w:bookmarkStart w:id="909" w:name="_Toc468936960"/>
      <w:r>
        <w:rPr>
          <w:rFonts w:hint="eastAsia"/>
          <w:color w:val="auto"/>
          <w:sz w:val="21"/>
          <w:szCs w:val="21"/>
          <w:highlight w:val="none"/>
        </w:rPr>
        <w:t>.1发包人供应材料与工程设备</w:t>
      </w:r>
      <w:bookmarkEnd w:id="904"/>
      <w:bookmarkEnd w:id="905"/>
    </w:p>
    <w:bookmarkEnd w:id="906"/>
    <w:bookmarkEnd w:id="907"/>
    <w:bookmarkEnd w:id="908"/>
    <w:p w14:paraId="56D4AE4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68B9268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07F5876">
      <w:pPr>
        <w:pStyle w:val="7"/>
        <w:spacing w:before="0" w:beforeAutospacing="0" w:after="0" w:afterAutospacing="0" w:line="360" w:lineRule="auto"/>
        <w:ind w:firstLine="422" w:firstLineChars="200"/>
        <w:rPr>
          <w:color w:val="auto"/>
          <w:sz w:val="21"/>
          <w:szCs w:val="21"/>
          <w:highlight w:val="none"/>
        </w:rPr>
      </w:pPr>
      <w:bookmarkStart w:id="910" w:name="_Toc532377240"/>
      <w:r>
        <w:rPr>
          <w:rFonts w:hint="eastAsia"/>
          <w:color w:val="auto"/>
          <w:sz w:val="21"/>
          <w:szCs w:val="21"/>
          <w:highlight w:val="none"/>
        </w:rPr>
        <w:t>8.2承包人采购材料与工程设备</w:t>
      </w:r>
      <w:bookmarkEnd w:id="910"/>
    </w:p>
    <w:p w14:paraId="2BEC361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7E7AA22">
      <w:pPr>
        <w:pStyle w:val="7"/>
        <w:spacing w:before="0" w:beforeAutospacing="0" w:after="0" w:afterAutospacing="0" w:line="360" w:lineRule="auto"/>
        <w:ind w:firstLine="422" w:firstLineChars="200"/>
        <w:rPr>
          <w:color w:val="auto"/>
          <w:sz w:val="21"/>
          <w:szCs w:val="21"/>
          <w:highlight w:val="none"/>
        </w:rPr>
      </w:pPr>
      <w:bookmarkStart w:id="911" w:name="_Toc351203555"/>
      <w:bookmarkStart w:id="912" w:name="_Toc532377241"/>
      <w:r>
        <w:rPr>
          <w:rFonts w:hint="eastAsia"/>
          <w:color w:val="auto"/>
          <w:sz w:val="21"/>
          <w:szCs w:val="21"/>
          <w:highlight w:val="none"/>
        </w:rPr>
        <w:t>8</w:t>
      </w:r>
      <w:bookmarkStart w:id="913" w:name="_Toc337558779"/>
      <w:bookmarkStart w:id="914" w:name="_Toc296503061"/>
      <w:bookmarkStart w:id="915" w:name="_Toc296346562"/>
      <w:r>
        <w:rPr>
          <w:rFonts w:hint="eastAsia"/>
          <w:color w:val="auto"/>
          <w:sz w:val="21"/>
          <w:szCs w:val="21"/>
          <w:highlight w:val="none"/>
        </w:rPr>
        <w:t>.3材料与工程设备的接收与拒收</w:t>
      </w:r>
      <w:bookmarkEnd w:id="911"/>
      <w:bookmarkEnd w:id="912"/>
    </w:p>
    <w:bookmarkEnd w:id="913"/>
    <w:bookmarkEnd w:id="914"/>
    <w:bookmarkEnd w:id="915"/>
    <w:p w14:paraId="2B8A5AC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D0E9C2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299C49D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8.3.2 承包人采购的材料和工程设备，应保证产品质量合格，承包人应在材料和工程设备到货前24小时通知监理人检验。承</w:t>
      </w:r>
      <w:bookmarkStart w:id="916" w:name="_Toc250655469"/>
      <w:r>
        <w:rPr>
          <w:rFonts w:hint="eastAsia" w:ascii="宋体" w:hAnsi="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916"/>
    <w:p w14:paraId="3503D2A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8BD6418">
      <w:pPr>
        <w:pStyle w:val="7"/>
        <w:spacing w:before="0" w:beforeAutospacing="0" w:after="0" w:afterAutospacing="0" w:line="360" w:lineRule="auto"/>
        <w:ind w:firstLine="422" w:firstLineChars="200"/>
        <w:rPr>
          <w:color w:val="auto"/>
          <w:sz w:val="21"/>
          <w:szCs w:val="21"/>
          <w:highlight w:val="none"/>
        </w:rPr>
      </w:pPr>
      <w:bookmarkStart w:id="917" w:name="_Toc351203556"/>
      <w:bookmarkStart w:id="918" w:name="_Toc532377242"/>
      <w:r>
        <w:rPr>
          <w:rFonts w:hint="eastAsia"/>
          <w:color w:val="auto"/>
          <w:sz w:val="21"/>
          <w:szCs w:val="21"/>
          <w:highlight w:val="none"/>
        </w:rPr>
        <w:t>8</w:t>
      </w:r>
      <w:bookmarkStart w:id="919" w:name="_Toc337558780"/>
      <w:bookmarkStart w:id="920" w:name="_Toc296503062"/>
      <w:bookmarkStart w:id="921" w:name="_Toc296346563"/>
      <w:r>
        <w:rPr>
          <w:rFonts w:hint="eastAsia"/>
          <w:color w:val="auto"/>
          <w:sz w:val="21"/>
          <w:szCs w:val="21"/>
          <w:highlight w:val="none"/>
        </w:rPr>
        <w:t>.4材料与工程设备的保管与使用</w:t>
      </w:r>
      <w:bookmarkEnd w:id="917"/>
      <w:bookmarkEnd w:id="918"/>
    </w:p>
    <w:bookmarkEnd w:id="919"/>
    <w:bookmarkEnd w:id="920"/>
    <w:bookmarkEnd w:id="921"/>
    <w:p w14:paraId="20C2B49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8.4.1 发包人供应材料与工程设备的保管与使用</w:t>
      </w:r>
    </w:p>
    <w:p w14:paraId="48DC66F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8DD06E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发包人供应的材料和工程设备使用前，由承包人负责检验，检验费用由发包人承担，不合格的不得使用。</w:t>
      </w:r>
    </w:p>
    <w:p w14:paraId="506F255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8.4.2 承包人采购材料与工程设备的保管与使用</w:t>
      </w:r>
    </w:p>
    <w:p w14:paraId="7079738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B37801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0BACCF29">
      <w:pPr>
        <w:pStyle w:val="7"/>
        <w:spacing w:before="0" w:beforeAutospacing="0" w:after="0" w:afterAutospacing="0" w:line="360" w:lineRule="auto"/>
        <w:ind w:firstLine="422" w:firstLineChars="200"/>
        <w:rPr>
          <w:color w:val="auto"/>
          <w:sz w:val="21"/>
          <w:szCs w:val="21"/>
          <w:highlight w:val="none"/>
        </w:rPr>
      </w:pPr>
      <w:bookmarkStart w:id="922" w:name="_Toc532377243"/>
      <w:bookmarkStart w:id="923" w:name="_Toc351203557"/>
      <w:r>
        <w:rPr>
          <w:rFonts w:hint="eastAsia"/>
          <w:color w:val="auto"/>
          <w:sz w:val="21"/>
          <w:szCs w:val="21"/>
          <w:highlight w:val="none"/>
        </w:rPr>
        <w:t>8.5禁止使用不合格的材料和工程设备</w:t>
      </w:r>
      <w:bookmarkEnd w:id="922"/>
      <w:bookmarkEnd w:id="923"/>
    </w:p>
    <w:p w14:paraId="44E78C5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74FF934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8.5.2 监理人发现承包人使用了不合格的材料和工程设备，承包人应按照监理人的指示立即改正，并禁止在工程中继续使用不合格的材料和工程设备。</w:t>
      </w:r>
    </w:p>
    <w:p w14:paraId="711E86E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23E4BE81">
      <w:pPr>
        <w:pStyle w:val="7"/>
        <w:spacing w:before="0" w:beforeAutospacing="0" w:after="0" w:afterAutospacing="0" w:line="360" w:lineRule="auto"/>
        <w:ind w:firstLine="422" w:firstLineChars="200"/>
        <w:rPr>
          <w:color w:val="auto"/>
          <w:sz w:val="21"/>
          <w:szCs w:val="21"/>
          <w:highlight w:val="none"/>
        </w:rPr>
      </w:pPr>
      <w:bookmarkStart w:id="924" w:name="_Toc532377244"/>
      <w:bookmarkStart w:id="925" w:name="_Toc351203558"/>
      <w:r>
        <w:rPr>
          <w:rFonts w:hint="eastAsia"/>
          <w:color w:val="auto"/>
          <w:sz w:val="21"/>
          <w:szCs w:val="21"/>
          <w:highlight w:val="none"/>
        </w:rPr>
        <w:t>8.6 样品</w:t>
      </w:r>
      <w:bookmarkEnd w:id="924"/>
      <w:bookmarkEnd w:id="925"/>
    </w:p>
    <w:p w14:paraId="432FFBF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8.6.1</w:t>
      </w:r>
      <w:r>
        <w:rPr>
          <w:rFonts w:hint="eastAsia" w:ascii="宋体" w:hAnsi="宋体"/>
          <w:color w:val="auto"/>
          <w:kern w:val="0"/>
          <w:szCs w:val="21"/>
          <w:highlight w:val="none"/>
        </w:rPr>
        <w:tab/>
      </w:r>
      <w:r>
        <w:rPr>
          <w:rFonts w:hint="eastAsia" w:ascii="宋体" w:hAnsi="宋体"/>
          <w:color w:val="auto"/>
          <w:kern w:val="0"/>
          <w:szCs w:val="21"/>
          <w:highlight w:val="none"/>
        </w:rPr>
        <w:t>样品的报送与封存</w:t>
      </w:r>
    </w:p>
    <w:p w14:paraId="6D6A946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需要承包人报送样品的材料或工程设备，样品的种类、名称、规格、数量等要求均应在专用合同条款中约定。样品的报送程序如下：</w:t>
      </w:r>
    </w:p>
    <w:p w14:paraId="3AC01C2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E4A2E9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5A5B02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1D812D0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625319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8.6.2 样品的保管</w:t>
      </w:r>
    </w:p>
    <w:p w14:paraId="45263C4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经批准的样品应由监理人负责封存于现场，承包人应在现场为保存样品提供适当和固定的场所并保持适当和良好的存储环境条件。</w:t>
      </w:r>
    </w:p>
    <w:p w14:paraId="5AB2EC15">
      <w:pPr>
        <w:pStyle w:val="7"/>
        <w:spacing w:before="0" w:beforeAutospacing="0" w:after="0" w:afterAutospacing="0" w:line="360" w:lineRule="auto"/>
        <w:ind w:firstLine="422" w:firstLineChars="200"/>
        <w:rPr>
          <w:color w:val="auto"/>
          <w:sz w:val="21"/>
          <w:szCs w:val="21"/>
          <w:highlight w:val="none"/>
        </w:rPr>
      </w:pPr>
      <w:bookmarkStart w:id="926" w:name="_Toc351203559"/>
      <w:bookmarkStart w:id="927" w:name="_Toc532377245"/>
      <w:r>
        <w:rPr>
          <w:rFonts w:hint="eastAsia"/>
          <w:color w:val="auto"/>
          <w:sz w:val="21"/>
          <w:szCs w:val="21"/>
          <w:highlight w:val="none"/>
        </w:rPr>
        <w:t>8.7材料与工程设备的替代</w:t>
      </w:r>
      <w:bookmarkEnd w:id="926"/>
      <w:bookmarkEnd w:id="927"/>
    </w:p>
    <w:p w14:paraId="2015C67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8.7.1 出现下列情况需要使用替代材料和工程设备的，承包人应按照第8.7.2项约定的程序执行：</w:t>
      </w:r>
    </w:p>
    <w:p w14:paraId="312767E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（1）基准日期后生效的法律规定禁止使用的；</w:t>
      </w:r>
    </w:p>
    <w:p w14:paraId="7E5B3AF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（2）发包人要求使用替代品的；</w:t>
      </w:r>
    </w:p>
    <w:p w14:paraId="64B4535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（3）因其他原因必须使用替代品的。</w:t>
      </w:r>
    </w:p>
    <w:p w14:paraId="3EC8A4E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8.7.2 承包人应在使用替代材料和工程设备28天前书面通知监理人，并附下列文件：</w:t>
      </w:r>
    </w:p>
    <w:p w14:paraId="17062EF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（1）被替代的材料和工程设备的名称、数量、规格、型号、品牌、性能、价格及其他相关资料；</w:t>
      </w:r>
    </w:p>
    <w:p w14:paraId="334EE21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（2）替代品的名称、数量、规格、型号、品牌、性能、价格及其他相关资料；</w:t>
      </w:r>
    </w:p>
    <w:p w14:paraId="0C4F15A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（3）替代品与被替代产品之间的差异以及使用替代品可能对工程产生的影响；</w:t>
      </w:r>
    </w:p>
    <w:p w14:paraId="1CD2C41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（4）替代品与被替代产品的价格差异；</w:t>
      </w:r>
    </w:p>
    <w:p w14:paraId="5CB9ABB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（5）使用替代品的理由和原因说明；</w:t>
      </w:r>
    </w:p>
    <w:p w14:paraId="7E53704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（6）监理人要求的其他文件。</w:t>
      </w:r>
    </w:p>
    <w:p w14:paraId="75A67FF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监理人应在收到通知后14天内向承包人发出经发包人签认的书面指示；监理人逾期发出书面指示的，视为发包人和监理人同意使用替代品。</w:t>
      </w:r>
    </w:p>
    <w:p w14:paraId="2ACBFC8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C450842">
      <w:pPr>
        <w:pStyle w:val="7"/>
        <w:spacing w:before="0" w:beforeAutospacing="0" w:after="0" w:afterAutospacing="0" w:line="360" w:lineRule="auto"/>
        <w:ind w:firstLine="422" w:firstLineChars="200"/>
        <w:rPr>
          <w:color w:val="auto"/>
          <w:sz w:val="21"/>
          <w:szCs w:val="21"/>
          <w:highlight w:val="none"/>
        </w:rPr>
      </w:pPr>
      <w:bookmarkStart w:id="928" w:name="_Toc351203560"/>
      <w:bookmarkStart w:id="929" w:name="_Toc532377246"/>
      <w:r>
        <w:rPr>
          <w:rFonts w:hint="eastAsia"/>
          <w:color w:val="auto"/>
          <w:sz w:val="21"/>
          <w:szCs w:val="21"/>
          <w:highlight w:val="none"/>
        </w:rPr>
        <w:t>8.8施工设备和临时设施</w:t>
      </w:r>
      <w:bookmarkEnd w:id="928"/>
      <w:bookmarkEnd w:id="929"/>
    </w:p>
    <w:p w14:paraId="4ED9B7A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8.8.1 承包人提供的施工设备和临时设施</w:t>
      </w:r>
    </w:p>
    <w:p w14:paraId="19C5480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B57CDF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除专用合同条款另有约定外，承包人应自行承担修建临时设施的费用，需要临时占地的，应由发包人办理申请手续并承担相应费用。</w:t>
      </w:r>
    </w:p>
    <w:p w14:paraId="59C83A0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8.8.2发包人提供的施工设备和临时设施</w:t>
      </w:r>
    </w:p>
    <w:p w14:paraId="73A30EF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发包人提供的施工设备或临时设施在专用合同条款中约定。</w:t>
      </w:r>
    </w:p>
    <w:p w14:paraId="053F0D6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8.8.3要求承包人增加或更换施工设备</w:t>
      </w:r>
    </w:p>
    <w:p w14:paraId="2849E64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8D23F5C">
      <w:pPr>
        <w:pStyle w:val="7"/>
        <w:spacing w:before="0" w:beforeAutospacing="0" w:after="0" w:afterAutospacing="0" w:line="360" w:lineRule="auto"/>
        <w:ind w:firstLine="422" w:firstLineChars="200"/>
        <w:rPr>
          <w:color w:val="auto"/>
          <w:sz w:val="21"/>
          <w:szCs w:val="21"/>
          <w:highlight w:val="none"/>
        </w:rPr>
      </w:pPr>
      <w:bookmarkStart w:id="930" w:name="_Toc351203561"/>
      <w:bookmarkStart w:id="931" w:name="_Toc532377247"/>
      <w:r>
        <w:rPr>
          <w:rFonts w:hint="eastAsia"/>
          <w:color w:val="auto"/>
          <w:sz w:val="21"/>
          <w:szCs w:val="21"/>
          <w:highlight w:val="none"/>
        </w:rPr>
        <w:t>8</w:t>
      </w:r>
      <w:bookmarkStart w:id="932" w:name="_Toc337558781"/>
      <w:bookmarkStart w:id="933" w:name="_Toc296346564"/>
      <w:bookmarkStart w:id="934" w:name="_Toc296503063"/>
      <w:r>
        <w:rPr>
          <w:rFonts w:hint="eastAsia"/>
          <w:color w:val="auto"/>
          <w:sz w:val="21"/>
          <w:szCs w:val="21"/>
          <w:highlight w:val="none"/>
        </w:rPr>
        <w:t>.9材料与设备专用</w:t>
      </w:r>
      <w:bookmarkEnd w:id="930"/>
      <w:r>
        <w:rPr>
          <w:rFonts w:hint="eastAsia"/>
          <w:color w:val="auto"/>
          <w:sz w:val="21"/>
          <w:szCs w:val="21"/>
          <w:highlight w:val="none"/>
        </w:rPr>
        <w:t>要求</w:t>
      </w:r>
      <w:bookmarkEnd w:id="931"/>
    </w:p>
    <w:bookmarkEnd w:id="932"/>
    <w:bookmarkEnd w:id="933"/>
    <w:bookmarkEnd w:id="934"/>
    <w:p w14:paraId="2D84727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09"/>
      <w:r>
        <w:rPr>
          <w:rFonts w:hint="eastAsia" w:ascii="宋体" w:hAnsi="宋体"/>
          <w:color w:val="auto"/>
          <w:kern w:val="0"/>
          <w:szCs w:val="21"/>
          <w:highlight w:val="none"/>
        </w:rPr>
        <w:t>经发包人批准，承包人可以根据施工进度计划撤走闲置的施工设备和其他物品。</w:t>
      </w:r>
    </w:p>
    <w:p w14:paraId="4053CFA3">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35" w:name="_Toc532377248"/>
      <w:bookmarkStart w:id="936" w:name="_Toc351203562"/>
      <w:bookmarkStart w:id="937" w:name="_Toc532375595"/>
      <w:r>
        <w:rPr>
          <w:rFonts w:hint="eastAsia"/>
          <w:color w:val="auto"/>
          <w:kern w:val="2"/>
          <w:sz w:val="21"/>
          <w:szCs w:val="21"/>
          <w:highlight w:val="none"/>
        </w:rPr>
        <w:t>9</w:t>
      </w:r>
      <w:bookmarkStart w:id="938" w:name="_Toc337558782"/>
      <w:bookmarkStart w:id="939" w:name="_Toc296346584"/>
      <w:bookmarkStart w:id="940" w:name="_Toc296503083"/>
      <w:r>
        <w:rPr>
          <w:rFonts w:hint="eastAsia"/>
          <w:color w:val="auto"/>
          <w:kern w:val="2"/>
          <w:sz w:val="21"/>
          <w:szCs w:val="21"/>
          <w:highlight w:val="none"/>
        </w:rPr>
        <w:t>. 试验与检验</w:t>
      </w:r>
      <w:bookmarkEnd w:id="935"/>
      <w:bookmarkEnd w:id="936"/>
      <w:bookmarkEnd w:id="937"/>
    </w:p>
    <w:bookmarkEnd w:id="938"/>
    <w:p w14:paraId="79240138">
      <w:pPr>
        <w:pStyle w:val="7"/>
        <w:spacing w:before="0" w:beforeAutospacing="0" w:after="0" w:afterAutospacing="0" w:line="360" w:lineRule="auto"/>
        <w:ind w:firstLine="422" w:firstLineChars="200"/>
        <w:rPr>
          <w:color w:val="auto"/>
          <w:sz w:val="21"/>
          <w:szCs w:val="21"/>
          <w:highlight w:val="none"/>
        </w:rPr>
      </w:pPr>
      <w:bookmarkStart w:id="941" w:name="_Toc532377249"/>
      <w:bookmarkStart w:id="942" w:name="_Toc351203563"/>
      <w:r>
        <w:rPr>
          <w:rFonts w:hint="eastAsia"/>
          <w:color w:val="auto"/>
          <w:sz w:val="21"/>
          <w:szCs w:val="21"/>
          <w:highlight w:val="none"/>
        </w:rPr>
        <w:t>9</w:t>
      </w:r>
      <w:bookmarkStart w:id="943" w:name="_Toc337558783"/>
      <w:r>
        <w:rPr>
          <w:rFonts w:hint="eastAsia"/>
          <w:color w:val="auto"/>
          <w:sz w:val="21"/>
          <w:szCs w:val="21"/>
          <w:highlight w:val="none"/>
        </w:rPr>
        <w:t>.1试验设备与试验人员</w:t>
      </w:r>
      <w:bookmarkEnd w:id="941"/>
      <w:bookmarkEnd w:id="942"/>
    </w:p>
    <w:bookmarkEnd w:id="943"/>
    <w:p w14:paraId="57368FC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AEA2D0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9.1.2 承包人应按专用合同条款的约定提供试验设备、取样装置、试验场所和试验条件，并向监理人提交相应进场计划表。</w:t>
      </w:r>
    </w:p>
    <w:p w14:paraId="3016969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承包人配置的试验设备要符合相应试验规程的要求并经过具有资质的检测单位检测，且在正式使用该试验设备前，需要经过监理人与承包人共同校定。</w:t>
      </w:r>
    </w:p>
    <w:p w14:paraId="4B7711A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2048B27C">
      <w:pPr>
        <w:pStyle w:val="7"/>
        <w:spacing w:before="0" w:beforeAutospacing="0" w:after="0" w:afterAutospacing="0" w:line="360" w:lineRule="auto"/>
        <w:ind w:firstLine="422" w:firstLineChars="200"/>
        <w:rPr>
          <w:color w:val="auto"/>
          <w:sz w:val="21"/>
          <w:szCs w:val="21"/>
          <w:highlight w:val="none"/>
        </w:rPr>
      </w:pPr>
      <w:bookmarkStart w:id="944" w:name="_Toc351203564"/>
      <w:bookmarkStart w:id="945" w:name="_Toc532377250"/>
      <w:r>
        <w:rPr>
          <w:rFonts w:hint="eastAsia"/>
          <w:color w:val="auto"/>
          <w:sz w:val="21"/>
          <w:szCs w:val="21"/>
          <w:highlight w:val="none"/>
        </w:rPr>
        <w:t>9</w:t>
      </w:r>
      <w:bookmarkStart w:id="946" w:name="_Toc337558784"/>
      <w:r>
        <w:rPr>
          <w:rFonts w:hint="eastAsia"/>
          <w:color w:val="auto"/>
          <w:sz w:val="21"/>
          <w:szCs w:val="21"/>
          <w:highlight w:val="none"/>
        </w:rPr>
        <w:t>.2取样</w:t>
      </w:r>
      <w:bookmarkEnd w:id="944"/>
      <w:bookmarkEnd w:id="945"/>
    </w:p>
    <w:bookmarkEnd w:id="946"/>
    <w:p w14:paraId="0CAA105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试验属于自检性质的，承包人可以单独取样。试验属于监理人抽检性质的，可由监理人取样，也可由承包人的试验人员在监理人的监督下取样。</w:t>
      </w:r>
    </w:p>
    <w:p w14:paraId="3B9F00D1">
      <w:pPr>
        <w:pStyle w:val="7"/>
        <w:spacing w:before="0" w:beforeAutospacing="0" w:after="0" w:afterAutospacing="0" w:line="360" w:lineRule="auto"/>
        <w:ind w:firstLine="422" w:firstLineChars="200"/>
        <w:rPr>
          <w:color w:val="auto"/>
          <w:sz w:val="21"/>
          <w:szCs w:val="21"/>
          <w:highlight w:val="none"/>
        </w:rPr>
      </w:pPr>
      <w:bookmarkStart w:id="947" w:name="_Toc351203565"/>
      <w:bookmarkStart w:id="948" w:name="_Toc532377251"/>
      <w:r>
        <w:rPr>
          <w:rFonts w:hint="eastAsia"/>
          <w:color w:val="auto"/>
          <w:sz w:val="21"/>
          <w:szCs w:val="21"/>
          <w:highlight w:val="none"/>
        </w:rPr>
        <w:t>9</w:t>
      </w:r>
      <w:bookmarkStart w:id="949" w:name="_Toc337558785"/>
      <w:r>
        <w:rPr>
          <w:rFonts w:hint="eastAsia"/>
          <w:color w:val="auto"/>
          <w:sz w:val="21"/>
          <w:szCs w:val="21"/>
          <w:highlight w:val="none"/>
        </w:rPr>
        <w:t>.3材料、工程设备和工程的试验和检验</w:t>
      </w:r>
      <w:bookmarkEnd w:id="947"/>
      <w:bookmarkEnd w:id="948"/>
    </w:p>
    <w:bookmarkEnd w:id="949"/>
    <w:p w14:paraId="092525F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270DC6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87F7EE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3D0642B">
      <w:pPr>
        <w:pStyle w:val="7"/>
        <w:spacing w:before="0" w:beforeAutospacing="0" w:after="0" w:afterAutospacing="0" w:line="360" w:lineRule="auto"/>
        <w:ind w:firstLine="422" w:firstLineChars="200"/>
        <w:rPr>
          <w:color w:val="auto"/>
          <w:sz w:val="21"/>
          <w:szCs w:val="21"/>
          <w:highlight w:val="none"/>
        </w:rPr>
      </w:pPr>
      <w:bookmarkStart w:id="950" w:name="_Toc532377252"/>
      <w:bookmarkStart w:id="951" w:name="_Toc351203566"/>
      <w:r>
        <w:rPr>
          <w:rFonts w:hint="eastAsia"/>
          <w:color w:val="auto"/>
          <w:sz w:val="21"/>
          <w:szCs w:val="21"/>
          <w:highlight w:val="none"/>
        </w:rPr>
        <w:t>9</w:t>
      </w:r>
      <w:bookmarkStart w:id="952" w:name="_Toc337558786"/>
      <w:r>
        <w:rPr>
          <w:rFonts w:hint="eastAsia"/>
          <w:color w:val="auto"/>
          <w:sz w:val="21"/>
          <w:szCs w:val="21"/>
          <w:highlight w:val="none"/>
        </w:rPr>
        <w:t>.4现场工艺试验</w:t>
      </w:r>
      <w:bookmarkEnd w:id="950"/>
      <w:bookmarkEnd w:id="951"/>
    </w:p>
    <w:bookmarkEnd w:id="952"/>
    <w:p w14:paraId="20C90C8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709D3CFA">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53" w:name="_Toc532375596"/>
      <w:bookmarkStart w:id="954" w:name="_Toc351203567"/>
      <w:bookmarkStart w:id="955" w:name="_Toc532377253"/>
      <w:r>
        <w:rPr>
          <w:rFonts w:hint="eastAsia"/>
          <w:color w:val="auto"/>
          <w:kern w:val="2"/>
          <w:sz w:val="21"/>
          <w:szCs w:val="21"/>
          <w:highlight w:val="none"/>
        </w:rPr>
        <w:t>1</w:t>
      </w:r>
      <w:bookmarkStart w:id="956" w:name="_Toc337558787"/>
      <w:r>
        <w:rPr>
          <w:rFonts w:hint="eastAsia"/>
          <w:color w:val="auto"/>
          <w:kern w:val="2"/>
          <w:sz w:val="21"/>
          <w:szCs w:val="21"/>
          <w:highlight w:val="none"/>
        </w:rPr>
        <w:t>0. 变更</w:t>
      </w:r>
      <w:bookmarkEnd w:id="939"/>
      <w:bookmarkEnd w:id="940"/>
      <w:bookmarkEnd w:id="953"/>
      <w:bookmarkEnd w:id="954"/>
      <w:bookmarkEnd w:id="955"/>
    </w:p>
    <w:bookmarkEnd w:id="956"/>
    <w:p w14:paraId="2DB033F6">
      <w:pPr>
        <w:pStyle w:val="7"/>
        <w:spacing w:before="0" w:beforeAutospacing="0" w:after="0" w:afterAutospacing="0" w:line="360" w:lineRule="auto"/>
        <w:ind w:firstLine="422" w:firstLineChars="200"/>
        <w:rPr>
          <w:color w:val="auto"/>
          <w:sz w:val="21"/>
          <w:szCs w:val="21"/>
          <w:highlight w:val="none"/>
        </w:rPr>
      </w:pPr>
      <w:bookmarkStart w:id="957" w:name="_Toc351203568"/>
      <w:bookmarkStart w:id="958" w:name="_Toc532377254"/>
      <w:r>
        <w:rPr>
          <w:rFonts w:hint="eastAsia"/>
          <w:color w:val="auto"/>
          <w:sz w:val="21"/>
          <w:szCs w:val="21"/>
          <w:highlight w:val="none"/>
        </w:rPr>
        <w:t>1</w:t>
      </w:r>
      <w:bookmarkStart w:id="959" w:name="_Toc337558788"/>
      <w:bookmarkStart w:id="960" w:name="_Toc296346585"/>
      <w:bookmarkStart w:id="961" w:name="_Toc296503084"/>
      <w:r>
        <w:rPr>
          <w:rFonts w:hint="eastAsia"/>
          <w:color w:val="auto"/>
          <w:sz w:val="21"/>
          <w:szCs w:val="21"/>
          <w:highlight w:val="none"/>
        </w:rPr>
        <w:t>0.1变更的范围</w:t>
      </w:r>
      <w:bookmarkEnd w:id="957"/>
      <w:bookmarkEnd w:id="958"/>
    </w:p>
    <w:bookmarkEnd w:id="959"/>
    <w:bookmarkEnd w:id="960"/>
    <w:bookmarkEnd w:id="961"/>
    <w:p w14:paraId="1828370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除专用合同条款另有约定外，合同履行过程中发生以下情形的，应按照本条约定进行变更：</w:t>
      </w:r>
    </w:p>
    <w:p w14:paraId="080B95C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（1）增加或减少合同中任何工作，或追加额外的工作；</w:t>
      </w:r>
    </w:p>
    <w:p w14:paraId="5C1C84A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（2）取消合同中任何工作，但转由他人实施的工作除外；</w:t>
      </w:r>
    </w:p>
    <w:p w14:paraId="643D772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（3）改变合同中任何工作的质量标准或其他特性；</w:t>
      </w:r>
    </w:p>
    <w:p w14:paraId="635C27B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（4）改变工程的基线、标高、位置和尺寸；</w:t>
      </w:r>
    </w:p>
    <w:p w14:paraId="7C1012B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（5）改变工程的时间安排或实施顺序。</w:t>
      </w:r>
    </w:p>
    <w:p w14:paraId="3F0D6F63">
      <w:pPr>
        <w:pStyle w:val="7"/>
        <w:spacing w:before="0" w:beforeAutospacing="0" w:after="0" w:afterAutospacing="0" w:line="360" w:lineRule="auto"/>
        <w:ind w:firstLine="422" w:firstLineChars="200"/>
        <w:rPr>
          <w:color w:val="auto"/>
          <w:sz w:val="21"/>
          <w:szCs w:val="21"/>
          <w:highlight w:val="none"/>
        </w:rPr>
      </w:pPr>
      <w:bookmarkStart w:id="962" w:name="_Toc532377255"/>
      <w:r>
        <w:rPr>
          <w:rFonts w:hint="eastAsia"/>
          <w:color w:val="auto"/>
          <w:sz w:val="21"/>
          <w:szCs w:val="21"/>
          <w:highlight w:val="none"/>
        </w:rPr>
        <w:t>10.2变更权</w:t>
      </w:r>
      <w:bookmarkEnd w:id="962"/>
    </w:p>
    <w:p w14:paraId="204C567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BAC6C4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涉及设计变更的，应由设计人提供变更后的图纸和说明。如变更超过原设计标准或批准的建设规模时，发包人应及时办理规划、设计变更等审批手续。</w:t>
      </w:r>
    </w:p>
    <w:p w14:paraId="10E6F4DB">
      <w:pPr>
        <w:pStyle w:val="7"/>
        <w:spacing w:before="0" w:beforeAutospacing="0" w:after="0" w:afterAutospacing="0" w:line="360" w:lineRule="auto"/>
        <w:ind w:firstLine="422" w:firstLineChars="200"/>
        <w:rPr>
          <w:color w:val="auto"/>
          <w:sz w:val="21"/>
          <w:szCs w:val="21"/>
          <w:highlight w:val="none"/>
        </w:rPr>
      </w:pPr>
      <w:bookmarkStart w:id="963" w:name="_Toc532377256"/>
      <w:r>
        <w:rPr>
          <w:rFonts w:hint="eastAsia"/>
          <w:color w:val="auto"/>
          <w:sz w:val="21"/>
          <w:szCs w:val="21"/>
          <w:highlight w:val="none"/>
        </w:rPr>
        <w:t>10.3变更程序</w:t>
      </w:r>
      <w:bookmarkEnd w:id="963"/>
    </w:p>
    <w:p w14:paraId="5ADCDE7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10.3.1 发包人提出变更</w:t>
      </w:r>
    </w:p>
    <w:p w14:paraId="15324C5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发包人提出变更的，应通过监理人向承包人发出变更指示，变更指示应说明计划变更的工程范围和变更的内容。</w:t>
      </w:r>
    </w:p>
    <w:p w14:paraId="6F26064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10.3.2 监理人提出变更建议</w:t>
      </w:r>
    </w:p>
    <w:p w14:paraId="23D8B34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B983CC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10.3.3 变更执行</w:t>
      </w:r>
    </w:p>
    <w:p w14:paraId="5AF8BAE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4400323">
      <w:pPr>
        <w:pStyle w:val="7"/>
        <w:spacing w:before="0" w:beforeAutospacing="0" w:after="0" w:afterAutospacing="0" w:line="360" w:lineRule="auto"/>
        <w:ind w:firstLine="422" w:firstLineChars="200"/>
        <w:rPr>
          <w:color w:val="auto"/>
          <w:sz w:val="21"/>
          <w:szCs w:val="21"/>
          <w:highlight w:val="none"/>
        </w:rPr>
      </w:pPr>
      <w:bookmarkStart w:id="964" w:name="_Toc532377257"/>
      <w:bookmarkStart w:id="965" w:name="_Toc351203571"/>
      <w:r>
        <w:rPr>
          <w:rFonts w:hint="eastAsia"/>
          <w:color w:val="auto"/>
          <w:sz w:val="21"/>
          <w:szCs w:val="21"/>
          <w:highlight w:val="none"/>
        </w:rPr>
        <w:t>1</w:t>
      </w:r>
      <w:bookmarkStart w:id="966" w:name="_Toc296503087"/>
      <w:bookmarkStart w:id="967" w:name="_Toc337558791"/>
      <w:bookmarkStart w:id="968" w:name="_Toc296346588"/>
      <w:r>
        <w:rPr>
          <w:rFonts w:hint="eastAsia"/>
          <w:color w:val="auto"/>
          <w:sz w:val="21"/>
          <w:szCs w:val="21"/>
          <w:highlight w:val="none"/>
        </w:rPr>
        <w:t>0.4变更估价</w:t>
      </w:r>
      <w:bookmarkEnd w:id="964"/>
      <w:bookmarkEnd w:id="965"/>
    </w:p>
    <w:bookmarkEnd w:id="966"/>
    <w:bookmarkEnd w:id="967"/>
    <w:bookmarkEnd w:id="968"/>
    <w:p w14:paraId="55E4008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10.4.1 变更估价原则</w:t>
      </w:r>
    </w:p>
    <w:p w14:paraId="6CC7D14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除专用合同条款另有约定外，变更估价按照本款约定处理：</w:t>
      </w:r>
    </w:p>
    <w:p w14:paraId="43F88B6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（1）已标价工程量清单或预算书有相同项目的，按照相同项目单价认定；</w:t>
      </w:r>
    </w:p>
    <w:p w14:paraId="6C6D89D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（2）已标价工程量清单或预算书中无相同项目，但有类似项目的，参照类似项目的单价认定；</w:t>
      </w:r>
    </w:p>
    <w:p w14:paraId="64A1E7D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449CBD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10.4.2 变更估价程序</w:t>
      </w:r>
    </w:p>
    <w:p w14:paraId="4593B7B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BBE5D4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因变更引起的价格调整应计入最近一期的进度款中支付。</w:t>
      </w:r>
    </w:p>
    <w:p w14:paraId="02366B43">
      <w:pPr>
        <w:pStyle w:val="7"/>
        <w:spacing w:before="0" w:beforeAutospacing="0" w:after="0" w:afterAutospacing="0" w:line="360" w:lineRule="auto"/>
        <w:ind w:firstLine="422" w:firstLineChars="200"/>
        <w:rPr>
          <w:color w:val="auto"/>
          <w:sz w:val="21"/>
          <w:szCs w:val="21"/>
          <w:highlight w:val="none"/>
        </w:rPr>
      </w:pPr>
      <w:bookmarkStart w:id="969" w:name="_Toc532377258"/>
      <w:bookmarkStart w:id="970" w:name="_Toc351203572"/>
      <w:r>
        <w:rPr>
          <w:rFonts w:hint="eastAsia"/>
          <w:color w:val="auto"/>
          <w:sz w:val="21"/>
          <w:szCs w:val="21"/>
          <w:highlight w:val="none"/>
        </w:rPr>
        <w:t>1</w:t>
      </w:r>
      <w:bookmarkStart w:id="971" w:name="_Toc296503094"/>
      <w:bookmarkStart w:id="972" w:name="_Toc296346595"/>
      <w:bookmarkStart w:id="973" w:name="_Toc337558792"/>
      <w:r>
        <w:rPr>
          <w:rFonts w:hint="eastAsia"/>
          <w:color w:val="auto"/>
          <w:sz w:val="21"/>
          <w:szCs w:val="21"/>
          <w:highlight w:val="none"/>
        </w:rPr>
        <w:t>0.5承包人的合理化建议</w:t>
      </w:r>
      <w:bookmarkEnd w:id="969"/>
      <w:bookmarkEnd w:id="970"/>
    </w:p>
    <w:bookmarkEnd w:id="971"/>
    <w:bookmarkEnd w:id="972"/>
    <w:bookmarkEnd w:id="973"/>
    <w:p w14:paraId="044F17F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承包人提出合理化建议的，应向监理人提交合理化建议说明，说明建议的内容和理由，以及实施该建议对合同价格和工期的影响。</w:t>
      </w:r>
    </w:p>
    <w:p w14:paraId="1E7B7DC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C66B62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合理化建议降低了合同价格或者提高了工程经济效益的，发包人可对承包人给予奖励，奖励的方法和金额在专用合同条款中约定。</w:t>
      </w:r>
    </w:p>
    <w:p w14:paraId="7EC36FE4">
      <w:pPr>
        <w:pStyle w:val="7"/>
        <w:spacing w:before="0" w:beforeAutospacing="0" w:after="0" w:afterAutospacing="0" w:line="360" w:lineRule="auto"/>
        <w:ind w:firstLine="422" w:firstLineChars="200"/>
        <w:rPr>
          <w:color w:val="auto"/>
          <w:sz w:val="21"/>
          <w:szCs w:val="21"/>
          <w:highlight w:val="none"/>
        </w:rPr>
      </w:pPr>
      <w:bookmarkStart w:id="974" w:name="_Toc532377259"/>
      <w:bookmarkStart w:id="975" w:name="_Toc351203573"/>
      <w:r>
        <w:rPr>
          <w:rFonts w:hint="eastAsia"/>
          <w:color w:val="auto"/>
          <w:sz w:val="21"/>
          <w:szCs w:val="21"/>
          <w:highlight w:val="none"/>
        </w:rPr>
        <w:t>1</w:t>
      </w:r>
      <w:bookmarkStart w:id="976" w:name="_Toc337558793"/>
      <w:r>
        <w:rPr>
          <w:rFonts w:hint="eastAsia"/>
          <w:color w:val="auto"/>
          <w:sz w:val="21"/>
          <w:szCs w:val="21"/>
          <w:highlight w:val="none"/>
        </w:rPr>
        <w:t>0.6变更引起的工期调整</w:t>
      </w:r>
      <w:bookmarkEnd w:id="974"/>
      <w:bookmarkEnd w:id="975"/>
      <w:bookmarkEnd w:id="976"/>
    </w:p>
    <w:p w14:paraId="65DC669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因变更引起工期变化的，合同当事人均可要求调整合同工期，由合同当事人按照第4.4款〔商定或确定〕并参考工程所在地的工期定额标准确定增减工期天数。</w:t>
      </w:r>
    </w:p>
    <w:p w14:paraId="538BB4DD">
      <w:pPr>
        <w:pStyle w:val="7"/>
        <w:spacing w:before="0" w:beforeAutospacing="0" w:after="0" w:afterAutospacing="0" w:line="360" w:lineRule="auto"/>
        <w:ind w:firstLine="422" w:firstLineChars="200"/>
        <w:rPr>
          <w:color w:val="auto"/>
          <w:sz w:val="21"/>
          <w:szCs w:val="21"/>
          <w:highlight w:val="none"/>
        </w:rPr>
      </w:pPr>
      <w:bookmarkStart w:id="977" w:name="_Toc532377260"/>
      <w:bookmarkStart w:id="978" w:name="_Toc351203574"/>
      <w:r>
        <w:rPr>
          <w:rFonts w:hint="eastAsia"/>
          <w:color w:val="auto"/>
          <w:sz w:val="21"/>
          <w:szCs w:val="21"/>
          <w:highlight w:val="none"/>
        </w:rPr>
        <w:t>10.7暂估价</w:t>
      </w:r>
      <w:bookmarkEnd w:id="977"/>
      <w:bookmarkEnd w:id="978"/>
    </w:p>
    <w:p w14:paraId="671DA4E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暂估价专业分包工程、服务、材料和工程设备的明细由合同当事人在专用合同条款中约定。</w:t>
      </w:r>
    </w:p>
    <w:p w14:paraId="537197A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10.7.1 依法必须</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的暂估价项目</w:t>
      </w:r>
    </w:p>
    <w:p w14:paraId="3EC9A8D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对于依法必须</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的暂估价项目，采取以下第1种方式确定。合同当事人也可以在专用合同条款中选择其他</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方式。</w:t>
      </w:r>
    </w:p>
    <w:p w14:paraId="263802E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第1种方式：对于依法必须</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的暂估价项目，由承包人</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，对该暂估价项目的确认和批准按照以下约定执行：</w:t>
      </w:r>
    </w:p>
    <w:p w14:paraId="7729A68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（1）承包人应当根据施工进度计划，在</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工作启动前14天将</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方案通过监理人报送发包人审查，发包人应当在收到承包人报送的</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方案后7天内批准或提出修改意见。承包人应当按照经过发包人批准的</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方案开展</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工作；</w:t>
      </w:r>
    </w:p>
    <w:p w14:paraId="448EFD7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（2）承包人应当根据施工进度计划，提前14天将</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文件通过监理人报送发包人审批，发包人应当在收到承包人报送的相关文件后7天内完成审批或提出修改意见；发包人有权确定最高限价并按照法律规定参加评标；</w:t>
      </w:r>
    </w:p>
    <w:p w14:paraId="71D8C94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004BE5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第2种方式：对于依法必须</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的暂估价项目，由发包人和承包人共同</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确定暂估价供应商或分包人的，承包人应按照施工进度计划，在</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工作启动前14天通知发包人，并提交暂估价</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方案和工作分工。发包人应在收到后7天内确认。确定中标人后，由发包人、承包人与中标人共同签订暂估价合同。</w:t>
      </w:r>
    </w:p>
    <w:p w14:paraId="7D703FD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10.7.2不属于依法必须</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的暂估价项目</w:t>
      </w:r>
    </w:p>
    <w:p w14:paraId="65EB0AE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除专用合同条款另有约定外，对于不属于依法必须</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 xml:space="preserve">的暂估价项目，采取以下第1种方式确定： </w:t>
      </w:r>
    </w:p>
    <w:p w14:paraId="06226B9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第1种方式：对于不属于依法必须</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的暂估价项目，按本项约定确认和批准：</w:t>
      </w:r>
    </w:p>
    <w:p w14:paraId="1650E28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D2FC95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（2）发包人认为承包人确定的供应商、分包人无法满足工程质量或合同要求的，发包人可以要求承包人重新确定暂估价项目的供应商、分包人;</w:t>
      </w:r>
    </w:p>
    <w:p w14:paraId="06FBDBC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（3）承包人应当在签订暂估价合同后7天内，将暂估价合同副本报送发包人留存。</w:t>
      </w:r>
    </w:p>
    <w:p w14:paraId="3133A6B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第2种方式：承包人按照第10.7.1项〔依法必须</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的暂估价项目〕约定的第1种方式确定暂估价项目。</w:t>
      </w:r>
    </w:p>
    <w:p w14:paraId="582AC20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第3种方式：承包人直接实施的暂估价项目</w:t>
      </w:r>
    </w:p>
    <w:p w14:paraId="66433C6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14:paraId="1324163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A300C9B">
      <w:pPr>
        <w:pStyle w:val="7"/>
        <w:spacing w:before="0" w:beforeAutospacing="0" w:after="0" w:afterAutospacing="0" w:line="360" w:lineRule="auto"/>
        <w:ind w:firstLine="422" w:firstLineChars="200"/>
        <w:rPr>
          <w:color w:val="auto"/>
          <w:sz w:val="21"/>
          <w:szCs w:val="21"/>
          <w:highlight w:val="none"/>
        </w:rPr>
      </w:pPr>
      <w:bookmarkStart w:id="979" w:name="_Toc351203575"/>
      <w:bookmarkStart w:id="980" w:name="_Toc532377261"/>
      <w:r>
        <w:rPr>
          <w:rFonts w:hint="eastAsia"/>
          <w:color w:val="auto"/>
          <w:sz w:val="21"/>
          <w:szCs w:val="21"/>
          <w:highlight w:val="none"/>
        </w:rPr>
        <w:t>1</w:t>
      </w:r>
      <w:bookmarkStart w:id="981" w:name="_Toc337558794"/>
      <w:bookmarkStart w:id="982" w:name="_Toc296346591"/>
      <w:bookmarkStart w:id="983" w:name="_Toc296503090"/>
      <w:bookmarkStart w:id="984" w:name="_Toc322522561"/>
      <w:r>
        <w:rPr>
          <w:rFonts w:hint="eastAsia"/>
          <w:color w:val="auto"/>
          <w:sz w:val="21"/>
          <w:szCs w:val="21"/>
          <w:highlight w:val="none"/>
        </w:rPr>
        <w:t>0.8暂列金额</w:t>
      </w:r>
      <w:bookmarkEnd w:id="979"/>
      <w:bookmarkEnd w:id="980"/>
    </w:p>
    <w:bookmarkEnd w:id="981"/>
    <w:p w14:paraId="3E7EB86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暂列金额应按照发包人的要求使用，发包人的要求应通过监理人发出。合同当事人可以在专用合同条款中协商确定有关事项。</w:t>
      </w:r>
    </w:p>
    <w:bookmarkEnd w:id="982"/>
    <w:bookmarkEnd w:id="983"/>
    <w:bookmarkEnd w:id="984"/>
    <w:p w14:paraId="49B73C21">
      <w:pPr>
        <w:pStyle w:val="7"/>
        <w:spacing w:before="0" w:beforeAutospacing="0" w:after="0" w:afterAutospacing="0" w:line="360" w:lineRule="auto"/>
        <w:ind w:firstLine="422" w:firstLineChars="200"/>
        <w:rPr>
          <w:color w:val="auto"/>
          <w:sz w:val="21"/>
          <w:szCs w:val="21"/>
          <w:highlight w:val="none"/>
        </w:rPr>
      </w:pPr>
      <w:bookmarkStart w:id="985" w:name="_Toc532377262"/>
      <w:bookmarkStart w:id="986" w:name="_Toc351203576"/>
      <w:r>
        <w:rPr>
          <w:rFonts w:hint="eastAsia"/>
          <w:color w:val="auto"/>
          <w:sz w:val="21"/>
          <w:szCs w:val="21"/>
          <w:highlight w:val="none"/>
        </w:rPr>
        <w:t>1</w:t>
      </w:r>
      <w:bookmarkStart w:id="987" w:name="_Toc337558796"/>
      <w:bookmarkStart w:id="988" w:name="_Toc296346592"/>
      <w:bookmarkStart w:id="989" w:name="_Toc296503091"/>
      <w:r>
        <w:rPr>
          <w:rFonts w:hint="eastAsia"/>
          <w:color w:val="auto"/>
          <w:sz w:val="21"/>
          <w:szCs w:val="21"/>
          <w:highlight w:val="none"/>
        </w:rPr>
        <w:t>0.9计日工</w:t>
      </w:r>
      <w:bookmarkEnd w:id="985"/>
      <w:bookmarkEnd w:id="986"/>
      <w:bookmarkEnd w:id="987"/>
      <w:bookmarkEnd w:id="988"/>
      <w:bookmarkEnd w:id="989"/>
    </w:p>
    <w:p w14:paraId="10D4DE1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437DF7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采用计日工计价的任何一项工作，承包人应在该项工作实施过程中，每天提交以下报表和有关凭证报送监理人审查：</w:t>
      </w:r>
    </w:p>
    <w:p w14:paraId="7C796EB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（1）工作名称、内容和数量；</w:t>
      </w:r>
    </w:p>
    <w:p w14:paraId="05EB4DD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（2）投入该工作的所有人员的姓名、专业、工种、级别和耗用工时；</w:t>
      </w:r>
    </w:p>
    <w:p w14:paraId="7D726ED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（3）投入该工作的材料类别和数量；</w:t>
      </w:r>
    </w:p>
    <w:p w14:paraId="0FF907F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（4）投入该工作的施工设备型号、台数和耗用台时；</w:t>
      </w:r>
    </w:p>
    <w:p w14:paraId="692F65C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（5）其他有关资料和凭证。</w:t>
      </w:r>
    </w:p>
    <w:p w14:paraId="25DBB3F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计日工由承包人汇总后，列入最近一期进度付款申请单，由监理人审查并经发包人批准后列入进度付款。</w:t>
      </w:r>
    </w:p>
    <w:p w14:paraId="08529A39">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90" w:name="_Toc532377263"/>
      <w:bookmarkStart w:id="991" w:name="_Toc532375597"/>
      <w:bookmarkStart w:id="992" w:name="_Toc351203577"/>
      <w:r>
        <w:rPr>
          <w:rFonts w:hint="eastAsia"/>
          <w:color w:val="auto"/>
          <w:kern w:val="2"/>
          <w:sz w:val="21"/>
          <w:szCs w:val="21"/>
          <w:highlight w:val="none"/>
        </w:rPr>
        <w:t>11. 价格调整</w:t>
      </w:r>
      <w:bookmarkEnd w:id="990"/>
      <w:bookmarkEnd w:id="991"/>
      <w:bookmarkEnd w:id="992"/>
    </w:p>
    <w:p w14:paraId="3C3F4BA5">
      <w:pPr>
        <w:pStyle w:val="7"/>
        <w:spacing w:before="0" w:beforeAutospacing="0" w:after="0" w:afterAutospacing="0" w:line="360" w:lineRule="auto"/>
        <w:ind w:firstLine="422" w:firstLineChars="200"/>
        <w:rPr>
          <w:color w:val="auto"/>
          <w:sz w:val="21"/>
          <w:szCs w:val="21"/>
          <w:highlight w:val="none"/>
        </w:rPr>
      </w:pPr>
      <w:bookmarkStart w:id="993" w:name="_Toc351203578"/>
      <w:bookmarkStart w:id="994" w:name="_Toc532377264"/>
      <w:bookmarkStart w:id="995" w:name="_Toc337558797"/>
      <w:bookmarkStart w:id="996" w:name="_Toc296346593"/>
      <w:bookmarkStart w:id="997" w:name="_Toc296503092"/>
      <w:r>
        <w:rPr>
          <w:rFonts w:hint="eastAsia"/>
          <w:color w:val="auto"/>
          <w:sz w:val="21"/>
          <w:szCs w:val="21"/>
          <w:highlight w:val="none"/>
        </w:rPr>
        <w:t>11.1市场价格波动引起的调整</w:t>
      </w:r>
      <w:bookmarkEnd w:id="993"/>
      <w:bookmarkEnd w:id="994"/>
    </w:p>
    <w:bookmarkEnd w:id="995"/>
    <w:bookmarkEnd w:id="996"/>
    <w:bookmarkEnd w:id="997"/>
    <w:p w14:paraId="35D5710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2C2EFC8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第1种方式：采用价格指数进行价格调整。</w:t>
      </w:r>
    </w:p>
    <w:p w14:paraId="6C970A0E">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（1）价格调整公式</w:t>
      </w:r>
    </w:p>
    <w:p w14:paraId="6F9D47C9">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因人工、材料和设备等价格波动影响合同价格时，根据专用合同条款中约定的数据，按以下公式计算差额并调整合同价格：</w:t>
      </w:r>
    </w:p>
    <w:p w14:paraId="6C990240">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5" o:spt="75" type="#_x0000_t75" style="height:42.75pt;width:360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5" r:id="rId10">
            <o:LockedField>false</o:LockedField>
          </o:OLEObject>
        </w:object>
      </w:r>
    </w:p>
    <w:p w14:paraId="438B7E33">
      <w:pPr>
        <w:tabs>
          <w:tab w:val="left" w:pos="0"/>
          <w:tab w:val="left" w:pos="360"/>
          <w:tab w:val="left" w:pos="540"/>
        </w:tabs>
        <w:spacing w:line="360" w:lineRule="auto"/>
        <w:ind w:firstLine="200"/>
        <w:jc w:val="left"/>
        <w:rPr>
          <w:rFonts w:ascii="宋体" w:hAnsi="宋体"/>
          <w:color w:val="auto"/>
          <w:kern w:val="0"/>
          <w:szCs w:val="21"/>
          <w:highlight w:val="none"/>
        </w:rPr>
      </w:pPr>
      <w:r>
        <w:rPr>
          <w:rFonts w:hint="eastAsia" w:ascii="宋体" w:hAnsi="宋体"/>
          <w:color w:val="auto"/>
          <w:kern w:val="0"/>
          <w:szCs w:val="21"/>
          <w:highlight w:val="none"/>
        </w:rPr>
        <w:t>公式中：ΔP——需调整的价格差额；</w:t>
      </w:r>
    </w:p>
    <w:p w14:paraId="546B7569">
      <w:pPr>
        <w:tabs>
          <w:tab w:val="left" w:pos="0"/>
          <w:tab w:val="left" w:pos="360"/>
          <w:tab w:val="left" w:pos="540"/>
        </w:tabs>
        <w:spacing w:line="360" w:lineRule="auto"/>
        <w:ind w:firstLine="1260" w:firstLineChars="600"/>
        <w:jc w:val="left"/>
        <w:rPr>
          <w:rFonts w:ascii="宋体" w:hAnsi="宋体"/>
          <w:color w:val="auto"/>
          <w:kern w:val="0"/>
          <w:szCs w:val="21"/>
          <w:highlight w:val="none"/>
        </w:rPr>
      </w:pPr>
      <w:r>
        <w:rPr>
          <w:rFonts w:hint="eastAsia" w:ascii="宋体" w:hAnsi="宋体"/>
          <w:color w:val="auto"/>
          <w:kern w:val="0"/>
          <w:szCs w:val="21"/>
          <w:highlight w:val="none"/>
        </w:rPr>
        <w:object>
          <v:shape id="_x0000_i1026" o:spt="75" type="#_x0000_t75" style="height:18.7pt;width:18.7pt;" o:ole="t" filled="f" o:preferrelative="t" stroked="f" coordsize="21600,21600">
            <v:path/>
            <v:fill on="f" focussize="0,0"/>
            <v:stroke on="f"/>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ascii="宋体" w:hAnsi="宋体"/>
          <w:color w:val="auto"/>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675E3AF">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A——定值权重（即不调部分的权重）；</w:t>
      </w:r>
    </w:p>
    <w:p w14:paraId="12EE6EEC">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7" o:spt="75" type="#_x0000_t75" style="height:21.75pt;width:100.55pt;" o:ole="t" filled="f" o:preferrelative="t" stroked="f" coordsize="21600,21600">
            <v:path/>
            <v:fill on="f" focussize="0,0"/>
            <v:stroke on="f"/>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宋体" w:hAnsi="宋体"/>
          <w:color w:val="auto"/>
          <w:kern w:val="0"/>
          <w:szCs w:val="21"/>
          <w:highlight w:val="none"/>
        </w:rPr>
        <w:t>——各可调因子的变值权重（即可调部分的权重），为各可调因子在签约合同价中所占的比例；</w:t>
      </w:r>
    </w:p>
    <w:p w14:paraId="3F4467E3">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8" o:spt="75" type="#_x0000_t75" style="height:21.75pt;width:102.05pt;" o:ole="t" filled="f" o:preferrelative="t" stroked="f" coordsize="21600,21600">
            <v:path/>
            <v:fill on="f" focussize="0,0"/>
            <v:stroke on="f"/>
            <v:imagedata r:id="rId17" o:title=""/>
            <o:lock v:ext="edit" aspectratio="t"/>
            <w10:wrap type="none"/>
            <w10:anchorlock/>
          </v:shape>
          <o:OLEObject Type="Embed" ProgID="Equation.3" ShapeID="_x0000_i1028" DrawAspect="Content" ObjectID="_1468075728" r:id="rId16">
            <o:LockedField>false</o:LockedField>
          </o:OLEObject>
        </w:object>
      </w:r>
      <w:r>
        <w:rPr>
          <w:rFonts w:hint="eastAsia" w:ascii="宋体" w:hAnsi="宋体"/>
          <w:color w:val="auto"/>
          <w:kern w:val="0"/>
          <w:szCs w:val="21"/>
          <w:highlight w:val="none"/>
        </w:rPr>
        <w:t>——各可调因子的现行价格指数，指约定的付款证书相关周期最后一天的前42天的各可调因子的价格指数；</w:t>
      </w:r>
    </w:p>
    <w:p w14:paraId="2F47D469">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9" o:spt="75" type="#_x0000_t75" style="height:21.75pt;width:108.75pt;" o:ole="t" filled="f" o:preferrelative="t" stroked="f" coordsize="21600,21600">
            <v:path/>
            <v:fill on="f" focussize="0,0"/>
            <v:stroke on="f"/>
            <v:imagedata r:id="rId19" o:title=""/>
            <o:lock v:ext="edit" aspectratio="t"/>
            <w10:wrap type="none"/>
            <w10:anchorlock/>
          </v:shape>
          <o:OLEObject Type="Embed" ProgID="Equation.3" ShapeID="_x0000_i1029" DrawAspect="Content" ObjectID="_1468075729" r:id="rId18">
            <o:LockedField>false</o:LockedField>
          </o:OLEObject>
        </w:object>
      </w:r>
      <w:r>
        <w:rPr>
          <w:rFonts w:hint="eastAsia" w:ascii="宋体" w:hAnsi="宋体"/>
          <w:color w:val="auto"/>
          <w:kern w:val="0"/>
          <w:szCs w:val="21"/>
          <w:highlight w:val="none"/>
        </w:rPr>
        <w:t>——各可调因子的基本价格指数，指基准日期的各可调因子的价格指数。</w:t>
      </w:r>
    </w:p>
    <w:p w14:paraId="7F2FAE7A">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以上价格调整公式中的各可调因子、定值和变值权重，以及基本价格指数及其来源在投标函附录价格指数和权重表中约定，非</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订立的合同，由合同当事人在专用合同条款中约定。价格指数应首先采用工程造价管理机构发布的价格指数，无前述价格指数时，可采用工程造价管理机构发布的价格代替。</w:t>
      </w:r>
    </w:p>
    <w:p w14:paraId="6AE40BB6">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（2）暂时确定调整差额</w:t>
      </w:r>
    </w:p>
    <w:p w14:paraId="24B8E868">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在计算调整差额时无现行价格指数的，合同当事人同意暂用前次价格指数计算。实际价格指数有调整的，合同当事人进行相应调整。</w:t>
      </w:r>
    </w:p>
    <w:p w14:paraId="5F6B9C18">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（3）权重的调整</w:t>
      </w:r>
    </w:p>
    <w:p w14:paraId="32F295A5">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因变更导致合同约定的权重不合理时，按照第4.4款〔商定或确定〕执行。</w:t>
      </w:r>
    </w:p>
    <w:p w14:paraId="3BE6E1CE">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（4）因承包人原因工期延误后的价格调整</w:t>
      </w:r>
    </w:p>
    <w:p w14:paraId="24044AD2">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31A6BFA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第2种方式：采用造价信息进行价格调整。</w:t>
      </w:r>
    </w:p>
    <w:p w14:paraId="2EFFCA7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E1B99D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095C03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（2）材料、工程设备价格变化的价款调整按照发包人提供的基准价格，按以下风险范围规定执行:</w:t>
      </w:r>
    </w:p>
    <w:p w14:paraId="74B89FA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F7B690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3D7451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250A5B7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0856739">
      <w:pPr>
        <w:spacing w:line="360" w:lineRule="auto"/>
        <w:ind w:firstLine="420" w:firstLineChars="200"/>
        <w:jc w:val="left"/>
        <w:rPr>
          <w:rFonts w:ascii="宋体" w:hAnsi="宋体"/>
          <w:color w:val="auto"/>
          <w:kern w:val="0"/>
          <w:szCs w:val="21"/>
          <w:highlight w:val="none"/>
        </w:rPr>
      </w:pPr>
      <w:bookmarkStart w:id="998" w:name="OLE_LINK3"/>
      <w:r>
        <w:rPr>
          <w:rFonts w:hint="eastAsia" w:ascii="宋体" w:hAnsi="宋体"/>
          <w:color w:val="auto"/>
          <w:kern w:val="0"/>
          <w:szCs w:val="21"/>
          <w:highlight w:val="none"/>
        </w:rPr>
        <w:t>前述基准价格是指由发包人在</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文件或专用合同条款中给定的材料、工程设备的价格，该价格原则上应当按照省级或行业建设主管部门或其授权的工程造价管理机构发布的信息价编制。</w:t>
      </w:r>
    </w:p>
    <w:p w14:paraId="529044A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（3）施工机械台班单价或施工机械使用费发生变化超过省级或行业建设主管部门或其授权的工程造价管理机构规定的范围时，按规定调整合同价格。</w:t>
      </w:r>
    </w:p>
    <w:p w14:paraId="21AE293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第3种方式：专用合同条款约定的其他方式。</w:t>
      </w:r>
    </w:p>
    <w:p w14:paraId="55E0D617">
      <w:pPr>
        <w:pStyle w:val="7"/>
        <w:spacing w:before="0" w:beforeAutospacing="0" w:after="0" w:afterAutospacing="0" w:line="360" w:lineRule="auto"/>
        <w:ind w:firstLine="422" w:firstLineChars="200"/>
        <w:rPr>
          <w:color w:val="auto"/>
          <w:sz w:val="21"/>
          <w:szCs w:val="21"/>
          <w:highlight w:val="none"/>
        </w:rPr>
      </w:pPr>
      <w:bookmarkStart w:id="999" w:name="_Toc351203579"/>
      <w:bookmarkStart w:id="1000" w:name="_Toc532377265"/>
      <w:bookmarkStart w:id="1001" w:name="_Toc296503093"/>
      <w:bookmarkStart w:id="1002" w:name="_Toc296346594"/>
      <w:bookmarkStart w:id="1003" w:name="_Toc337558798"/>
      <w:r>
        <w:rPr>
          <w:rFonts w:hint="eastAsia"/>
          <w:color w:val="auto"/>
          <w:sz w:val="21"/>
          <w:szCs w:val="21"/>
          <w:highlight w:val="none"/>
        </w:rPr>
        <w:t>11.2法律变化引起的调整</w:t>
      </w:r>
      <w:bookmarkEnd w:id="999"/>
      <w:bookmarkEnd w:id="1000"/>
    </w:p>
    <w:bookmarkEnd w:id="1001"/>
    <w:bookmarkEnd w:id="1002"/>
    <w:bookmarkEnd w:id="1003"/>
    <w:p w14:paraId="3BF26A1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DB94F5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因法律变化引起的合同价格和工期调整，合同当事人无法达成一致的，由总监理工程师按第4.4款〔商定或确定〕的约定处理。</w:t>
      </w:r>
    </w:p>
    <w:p w14:paraId="1D06444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因承包人原因造成工期延误，在工期延误期间出现法律变化的，由此增加的费用和（或）延误的工期由承包人承担。</w:t>
      </w:r>
    </w:p>
    <w:p w14:paraId="419FA21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04" w:name="_Toc532377266"/>
      <w:bookmarkStart w:id="1005" w:name="_Toc532375598"/>
      <w:bookmarkStart w:id="1006" w:name="_Toc351203580"/>
      <w:bookmarkStart w:id="1007" w:name="_Toc337558799"/>
      <w:bookmarkStart w:id="1008" w:name="_Toc296503096"/>
      <w:bookmarkStart w:id="1009" w:name="_Toc296346597"/>
      <w:r>
        <w:rPr>
          <w:rFonts w:hint="eastAsia"/>
          <w:color w:val="auto"/>
          <w:kern w:val="2"/>
          <w:sz w:val="21"/>
          <w:szCs w:val="21"/>
          <w:highlight w:val="none"/>
        </w:rPr>
        <w:t>12. 合同价格、计量与支付</w:t>
      </w:r>
      <w:bookmarkEnd w:id="1004"/>
      <w:bookmarkEnd w:id="1005"/>
      <w:bookmarkEnd w:id="1006"/>
    </w:p>
    <w:bookmarkEnd w:id="1007"/>
    <w:p w14:paraId="0E729CA1">
      <w:pPr>
        <w:pStyle w:val="7"/>
        <w:spacing w:before="0" w:beforeAutospacing="0" w:after="0" w:afterAutospacing="0" w:line="360" w:lineRule="auto"/>
        <w:ind w:firstLine="422" w:firstLineChars="200"/>
        <w:rPr>
          <w:color w:val="auto"/>
          <w:sz w:val="21"/>
          <w:szCs w:val="21"/>
          <w:highlight w:val="none"/>
        </w:rPr>
      </w:pPr>
      <w:bookmarkStart w:id="1010" w:name="_Toc351203581"/>
      <w:bookmarkStart w:id="1011" w:name="_Toc532377267"/>
      <w:bookmarkStart w:id="1012" w:name="_Toc337558800"/>
      <w:r>
        <w:rPr>
          <w:rFonts w:hint="eastAsia"/>
          <w:color w:val="auto"/>
          <w:sz w:val="21"/>
          <w:szCs w:val="21"/>
          <w:highlight w:val="none"/>
        </w:rPr>
        <w:t>12.1 合同价</w:t>
      </w:r>
      <w:bookmarkEnd w:id="1008"/>
      <w:bookmarkEnd w:id="1009"/>
      <w:r>
        <w:rPr>
          <w:rFonts w:hint="eastAsia"/>
          <w:color w:val="auto"/>
          <w:sz w:val="21"/>
          <w:szCs w:val="21"/>
          <w:highlight w:val="none"/>
        </w:rPr>
        <w:t>格形式</w:t>
      </w:r>
      <w:bookmarkEnd w:id="1010"/>
      <w:bookmarkEnd w:id="1011"/>
    </w:p>
    <w:bookmarkEnd w:id="1012"/>
    <w:p w14:paraId="66A2833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发包人和承包人应在合同协议书中选择下列一种合同价格形式： </w:t>
      </w:r>
    </w:p>
    <w:p w14:paraId="438E909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1.单价合同</w:t>
      </w:r>
    </w:p>
    <w:p w14:paraId="02E4989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6349A10D">
      <w:pPr>
        <w:pStyle w:val="7"/>
        <w:spacing w:before="0" w:beforeAutospacing="0" w:after="0" w:afterAutospacing="0" w:line="360" w:lineRule="auto"/>
        <w:ind w:firstLine="420" w:firstLineChars="200"/>
        <w:rPr>
          <w:b w:val="0"/>
          <w:color w:val="auto"/>
          <w:sz w:val="21"/>
          <w:szCs w:val="21"/>
          <w:highlight w:val="none"/>
        </w:rPr>
      </w:pPr>
      <w:bookmarkStart w:id="1013" w:name="_Toc532377268"/>
      <w:r>
        <w:rPr>
          <w:rFonts w:hint="eastAsia"/>
          <w:b w:val="0"/>
          <w:color w:val="auto"/>
          <w:sz w:val="21"/>
          <w:szCs w:val="21"/>
          <w:highlight w:val="none"/>
        </w:rPr>
        <w:t>2.总价合同</w:t>
      </w:r>
      <w:bookmarkEnd w:id="1013"/>
    </w:p>
    <w:p w14:paraId="3E5D80D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2563115">
      <w:pPr>
        <w:pStyle w:val="7"/>
        <w:spacing w:before="0" w:beforeAutospacing="0" w:after="0" w:afterAutospacing="0" w:line="360" w:lineRule="auto"/>
        <w:ind w:firstLine="420" w:firstLineChars="200"/>
        <w:rPr>
          <w:b w:val="0"/>
          <w:color w:val="auto"/>
          <w:sz w:val="21"/>
          <w:szCs w:val="21"/>
          <w:highlight w:val="none"/>
        </w:rPr>
      </w:pPr>
      <w:bookmarkStart w:id="1014" w:name="_Toc532377269"/>
      <w:r>
        <w:rPr>
          <w:rFonts w:hint="eastAsia"/>
          <w:b w:val="0"/>
          <w:color w:val="auto"/>
          <w:sz w:val="21"/>
          <w:szCs w:val="21"/>
          <w:highlight w:val="none"/>
        </w:rPr>
        <w:t>3.其它价格形式</w:t>
      </w:r>
      <w:bookmarkEnd w:id="1014"/>
    </w:p>
    <w:p w14:paraId="153B922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合同当事人可在专用合同条款中约定其他合同价格形式。</w:t>
      </w:r>
    </w:p>
    <w:p w14:paraId="687E98B3">
      <w:pPr>
        <w:pStyle w:val="7"/>
        <w:spacing w:before="0" w:beforeAutospacing="0" w:after="0" w:afterAutospacing="0" w:line="360" w:lineRule="auto"/>
        <w:ind w:firstLine="422" w:firstLineChars="200"/>
        <w:rPr>
          <w:color w:val="auto"/>
          <w:sz w:val="21"/>
          <w:szCs w:val="21"/>
          <w:highlight w:val="none"/>
        </w:rPr>
      </w:pPr>
      <w:bookmarkStart w:id="1015" w:name="_Toc296503097"/>
      <w:bookmarkStart w:id="1016" w:name="_Toc296346598"/>
      <w:bookmarkStart w:id="1017" w:name="_Toc351203582"/>
      <w:bookmarkStart w:id="1018" w:name="_Toc532377270"/>
      <w:bookmarkStart w:id="1019" w:name="_Toc337558801"/>
      <w:r>
        <w:rPr>
          <w:rFonts w:hint="eastAsia"/>
          <w:color w:val="auto"/>
          <w:sz w:val="21"/>
          <w:szCs w:val="21"/>
          <w:highlight w:val="none"/>
        </w:rPr>
        <w:t>12.2预</w:t>
      </w:r>
      <w:bookmarkEnd w:id="1015"/>
      <w:bookmarkEnd w:id="1016"/>
      <w:bookmarkStart w:id="1020" w:name="_Toc296503100"/>
      <w:bookmarkStart w:id="1021" w:name="_Toc296346601"/>
      <w:r>
        <w:rPr>
          <w:rFonts w:hint="eastAsia"/>
          <w:color w:val="auto"/>
          <w:sz w:val="21"/>
          <w:szCs w:val="21"/>
          <w:highlight w:val="none"/>
        </w:rPr>
        <w:t>付款</w:t>
      </w:r>
      <w:bookmarkEnd w:id="1017"/>
      <w:bookmarkEnd w:id="1018"/>
    </w:p>
    <w:bookmarkEnd w:id="1019"/>
    <w:bookmarkEnd w:id="1020"/>
    <w:bookmarkEnd w:id="1021"/>
    <w:p w14:paraId="436C907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12.2.1预付款的支付</w:t>
      </w:r>
    </w:p>
    <w:p w14:paraId="7334905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3065971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除专用合同条款另有约定外，预付款在进度付款中同比例扣回。</w:t>
      </w:r>
      <w:bookmarkEnd w:id="998"/>
      <w:r>
        <w:rPr>
          <w:rFonts w:hint="eastAsia" w:ascii="宋体" w:hAnsi="宋体"/>
          <w:color w:val="auto"/>
          <w:kern w:val="0"/>
          <w:szCs w:val="21"/>
          <w:highlight w:val="none"/>
        </w:rPr>
        <w:t>在颁发工程接收证书前，提前解除合同的，尚未扣完的预付款应与合同价款一并结算。</w:t>
      </w:r>
    </w:p>
    <w:p w14:paraId="5F5D7D4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7877FEB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12.2.2 预付款担保</w:t>
      </w:r>
    </w:p>
    <w:p w14:paraId="3011587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F51C05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发包人在工程款中逐期扣回预付款后，预付款担保额度应相应减少，但剩余的预付款担保金额不得低于未被扣回的预付款金额。</w:t>
      </w:r>
    </w:p>
    <w:p w14:paraId="4F21C103">
      <w:pPr>
        <w:pStyle w:val="7"/>
        <w:spacing w:before="0" w:beforeAutospacing="0" w:after="0" w:afterAutospacing="0" w:line="360" w:lineRule="auto"/>
        <w:ind w:firstLine="422" w:firstLineChars="200"/>
        <w:rPr>
          <w:color w:val="auto"/>
          <w:sz w:val="21"/>
          <w:szCs w:val="21"/>
          <w:highlight w:val="none"/>
        </w:rPr>
      </w:pPr>
      <w:bookmarkStart w:id="1022" w:name="_Toc351203583"/>
      <w:bookmarkStart w:id="1023" w:name="_Toc532377271"/>
      <w:bookmarkStart w:id="1024" w:name="_Toc337558802"/>
      <w:r>
        <w:rPr>
          <w:rFonts w:hint="eastAsia"/>
          <w:color w:val="auto"/>
          <w:sz w:val="21"/>
          <w:szCs w:val="21"/>
          <w:highlight w:val="none"/>
        </w:rPr>
        <w:t>12.3计量</w:t>
      </w:r>
      <w:bookmarkEnd w:id="1022"/>
      <w:bookmarkEnd w:id="1023"/>
    </w:p>
    <w:bookmarkEnd w:id="1024"/>
    <w:p w14:paraId="077323B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12.3.1 计量原则</w:t>
      </w:r>
    </w:p>
    <w:p w14:paraId="0969115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3F97236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12.3.2 计量周期</w:t>
      </w:r>
    </w:p>
    <w:p w14:paraId="50B3B95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除专用合同条款另有约定外，工程量的计量按月进行。</w:t>
      </w:r>
    </w:p>
    <w:p w14:paraId="438F458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12.3.3 单价合同的计量</w:t>
      </w:r>
    </w:p>
    <w:p w14:paraId="5DCF9AB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除专用合同条款另有约定外，单价合同的计量按照本项约定执行：</w:t>
      </w:r>
    </w:p>
    <w:p w14:paraId="7407FB7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14:paraId="76C505B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F82689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（3）监理人未在收到承包人提交的工程量报表后的7天内完成审核的，承包人报送的工程量报告中的工程量视为承包人实际完成的工程量，据此计算工程价款。</w:t>
      </w:r>
    </w:p>
    <w:p w14:paraId="2A5F06A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12.3.4 总价合同的计量</w:t>
      </w:r>
    </w:p>
    <w:p w14:paraId="693DF5D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除专用合同条款另有约定外，按月计量支付的总价合同，按照本项约定执行：</w:t>
      </w:r>
    </w:p>
    <w:p w14:paraId="07B3EDD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14:paraId="7AB1A86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C69AE7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（3）监理人未在收到承包人提交的工程量报表后的7天内完成复核的，承包人提交的工程量报告中的工程量视为承包人实际完成的工程量。</w:t>
      </w:r>
    </w:p>
    <w:p w14:paraId="16F097E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12.3.5 总价合同采用支付分解表计量支付的，可以按照第12.3.4项〔总价合同的计量〕约定进行计量，但合同价款按照支付分解表进行支付。</w:t>
      </w:r>
    </w:p>
    <w:p w14:paraId="6FA5B6B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12.3.6 其他价格形式合同的计量</w:t>
      </w:r>
    </w:p>
    <w:p w14:paraId="1EDC273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合同当事人可在专用合同条款中约定其他价格形式合同的计量方式和程序。</w:t>
      </w:r>
    </w:p>
    <w:p w14:paraId="1A5E6490">
      <w:pPr>
        <w:pStyle w:val="7"/>
        <w:spacing w:before="0" w:beforeAutospacing="0" w:after="0" w:afterAutospacing="0" w:line="360" w:lineRule="auto"/>
        <w:ind w:firstLine="422" w:firstLineChars="200"/>
        <w:rPr>
          <w:color w:val="auto"/>
          <w:sz w:val="21"/>
          <w:szCs w:val="21"/>
          <w:highlight w:val="none"/>
        </w:rPr>
      </w:pPr>
      <w:bookmarkStart w:id="1025" w:name="_Toc296503101"/>
      <w:bookmarkStart w:id="1026" w:name="_Toc296346602"/>
      <w:bookmarkStart w:id="1027" w:name="_Toc351203584"/>
      <w:bookmarkStart w:id="1028" w:name="_Toc532377272"/>
      <w:bookmarkStart w:id="1029" w:name="_Toc337558803"/>
      <w:r>
        <w:rPr>
          <w:rFonts w:hint="eastAsia"/>
          <w:color w:val="auto"/>
          <w:sz w:val="21"/>
          <w:szCs w:val="21"/>
          <w:highlight w:val="none"/>
        </w:rPr>
        <w:t>12.4工程进度款支</w:t>
      </w:r>
      <w:bookmarkEnd w:id="1025"/>
      <w:bookmarkEnd w:id="1026"/>
      <w:r>
        <w:rPr>
          <w:rFonts w:hint="eastAsia"/>
          <w:color w:val="auto"/>
          <w:sz w:val="21"/>
          <w:szCs w:val="21"/>
          <w:highlight w:val="none"/>
        </w:rPr>
        <w:t>付</w:t>
      </w:r>
      <w:bookmarkEnd w:id="1027"/>
      <w:bookmarkEnd w:id="1028"/>
    </w:p>
    <w:bookmarkEnd w:id="1029"/>
    <w:p w14:paraId="2DA8CAB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12.4.1 付款周期</w:t>
      </w:r>
    </w:p>
    <w:p w14:paraId="620F73A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除专用合同条款另有约定外，付款周期应按照第12.3.2项〔计量周期〕的约定与计量周期保持一致。</w:t>
      </w:r>
    </w:p>
    <w:p w14:paraId="205471F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12.4.2 进度付款申请单的编制</w:t>
      </w:r>
    </w:p>
    <w:p w14:paraId="2F8A377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除专用合同条款另有约定外，进度付款申请单应包括下列内容：</w:t>
      </w:r>
    </w:p>
    <w:p w14:paraId="5CC5951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（1）截至本次付款周期已完成工作对应的金额；</w:t>
      </w:r>
    </w:p>
    <w:p w14:paraId="3BAF8D5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（2）根据第10条〔变更〕应增加和扣减的变更金额；</w:t>
      </w:r>
    </w:p>
    <w:p w14:paraId="0921DE0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（3）根据第12.2款〔预付款〕约定应支付的预付款和扣减的返还预付款；</w:t>
      </w:r>
    </w:p>
    <w:p w14:paraId="3A506D0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（4）根据第15.3款〔质量保证金〕约定应扣减的质量保证金；</w:t>
      </w:r>
    </w:p>
    <w:p w14:paraId="471E560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（5）根据第19条〔索赔〕应增加和扣减的索赔金额；</w:t>
      </w:r>
    </w:p>
    <w:p w14:paraId="44FC95E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（6）对已签发的进度款支付证书中出现错误的修正，应在本次进度付款中支付或扣除的金额；</w:t>
      </w:r>
    </w:p>
    <w:p w14:paraId="2B69573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（7）根据合同约定应增加和扣减的其他金额。</w:t>
      </w:r>
    </w:p>
    <w:p w14:paraId="680EA87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12.4.3 进度付款申请单的提交</w:t>
      </w:r>
    </w:p>
    <w:p w14:paraId="0FBA43B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（1）单价合同进度付款申请单的提交</w:t>
      </w:r>
    </w:p>
    <w:p w14:paraId="3F022E9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272768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（2）总价合同进度付款申请单的提交</w:t>
      </w:r>
    </w:p>
    <w:p w14:paraId="05941A1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总价合同按月计量支付的，承包人按照第12.3.4项〔总价合同的计量〕约定的时间按月向监理人提交进度付款申请单，并附上已完成工程量报表和有关资料。</w:t>
      </w:r>
    </w:p>
    <w:p w14:paraId="7FCAE6C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总价合同按支付分解表支付的，承包人应按照第12.4.6项〔支付分解表〕及第12.4.2项〔进度付款申请单的编制〕的约定向监理人提交进度付款申请单。</w:t>
      </w:r>
    </w:p>
    <w:p w14:paraId="6549CD6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（3）其他价格形式合同的进度付款申请单的提交</w:t>
      </w:r>
    </w:p>
    <w:p w14:paraId="6559235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合同当事人可在专用合同条款中约定其他价格形式合同的进度付款申请单的编制和提交程序。</w:t>
      </w:r>
    </w:p>
    <w:p w14:paraId="508EE51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12.4.4 进度款审核和支付</w:t>
      </w:r>
    </w:p>
    <w:p w14:paraId="13E3C0E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C041DB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2BF274B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5521D5D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（3）发包人签发进度款支付证书或临时进度款支付证书，不表明发包人已同意、批准或接受了承包人完成的相应部分的工作。</w:t>
      </w:r>
    </w:p>
    <w:p w14:paraId="361DFA1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12.4.5 进度付款的修正</w:t>
      </w:r>
    </w:p>
    <w:p w14:paraId="46E852C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17CACB9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12.4.6 支付分解表</w:t>
      </w:r>
    </w:p>
    <w:p w14:paraId="75EC826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1.支付分解表的编制要求</w:t>
      </w:r>
    </w:p>
    <w:p w14:paraId="7BB3AB3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（1）支付分解表中所列的每期付款金额，应为第12.4.2项〔进度付款申请单的编制〕第（1）目的估算金额；</w:t>
      </w:r>
    </w:p>
    <w:p w14:paraId="7E83ABC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（2）实际进度与施工进度计划不一致的，合同当事人可按照第4.4款〔商定或确定〕修改支付分解表；</w:t>
      </w:r>
    </w:p>
    <w:p w14:paraId="479987F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（3）不采用支付分解表的，承包人应向发包人和监理人提交按季度编制的支付估算分解表，用于支付参考。</w:t>
      </w:r>
    </w:p>
    <w:p w14:paraId="666A728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2.总价合同支付分解表的编制与审批</w:t>
      </w:r>
    </w:p>
    <w:p w14:paraId="657EBDF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96C92D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5C5F056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（3）发包人逾期未完成支付分解表审批的，也未及时要求承包人进行修正和提供补充资料的，则承包人提交的支付分解表视为已经获得发包人批准。</w:t>
      </w:r>
    </w:p>
    <w:p w14:paraId="0F78EDE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3.单价合同的总价项目支付分解表的编制与审批</w:t>
      </w:r>
    </w:p>
    <w:p w14:paraId="7E54845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D9993A7">
      <w:pPr>
        <w:pStyle w:val="7"/>
        <w:spacing w:before="0" w:beforeAutospacing="0" w:after="0" w:afterAutospacing="0" w:line="360" w:lineRule="auto"/>
        <w:ind w:firstLine="422" w:firstLineChars="200"/>
        <w:rPr>
          <w:color w:val="auto"/>
          <w:sz w:val="21"/>
          <w:szCs w:val="21"/>
          <w:highlight w:val="none"/>
        </w:rPr>
      </w:pPr>
      <w:bookmarkStart w:id="1030" w:name="_Toc532377273"/>
      <w:r>
        <w:rPr>
          <w:rFonts w:hint="eastAsia"/>
          <w:color w:val="auto"/>
          <w:sz w:val="21"/>
          <w:szCs w:val="21"/>
          <w:highlight w:val="none"/>
        </w:rPr>
        <w:t>12.5支付账户</w:t>
      </w:r>
      <w:bookmarkEnd w:id="1030"/>
    </w:p>
    <w:p w14:paraId="29EDC11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发包人应将合同价款支付至合同协议书中约定的承包人账户。</w:t>
      </w:r>
    </w:p>
    <w:p w14:paraId="3F23E228">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31" w:name="_Toc532375599"/>
      <w:bookmarkStart w:id="1032" w:name="_Toc351203586"/>
      <w:bookmarkStart w:id="1033" w:name="_Toc532377274"/>
      <w:bookmarkStart w:id="1034" w:name="_Toc337558804"/>
      <w:bookmarkStart w:id="1035" w:name="_Toc296346607"/>
      <w:bookmarkStart w:id="1036" w:name="_Toc322522574"/>
      <w:bookmarkStart w:id="1037" w:name="_Toc296503106"/>
      <w:r>
        <w:rPr>
          <w:rFonts w:hint="eastAsia"/>
          <w:color w:val="auto"/>
          <w:kern w:val="2"/>
          <w:sz w:val="21"/>
          <w:szCs w:val="21"/>
          <w:highlight w:val="none"/>
        </w:rPr>
        <w:t>13. 验收和工程试车</w:t>
      </w:r>
      <w:bookmarkEnd w:id="1031"/>
      <w:bookmarkEnd w:id="1032"/>
      <w:bookmarkEnd w:id="1033"/>
    </w:p>
    <w:bookmarkEnd w:id="1034"/>
    <w:bookmarkEnd w:id="1035"/>
    <w:bookmarkEnd w:id="1036"/>
    <w:bookmarkEnd w:id="1037"/>
    <w:p w14:paraId="347A330D">
      <w:pPr>
        <w:pStyle w:val="7"/>
        <w:spacing w:before="0" w:beforeAutospacing="0" w:after="0" w:afterAutospacing="0" w:line="360" w:lineRule="auto"/>
        <w:ind w:firstLine="422" w:firstLineChars="200"/>
        <w:rPr>
          <w:color w:val="auto"/>
          <w:sz w:val="21"/>
          <w:szCs w:val="21"/>
          <w:highlight w:val="none"/>
        </w:rPr>
      </w:pPr>
      <w:bookmarkStart w:id="1038" w:name="_Toc532377275"/>
      <w:bookmarkStart w:id="1039" w:name="_Toc351203587"/>
      <w:bookmarkStart w:id="1040" w:name="_Toc337558805"/>
      <w:bookmarkStart w:id="1041" w:name="_Toc296503110"/>
      <w:bookmarkStart w:id="1042" w:name="_Toc296346611"/>
      <w:r>
        <w:rPr>
          <w:rFonts w:hint="eastAsia"/>
          <w:color w:val="auto"/>
          <w:sz w:val="21"/>
          <w:szCs w:val="21"/>
          <w:highlight w:val="none"/>
        </w:rPr>
        <w:t>13.1分部分项工程验收</w:t>
      </w:r>
      <w:bookmarkEnd w:id="1038"/>
      <w:bookmarkEnd w:id="1039"/>
    </w:p>
    <w:bookmarkEnd w:id="1040"/>
    <w:p w14:paraId="33BF288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13.1.1 分部分项工程质量应符合国家有关工程施工验收规范、标准及合同约定，承包人应按照施工组织设计的要求完成分部分项工程施工。</w:t>
      </w:r>
    </w:p>
    <w:p w14:paraId="665FBED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34D5ED2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分部分项工程的验收资料应当作为竣工资料的组成部分。</w:t>
      </w:r>
    </w:p>
    <w:p w14:paraId="53439025">
      <w:pPr>
        <w:pStyle w:val="7"/>
        <w:spacing w:before="0" w:beforeAutospacing="0" w:after="0" w:afterAutospacing="0" w:line="360" w:lineRule="auto"/>
        <w:ind w:firstLine="422" w:firstLineChars="200"/>
        <w:rPr>
          <w:color w:val="auto"/>
          <w:sz w:val="21"/>
          <w:szCs w:val="21"/>
          <w:highlight w:val="none"/>
        </w:rPr>
      </w:pPr>
      <w:bookmarkStart w:id="1043" w:name="_Toc532377276"/>
      <w:bookmarkStart w:id="1044" w:name="_Toc351203588"/>
      <w:bookmarkStart w:id="1045" w:name="_Toc337558806"/>
      <w:r>
        <w:rPr>
          <w:rFonts w:hint="eastAsia"/>
          <w:color w:val="auto"/>
          <w:sz w:val="21"/>
          <w:szCs w:val="21"/>
          <w:highlight w:val="none"/>
        </w:rPr>
        <w:t>13.2竣工验收</w:t>
      </w:r>
      <w:bookmarkEnd w:id="1043"/>
      <w:bookmarkEnd w:id="1044"/>
    </w:p>
    <w:bookmarkEnd w:id="1041"/>
    <w:bookmarkEnd w:id="1042"/>
    <w:bookmarkEnd w:id="1045"/>
    <w:p w14:paraId="2926DDF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13.2.1竣工验收条件</w:t>
      </w:r>
    </w:p>
    <w:p w14:paraId="41DEB76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工程具备以下条件的，承包人可以申请竣工验收：</w:t>
      </w:r>
    </w:p>
    <w:p w14:paraId="731908B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（1）除发包人同意的甩项工作和缺陷修补工作外，合同范围内的全部工程以及有关工作，包括合同要求的试验、试运行以及检验均已完成，并符合合同要求；</w:t>
      </w:r>
    </w:p>
    <w:p w14:paraId="0E44B58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（2）已按合同约定编制了甩项工作和缺陷修补工作清单以及相应的施工计划；</w:t>
      </w:r>
    </w:p>
    <w:p w14:paraId="1FE0365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（3）已按合同约定的内容和份数备齐竣工资料。</w:t>
      </w:r>
    </w:p>
    <w:p w14:paraId="7EBD0F9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13.2.2竣工验收程序</w:t>
      </w:r>
    </w:p>
    <w:p w14:paraId="1D6D45B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除专用合同条款另有约定外，承包人申请竣工验收的，应当按照以下程序进行：</w:t>
      </w:r>
    </w:p>
    <w:p w14:paraId="13C4C88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09E258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4F00AB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56B55EF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B598D2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324A69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75488E4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13.2.3竣工日期</w:t>
      </w:r>
    </w:p>
    <w:p w14:paraId="3B003FA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46" w:name="#go14"/>
      <w:bookmarkEnd w:id="1046"/>
      <w:r>
        <w:rPr>
          <w:rFonts w:hint="eastAsia" w:ascii="宋体" w:hAnsi="宋体"/>
          <w:color w:val="auto"/>
          <w:kern w:val="0"/>
          <w:szCs w:val="21"/>
          <w:highlight w:val="none"/>
        </w:rPr>
        <w:t>收申请报告的日期为实际竣工日期；工程未经竣工验收，发包人擅自使用的，以转移占有工程之日为实际竣工日期。</w:t>
      </w:r>
    </w:p>
    <w:p w14:paraId="22B819F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13.2.4 拒绝接收全部或部分工程</w:t>
      </w:r>
    </w:p>
    <w:p w14:paraId="29A22DB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04EBE9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13.2.5 移交、接收全部与部分工程</w:t>
      </w:r>
    </w:p>
    <w:p w14:paraId="681D889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除专用合同条款另有约定外，合同当事人应当在颁发工程接收证书后7天内完成工程的移交。</w:t>
      </w:r>
    </w:p>
    <w:p w14:paraId="265120E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290D4C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172A3FC0">
      <w:pPr>
        <w:pStyle w:val="7"/>
        <w:spacing w:before="0" w:beforeAutospacing="0" w:after="0" w:afterAutospacing="0" w:line="360" w:lineRule="auto"/>
        <w:ind w:firstLine="422" w:firstLineChars="200"/>
        <w:rPr>
          <w:color w:val="auto"/>
          <w:sz w:val="21"/>
          <w:szCs w:val="21"/>
          <w:highlight w:val="none"/>
        </w:rPr>
      </w:pPr>
      <w:bookmarkStart w:id="1047" w:name="_Toc532377277"/>
      <w:bookmarkStart w:id="1048" w:name="_Toc351203589"/>
      <w:bookmarkStart w:id="1049" w:name="_Toc296346612"/>
      <w:bookmarkStart w:id="1050" w:name="_Toc296503111"/>
      <w:bookmarkStart w:id="1051" w:name="_Toc337558807"/>
      <w:r>
        <w:rPr>
          <w:rFonts w:hint="eastAsia"/>
          <w:color w:val="auto"/>
          <w:sz w:val="21"/>
          <w:szCs w:val="21"/>
          <w:highlight w:val="none"/>
        </w:rPr>
        <w:t>13.3工程试车</w:t>
      </w:r>
      <w:bookmarkEnd w:id="1047"/>
      <w:bookmarkEnd w:id="1048"/>
    </w:p>
    <w:bookmarkEnd w:id="1049"/>
    <w:bookmarkEnd w:id="1050"/>
    <w:bookmarkEnd w:id="1051"/>
    <w:p w14:paraId="59B43BA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13.3.1试车程序</w:t>
      </w:r>
    </w:p>
    <w:p w14:paraId="4B8BA89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工程需要试车的，除专用合同条款另有约定外，试车内容应与承包人承包范围相一致，试车费用由承包人承担。工程试车应按如下程序进行：</w:t>
      </w:r>
    </w:p>
    <w:p w14:paraId="04BDDB4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7262B0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7C841F3">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8B9576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13.3.2 试车中的责任</w:t>
      </w:r>
    </w:p>
    <w:p w14:paraId="0A41D05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EF2320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97A0A7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13.3.3 投料试车</w:t>
      </w:r>
    </w:p>
    <w:p w14:paraId="02343E6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080509D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890D995">
      <w:pPr>
        <w:pStyle w:val="7"/>
        <w:spacing w:before="0" w:beforeAutospacing="0" w:after="0" w:afterAutospacing="0" w:line="360" w:lineRule="auto"/>
        <w:ind w:firstLine="422" w:firstLineChars="200"/>
        <w:rPr>
          <w:color w:val="auto"/>
          <w:sz w:val="21"/>
          <w:szCs w:val="21"/>
          <w:highlight w:val="none"/>
        </w:rPr>
      </w:pPr>
      <w:bookmarkStart w:id="1052" w:name="_Toc532377278"/>
      <w:r>
        <w:rPr>
          <w:rFonts w:hint="eastAsia"/>
          <w:color w:val="auto"/>
          <w:sz w:val="21"/>
          <w:szCs w:val="21"/>
          <w:highlight w:val="none"/>
        </w:rPr>
        <w:t>13.4提前交付单位工程的验收</w:t>
      </w:r>
      <w:bookmarkEnd w:id="1052"/>
    </w:p>
    <w:p w14:paraId="1C71684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0F50E3F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10DCD1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14:paraId="0BE0BB29">
      <w:pPr>
        <w:pStyle w:val="7"/>
        <w:spacing w:before="0" w:beforeAutospacing="0" w:after="0" w:afterAutospacing="0" w:line="360" w:lineRule="auto"/>
        <w:ind w:firstLine="422" w:firstLineChars="200"/>
        <w:rPr>
          <w:color w:val="auto"/>
          <w:sz w:val="21"/>
          <w:szCs w:val="21"/>
          <w:highlight w:val="none"/>
        </w:rPr>
      </w:pPr>
      <w:bookmarkStart w:id="1053" w:name="_Toc351203591"/>
      <w:bookmarkStart w:id="1054" w:name="_Toc532377279"/>
      <w:r>
        <w:rPr>
          <w:rFonts w:hint="eastAsia"/>
          <w:color w:val="auto"/>
          <w:sz w:val="21"/>
          <w:szCs w:val="21"/>
          <w:highlight w:val="none"/>
        </w:rPr>
        <w:t>13.5 施工期运行</w:t>
      </w:r>
      <w:bookmarkEnd w:id="1053"/>
      <w:bookmarkEnd w:id="1054"/>
    </w:p>
    <w:p w14:paraId="19AA827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1B3A5A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13.5.2 在施工期运行中发现工程或工程设备损坏或存在缺陷的，由承包人按第15.2款〔缺陷责任期〕约定进行修复。</w:t>
      </w:r>
    </w:p>
    <w:p w14:paraId="14B78913">
      <w:pPr>
        <w:pStyle w:val="7"/>
        <w:spacing w:before="0" w:beforeAutospacing="0" w:after="0" w:afterAutospacing="0" w:line="360" w:lineRule="auto"/>
        <w:ind w:firstLine="422" w:firstLineChars="200"/>
        <w:rPr>
          <w:color w:val="auto"/>
          <w:sz w:val="21"/>
          <w:szCs w:val="21"/>
          <w:highlight w:val="none"/>
        </w:rPr>
      </w:pPr>
      <w:bookmarkStart w:id="1055" w:name="_Toc296503112"/>
      <w:bookmarkStart w:id="1056" w:name="_Toc296346613"/>
      <w:bookmarkStart w:id="1057" w:name="_Toc351203592"/>
      <w:bookmarkStart w:id="1058" w:name="_Toc532377280"/>
      <w:bookmarkStart w:id="1059" w:name="_Toc337558809"/>
      <w:r>
        <w:rPr>
          <w:rFonts w:hint="eastAsia"/>
          <w:color w:val="auto"/>
          <w:sz w:val="21"/>
          <w:szCs w:val="21"/>
          <w:highlight w:val="none"/>
        </w:rPr>
        <w:t>13.6 竣工退</w:t>
      </w:r>
      <w:bookmarkEnd w:id="1055"/>
      <w:bookmarkEnd w:id="1056"/>
      <w:r>
        <w:rPr>
          <w:rFonts w:hint="eastAsia"/>
          <w:color w:val="auto"/>
          <w:sz w:val="21"/>
          <w:szCs w:val="21"/>
          <w:highlight w:val="none"/>
        </w:rPr>
        <w:t>场</w:t>
      </w:r>
      <w:bookmarkEnd w:id="1057"/>
      <w:bookmarkEnd w:id="1058"/>
    </w:p>
    <w:bookmarkEnd w:id="1059"/>
    <w:p w14:paraId="5E86E10D">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13.6.1 竣工退场</w:t>
      </w:r>
    </w:p>
    <w:p w14:paraId="542BEA2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颁发工程接收证书后，承包人应按以下要求对施工现场进行清理：</w:t>
      </w:r>
    </w:p>
    <w:p w14:paraId="6025C95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（1）施工现场内残留的垃圾已全部清除出场；</w:t>
      </w:r>
    </w:p>
    <w:p w14:paraId="2444A01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（2）临时工程已拆除，场地已进行清理、平整或复原；</w:t>
      </w:r>
    </w:p>
    <w:p w14:paraId="1CFB432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（3）按合同约定应撤离的人员、承包人施工设备和剩余的材料，包括废弃的施工设备和材料，已按计划撤离施工现场；</w:t>
      </w:r>
    </w:p>
    <w:p w14:paraId="3524AE7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（4）施工现场周边及其附近道路、河道的施工堆积物，已全部清理；</w:t>
      </w:r>
    </w:p>
    <w:p w14:paraId="458947B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（5）施工现场其他场地清理工作已全部完成。</w:t>
      </w:r>
    </w:p>
    <w:p w14:paraId="45AA845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276CB0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13.6.2 地表还原</w:t>
      </w:r>
    </w:p>
    <w:p w14:paraId="474344B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8DEB975">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60" w:name="_Toc351203593"/>
      <w:bookmarkStart w:id="1061" w:name="_Toc532377281"/>
      <w:bookmarkStart w:id="1062" w:name="_Toc532375600"/>
      <w:bookmarkStart w:id="1063" w:name="_Toc337558810"/>
      <w:bookmarkStart w:id="1064" w:name="_Toc296503113"/>
      <w:bookmarkStart w:id="1065" w:name="_Toc296346614"/>
      <w:r>
        <w:rPr>
          <w:rFonts w:hint="eastAsia"/>
          <w:color w:val="auto"/>
          <w:kern w:val="2"/>
          <w:sz w:val="21"/>
          <w:szCs w:val="21"/>
          <w:highlight w:val="none"/>
        </w:rPr>
        <w:t>14. 竣工结算</w:t>
      </w:r>
      <w:bookmarkEnd w:id="1060"/>
      <w:bookmarkEnd w:id="1061"/>
      <w:bookmarkEnd w:id="1062"/>
    </w:p>
    <w:bookmarkEnd w:id="1063"/>
    <w:p w14:paraId="360DAB40">
      <w:pPr>
        <w:pStyle w:val="7"/>
        <w:spacing w:before="0" w:beforeAutospacing="0" w:after="0" w:afterAutospacing="0" w:line="360" w:lineRule="auto"/>
        <w:ind w:firstLine="422" w:firstLineChars="200"/>
        <w:rPr>
          <w:color w:val="auto"/>
          <w:sz w:val="21"/>
          <w:szCs w:val="21"/>
          <w:highlight w:val="none"/>
        </w:rPr>
      </w:pPr>
      <w:bookmarkStart w:id="1066" w:name="_Toc532377282"/>
      <w:bookmarkStart w:id="1067" w:name="_Toc351203594"/>
      <w:bookmarkStart w:id="1068" w:name="_Toc337558811"/>
      <w:r>
        <w:rPr>
          <w:rFonts w:hint="eastAsia"/>
          <w:color w:val="auto"/>
          <w:sz w:val="21"/>
          <w:szCs w:val="21"/>
          <w:highlight w:val="none"/>
        </w:rPr>
        <w:t>14.1 竣工结算申请</w:t>
      </w:r>
      <w:bookmarkEnd w:id="1066"/>
      <w:bookmarkEnd w:id="1067"/>
    </w:p>
    <w:bookmarkEnd w:id="1068"/>
    <w:p w14:paraId="2B2B059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268264D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除专用合同条款另有约定外，竣工结算申请单应包括以下内容：</w:t>
      </w:r>
    </w:p>
    <w:p w14:paraId="183A7B0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（1）竣工结算合同价格；</w:t>
      </w:r>
    </w:p>
    <w:p w14:paraId="6E8E5D0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（2）发包人已支付承包人的款项；</w:t>
      </w:r>
    </w:p>
    <w:p w14:paraId="1072F50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（3）应扣留的质量保证金。已缴纳履约保证金的或提供其他工程质量担保方式的除外； </w:t>
      </w:r>
    </w:p>
    <w:p w14:paraId="6560414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（4）发包人应支付承包人的合同价款。</w:t>
      </w:r>
    </w:p>
    <w:p w14:paraId="5CBEEF93">
      <w:pPr>
        <w:pStyle w:val="7"/>
        <w:spacing w:before="0" w:beforeAutospacing="0" w:after="0" w:afterAutospacing="0" w:line="360" w:lineRule="auto"/>
        <w:ind w:firstLine="422" w:firstLineChars="200"/>
        <w:rPr>
          <w:color w:val="auto"/>
          <w:sz w:val="21"/>
          <w:szCs w:val="21"/>
          <w:highlight w:val="none"/>
        </w:rPr>
      </w:pPr>
      <w:bookmarkStart w:id="1069" w:name="_Toc351203595"/>
      <w:bookmarkStart w:id="1070" w:name="_Toc532377283"/>
      <w:bookmarkStart w:id="1071" w:name="_Toc337558812"/>
      <w:r>
        <w:rPr>
          <w:rFonts w:hint="eastAsia"/>
          <w:color w:val="auto"/>
          <w:sz w:val="21"/>
          <w:szCs w:val="21"/>
          <w:highlight w:val="none"/>
        </w:rPr>
        <w:t>14.2 竣工结算审核</w:t>
      </w:r>
      <w:bookmarkEnd w:id="1069"/>
      <w:bookmarkEnd w:id="1070"/>
    </w:p>
    <w:bookmarkEnd w:id="1071"/>
    <w:p w14:paraId="1FF17E4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3A6815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A5BB44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6055D8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9F64EB6">
      <w:pPr>
        <w:pStyle w:val="7"/>
        <w:spacing w:before="0" w:beforeAutospacing="0" w:after="0" w:afterAutospacing="0" w:line="360" w:lineRule="auto"/>
        <w:ind w:firstLine="422" w:firstLineChars="200"/>
        <w:rPr>
          <w:color w:val="auto"/>
          <w:sz w:val="21"/>
          <w:szCs w:val="21"/>
          <w:highlight w:val="none"/>
        </w:rPr>
      </w:pPr>
      <w:bookmarkStart w:id="1072" w:name="_Toc532377284"/>
      <w:bookmarkStart w:id="1073" w:name="_Toc351203596"/>
      <w:bookmarkStart w:id="1074" w:name="_Toc337558813"/>
      <w:r>
        <w:rPr>
          <w:rFonts w:hint="eastAsia"/>
          <w:color w:val="auto"/>
          <w:sz w:val="21"/>
          <w:szCs w:val="21"/>
          <w:highlight w:val="none"/>
        </w:rPr>
        <w:t>14.3 甩项竣工协议</w:t>
      </w:r>
      <w:bookmarkEnd w:id="1072"/>
      <w:bookmarkEnd w:id="1073"/>
    </w:p>
    <w:bookmarkEnd w:id="1074"/>
    <w:p w14:paraId="216E3DA4">
      <w:pPr>
        <w:autoSpaceDE w:val="0"/>
        <w:autoSpaceDN w:val="0"/>
        <w:spacing w:line="360" w:lineRule="auto"/>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6D5E7A92">
      <w:pPr>
        <w:pStyle w:val="7"/>
        <w:spacing w:before="0" w:beforeAutospacing="0" w:after="0" w:afterAutospacing="0" w:line="360" w:lineRule="auto"/>
        <w:ind w:firstLine="422" w:firstLineChars="200"/>
        <w:rPr>
          <w:color w:val="auto"/>
          <w:sz w:val="21"/>
          <w:szCs w:val="21"/>
          <w:highlight w:val="none"/>
        </w:rPr>
      </w:pPr>
      <w:bookmarkStart w:id="1075" w:name="_Toc532377285"/>
      <w:bookmarkStart w:id="1076" w:name="_Toc351203597"/>
      <w:bookmarkStart w:id="1077" w:name="_Toc337558814"/>
      <w:r>
        <w:rPr>
          <w:rFonts w:hint="eastAsia"/>
          <w:color w:val="auto"/>
          <w:sz w:val="21"/>
          <w:szCs w:val="21"/>
          <w:highlight w:val="none"/>
        </w:rPr>
        <w:t>14.4 最终结清</w:t>
      </w:r>
      <w:bookmarkEnd w:id="1075"/>
      <w:bookmarkEnd w:id="1076"/>
    </w:p>
    <w:bookmarkEnd w:id="1077"/>
    <w:p w14:paraId="0A9DA4F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14.4.1 最终结清申请单</w:t>
      </w:r>
    </w:p>
    <w:p w14:paraId="46A531D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14:paraId="728DE1C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除专用合同条款另有约定外，最终结清申请单应列明质量保证金、应扣除的质量保证金、缺陷责任期内发生的增减费用。</w:t>
      </w:r>
    </w:p>
    <w:p w14:paraId="4BB66F5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（2）发包人对最终结清申请单内容有异议的，有权要求承包人进行修正和提供补充资料，承包人应向发包人提交修正后的最终结清申请单。</w:t>
      </w:r>
    </w:p>
    <w:p w14:paraId="2296EAD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14.4.2 最终结清证书和支付</w:t>
      </w:r>
    </w:p>
    <w:p w14:paraId="4CCDF37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A85250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7ABAF9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（3）承包人对发包人颁发的最终结清证书有异议的，按第20条〔争议解决〕的约定办理。</w:t>
      </w:r>
    </w:p>
    <w:p w14:paraId="4806FF18">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78" w:name="_Toc532375601"/>
      <w:bookmarkStart w:id="1079" w:name="_Toc532377286"/>
      <w:bookmarkStart w:id="1080" w:name="_Toc351203598"/>
      <w:bookmarkStart w:id="1081" w:name="_Toc337558815"/>
      <w:r>
        <w:rPr>
          <w:rFonts w:hint="eastAsia"/>
          <w:color w:val="auto"/>
          <w:kern w:val="2"/>
          <w:sz w:val="21"/>
          <w:szCs w:val="21"/>
          <w:highlight w:val="none"/>
        </w:rPr>
        <w:t>15. 缺陷责任与保修</w:t>
      </w:r>
      <w:bookmarkEnd w:id="1078"/>
      <w:bookmarkEnd w:id="1079"/>
      <w:bookmarkEnd w:id="1080"/>
    </w:p>
    <w:bookmarkEnd w:id="1064"/>
    <w:bookmarkEnd w:id="1065"/>
    <w:bookmarkEnd w:id="1081"/>
    <w:p w14:paraId="15F28ADA">
      <w:pPr>
        <w:pStyle w:val="7"/>
        <w:spacing w:before="0" w:beforeAutospacing="0" w:after="0" w:afterAutospacing="0" w:line="360" w:lineRule="auto"/>
        <w:ind w:firstLine="422" w:firstLineChars="200"/>
        <w:rPr>
          <w:color w:val="auto"/>
          <w:sz w:val="21"/>
          <w:szCs w:val="21"/>
          <w:highlight w:val="none"/>
        </w:rPr>
      </w:pPr>
      <w:bookmarkStart w:id="1082" w:name="_Toc532377287"/>
      <w:bookmarkStart w:id="1083" w:name="_Toc351203599"/>
      <w:bookmarkStart w:id="1084" w:name="_Toc337558816"/>
      <w:bookmarkStart w:id="1085" w:name="_Toc296503114"/>
      <w:bookmarkStart w:id="1086" w:name="_Toc296346615"/>
      <w:r>
        <w:rPr>
          <w:rFonts w:hint="eastAsia"/>
          <w:color w:val="auto"/>
          <w:sz w:val="21"/>
          <w:szCs w:val="21"/>
          <w:highlight w:val="none"/>
        </w:rPr>
        <w:t>15.1 工程保修的原则</w:t>
      </w:r>
      <w:bookmarkEnd w:id="1082"/>
      <w:bookmarkEnd w:id="1083"/>
    </w:p>
    <w:bookmarkEnd w:id="1084"/>
    <w:p w14:paraId="19C09AF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3C540658">
      <w:pPr>
        <w:pStyle w:val="7"/>
        <w:spacing w:before="0" w:beforeAutospacing="0" w:after="0" w:afterAutospacing="0" w:line="360" w:lineRule="auto"/>
        <w:ind w:firstLine="422" w:firstLineChars="200"/>
        <w:rPr>
          <w:color w:val="auto"/>
          <w:sz w:val="21"/>
          <w:szCs w:val="21"/>
          <w:highlight w:val="none"/>
        </w:rPr>
      </w:pPr>
      <w:bookmarkStart w:id="1087" w:name="_Toc532377288"/>
      <w:bookmarkStart w:id="1088" w:name="_Toc351203600"/>
      <w:bookmarkStart w:id="1089" w:name="_Toc337558817"/>
      <w:r>
        <w:rPr>
          <w:rFonts w:hint="eastAsia"/>
          <w:color w:val="auto"/>
          <w:sz w:val="21"/>
          <w:szCs w:val="21"/>
          <w:highlight w:val="none"/>
        </w:rPr>
        <w:t>15.2 缺陷责任期</w:t>
      </w:r>
      <w:bookmarkEnd w:id="1085"/>
      <w:bookmarkEnd w:id="1086"/>
      <w:bookmarkEnd w:id="1087"/>
      <w:bookmarkEnd w:id="1088"/>
    </w:p>
    <w:bookmarkEnd w:id="1089"/>
    <w:p w14:paraId="33E6034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15.2.1 缺陷责任期从工程通过竣工验收之日起计算，合同当事人应在专用合同条款约定缺陷责任期的具体期限，但该期限最长不超过24个月。</w:t>
      </w:r>
    </w:p>
    <w:p w14:paraId="09C5AB6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708BA7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178B878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由他人原因造成的缺陷，发包人负责组织维修，承包人不承担费用，且发包人不得从保证金中扣除费用。</w:t>
      </w:r>
    </w:p>
    <w:p w14:paraId="7187728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212379F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D183297">
      <w:pPr>
        <w:pStyle w:val="7"/>
        <w:spacing w:before="0" w:beforeAutospacing="0" w:after="0" w:afterAutospacing="0" w:line="360" w:lineRule="auto"/>
        <w:ind w:firstLine="422" w:firstLineChars="200"/>
        <w:rPr>
          <w:color w:val="auto"/>
          <w:sz w:val="21"/>
          <w:szCs w:val="21"/>
          <w:highlight w:val="none"/>
        </w:rPr>
      </w:pPr>
      <w:bookmarkStart w:id="1090" w:name="_Toc532377289"/>
      <w:bookmarkStart w:id="1091" w:name="_Toc351203601"/>
      <w:bookmarkStart w:id="1092" w:name="_Toc337558818"/>
      <w:bookmarkStart w:id="1093" w:name="_Toc296503115"/>
      <w:bookmarkStart w:id="1094" w:name="_Toc296346616"/>
      <w:r>
        <w:rPr>
          <w:rFonts w:hint="eastAsia"/>
          <w:color w:val="auto"/>
          <w:sz w:val="21"/>
          <w:szCs w:val="21"/>
          <w:highlight w:val="none"/>
        </w:rPr>
        <w:t>15.3 质量保证金</w:t>
      </w:r>
      <w:bookmarkEnd w:id="1090"/>
      <w:bookmarkEnd w:id="1091"/>
    </w:p>
    <w:bookmarkEnd w:id="1092"/>
    <w:p w14:paraId="3BA2C99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经合同当事人协商一致扣留质量保证金的，应在专用合同条款中予以明确。</w:t>
      </w:r>
    </w:p>
    <w:p w14:paraId="1B5CD56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在工程项目竣工前，承包人已经提供履约担保的，发包人不得同时预留工程质量保证金。</w:t>
      </w:r>
    </w:p>
    <w:p w14:paraId="2EB325A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15.3.1 承包人提供质量保证金的方式</w:t>
      </w:r>
    </w:p>
    <w:p w14:paraId="031B1D6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承包人提供质量保证金有以下三种方式：</w:t>
      </w:r>
    </w:p>
    <w:p w14:paraId="42411FD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（1）质量保证金保函；</w:t>
      </w:r>
    </w:p>
    <w:p w14:paraId="5110FF1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（2）相应比例的工程款；</w:t>
      </w:r>
    </w:p>
    <w:p w14:paraId="12DC307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（3）双方约定的其他方式。</w:t>
      </w:r>
    </w:p>
    <w:p w14:paraId="556F3DF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除专用合同条款另有约定外，质量保证金原则上采用上述第（1）种方式。</w:t>
      </w:r>
    </w:p>
    <w:p w14:paraId="7914EF3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15.3.2 质量保证金的扣留</w:t>
      </w:r>
    </w:p>
    <w:p w14:paraId="19F66CD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质量保证金的扣留有以下三种方式：</w:t>
      </w:r>
    </w:p>
    <w:p w14:paraId="2F564E1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（1）在支付工程进度款时逐次扣留，在此情形下，质量保证金的计算基数不包括预付款的支付、扣回以及价格调整的金额；</w:t>
      </w:r>
    </w:p>
    <w:p w14:paraId="4347824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w:t>
      </w:r>
      <w:bookmarkStart w:id="1095" w:name="#go6"/>
      <w:bookmarkEnd w:id="1095"/>
      <w:r>
        <w:rPr>
          <w:rFonts w:hint="eastAsia" w:ascii="宋体" w:hAnsi="宋体"/>
          <w:color w:val="auto"/>
          <w:kern w:val="0"/>
          <w:szCs w:val="21"/>
          <w:highlight w:val="none"/>
        </w:rPr>
        <w:t>程竣工结算时一次性扣留质量保证金；</w:t>
      </w:r>
    </w:p>
    <w:p w14:paraId="03DEED0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（3）双方约定的其他扣留方式。</w:t>
      </w:r>
    </w:p>
    <w:p w14:paraId="4CCA4D5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除专用合同条款另有约定外，质量保证金的扣留原则上采用上述第（1）种方式。</w:t>
      </w:r>
    </w:p>
    <w:p w14:paraId="4B7B8BD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w:t>
      </w:r>
      <w:bookmarkStart w:id="1096" w:name="#go4"/>
      <w:bookmarkEnd w:id="1096"/>
      <w:r>
        <w:rPr>
          <w:rFonts w:hint="eastAsia" w:ascii="宋体" w:hAnsi="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A7C760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发包人在退还质量保证金的同时按照中国人民银行发布的同期同类贷款基准利率支付利息。</w:t>
      </w:r>
    </w:p>
    <w:p w14:paraId="2BE4D34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15.3.3 质量保证金的退还</w:t>
      </w:r>
    </w:p>
    <w:p w14:paraId="68613C3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缺陷责任期内，承包人认真履行合同约定的责任，到期后，承包人可向发包人申请返还保证金。</w:t>
      </w:r>
    </w:p>
    <w:p w14:paraId="57B9953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70821F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发包人和承包人对保证金预留、返还以及工程维修质量、费用有争议的，按合同第20条约定的争议和纠纷解决程序处理。</w:t>
      </w:r>
    </w:p>
    <w:p w14:paraId="46E14E2D">
      <w:pPr>
        <w:pStyle w:val="7"/>
        <w:spacing w:before="0" w:beforeAutospacing="0" w:after="0" w:afterAutospacing="0" w:line="360" w:lineRule="auto"/>
        <w:ind w:firstLine="422" w:firstLineChars="200"/>
        <w:rPr>
          <w:color w:val="auto"/>
          <w:sz w:val="21"/>
          <w:szCs w:val="21"/>
          <w:highlight w:val="none"/>
        </w:rPr>
      </w:pPr>
      <w:bookmarkStart w:id="1097" w:name="_Toc532377290"/>
      <w:bookmarkStart w:id="1098" w:name="_Toc351203602"/>
      <w:bookmarkStart w:id="1099" w:name="_Toc337558819"/>
      <w:r>
        <w:rPr>
          <w:rFonts w:hint="eastAsia"/>
          <w:color w:val="auto"/>
          <w:sz w:val="21"/>
          <w:szCs w:val="21"/>
          <w:highlight w:val="none"/>
        </w:rPr>
        <w:t>15.4 保修</w:t>
      </w:r>
      <w:bookmarkEnd w:id="1097"/>
      <w:bookmarkEnd w:id="1098"/>
    </w:p>
    <w:bookmarkEnd w:id="1093"/>
    <w:bookmarkEnd w:id="1094"/>
    <w:bookmarkEnd w:id="1099"/>
    <w:p w14:paraId="2EA58D4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15.4.1保修责任</w:t>
      </w:r>
    </w:p>
    <w:p w14:paraId="164842B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2B880E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发包人未经竣工验收擅自使用工程的，保修期自转移占有之日起算。</w:t>
      </w:r>
    </w:p>
    <w:p w14:paraId="007EFE9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15.4.2 修复费用</w:t>
      </w:r>
    </w:p>
    <w:p w14:paraId="16480CA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保修期内，修复的费用按照以下约定处理：</w:t>
      </w:r>
    </w:p>
    <w:p w14:paraId="0F36771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（1）保修期内，因承包人原因造成工程的缺陷、损坏，承包人应负责修复，并承担修复的费用以及因工程的缺陷、损坏造成的人身伤害和财产损失；</w:t>
      </w:r>
    </w:p>
    <w:p w14:paraId="70BD020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（2）保修期内，因发包人使用不当造成工程的缺陷、损坏，可以委托承包人修复，但发包人应承担修复的费用，并支付承包人合理利润；</w:t>
      </w:r>
    </w:p>
    <w:p w14:paraId="45E69FC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6803EDE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15.4.3 修复通知</w:t>
      </w:r>
    </w:p>
    <w:p w14:paraId="6026131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333D42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15.4.4 未能修复</w:t>
      </w:r>
    </w:p>
    <w:p w14:paraId="3DA749A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3729E8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15.4.5 承包人出入权</w:t>
      </w:r>
    </w:p>
    <w:p w14:paraId="3738D5E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3E98136">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00" w:name="_Toc532375602"/>
      <w:bookmarkStart w:id="1101" w:name="_Toc351203603"/>
      <w:bookmarkStart w:id="1102" w:name="_Toc532377291"/>
      <w:bookmarkStart w:id="1103" w:name="_Toc337558820"/>
      <w:r>
        <w:rPr>
          <w:rFonts w:hint="eastAsia"/>
          <w:color w:val="auto"/>
          <w:kern w:val="2"/>
          <w:sz w:val="21"/>
          <w:szCs w:val="21"/>
          <w:highlight w:val="none"/>
        </w:rPr>
        <w:t>16. 违约</w:t>
      </w:r>
      <w:bookmarkEnd w:id="1100"/>
      <w:bookmarkEnd w:id="1101"/>
      <w:bookmarkEnd w:id="1102"/>
    </w:p>
    <w:bookmarkEnd w:id="1103"/>
    <w:p w14:paraId="0226ACE4">
      <w:pPr>
        <w:pStyle w:val="7"/>
        <w:spacing w:before="0" w:beforeAutospacing="0" w:after="0" w:afterAutospacing="0" w:line="360" w:lineRule="auto"/>
        <w:ind w:firstLine="422" w:firstLineChars="200"/>
        <w:rPr>
          <w:color w:val="auto"/>
          <w:sz w:val="21"/>
          <w:szCs w:val="21"/>
          <w:highlight w:val="none"/>
        </w:rPr>
      </w:pPr>
      <w:bookmarkStart w:id="1104" w:name="_Toc296346630"/>
      <w:bookmarkStart w:id="1105" w:name="_Toc296503129"/>
      <w:bookmarkStart w:id="1106" w:name="_Toc532377292"/>
      <w:bookmarkStart w:id="1107" w:name="_Toc351203604"/>
      <w:bookmarkStart w:id="1108" w:name="_Toc337558821"/>
      <w:r>
        <w:rPr>
          <w:rFonts w:hint="eastAsia"/>
          <w:color w:val="auto"/>
          <w:sz w:val="21"/>
          <w:szCs w:val="21"/>
          <w:highlight w:val="none"/>
        </w:rPr>
        <w:t>16.1 发</w:t>
      </w:r>
      <w:bookmarkEnd w:id="1104"/>
      <w:bookmarkEnd w:id="1105"/>
      <w:r>
        <w:rPr>
          <w:rFonts w:hint="eastAsia"/>
          <w:color w:val="auto"/>
          <w:sz w:val="21"/>
          <w:szCs w:val="21"/>
          <w:highlight w:val="none"/>
        </w:rPr>
        <w:t>包人违约</w:t>
      </w:r>
      <w:bookmarkEnd w:id="1106"/>
      <w:bookmarkEnd w:id="1107"/>
    </w:p>
    <w:bookmarkEnd w:id="1108"/>
    <w:p w14:paraId="2EFE3B2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16.1.1 发包人违约的情形</w:t>
      </w:r>
    </w:p>
    <w:p w14:paraId="4EA4DDF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在合同履行过程中发生的下列情形，属于发包人违约：</w:t>
      </w:r>
    </w:p>
    <w:p w14:paraId="0629AEE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（1）因发包人原因未能在计划开工日期前7天内下达开工通知的；</w:t>
      </w:r>
    </w:p>
    <w:p w14:paraId="72095EE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（2）因发包人原因未能按合同约定支付合同价款的；</w:t>
      </w:r>
    </w:p>
    <w:p w14:paraId="5FFFEC9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（3）发包人违反第10.1款〔变更的范围〕第（2）项约定，自行实施被取消的工作或转由他人实施的；</w:t>
      </w:r>
    </w:p>
    <w:p w14:paraId="51EDC59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（4）发包人提供的材料、工程设备的规格、数量或质量不符合合同约定，或因发包人原因导致交货日期延误或交货地点变更等情况的；</w:t>
      </w:r>
    </w:p>
    <w:p w14:paraId="5314E6B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（5）因发包人违反合同约定造成暂停施工的；</w:t>
      </w:r>
    </w:p>
    <w:p w14:paraId="0F25CA6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（6）发包人无正当理由没有在约定期限内发出复工指示，导致承包人无法复工的；</w:t>
      </w:r>
    </w:p>
    <w:p w14:paraId="552A0BE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（7）发包人明确表示或者以其行为表明不履行合同主要义务的；</w:t>
      </w:r>
    </w:p>
    <w:p w14:paraId="3A7FF1E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（8）发包人未能按照合同约定履行其他义务的。</w:t>
      </w:r>
    </w:p>
    <w:p w14:paraId="15D9817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A2C92A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16.1.2 发包人违约的责任</w:t>
      </w:r>
    </w:p>
    <w:p w14:paraId="5EEE3F2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3B555A2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16.1.3 因发包人违约解除合同</w:t>
      </w:r>
    </w:p>
    <w:p w14:paraId="3ACBB32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D0DBB6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16.1.4 因发包人违约解除合同后的付款</w:t>
      </w:r>
    </w:p>
    <w:p w14:paraId="0F705D0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承包人按照本款约定解除合同的，发包人应在解除合同后28天内支付下列款项，并解除履约担保：</w:t>
      </w:r>
    </w:p>
    <w:p w14:paraId="1F689EA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（1）合同解除前所完成工作的价款；</w:t>
      </w:r>
    </w:p>
    <w:p w14:paraId="2ABC8B1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（2）承包人为工程施工订购并已付款的材料、工程设备和其他物品的价款；</w:t>
      </w:r>
    </w:p>
    <w:p w14:paraId="48C718F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（3）承包人撤离施工现场以及遣散承包人人员的款项；</w:t>
      </w:r>
    </w:p>
    <w:p w14:paraId="041878D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（4）按照合同约定在合同解除前应支付的违约金；</w:t>
      </w:r>
    </w:p>
    <w:p w14:paraId="28D74B5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（5）按照合同约定应当支付给承包人的其他款项；</w:t>
      </w:r>
    </w:p>
    <w:p w14:paraId="764EAED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（6）按照合同约定应退还的质量保证金；</w:t>
      </w:r>
    </w:p>
    <w:p w14:paraId="064746F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（7）因解除合同给承包人造成的损失。</w:t>
      </w:r>
    </w:p>
    <w:p w14:paraId="6B89B7D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合同当事人未能就解除合同后的结清达成一致的，按照第20条〔争议解决〕的约定处理。</w:t>
      </w:r>
    </w:p>
    <w:p w14:paraId="176F621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4621C5AC">
      <w:pPr>
        <w:pStyle w:val="7"/>
        <w:spacing w:before="0" w:beforeAutospacing="0" w:after="0" w:afterAutospacing="0" w:line="360" w:lineRule="auto"/>
        <w:ind w:firstLine="422" w:firstLineChars="200"/>
        <w:rPr>
          <w:color w:val="auto"/>
          <w:sz w:val="21"/>
          <w:szCs w:val="21"/>
          <w:highlight w:val="none"/>
        </w:rPr>
      </w:pPr>
      <w:bookmarkStart w:id="1109" w:name="_Toc351203605"/>
      <w:bookmarkStart w:id="1110" w:name="_Toc532377293"/>
      <w:bookmarkStart w:id="1111" w:name="_Toc296346632"/>
      <w:bookmarkStart w:id="1112" w:name="_Toc337558822"/>
      <w:bookmarkStart w:id="1113" w:name="_Toc296503131"/>
      <w:r>
        <w:rPr>
          <w:rFonts w:hint="eastAsia"/>
          <w:color w:val="auto"/>
          <w:sz w:val="21"/>
          <w:szCs w:val="21"/>
          <w:highlight w:val="none"/>
        </w:rPr>
        <w:t>16.2 承包人违约</w:t>
      </w:r>
      <w:bookmarkEnd w:id="1109"/>
      <w:bookmarkEnd w:id="1110"/>
    </w:p>
    <w:bookmarkEnd w:id="1111"/>
    <w:bookmarkEnd w:id="1112"/>
    <w:bookmarkEnd w:id="1113"/>
    <w:p w14:paraId="683AB66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16.2.1 承包人违约的情形</w:t>
      </w:r>
    </w:p>
    <w:p w14:paraId="5B6BAD6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在合同履行过程中发生的下列情形，属于承包人违约：</w:t>
      </w:r>
    </w:p>
    <w:p w14:paraId="43B7FA4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（1）承包人违反合同约定进行转包或违法分包的；</w:t>
      </w:r>
    </w:p>
    <w:p w14:paraId="3075C88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（2）承包人违反合同约定采购和使用不合格的材料和工程设备的；</w:t>
      </w:r>
    </w:p>
    <w:p w14:paraId="5D380A6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（3）因承包人原因导致工程质量不符合合同要求的； </w:t>
      </w:r>
    </w:p>
    <w:p w14:paraId="7E63CF0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（4）承包人违反第8.9款〔材料与设备专用要求〕的约定，未经批准，私自将已按照合同约定进入施工现场的材料或设备撤离施工现场的；</w:t>
      </w:r>
    </w:p>
    <w:p w14:paraId="26C3923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（5）承包人未能按施工进度计划及时完成合同约定的工作，造成工期延误的；</w:t>
      </w:r>
    </w:p>
    <w:p w14:paraId="6F90849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（6）承包人在缺陷责任期及保修期内，未能在合理期限对工程缺陷进行修复，或拒绝按发包人要求进行修复的；</w:t>
      </w:r>
    </w:p>
    <w:p w14:paraId="1982679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（7）承包人明确表示或者以其行为表明不履行合同主要义务的；</w:t>
      </w:r>
    </w:p>
    <w:p w14:paraId="30198E5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（8）承包人未能按照合同约定履行其他义务的。</w:t>
      </w:r>
    </w:p>
    <w:p w14:paraId="6CCE01E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承包人发生除本项第（7）目约定以外的其他违约情况时，监理人可向承包人发出整改通知，要求其在指定的期限内改正。</w:t>
      </w:r>
    </w:p>
    <w:p w14:paraId="5B8965D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16.2.2 承包人违约的责任</w:t>
      </w:r>
    </w:p>
    <w:p w14:paraId="0440F9B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承包人应承担因其违约行为而增加的费用和（或）延误的工期。此外，合同当事人可在专用合同条款中另行约定承包人违约责任的承担方式和计算方法。</w:t>
      </w:r>
    </w:p>
    <w:p w14:paraId="7C858C4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16.2.3 因承包人违约解除合同</w:t>
      </w:r>
    </w:p>
    <w:p w14:paraId="7FAE03B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0E2F02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16.2.4因承包人违约解除合同后的处理</w:t>
      </w:r>
    </w:p>
    <w:p w14:paraId="63DD654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因承包人原因导致合同解除的，则合同当事人应在合同解除后28天内完成估价、付款和清算，并按以下约定执行：</w:t>
      </w:r>
    </w:p>
    <w:p w14:paraId="161DFD9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（1）合同解除后，按第4.4款〔商定或确定〕商定或确定承包人实际完成工作对应的合同价款，以及承包人已提供的材料、工程设备、施工设备和临时工程等的价值；</w:t>
      </w:r>
    </w:p>
    <w:p w14:paraId="3E6BFCC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（2）合同解除后，承包人应支付的违约金；</w:t>
      </w:r>
    </w:p>
    <w:p w14:paraId="709F0E8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（3）合同解除后，因解除合同给发包人造成的损失；</w:t>
      </w:r>
    </w:p>
    <w:p w14:paraId="7AEB282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（4）合同解除后，承包人应按照发包人要求和监理人的指示完成现场的清理和撤离；</w:t>
      </w:r>
    </w:p>
    <w:p w14:paraId="26D0C8E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（5）发包人和承包人应在合同解除后进行清算，出具最终结清付款证书，结清全部款项。</w:t>
      </w:r>
    </w:p>
    <w:p w14:paraId="7E10936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4C66CF7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16.2.5采购合同权益转让</w:t>
      </w:r>
    </w:p>
    <w:p w14:paraId="034282A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C76F8E3">
      <w:pPr>
        <w:pStyle w:val="7"/>
        <w:spacing w:before="0" w:beforeAutospacing="0" w:after="0" w:afterAutospacing="0" w:line="360" w:lineRule="auto"/>
        <w:ind w:firstLine="422" w:firstLineChars="200"/>
        <w:rPr>
          <w:color w:val="auto"/>
          <w:sz w:val="21"/>
          <w:szCs w:val="21"/>
          <w:highlight w:val="none"/>
        </w:rPr>
      </w:pPr>
      <w:bookmarkStart w:id="1114" w:name="_Toc351203606"/>
      <w:bookmarkStart w:id="1115" w:name="_Toc532377294"/>
      <w:r>
        <w:rPr>
          <w:rFonts w:hint="eastAsia"/>
          <w:color w:val="auto"/>
          <w:sz w:val="21"/>
          <w:szCs w:val="21"/>
          <w:highlight w:val="none"/>
        </w:rPr>
        <w:t>16.3 第三人造成的违约</w:t>
      </w:r>
      <w:bookmarkEnd w:id="1114"/>
      <w:bookmarkEnd w:id="1115"/>
    </w:p>
    <w:p w14:paraId="0503A4A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16E4C44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16" w:name="_Toc532377295"/>
      <w:bookmarkStart w:id="1117" w:name="_Toc296346617"/>
      <w:bookmarkStart w:id="1118" w:name="_Toc296503116"/>
      <w:bookmarkStart w:id="1119" w:name="_Toc337558823"/>
      <w:bookmarkStart w:id="1120" w:name="_Toc351203607"/>
      <w:bookmarkStart w:id="1121" w:name="_Toc532375603"/>
      <w:r>
        <w:rPr>
          <w:rFonts w:hint="eastAsia"/>
          <w:color w:val="auto"/>
          <w:kern w:val="2"/>
          <w:sz w:val="21"/>
          <w:szCs w:val="21"/>
          <w:highlight w:val="none"/>
        </w:rPr>
        <w:t>17. 不可抗力</w:t>
      </w:r>
      <w:bookmarkEnd w:id="1116"/>
      <w:bookmarkEnd w:id="1117"/>
      <w:bookmarkEnd w:id="1118"/>
      <w:bookmarkEnd w:id="1119"/>
      <w:bookmarkEnd w:id="1120"/>
      <w:bookmarkEnd w:id="1121"/>
    </w:p>
    <w:p w14:paraId="7C97EF6C">
      <w:pPr>
        <w:pStyle w:val="7"/>
        <w:spacing w:before="0" w:beforeAutospacing="0" w:after="0" w:afterAutospacing="0" w:line="360" w:lineRule="auto"/>
        <w:ind w:firstLine="422" w:firstLineChars="200"/>
        <w:rPr>
          <w:color w:val="auto"/>
          <w:sz w:val="21"/>
          <w:szCs w:val="21"/>
          <w:highlight w:val="none"/>
        </w:rPr>
      </w:pPr>
      <w:bookmarkStart w:id="1122" w:name="_Toc532377296"/>
      <w:bookmarkStart w:id="1123" w:name="_Toc351203608"/>
      <w:bookmarkStart w:id="1124" w:name="_Toc337558824"/>
      <w:bookmarkStart w:id="1125" w:name="_Toc296346618"/>
      <w:bookmarkStart w:id="1126" w:name="_Toc296503117"/>
      <w:r>
        <w:rPr>
          <w:rFonts w:hint="eastAsia"/>
          <w:color w:val="auto"/>
          <w:sz w:val="21"/>
          <w:szCs w:val="21"/>
          <w:highlight w:val="none"/>
        </w:rPr>
        <w:t>17.1 不可抗力的确认</w:t>
      </w:r>
      <w:bookmarkEnd w:id="1122"/>
      <w:bookmarkEnd w:id="1123"/>
    </w:p>
    <w:bookmarkEnd w:id="1124"/>
    <w:bookmarkEnd w:id="1125"/>
    <w:bookmarkEnd w:id="1126"/>
    <w:p w14:paraId="16115DE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C42E18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B40BFA0">
      <w:pPr>
        <w:pStyle w:val="7"/>
        <w:spacing w:before="0" w:beforeAutospacing="0" w:after="0" w:afterAutospacing="0" w:line="360" w:lineRule="auto"/>
        <w:ind w:firstLine="422" w:firstLineChars="200"/>
        <w:rPr>
          <w:color w:val="auto"/>
          <w:sz w:val="21"/>
          <w:szCs w:val="21"/>
          <w:highlight w:val="none"/>
        </w:rPr>
      </w:pPr>
      <w:bookmarkStart w:id="1127" w:name="_Toc532377297"/>
      <w:bookmarkStart w:id="1128" w:name="_Toc351203609"/>
      <w:bookmarkStart w:id="1129" w:name="_Toc337558825"/>
      <w:bookmarkStart w:id="1130" w:name="_Toc296346619"/>
      <w:bookmarkStart w:id="1131" w:name="_Toc296503118"/>
      <w:r>
        <w:rPr>
          <w:rFonts w:hint="eastAsia"/>
          <w:color w:val="auto"/>
          <w:sz w:val="21"/>
          <w:szCs w:val="21"/>
          <w:highlight w:val="none"/>
        </w:rPr>
        <w:t>17.2 不可抗力的通知</w:t>
      </w:r>
      <w:bookmarkEnd w:id="1127"/>
      <w:bookmarkEnd w:id="1128"/>
    </w:p>
    <w:bookmarkEnd w:id="1129"/>
    <w:bookmarkEnd w:id="1130"/>
    <w:bookmarkEnd w:id="1131"/>
    <w:p w14:paraId="2AAF7C3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6DB5866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C0E3C19">
      <w:pPr>
        <w:pStyle w:val="7"/>
        <w:spacing w:before="0" w:beforeAutospacing="0" w:after="0" w:afterAutospacing="0" w:line="360" w:lineRule="auto"/>
        <w:ind w:firstLine="422" w:firstLineChars="200"/>
        <w:rPr>
          <w:color w:val="auto"/>
          <w:sz w:val="21"/>
          <w:szCs w:val="21"/>
          <w:highlight w:val="none"/>
        </w:rPr>
      </w:pPr>
      <w:bookmarkStart w:id="1132" w:name="_Toc532377298"/>
      <w:r>
        <w:rPr>
          <w:rFonts w:hint="eastAsia"/>
          <w:color w:val="auto"/>
          <w:sz w:val="21"/>
          <w:szCs w:val="21"/>
          <w:highlight w:val="none"/>
        </w:rPr>
        <w:t>17.3 不可抗力后果的承担</w:t>
      </w:r>
      <w:bookmarkEnd w:id="1132"/>
    </w:p>
    <w:p w14:paraId="344FC9A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14:paraId="172309C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17.3.2 不可抗力导致的人员伤亡、财产损失、费用增加和（或）工期延误等后果，由合同当事人按以下原则承担：</w:t>
      </w:r>
    </w:p>
    <w:p w14:paraId="07BCC40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（1）永久工程、已运至施工现场的材料和工程设备的损坏，以及因工程损坏造成的第三人人员伤亡和财产损失由发包人承担；</w:t>
      </w:r>
    </w:p>
    <w:p w14:paraId="4333559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（2）承包人施工设备的损坏由承包人承担；</w:t>
      </w:r>
    </w:p>
    <w:p w14:paraId="41DC152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（3）发包人和承包人承担各自人员伤亡和财产的损失；</w:t>
      </w:r>
    </w:p>
    <w:p w14:paraId="6BAB9A9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EC97A23">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（5）因不可抗力引起或将引起工期延误，发包人要求赶工的，由此增加的赶工费用由发包人承担；</w:t>
      </w:r>
    </w:p>
    <w:p w14:paraId="0840AFB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（6）承包人在停工期间按照发包人要求照管、清理和修复工程的费用由发包人承担。</w:t>
      </w:r>
    </w:p>
    <w:p w14:paraId="0EB4A8DB">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不可抗力发生后，合同当事人均应采取措施尽量避免和减少损失的扩大，任何一方当事人没有采取有效措施导致损失扩大的，应对扩大的损失承担责任。</w:t>
      </w:r>
    </w:p>
    <w:p w14:paraId="0A2F718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因合同一方迟延履行合同义务，在迟延履行期间遭遇不可抗力的，不免除其违约责任。</w:t>
      </w:r>
    </w:p>
    <w:p w14:paraId="55C5AF25">
      <w:pPr>
        <w:pStyle w:val="7"/>
        <w:spacing w:before="0" w:beforeAutospacing="0" w:after="0" w:afterAutospacing="0" w:line="360" w:lineRule="auto"/>
        <w:ind w:firstLine="422" w:firstLineChars="200"/>
        <w:rPr>
          <w:color w:val="auto"/>
          <w:sz w:val="21"/>
          <w:szCs w:val="21"/>
          <w:highlight w:val="none"/>
        </w:rPr>
      </w:pPr>
      <w:bookmarkStart w:id="1133" w:name="_Toc532377299"/>
      <w:bookmarkStart w:id="1134" w:name="_Toc351203611"/>
      <w:bookmarkStart w:id="1135" w:name="_Toc337558827"/>
      <w:r>
        <w:rPr>
          <w:rFonts w:hint="eastAsia"/>
          <w:color w:val="auto"/>
          <w:sz w:val="21"/>
          <w:szCs w:val="21"/>
          <w:highlight w:val="none"/>
        </w:rPr>
        <w:t>17.4 因不可抗力解除合同</w:t>
      </w:r>
      <w:bookmarkEnd w:id="1133"/>
      <w:bookmarkEnd w:id="1134"/>
    </w:p>
    <w:bookmarkEnd w:id="1135"/>
    <w:p w14:paraId="0CD59CB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080077F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（1）合同解除前承包人已完成工作的价款；</w:t>
      </w:r>
    </w:p>
    <w:p w14:paraId="00682C0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（2）承包人为工程订购的并已交付给承包人，或承包人有责任接受交付的材料、工程设备和其他物品的价款；</w:t>
      </w:r>
    </w:p>
    <w:p w14:paraId="42AA2F6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（3）发包人要求承包人退货或解除订货合同而产生的费用，或因不能退货或解除合同而产生的损失；</w:t>
      </w:r>
    </w:p>
    <w:p w14:paraId="750EF5B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（4）承包人撤离施工现场以及遣散承包人人员的费用；</w:t>
      </w:r>
    </w:p>
    <w:p w14:paraId="0E1B6B4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（5）按照合同约定在合同解除前应支付给承包人的其他款项；</w:t>
      </w:r>
    </w:p>
    <w:p w14:paraId="2EF4864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（6）扣减承包人按照合同约定应向发包人支付的款项；</w:t>
      </w:r>
    </w:p>
    <w:p w14:paraId="54BE6C1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（7）双方商定或确定的其他款项。</w:t>
      </w:r>
    </w:p>
    <w:p w14:paraId="3663AC0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除专用合同条款另有约定外，合同解除后，发包人应在商定或确定上述款项后28天内完成上述款项的支付。</w:t>
      </w:r>
    </w:p>
    <w:p w14:paraId="0B84828C">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36" w:name="_Toc351203612"/>
      <w:bookmarkStart w:id="1137" w:name="_Toc532377300"/>
      <w:bookmarkStart w:id="1138" w:name="_Toc532375604"/>
      <w:bookmarkStart w:id="1139" w:name="_Toc337558828"/>
      <w:bookmarkStart w:id="1140" w:name="_Toc296503120"/>
      <w:bookmarkStart w:id="1141" w:name="_Toc296346621"/>
      <w:r>
        <w:rPr>
          <w:rFonts w:hint="eastAsia"/>
          <w:color w:val="auto"/>
          <w:kern w:val="2"/>
          <w:sz w:val="21"/>
          <w:szCs w:val="21"/>
          <w:highlight w:val="none"/>
        </w:rPr>
        <w:t>18. 保险</w:t>
      </w:r>
      <w:bookmarkEnd w:id="1136"/>
      <w:bookmarkEnd w:id="1137"/>
      <w:bookmarkEnd w:id="1138"/>
    </w:p>
    <w:bookmarkEnd w:id="1139"/>
    <w:bookmarkEnd w:id="1140"/>
    <w:bookmarkEnd w:id="1141"/>
    <w:p w14:paraId="0E4EAF6A">
      <w:pPr>
        <w:pStyle w:val="7"/>
        <w:spacing w:before="0" w:beforeAutospacing="0" w:after="0" w:afterAutospacing="0" w:line="360" w:lineRule="auto"/>
        <w:ind w:firstLine="422" w:firstLineChars="200"/>
        <w:rPr>
          <w:color w:val="auto"/>
          <w:sz w:val="21"/>
          <w:szCs w:val="21"/>
          <w:highlight w:val="none"/>
        </w:rPr>
      </w:pPr>
      <w:bookmarkStart w:id="1142" w:name="_Toc351203613"/>
      <w:bookmarkStart w:id="1143" w:name="_Toc532377301"/>
      <w:bookmarkStart w:id="1144" w:name="_Toc296503121"/>
      <w:bookmarkStart w:id="1145" w:name="_Toc296346622"/>
      <w:bookmarkStart w:id="1146" w:name="_Toc337558829"/>
      <w:r>
        <w:rPr>
          <w:rFonts w:hint="eastAsia"/>
          <w:color w:val="auto"/>
          <w:sz w:val="21"/>
          <w:szCs w:val="21"/>
          <w:highlight w:val="none"/>
        </w:rPr>
        <w:t>18.1 工程保险</w:t>
      </w:r>
      <w:bookmarkEnd w:id="1142"/>
      <w:bookmarkEnd w:id="1143"/>
    </w:p>
    <w:bookmarkEnd w:id="1144"/>
    <w:bookmarkEnd w:id="1145"/>
    <w:bookmarkEnd w:id="1146"/>
    <w:p w14:paraId="1A4A236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14:paraId="5A421CF6">
      <w:pPr>
        <w:pStyle w:val="7"/>
        <w:spacing w:before="0" w:beforeAutospacing="0" w:after="0" w:afterAutospacing="0" w:line="360" w:lineRule="auto"/>
        <w:ind w:firstLine="422" w:firstLineChars="200"/>
        <w:rPr>
          <w:color w:val="auto"/>
          <w:sz w:val="21"/>
          <w:szCs w:val="21"/>
          <w:highlight w:val="none"/>
        </w:rPr>
      </w:pPr>
      <w:bookmarkStart w:id="1147" w:name="_Toc532377302"/>
      <w:bookmarkStart w:id="1148" w:name="_Toc351203614"/>
      <w:bookmarkStart w:id="1149" w:name="_Toc296346623"/>
      <w:bookmarkStart w:id="1150" w:name="_Toc337558830"/>
      <w:bookmarkStart w:id="1151" w:name="_Toc296503122"/>
      <w:r>
        <w:rPr>
          <w:rFonts w:hint="eastAsia"/>
          <w:color w:val="auto"/>
          <w:sz w:val="21"/>
          <w:szCs w:val="21"/>
          <w:highlight w:val="none"/>
        </w:rPr>
        <w:t>18.2 工伤保险</w:t>
      </w:r>
      <w:bookmarkEnd w:id="1147"/>
      <w:bookmarkEnd w:id="1148"/>
    </w:p>
    <w:bookmarkEnd w:id="1149"/>
    <w:bookmarkEnd w:id="1150"/>
    <w:bookmarkEnd w:id="1151"/>
    <w:p w14:paraId="0D62EBA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6532E8A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6E88A7CA">
      <w:pPr>
        <w:pStyle w:val="7"/>
        <w:spacing w:before="0" w:beforeAutospacing="0" w:after="0" w:afterAutospacing="0" w:line="360" w:lineRule="auto"/>
        <w:ind w:firstLine="422" w:firstLineChars="200"/>
        <w:rPr>
          <w:color w:val="auto"/>
          <w:sz w:val="21"/>
          <w:szCs w:val="21"/>
          <w:highlight w:val="none"/>
        </w:rPr>
      </w:pPr>
      <w:bookmarkStart w:id="1152" w:name="_Toc351203615"/>
      <w:bookmarkStart w:id="1153" w:name="_Toc532377303"/>
      <w:bookmarkStart w:id="1154" w:name="_Toc296346626"/>
      <w:bookmarkStart w:id="1155" w:name="_Toc296503125"/>
      <w:bookmarkStart w:id="1156" w:name="_Toc337558831"/>
      <w:r>
        <w:rPr>
          <w:rFonts w:hint="eastAsia"/>
          <w:color w:val="auto"/>
          <w:sz w:val="21"/>
          <w:szCs w:val="21"/>
          <w:highlight w:val="none"/>
        </w:rPr>
        <w:t>18.3其他保险</w:t>
      </w:r>
      <w:bookmarkEnd w:id="1152"/>
      <w:bookmarkEnd w:id="1153"/>
    </w:p>
    <w:bookmarkEnd w:id="1154"/>
    <w:bookmarkEnd w:id="1155"/>
    <w:bookmarkEnd w:id="1156"/>
    <w:p w14:paraId="43EE916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7C00FAC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除专用合同条款另有约定外，承包人应为其施工设备等办理财产保险。</w:t>
      </w:r>
    </w:p>
    <w:p w14:paraId="4135A009">
      <w:pPr>
        <w:pStyle w:val="7"/>
        <w:spacing w:before="0" w:beforeAutospacing="0" w:after="0" w:afterAutospacing="0" w:line="360" w:lineRule="auto"/>
        <w:ind w:firstLine="422" w:firstLineChars="200"/>
        <w:rPr>
          <w:color w:val="auto"/>
          <w:sz w:val="21"/>
          <w:szCs w:val="21"/>
          <w:highlight w:val="none"/>
        </w:rPr>
      </w:pPr>
      <w:bookmarkStart w:id="1157" w:name="_Toc532377304"/>
      <w:bookmarkStart w:id="1158" w:name="_Toc351203616"/>
      <w:r>
        <w:rPr>
          <w:rFonts w:hint="eastAsia"/>
          <w:color w:val="auto"/>
          <w:sz w:val="21"/>
          <w:szCs w:val="21"/>
          <w:highlight w:val="none"/>
        </w:rPr>
        <w:t>18.4持续保险</w:t>
      </w:r>
      <w:bookmarkEnd w:id="1157"/>
      <w:bookmarkEnd w:id="1158"/>
    </w:p>
    <w:p w14:paraId="52BD148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合同当事人应与保险人保持联系，使保险人能够随时了解工程实施中的变动，并确保按保险合同条款要求持续保险。</w:t>
      </w:r>
    </w:p>
    <w:p w14:paraId="045AB53B">
      <w:pPr>
        <w:pStyle w:val="7"/>
        <w:spacing w:before="0" w:beforeAutospacing="0" w:after="0" w:afterAutospacing="0" w:line="360" w:lineRule="auto"/>
        <w:ind w:firstLine="422" w:firstLineChars="200"/>
        <w:rPr>
          <w:color w:val="auto"/>
          <w:sz w:val="21"/>
          <w:szCs w:val="21"/>
          <w:highlight w:val="none"/>
        </w:rPr>
      </w:pPr>
      <w:bookmarkStart w:id="1159" w:name="_Toc532377305"/>
      <w:bookmarkStart w:id="1160" w:name="_Toc351203617"/>
      <w:bookmarkStart w:id="1161" w:name="_Toc296503126"/>
      <w:bookmarkStart w:id="1162" w:name="_Toc296346627"/>
      <w:bookmarkStart w:id="1163" w:name="_Toc337558832"/>
      <w:r>
        <w:rPr>
          <w:rFonts w:hint="eastAsia"/>
          <w:color w:val="auto"/>
          <w:sz w:val="21"/>
          <w:szCs w:val="21"/>
          <w:highlight w:val="none"/>
        </w:rPr>
        <w:t>18.5 保险凭证</w:t>
      </w:r>
      <w:bookmarkEnd w:id="1159"/>
      <w:bookmarkEnd w:id="1160"/>
    </w:p>
    <w:bookmarkEnd w:id="1161"/>
    <w:bookmarkEnd w:id="1162"/>
    <w:bookmarkEnd w:id="1163"/>
    <w:p w14:paraId="2BA1878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合同当事人应及时向另一方当事人提交其已投保的各项保险的凭证和保险单复印件。</w:t>
      </w:r>
    </w:p>
    <w:p w14:paraId="03D48BDC">
      <w:pPr>
        <w:pStyle w:val="7"/>
        <w:spacing w:before="0" w:beforeAutospacing="0" w:after="0" w:afterAutospacing="0" w:line="360" w:lineRule="auto"/>
        <w:ind w:firstLine="422" w:firstLineChars="200"/>
        <w:rPr>
          <w:color w:val="auto"/>
          <w:sz w:val="21"/>
          <w:szCs w:val="21"/>
          <w:highlight w:val="none"/>
        </w:rPr>
      </w:pPr>
      <w:bookmarkStart w:id="1164" w:name="_Toc351203618"/>
      <w:bookmarkStart w:id="1165" w:name="_Toc532377306"/>
      <w:bookmarkStart w:id="1166" w:name="_Toc296346628"/>
      <w:bookmarkStart w:id="1167" w:name="_Toc296503127"/>
      <w:bookmarkStart w:id="1168" w:name="_Toc337558833"/>
      <w:r>
        <w:rPr>
          <w:rFonts w:hint="eastAsia"/>
          <w:color w:val="auto"/>
          <w:sz w:val="21"/>
          <w:szCs w:val="21"/>
          <w:highlight w:val="none"/>
        </w:rPr>
        <w:t>18.6 未按约定投保的补救</w:t>
      </w:r>
      <w:bookmarkEnd w:id="1164"/>
      <w:bookmarkEnd w:id="1165"/>
    </w:p>
    <w:bookmarkEnd w:id="1166"/>
    <w:bookmarkEnd w:id="1167"/>
    <w:bookmarkEnd w:id="1168"/>
    <w:p w14:paraId="15F639D7">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5D2904F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3AE60C82">
      <w:pPr>
        <w:pStyle w:val="7"/>
        <w:spacing w:before="0" w:beforeAutospacing="0" w:after="0" w:afterAutospacing="0" w:line="360" w:lineRule="auto"/>
        <w:ind w:firstLine="422" w:firstLineChars="200"/>
        <w:rPr>
          <w:color w:val="auto"/>
          <w:sz w:val="21"/>
          <w:szCs w:val="21"/>
          <w:highlight w:val="none"/>
        </w:rPr>
      </w:pPr>
      <w:bookmarkStart w:id="1169" w:name="_Toc351203619"/>
      <w:bookmarkStart w:id="1170" w:name="_Toc532377307"/>
      <w:bookmarkStart w:id="1171" w:name="_Toc337558834"/>
      <w:r>
        <w:rPr>
          <w:rFonts w:hint="eastAsia"/>
          <w:color w:val="auto"/>
          <w:sz w:val="21"/>
          <w:szCs w:val="21"/>
          <w:highlight w:val="none"/>
        </w:rPr>
        <w:t>18.7 通知义务</w:t>
      </w:r>
      <w:bookmarkEnd w:id="1169"/>
      <w:bookmarkEnd w:id="1170"/>
    </w:p>
    <w:bookmarkEnd w:id="1171"/>
    <w:p w14:paraId="5E69046C">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5C220298">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保险事故发生时，投保人应按照保险合同规定的条件和期限及时向保险人报告。发包人和承包人应当在知道保险事故发生后及时通知对方。</w:t>
      </w:r>
    </w:p>
    <w:p w14:paraId="1B82C0F2">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72" w:name="_Toc532375605"/>
      <w:bookmarkStart w:id="1173" w:name="_Toc532377308"/>
      <w:r>
        <w:rPr>
          <w:rFonts w:hint="eastAsia"/>
          <w:color w:val="auto"/>
          <w:kern w:val="2"/>
          <w:sz w:val="21"/>
          <w:szCs w:val="21"/>
          <w:highlight w:val="none"/>
        </w:rPr>
        <w:t>19. 索赔</w:t>
      </w:r>
      <w:bookmarkEnd w:id="1172"/>
      <w:bookmarkEnd w:id="1173"/>
    </w:p>
    <w:p w14:paraId="75B0E192">
      <w:pPr>
        <w:pStyle w:val="7"/>
        <w:spacing w:before="0" w:beforeAutospacing="0" w:after="0" w:afterAutospacing="0" w:line="360" w:lineRule="auto"/>
        <w:ind w:firstLine="422" w:firstLineChars="200"/>
        <w:rPr>
          <w:color w:val="auto"/>
          <w:sz w:val="21"/>
          <w:szCs w:val="21"/>
          <w:highlight w:val="none"/>
        </w:rPr>
      </w:pPr>
      <w:bookmarkStart w:id="1174" w:name="_Toc532377309"/>
      <w:r>
        <w:rPr>
          <w:rFonts w:hint="eastAsia"/>
          <w:color w:val="auto"/>
          <w:sz w:val="21"/>
          <w:szCs w:val="21"/>
          <w:highlight w:val="none"/>
        </w:rPr>
        <w:t>19.1承包人的索赔</w:t>
      </w:r>
      <w:bookmarkEnd w:id="1174"/>
    </w:p>
    <w:p w14:paraId="58D4328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根据合同约定，承包人认为有权得到追加付款和（或）延长工期的，应按以下程序向发包人提出索赔：</w:t>
      </w:r>
    </w:p>
    <w:p w14:paraId="29BA6A5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C23F6E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002A76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14:paraId="2915EB6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（4）在索赔事件影响结束后28天内，承包人应向监理人递交最终索赔报告，说明最终要求索赔的追加付款金额和（或）延长的工期，并附必要的记录和证明材料。</w:t>
      </w:r>
    </w:p>
    <w:p w14:paraId="1B06F9F6">
      <w:pPr>
        <w:pStyle w:val="7"/>
        <w:spacing w:before="0" w:beforeAutospacing="0" w:after="0" w:afterAutospacing="0" w:line="360" w:lineRule="auto"/>
        <w:ind w:firstLine="422" w:firstLineChars="200"/>
        <w:rPr>
          <w:color w:val="auto"/>
          <w:sz w:val="21"/>
          <w:szCs w:val="21"/>
          <w:highlight w:val="none"/>
        </w:rPr>
      </w:pPr>
      <w:bookmarkStart w:id="1175" w:name="_Toc532377310"/>
      <w:bookmarkStart w:id="1176" w:name="_Toc351203622"/>
      <w:bookmarkStart w:id="1177" w:name="_Toc296346643"/>
      <w:bookmarkStart w:id="1178" w:name="_Toc337558837"/>
      <w:bookmarkStart w:id="1179" w:name="_Toc296503142"/>
      <w:r>
        <w:rPr>
          <w:rFonts w:hint="eastAsia"/>
          <w:color w:val="auto"/>
          <w:sz w:val="21"/>
          <w:szCs w:val="21"/>
          <w:highlight w:val="none"/>
        </w:rPr>
        <w:t>19.2 对承包人索赔的处理</w:t>
      </w:r>
      <w:bookmarkEnd w:id="1175"/>
      <w:bookmarkEnd w:id="1176"/>
    </w:p>
    <w:bookmarkEnd w:id="1177"/>
    <w:bookmarkEnd w:id="1178"/>
    <w:bookmarkEnd w:id="1179"/>
    <w:p w14:paraId="5D98EDD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对承包人索赔的处理如下：</w:t>
      </w:r>
    </w:p>
    <w:p w14:paraId="15BD26C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（1）监理人应在收到索赔报告后14天内完成审查并报送发包人。监理人对索赔报告存在异议的，有权要求承包人提交全部原始记录副本；</w:t>
      </w:r>
    </w:p>
    <w:p w14:paraId="30F87D7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0C9B9A8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（3）承包人接受索赔处理结果的，索赔款项在当期进度款中进行支付；承包人不接受索赔处理结果的，按照第20条〔争议解决〕约定处理。</w:t>
      </w:r>
    </w:p>
    <w:p w14:paraId="43B07863">
      <w:pPr>
        <w:pStyle w:val="7"/>
        <w:spacing w:before="0" w:beforeAutospacing="0" w:after="0" w:afterAutospacing="0" w:line="360" w:lineRule="auto"/>
        <w:ind w:firstLine="422" w:firstLineChars="200"/>
        <w:rPr>
          <w:color w:val="auto"/>
          <w:sz w:val="21"/>
          <w:szCs w:val="21"/>
          <w:highlight w:val="none"/>
        </w:rPr>
      </w:pPr>
      <w:bookmarkStart w:id="1180" w:name="_Toc532377311"/>
      <w:bookmarkStart w:id="1181" w:name="_Toc351203623"/>
      <w:bookmarkStart w:id="1182" w:name="_Toc296346644"/>
      <w:bookmarkStart w:id="1183" w:name="_Toc296503143"/>
      <w:bookmarkStart w:id="1184" w:name="_Toc337558838"/>
      <w:r>
        <w:rPr>
          <w:rFonts w:hint="eastAsia"/>
          <w:color w:val="auto"/>
          <w:sz w:val="21"/>
          <w:szCs w:val="21"/>
          <w:highlight w:val="none"/>
        </w:rPr>
        <w:t>19.3发包人的索赔</w:t>
      </w:r>
      <w:bookmarkEnd w:id="1180"/>
      <w:bookmarkEnd w:id="1181"/>
    </w:p>
    <w:bookmarkEnd w:id="1182"/>
    <w:bookmarkEnd w:id="1183"/>
    <w:bookmarkEnd w:id="1184"/>
    <w:p w14:paraId="11B2667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根据合同约定，发包人认为有权得到赔付金额和（或）延长缺陷责任期的，监理人应向承包人发出通知并附有详细的证明。</w:t>
      </w:r>
    </w:p>
    <w:p w14:paraId="5D69613F">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ED04376">
      <w:pPr>
        <w:pStyle w:val="7"/>
        <w:spacing w:before="0" w:beforeAutospacing="0" w:after="0" w:afterAutospacing="0" w:line="360" w:lineRule="auto"/>
        <w:ind w:firstLine="422" w:firstLineChars="200"/>
        <w:rPr>
          <w:color w:val="auto"/>
          <w:sz w:val="21"/>
          <w:szCs w:val="21"/>
          <w:highlight w:val="none"/>
        </w:rPr>
      </w:pPr>
      <w:bookmarkStart w:id="1185" w:name="_Toc351203624"/>
      <w:bookmarkStart w:id="1186" w:name="_Toc532377312"/>
      <w:bookmarkStart w:id="1187" w:name="_Toc296503144"/>
      <w:bookmarkStart w:id="1188" w:name="_Toc296346645"/>
      <w:bookmarkStart w:id="1189" w:name="_Toc337558839"/>
      <w:r>
        <w:rPr>
          <w:rFonts w:hint="eastAsia"/>
          <w:color w:val="auto"/>
          <w:sz w:val="21"/>
          <w:szCs w:val="21"/>
          <w:highlight w:val="none"/>
        </w:rPr>
        <w:t>19.4 对发包人索赔的处理</w:t>
      </w:r>
      <w:bookmarkEnd w:id="1185"/>
      <w:bookmarkEnd w:id="1186"/>
    </w:p>
    <w:bookmarkEnd w:id="1187"/>
    <w:bookmarkEnd w:id="1188"/>
    <w:bookmarkEnd w:id="1189"/>
    <w:p w14:paraId="7996C88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14:paraId="5C4E548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（1）承包人收到发包人提交的索赔报告后，应及时审查索赔报告的内容、查验发包人证明材料；</w:t>
      </w:r>
    </w:p>
    <w:p w14:paraId="460BD97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791A01A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1EF9C3C5">
      <w:pPr>
        <w:pStyle w:val="7"/>
        <w:spacing w:before="0" w:beforeAutospacing="0" w:after="0" w:afterAutospacing="0" w:line="360" w:lineRule="auto"/>
        <w:ind w:firstLine="420" w:firstLineChars="200"/>
        <w:rPr>
          <w:b w:val="0"/>
          <w:color w:val="auto"/>
          <w:sz w:val="21"/>
          <w:szCs w:val="21"/>
          <w:highlight w:val="none"/>
        </w:rPr>
      </w:pPr>
      <w:bookmarkStart w:id="1190" w:name="_Toc351203625"/>
      <w:bookmarkStart w:id="1191" w:name="_Toc532377313"/>
      <w:r>
        <w:rPr>
          <w:rFonts w:hint="eastAsia"/>
          <w:b w:val="0"/>
          <w:color w:val="auto"/>
          <w:sz w:val="21"/>
          <w:szCs w:val="21"/>
          <w:highlight w:val="none"/>
        </w:rPr>
        <w:t>19.5 提出索赔的期限</w:t>
      </w:r>
      <w:bookmarkEnd w:id="1190"/>
      <w:bookmarkEnd w:id="1191"/>
    </w:p>
    <w:p w14:paraId="4716D4B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（1）承包人按第14.2款〔竣工结算审核〕约定接收竣工付款证书后，应被视为已无权再提出在工程接收证书颁发前所发生的任何索赔。</w:t>
      </w:r>
    </w:p>
    <w:p w14:paraId="2EE68702">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（2）承包人按第14.4款〔最终结清〕提交的最终结清申请单中，只限于提出工程接收证书颁发后发生的索赔。提出索赔的期限自接受最终结清证书时终止。</w:t>
      </w:r>
    </w:p>
    <w:p w14:paraId="386BFFEF">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92" w:name="_Toc532375606"/>
      <w:bookmarkStart w:id="1193" w:name="_Toc532377314"/>
      <w:bookmarkStart w:id="1194" w:name="_Toc351203626"/>
      <w:r>
        <w:rPr>
          <w:rFonts w:hint="eastAsia"/>
          <w:color w:val="auto"/>
          <w:kern w:val="2"/>
          <w:sz w:val="21"/>
          <w:szCs w:val="21"/>
          <w:highlight w:val="none"/>
        </w:rPr>
        <w:t>20</w:t>
      </w:r>
      <w:bookmarkStart w:id="1195" w:name="_Toc296503146"/>
      <w:bookmarkStart w:id="1196" w:name="_Toc337558840"/>
      <w:bookmarkStart w:id="1197" w:name="_Toc296346647"/>
      <w:r>
        <w:rPr>
          <w:rFonts w:hint="eastAsia"/>
          <w:color w:val="auto"/>
          <w:kern w:val="2"/>
          <w:sz w:val="21"/>
          <w:szCs w:val="21"/>
          <w:highlight w:val="none"/>
        </w:rPr>
        <w:t>. 争议解决</w:t>
      </w:r>
      <w:bookmarkEnd w:id="1192"/>
      <w:bookmarkEnd w:id="1193"/>
      <w:bookmarkEnd w:id="1194"/>
    </w:p>
    <w:bookmarkEnd w:id="1195"/>
    <w:bookmarkEnd w:id="1196"/>
    <w:bookmarkEnd w:id="1197"/>
    <w:p w14:paraId="2E79CE3F">
      <w:pPr>
        <w:pStyle w:val="7"/>
        <w:spacing w:before="0" w:beforeAutospacing="0" w:after="0" w:afterAutospacing="0" w:line="360" w:lineRule="auto"/>
        <w:ind w:firstLine="422" w:firstLineChars="200"/>
        <w:rPr>
          <w:color w:val="auto"/>
          <w:sz w:val="21"/>
          <w:szCs w:val="21"/>
          <w:highlight w:val="none"/>
        </w:rPr>
      </w:pPr>
      <w:bookmarkStart w:id="1198" w:name="_Toc351203627"/>
      <w:bookmarkStart w:id="1199" w:name="_Toc532377315"/>
      <w:bookmarkStart w:id="1200" w:name="_Toc296346648"/>
      <w:bookmarkStart w:id="1201" w:name="_Toc337558841"/>
      <w:bookmarkStart w:id="1202" w:name="_Toc296503147"/>
      <w:r>
        <w:rPr>
          <w:rFonts w:hint="eastAsia"/>
          <w:color w:val="auto"/>
          <w:sz w:val="21"/>
          <w:szCs w:val="21"/>
          <w:highlight w:val="none"/>
        </w:rPr>
        <w:t>20.1和解</w:t>
      </w:r>
      <w:bookmarkEnd w:id="1198"/>
      <w:bookmarkEnd w:id="1199"/>
    </w:p>
    <w:bookmarkEnd w:id="1200"/>
    <w:bookmarkEnd w:id="1201"/>
    <w:bookmarkEnd w:id="1202"/>
    <w:p w14:paraId="4EFE62A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合同当事人可以就争议自行和解，自行和解达成协议的经双方签字并盖章后作为合同补充文件，双方均应遵照执行。</w:t>
      </w:r>
    </w:p>
    <w:p w14:paraId="390997B9">
      <w:pPr>
        <w:pStyle w:val="7"/>
        <w:spacing w:before="0" w:beforeAutospacing="0" w:after="0" w:afterAutospacing="0" w:line="360" w:lineRule="auto"/>
        <w:ind w:firstLine="422" w:firstLineChars="200"/>
        <w:rPr>
          <w:color w:val="auto"/>
          <w:sz w:val="21"/>
          <w:szCs w:val="21"/>
          <w:highlight w:val="none"/>
        </w:rPr>
      </w:pPr>
      <w:bookmarkStart w:id="1203" w:name="_Toc351203628"/>
      <w:bookmarkStart w:id="1204" w:name="_Toc532377316"/>
      <w:r>
        <w:rPr>
          <w:rFonts w:hint="eastAsia"/>
          <w:color w:val="auto"/>
          <w:sz w:val="21"/>
          <w:szCs w:val="21"/>
          <w:highlight w:val="none"/>
        </w:rPr>
        <w:t>20</w:t>
      </w:r>
      <w:bookmarkStart w:id="1205" w:name="_Toc296346649"/>
      <w:bookmarkStart w:id="1206" w:name="_Toc337558842"/>
      <w:bookmarkStart w:id="1207" w:name="_Toc296503148"/>
      <w:r>
        <w:rPr>
          <w:rFonts w:hint="eastAsia"/>
          <w:color w:val="auto"/>
          <w:sz w:val="21"/>
          <w:szCs w:val="21"/>
          <w:highlight w:val="none"/>
        </w:rPr>
        <w:t>.2调解</w:t>
      </w:r>
      <w:bookmarkEnd w:id="1203"/>
      <w:bookmarkEnd w:id="1204"/>
    </w:p>
    <w:bookmarkEnd w:id="1205"/>
    <w:bookmarkEnd w:id="1206"/>
    <w:bookmarkEnd w:id="1207"/>
    <w:p w14:paraId="32E4EB9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合同当事人可以就争议请求建设行政主管部门、行业协会或其他第三方进行调解，调解达成协议的，经双方签字并盖章后作为合同补充文件，双方均应遵照执行。</w:t>
      </w:r>
    </w:p>
    <w:p w14:paraId="569B50D9">
      <w:pPr>
        <w:pStyle w:val="7"/>
        <w:spacing w:before="0" w:beforeAutospacing="0" w:after="0" w:afterAutospacing="0" w:line="360" w:lineRule="auto"/>
        <w:ind w:firstLine="422" w:firstLineChars="200"/>
        <w:rPr>
          <w:color w:val="auto"/>
          <w:sz w:val="21"/>
          <w:szCs w:val="21"/>
          <w:highlight w:val="none"/>
        </w:rPr>
      </w:pPr>
      <w:bookmarkStart w:id="1208" w:name="_Toc532377317"/>
      <w:bookmarkStart w:id="1209" w:name="_Toc351203629"/>
      <w:bookmarkStart w:id="1210" w:name="_Toc337558843"/>
      <w:bookmarkStart w:id="1211" w:name="_Toc296503149"/>
      <w:bookmarkStart w:id="1212" w:name="_Toc296346650"/>
      <w:r>
        <w:rPr>
          <w:rFonts w:hint="eastAsia"/>
          <w:color w:val="auto"/>
          <w:sz w:val="21"/>
          <w:szCs w:val="21"/>
          <w:highlight w:val="none"/>
        </w:rPr>
        <w:t>20.3争议评审</w:t>
      </w:r>
      <w:bookmarkEnd w:id="1208"/>
      <w:bookmarkEnd w:id="1209"/>
    </w:p>
    <w:bookmarkEnd w:id="1210"/>
    <w:bookmarkEnd w:id="1211"/>
    <w:bookmarkEnd w:id="1212"/>
    <w:p w14:paraId="4AE0929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合同当事人在专用合同条款中约定采取争议评审方式解决争议以及评审规则，并按下列约定执行： </w:t>
      </w:r>
    </w:p>
    <w:p w14:paraId="19334836">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20.3.1 争议评审小组的确定</w:t>
      </w:r>
    </w:p>
    <w:p w14:paraId="0E07E00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1AFA6014">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0AEF28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除专用合同条款另有约定外，评审员报酬由发包人和承包人各承担一半。</w:t>
      </w:r>
    </w:p>
    <w:p w14:paraId="05AE8810">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20.3.2 争议评审小组的决定</w:t>
      </w:r>
    </w:p>
    <w:p w14:paraId="0CA1B97E">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850A581">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20.3.3 争议评审小组决定的效力</w:t>
      </w:r>
    </w:p>
    <w:p w14:paraId="4FAE514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争议评审小组作出的书面决定经合同当事人签字确认后，对双方具有约束力，双方应遵照执行。</w:t>
      </w:r>
    </w:p>
    <w:p w14:paraId="6F0BBC0A">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任何一方当事人不接受争议评审小组决定或不履行争议评审小组决定的，双方可选择采用其他争议解决方式。</w:t>
      </w:r>
    </w:p>
    <w:p w14:paraId="4985E78F">
      <w:pPr>
        <w:pStyle w:val="7"/>
        <w:spacing w:before="0" w:beforeAutospacing="0" w:after="0" w:afterAutospacing="0" w:line="360" w:lineRule="auto"/>
        <w:ind w:firstLine="422" w:firstLineChars="200"/>
        <w:rPr>
          <w:color w:val="auto"/>
          <w:sz w:val="21"/>
          <w:szCs w:val="21"/>
          <w:highlight w:val="none"/>
        </w:rPr>
      </w:pPr>
      <w:bookmarkStart w:id="1213" w:name="_Toc351203630"/>
      <w:bookmarkStart w:id="1214" w:name="_Toc532377318"/>
      <w:bookmarkStart w:id="1215" w:name="_Toc296346651"/>
      <w:bookmarkStart w:id="1216" w:name="_Toc296503150"/>
      <w:bookmarkStart w:id="1217" w:name="_Toc337558844"/>
      <w:r>
        <w:rPr>
          <w:rFonts w:hint="eastAsia"/>
          <w:color w:val="auto"/>
          <w:sz w:val="21"/>
          <w:szCs w:val="21"/>
          <w:highlight w:val="none"/>
        </w:rPr>
        <w:t>20.4仲裁或诉讼</w:t>
      </w:r>
      <w:bookmarkEnd w:id="1213"/>
      <w:bookmarkEnd w:id="1214"/>
    </w:p>
    <w:bookmarkEnd w:id="1215"/>
    <w:bookmarkEnd w:id="1216"/>
    <w:bookmarkEnd w:id="1217"/>
    <w:p w14:paraId="50844E39">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因合同及合同有关事项产生的争议，合同当事人可以在专用合同条款中约定以下一种方式解决争议：</w:t>
      </w:r>
    </w:p>
    <w:p w14:paraId="44E82C4D">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（1）向约定的仲裁委员会申请仲裁；</w:t>
      </w:r>
    </w:p>
    <w:p w14:paraId="376D6405">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（2）向有管辖权的人民法院起诉。</w:t>
      </w:r>
    </w:p>
    <w:p w14:paraId="0B90F4DA">
      <w:pPr>
        <w:pStyle w:val="7"/>
        <w:spacing w:before="0" w:beforeAutospacing="0" w:after="0" w:afterAutospacing="0" w:line="360" w:lineRule="auto"/>
        <w:ind w:firstLine="420" w:firstLineChars="200"/>
        <w:rPr>
          <w:b w:val="0"/>
          <w:color w:val="auto"/>
          <w:sz w:val="21"/>
          <w:szCs w:val="21"/>
          <w:highlight w:val="none"/>
        </w:rPr>
      </w:pPr>
      <w:bookmarkStart w:id="1218" w:name="_Toc532377319"/>
      <w:bookmarkStart w:id="1219" w:name="_Toc351203631"/>
      <w:bookmarkStart w:id="1220" w:name="_Toc296346653"/>
      <w:bookmarkStart w:id="1221" w:name="_Toc337558845"/>
      <w:bookmarkStart w:id="1222" w:name="_Toc296503152"/>
      <w:r>
        <w:rPr>
          <w:rFonts w:hint="eastAsia"/>
          <w:b w:val="0"/>
          <w:color w:val="auto"/>
          <w:sz w:val="21"/>
          <w:szCs w:val="21"/>
          <w:highlight w:val="none"/>
        </w:rPr>
        <w:t>20.5争议解决条款效力</w:t>
      </w:r>
      <w:bookmarkEnd w:id="1218"/>
      <w:bookmarkEnd w:id="1219"/>
    </w:p>
    <w:bookmarkEnd w:id="1220"/>
    <w:bookmarkEnd w:id="1221"/>
    <w:bookmarkEnd w:id="1222"/>
    <w:p w14:paraId="2075176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合同有关争议解决的条款独立存在，合同的变更、解除、终止、无效或者被撤销均不影响其效力。</w:t>
      </w:r>
    </w:p>
    <w:p w14:paraId="2944DD81">
      <w:pPr>
        <w:keepNext/>
        <w:keepLines/>
        <w:snapToGrid w:val="0"/>
        <w:spacing w:before="260" w:after="260" w:line="360" w:lineRule="auto"/>
        <w:outlineLvl w:val="2"/>
        <w:rPr>
          <w:rFonts w:ascii="宋体" w:hAnsi="宋体"/>
          <w:b/>
          <w:bCs/>
          <w:color w:val="auto"/>
          <w:szCs w:val="21"/>
          <w:highlight w:val="none"/>
          <w:lang w:val="zh-CN"/>
        </w:rPr>
      </w:pPr>
      <w:r>
        <w:rPr>
          <w:rFonts w:hint="eastAsia" w:ascii="宋体" w:hAnsi="宋体"/>
          <w:b/>
          <w:bCs/>
          <w:color w:val="auto"/>
          <w:szCs w:val="21"/>
          <w:highlight w:val="none"/>
          <w:lang w:val="zh-CN"/>
        </w:rPr>
        <w:br w:type="page"/>
      </w:r>
    </w:p>
    <w:p w14:paraId="63F9BBF3">
      <w:pPr>
        <w:pStyle w:val="5"/>
        <w:jc w:val="center"/>
        <w:rPr>
          <w:rFonts w:ascii="宋体" w:hAnsi="宋体"/>
          <w:color w:val="auto"/>
          <w:sz w:val="44"/>
          <w:szCs w:val="44"/>
          <w:highlight w:val="none"/>
        </w:rPr>
      </w:pPr>
      <w:bookmarkStart w:id="1223" w:name="_Toc529388290"/>
      <w:bookmarkStart w:id="1224" w:name="_Toc17694"/>
      <w:bookmarkStart w:id="1225" w:name="_Toc18947"/>
      <w:bookmarkStart w:id="1226" w:name="_Toc532377320"/>
      <w:bookmarkStart w:id="1227" w:name="_Toc532375607"/>
      <w:r>
        <w:rPr>
          <w:rFonts w:hint="eastAsia" w:ascii="宋体" w:hAnsi="宋体"/>
          <w:color w:val="auto"/>
          <w:sz w:val="44"/>
          <w:szCs w:val="44"/>
          <w:highlight w:val="none"/>
        </w:rPr>
        <w:t>第三部分 专用合同条款</w:t>
      </w:r>
      <w:bookmarkEnd w:id="1223"/>
      <w:bookmarkEnd w:id="1224"/>
      <w:bookmarkEnd w:id="1225"/>
      <w:bookmarkEnd w:id="1226"/>
      <w:bookmarkEnd w:id="1227"/>
    </w:p>
    <w:p w14:paraId="7B1BFE60">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28" w:name="_Toc532375608"/>
      <w:bookmarkStart w:id="1229" w:name="_Toc351203633"/>
      <w:bookmarkStart w:id="1230" w:name="_Toc532377321"/>
      <w:bookmarkStart w:id="1231" w:name="_Hlk528927191"/>
      <w:r>
        <w:rPr>
          <w:rFonts w:hint="eastAsia"/>
          <w:color w:val="auto"/>
          <w:kern w:val="2"/>
          <w:sz w:val="21"/>
          <w:szCs w:val="21"/>
          <w:highlight w:val="none"/>
        </w:rPr>
        <w:t>1</w:t>
      </w:r>
      <w:bookmarkStart w:id="1232" w:name="_Toc297120456"/>
      <w:bookmarkStart w:id="1233" w:name="_Toc297048342"/>
      <w:bookmarkStart w:id="1234" w:name="_Toc296347155"/>
      <w:bookmarkStart w:id="1235" w:name="_Toc296891196"/>
      <w:bookmarkStart w:id="1236" w:name="_Toc292559866"/>
      <w:bookmarkStart w:id="1237" w:name="_Toc292559361"/>
      <w:bookmarkStart w:id="1238" w:name="_Toc296890984"/>
      <w:bookmarkStart w:id="1239" w:name="_Toc296346657"/>
      <w:bookmarkStart w:id="1240" w:name="_Toc296944495"/>
      <w:bookmarkStart w:id="1241" w:name="_Toc296503156"/>
      <w:r>
        <w:rPr>
          <w:rFonts w:hint="eastAsia"/>
          <w:color w:val="auto"/>
          <w:kern w:val="2"/>
          <w:sz w:val="21"/>
          <w:szCs w:val="21"/>
          <w:highlight w:val="none"/>
        </w:rPr>
        <w:t>. 一般约定</w:t>
      </w:r>
      <w:bookmarkEnd w:id="1228"/>
      <w:bookmarkEnd w:id="1229"/>
      <w:bookmarkEnd w:id="1230"/>
    </w:p>
    <w:bookmarkEnd w:id="1232"/>
    <w:bookmarkEnd w:id="1233"/>
    <w:bookmarkEnd w:id="1234"/>
    <w:bookmarkEnd w:id="1235"/>
    <w:bookmarkEnd w:id="1236"/>
    <w:bookmarkEnd w:id="1237"/>
    <w:bookmarkEnd w:id="1238"/>
    <w:bookmarkEnd w:id="1239"/>
    <w:bookmarkEnd w:id="1240"/>
    <w:bookmarkEnd w:id="1241"/>
    <w:p w14:paraId="2F28C866">
      <w:pPr>
        <w:pStyle w:val="7"/>
        <w:spacing w:before="0" w:beforeAutospacing="0" w:after="0" w:afterAutospacing="0" w:line="360" w:lineRule="auto"/>
        <w:ind w:firstLine="422" w:firstLineChars="200"/>
        <w:rPr>
          <w:color w:val="auto"/>
          <w:sz w:val="21"/>
          <w:szCs w:val="21"/>
          <w:highlight w:val="none"/>
        </w:rPr>
      </w:pPr>
      <w:bookmarkStart w:id="1242" w:name="_Toc532377322"/>
      <w:r>
        <w:rPr>
          <w:rFonts w:hint="eastAsia"/>
          <w:color w:val="auto"/>
          <w:sz w:val="21"/>
          <w:szCs w:val="21"/>
          <w:highlight w:val="none"/>
        </w:rPr>
        <w:t>1.1词语定义与解释</w:t>
      </w:r>
      <w:bookmarkEnd w:id="1242"/>
    </w:p>
    <w:p w14:paraId="0637180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14:paraId="133B5CD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14:paraId="07A8FD8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w:t>
      </w:r>
      <w:r>
        <w:rPr>
          <w:rFonts w:hint="eastAsia" w:ascii="宋体" w:hAns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highlight w:val="none"/>
        </w:rPr>
        <w:t>。</w:t>
      </w:r>
    </w:p>
    <w:p w14:paraId="3A09C2B0">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52B3329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本项补充1.1.1.11～1.1.1.16目：</w:t>
      </w:r>
    </w:p>
    <w:p w14:paraId="4FC7ACAE">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1.1.1.11 </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文件：</w:t>
      </w:r>
      <w:r>
        <w:rPr>
          <w:rFonts w:hint="eastAsia" w:ascii="宋体" w:hAnsi="宋体"/>
          <w:color w:val="auto"/>
          <w:kern w:val="0"/>
          <w:szCs w:val="21"/>
          <w:highlight w:val="none"/>
          <w:u w:val="single"/>
        </w:rPr>
        <w:t>指本工程的</w:t>
      </w:r>
      <w:r>
        <w:rPr>
          <w:rFonts w:hint="eastAsia" w:ascii="宋体" w:hAnsi="宋体"/>
          <w:color w:val="auto"/>
          <w:kern w:val="0"/>
          <w:szCs w:val="21"/>
          <w:highlight w:val="none"/>
          <w:u w:val="single"/>
          <w:lang w:eastAsia="zh-CN"/>
        </w:rPr>
        <w:t>比选</w:t>
      </w:r>
      <w:r>
        <w:rPr>
          <w:rFonts w:hint="eastAsia" w:ascii="宋体" w:hAnsi="宋体"/>
          <w:color w:val="auto"/>
          <w:kern w:val="0"/>
          <w:szCs w:val="21"/>
          <w:highlight w:val="none"/>
          <w:u w:val="single"/>
        </w:rPr>
        <w:t>文件、图纸、其他技术资料及</w:t>
      </w:r>
      <w:r>
        <w:rPr>
          <w:rFonts w:hint="eastAsia" w:ascii="宋体" w:hAnsi="宋体"/>
          <w:color w:val="auto"/>
          <w:kern w:val="0"/>
          <w:szCs w:val="21"/>
          <w:highlight w:val="none"/>
          <w:u w:val="single"/>
          <w:lang w:eastAsia="zh-CN"/>
        </w:rPr>
        <w:t>比选</w:t>
      </w:r>
      <w:r>
        <w:rPr>
          <w:rFonts w:hint="eastAsia" w:ascii="宋体" w:hAnsi="宋体"/>
          <w:color w:val="auto"/>
          <w:kern w:val="0"/>
          <w:szCs w:val="21"/>
          <w:highlight w:val="none"/>
          <w:u w:val="single"/>
        </w:rPr>
        <w:t>人发出的对</w:t>
      </w:r>
      <w:r>
        <w:rPr>
          <w:rFonts w:hint="eastAsia" w:ascii="宋体" w:hAnsi="宋体"/>
          <w:color w:val="auto"/>
          <w:kern w:val="0"/>
          <w:szCs w:val="21"/>
          <w:highlight w:val="none"/>
          <w:u w:val="single"/>
          <w:lang w:eastAsia="zh-CN"/>
        </w:rPr>
        <w:t>比选</w:t>
      </w:r>
      <w:r>
        <w:rPr>
          <w:rFonts w:hint="eastAsia" w:ascii="宋体" w:hAnsi="宋体"/>
          <w:color w:val="auto"/>
          <w:kern w:val="0"/>
          <w:szCs w:val="21"/>
          <w:highlight w:val="none"/>
          <w:u w:val="single"/>
        </w:rPr>
        <w:t>文件所作的澄清、修改等资料</w:t>
      </w:r>
      <w:r>
        <w:rPr>
          <w:rFonts w:hint="eastAsia" w:ascii="宋体" w:hAnsi="宋体"/>
          <w:color w:val="auto"/>
          <w:kern w:val="0"/>
          <w:szCs w:val="21"/>
          <w:highlight w:val="none"/>
        </w:rPr>
        <w:t>。</w:t>
      </w:r>
    </w:p>
    <w:p w14:paraId="21D5A90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14:paraId="7AE64A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14:paraId="619124A7">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1231"/>
    <w:p w14:paraId="52238FB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14:paraId="4522F6C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14:paraId="1B10F41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14:paraId="798ACC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14:paraId="33223AB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542060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01F5C3C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31AFB5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14:paraId="7B1F0DA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78D3B2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66B5B1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6F59A8D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14:paraId="08FB16AE">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14:paraId="0A1BA3BB">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14:paraId="1A2C22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14:paraId="5956C01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14:paraId="1B173F3F">
      <w:pPr>
        <w:spacing w:line="360" w:lineRule="auto"/>
        <w:ind w:firstLine="420" w:firstLineChars="200"/>
        <w:jc w:val="left"/>
        <w:rPr>
          <w:rFonts w:ascii="宋体" w:hAnsi="宋体"/>
          <w:color w:val="auto"/>
          <w:szCs w:val="21"/>
          <w:highlight w:val="none"/>
        </w:rPr>
      </w:pPr>
      <w:bookmarkStart w:id="1243" w:name="_Hlk528927262"/>
      <w:r>
        <w:rPr>
          <w:rFonts w:hint="eastAsia" w:ascii="宋体" w:hAnsi="宋体"/>
          <w:color w:val="auto"/>
          <w:szCs w:val="21"/>
          <w:highlight w:val="none"/>
        </w:rPr>
        <w:t>本项补充1.1.6.2～1.1.6.3目：</w:t>
      </w:r>
    </w:p>
    <w:p w14:paraId="23645C2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1243"/>
    <w:p w14:paraId="10AAA1C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5E9BC34C">
      <w:pPr>
        <w:pStyle w:val="7"/>
        <w:spacing w:before="0" w:beforeAutospacing="0" w:after="0" w:afterAutospacing="0" w:line="360" w:lineRule="auto"/>
        <w:ind w:firstLine="422" w:firstLineChars="200"/>
        <w:rPr>
          <w:color w:val="auto"/>
          <w:sz w:val="21"/>
          <w:szCs w:val="21"/>
          <w:highlight w:val="none"/>
        </w:rPr>
      </w:pPr>
      <w:bookmarkStart w:id="1244" w:name="_Toc532377323"/>
      <w:r>
        <w:rPr>
          <w:rFonts w:hint="eastAsia"/>
          <w:color w:val="auto"/>
          <w:sz w:val="21"/>
          <w:szCs w:val="21"/>
          <w:highlight w:val="none"/>
        </w:rPr>
        <w:t>1.4 标准和规范</w:t>
      </w:r>
      <w:bookmarkEnd w:id="1244"/>
    </w:p>
    <w:p w14:paraId="0FFAC71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p>
    <w:p w14:paraId="27CA57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（1）施工图所涉及的技术标准、规范、规程、图集等；</w:t>
      </w:r>
    </w:p>
    <w:p w14:paraId="0A73436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14:paraId="1470D56E">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7061AE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416DDD3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27E44B1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02163F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14:paraId="3C7F0D51">
      <w:pPr>
        <w:pStyle w:val="7"/>
        <w:spacing w:before="0" w:beforeAutospacing="0" w:after="0" w:afterAutospacing="0" w:line="360" w:lineRule="auto"/>
        <w:ind w:firstLine="422" w:firstLineChars="200"/>
        <w:rPr>
          <w:color w:val="auto"/>
          <w:sz w:val="21"/>
          <w:szCs w:val="21"/>
          <w:highlight w:val="none"/>
        </w:rPr>
      </w:pPr>
      <w:bookmarkStart w:id="1245" w:name="_Toc532377324"/>
      <w:r>
        <w:rPr>
          <w:rFonts w:hint="eastAsia"/>
          <w:color w:val="auto"/>
          <w:sz w:val="21"/>
          <w:szCs w:val="21"/>
          <w:highlight w:val="none"/>
        </w:rPr>
        <w:t>1.5 合同文件的优先顺序</w:t>
      </w:r>
      <w:bookmarkEnd w:id="1245"/>
    </w:p>
    <w:p w14:paraId="6F508F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202103CD">
      <w:pPr>
        <w:pStyle w:val="7"/>
        <w:spacing w:before="0" w:beforeAutospacing="0" w:after="0" w:afterAutospacing="0" w:line="360" w:lineRule="auto"/>
        <w:ind w:firstLine="422" w:firstLineChars="200"/>
        <w:rPr>
          <w:color w:val="auto"/>
          <w:sz w:val="21"/>
          <w:szCs w:val="21"/>
          <w:highlight w:val="none"/>
        </w:rPr>
      </w:pPr>
      <w:bookmarkStart w:id="1246" w:name="_Toc532377325"/>
      <w:r>
        <w:rPr>
          <w:rFonts w:hint="eastAsia"/>
          <w:color w:val="auto"/>
          <w:sz w:val="21"/>
          <w:szCs w:val="21"/>
          <w:highlight w:val="none"/>
        </w:rPr>
        <w:t>1.6 图纸和承包人文件</w:t>
      </w:r>
      <w:bookmarkEnd w:id="1246"/>
    </w:p>
    <w:p w14:paraId="145445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14:paraId="46F171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14:paraId="067FC6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套</w:t>
      </w:r>
      <w:r>
        <w:rPr>
          <w:rFonts w:hint="eastAsia" w:ascii="宋体" w:hAnsi="宋体"/>
          <w:color w:val="auto"/>
          <w:szCs w:val="21"/>
          <w:highlight w:val="none"/>
        </w:rPr>
        <w:t xml:space="preserve">； </w:t>
      </w:r>
    </w:p>
    <w:p w14:paraId="742504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14:paraId="6F1358B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14:paraId="5B64111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14:paraId="344303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图纸的错误</w:t>
      </w:r>
    </w:p>
    <w:p w14:paraId="209D6D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1B6282E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14:paraId="51635F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14:paraId="5C9629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14:paraId="4273D7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承包人提供文件的期限、数量：</w:t>
      </w:r>
    </w:p>
    <w:p w14:paraId="5C9A40E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14:paraId="2CAC9C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  日前报送月工程进度完成报表</w:t>
      </w:r>
      <w:r>
        <w:rPr>
          <w:rFonts w:hint="eastAsia" w:ascii="宋体" w:hAnsi="宋体"/>
          <w:color w:val="auto"/>
          <w:szCs w:val="21"/>
          <w:highlight w:val="none"/>
        </w:rPr>
        <w:t>。</w:t>
      </w:r>
    </w:p>
    <w:p w14:paraId="7F92A5D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（3）合同另有约定的，按照其约定。</w:t>
      </w:r>
    </w:p>
    <w:p w14:paraId="6CC2525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承包人提供的文件的形式：□采用电子</w:t>
      </w:r>
      <w:r>
        <w:rPr>
          <w:rFonts w:hint="eastAsia" w:ascii="宋体" w:hAnsi="宋体"/>
          <w:color w:val="auto"/>
          <w:szCs w:val="21"/>
          <w:highlight w:val="none"/>
          <w:lang w:eastAsia="zh-CN"/>
        </w:rPr>
        <w:t>比选</w:t>
      </w:r>
      <w:r>
        <w:rPr>
          <w:rFonts w:hint="eastAsia" w:ascii="宋体" w:hAnsi="宋体"/>
          <w:color w:val="auto"/>
          <w:szCs w:val="21"/>
          <w:highlight w:val="none"/>
        </w:rPr>
        <w:t>的，投标文件以电子文档为准，其他文件以书面文件为准；</w:t>
      </w:r>
      <w:r>
        <w:rPr>
          <w:rFonts w:hint="eastAsia" w:ascii="宋体" w:hAnsi="宋体"/>
          <w:color w:val="auto"/>
          <w:szCs w:val="21"/>
          <w:highlight w:val="none"/>
        </w:rPr>
        <w:sym w:font="Wingdings 2" w:char="0052"/>
      </w:r>
      <w:r>
        <w:rPr>
          <w:rFonts w:hint="eastAsia" w:ascii="宋体" w:hAnsi="宋体"/>
          <w:color w:val="auto"/>
          <w:szCs w:val="21"/>
          <w:highlight w:val="none"/>
        </w:rPr>
        <w:t>采用纸质</w:t>
      </w:r>
      <w:r>
        <w:rPr>
          <w:rFonts w:hint="eastAsia" w:ascii="宋体" w:hAnsi="宋体"/>
          <w:color w:val="auto"/>
          <w:szCs w:val="21"/>
          <w:highlight w:val="none"/>
          <w:lang w:eastAsia="zh-CN"/>
        </w:rPr>
        <w:t>比选</w:t>
      </w:r>
      <w:r>
        <w:rPr>
          <w:rFonts w:hint="eastAsia" w:ascii="宋体" w:hAnsi="宋体"/>
          <w:color w:val="auto"/>
          <w:szCs w:val="21"/>
          <w:highlight w:val="none"/>
        </w:rPr>
        <w:t>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14:paraId="4F2806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48FE5E2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14:paraId="2B5306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14:paraId="057BE1CB">
      <w:pPr>
        <w:pStyle w:val="7"/>
        <w:spacing w:before="0" w:beforeAutospacing="0" w:after="0" w:afterAutospacing="0" w:line="360" w:lineRule="auto"/>
        <w:ind w:firstLine="422" w:firstLineChars="200"/>
        <w:rPr>
          <w:color w:val="auto"/>
          <w:sz w:val="21"/>
          <w:szCs w:val="21"/>
          <w:highlight w:val="none"/>
        </w:rPr>
      </w:pPr>
      <w:bookmarkStart w:id="1247" w:name="_Toc532377326"/>
      <w:r>
        <w:rPr>
          <w:rFonts w:hint="eastAsia"/>
          <w:color w:val="auto"/>
          <w:sz w:val="21"/>
          <w:szCs w:val="21"/>
          <w:highlight w:val="none"/>
        </w:rPr>
        <w:t>1.7 联络</w:t>
      </w:r>
      <w:bookmarkEnd w:id="1247"/>
    </w:p>
    <w:p w14:paraId="75421D6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14:paraId="42AF74F3">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22ED4C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w:t>
      </w:r>
      <w:bookmarkStart w:id="1248" w:name="_Hlk528493983"/>
      <w:bookmarkEnd w:id="1248"/>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5E4D559">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5B8A925">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FE708FC">
      <w:pPr>
        <w:tabs>
          <w:tab w:val="left" w:pos="737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DB9601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F0F0D08">
      <w:pPr>
        <w:pStyle w:val="7"/>
        <w:spacing w:before="0" w:beforeAutospacing="0" w:after="0" w:afterAutospacing="0" w:line="360" w:lineRule="auto"/>
        <w:ind w:firstLine="422" w:firstLineChars="200"/>
        <w:rPr>
          <w:color w:val="auto"/>
          <w:sz w:val="21"/>
          <w:szCs w:val="21"/>
          <w:highlight w:val="none"/>
        </w:rPr>
      </w:pPr>
      <w:bookmarkStart w:id="1249" w:name="_Toc532377327"/>
      <w:r>
        <w:rPr>
          <w:rFonts w:hint="eastAsia"/>
          <w:color w:val="auto"/>
          <w:sz w:val="21"/>
          <w:szCs w:val="21"/>
          <w:highlight w:val="none"/>
        </w:rPr>
        <w:t>1.8 严禁贿赂</w:t>
      </w:r>
      <w:bookmarkEnd w:id="1249"/>
    </w:p>
    <w:p w14:paraId="15BF42C2">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本款补充以下内容：</w:t>
      </w:r>
    </w:p>
    <w:p w14:paraId="550C6BCF">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14:paraId="52388D64">
      <w:pPr>
        <w:pStyle w:val="7"/>
        <w:spacing w:before="0" w:beforeAutospacing="0" w:after="0" w:afterAutospacing="0" w:line="360" w:lineRule="auto"/>
        <w:ind w:firstLine="422" w:firstLineChars="200"/>
        <w:rPr>
          <w:color w:val="auto"/>
          <w:sz w:val="21"/>
          <w:szCs w:val="21"/>
          <w:highlight w:val="none"/>
        </w:rPr>
      </w:pPr>
      <w:bookmarkStart w:id="1250" w:name="_Toc532377328"/>
      <w:r>
        <w:rPr>
          <w:rFonts w:hint="eastAsia"/>
          <w:color w:val="auto"/>
          <w:sz w:val="21"/>
          <w:szCs w:val="21"/>
          <w:highlight w:val="none"/>
        </w:rPr>
        <w:t>1.10 交通运输</w:t>
      </w:r>
      <w:bookmarkEnd w:id="1250"/>
    </w:p>
    <w:p w14:paraId="4F18A5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1251" w:name="_Toc304295521"/>
      <w:bookmarkStart w:id="1252" w:name="_Toc303539100"/>
      <w:bookmarkStart w:id="1253" w:name="_Toc300934943"/>
      <w:bookmarkStart w:id="1254" w:name="_Toc318581155"/>
      <w:bookmarkStart w:id="1255" w:name="_Toc312677986"/>
      <w:r>
        <w:rPr>
          <w:rFonts w:hint="eastAsia" w:ascii="宋体" w:hAnsi="宋体"/>
          <w:color w:val="auto"/>
          <w:szCs w:val="21"/>
          <w:highlight w:val="none"/>
        </w:rPr>
        <w:t>.10.1 出入现场的权利</w:t>
      </w:r>
    </w:p>
    <w:p w14:paraId="049B6FB0">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251"/>
    <w:bookmarkEnd w:id="1252"/>
    <w:bookmarkEnd w:id="1253"/>
    <w:bookmarkEnd w:id="1254"/>
    <w:bookmarkEnd w:id="1255"/>
    <w:p w14:paraId="247A4E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场外交通</w:t>
      </w:r>
    </w:p>
    <w:p w14:paraId="3F6713E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14:paraId="0A4941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1256" w:name="_Toc312677987"/>
      <w:bookmarkStart w:id="1257" w:name="_Toc303539101"/>
      <w:bookmarkStart w:id="1258" w:name="_Toc300934944"/>
      <w:bookmarkStart w:id="1259" w:name="_Toc318581156"/>
      <w:bookmarkStart w:id="1260" w:name="_Toc304295522"/>
      <w:r>
        <w:rPr>
          <w:rFonts w:hint="eastAsia" w:ascii="宋体" w:hAnsi="宋体"/>
          <w:color w:val="auto"/>
          <w:szCs w:val="21"/>
          <w:highlight w:val="none"/>
        </w:rPr>
        <w:t>.10.3 场内交通</w:t>
      </w:r>
    </w:p>
    <w:p w14:paraId="60A85CBF">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14:paraId="12E0C7F9">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1256"/>
    <w:bookmarkEnd w:id="1257"/>
    <w:bookmarkEnd w:id="1258"/>
    <w:bookmarkEnd w:id="1259"/>
    <w:bookmarkEnd w:id="1260"/>
    <w:p w14:paraId="1257FFD3">
      <w:pPr>
        <w:spacing w:line="360" w:lineRule="auto"/>
        <w:ind w:firstLine="420" w:firstLineChars="200"/>
        <w:jc w:val="left"/>
        <w:rPr>
          <w:rFonts w:ascii="宋体" w:hAnsi="宋体"/>
          <w:color w:val="auto"/>
          <w:szCs w:val="21"/>
          <w:highlight w:val="none"/>
        </w:rPr>
      </w:pPr>
      <w:bookmarkStart w:id="1261" w:name="_Toc318581157"/>
      <w:r>
        <w:rPr>
          <w:rFonts w:hint="eastAsia" w:ascii="宋体" w:hAnsi="宋体"/>
          <w:color w:val="auto"/>
          <w:szCs w:val="21"/>
          <w:highlight w:val="none"/>
        </w:rPr>
        <w:t>1.10.4 超大件和超重件的运输</w:t>
      </w:r>
    </w:p>
    <w:p w14:paraId="7107933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1261"/>
    <w:p w14:paraId="657FE2C0">
      <w:pPr>
        <w:pStyle w:val="7"/>
        <w:spacing w:before="0" w:beforeAutospacing="0" w:after="0" w:afterAutospacing="0" w:line="360" w:lineRule="auto"/>
        <w:ind w:firstLine="422" w:firstLineChars="200"/>
        <w:rPr>
          <w:color w:val="auto"/>
          <w:sz w:val="21"/>
          <w:szCs w:val="21"/>
          <w:highlight w:val="none"/>
        </w:rPr>
      </w:pPr>
      <w:bookmarkStart w:id="1262" w:name="_Toc532377329"/>
      <w:r>
        <w:rPr>
          <w:rFonts w:hint="eastAsia"/>
          <w:color w:val="auto"/>
          <w:sz w:val="21"/>
          <w:szCs w:val="21"/>
          <w:highlight w:val="none"/>
        </w:rPr>
        <w:t>1.11 知识产权</w:t>
      </w:r>
      <w:bookmarkEnd w:id="1262"/>
    </w:p>
    <w:p w14:paraId="669CAD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14:paraId="446962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245B55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CA85AD1">
      <w:pPr>
        <w:pStyle w:val="7"/>
        <w:spacing w:before="0" w:beforeAutospacing="0" w:after="0" w:afterAutospacing="0" w:line="360" w:lineRule="auto"/>
        <w:ind w:firstLine="422" w:firstLineChars="200"/>
        <w:rPr>
          <w:color w:val="auto"/>
          <w:sz w:val="21"/>
          <w:szCs w:val="21"/>
          <w:highlight w:val="none"/>
        </w:rPr>
      </w:pPr>
      <w:bookmarkStart w:id="1263" w:name="_Toc532377330"/>
      <w:r>
        <w:rPr>
          <w:rFonts w:hint="eastAsia"/>
          <w:color w:val="auto"/>
          <w:sz w:val="21"/>
          <w:szCs w:val="21"/>
          <w:highlight w:val="none"/>
        </w:rPr>
        <w:t>1.13工程量清单错误的修正</w:t>
      </w:r>
      <w:bookmarkEnd w:id="1263"/>
    </w:p>
    <w:p w14:paraId="517632E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048D05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0DFC259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54C1087">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64" w:name="_Toc532377331"/>
      <w:bookmarkStart w:id="1265" w:name="_Toc351203634"/>
      <w:bookmarkStart w:id="1266" w:name="_Toc532375609"/>
      <w:r>
        <w:rPr>
          <w:rFonts w:hint="eastAsia"/>
          <w:color w:val="auto"/>
          <w:kern w:val="2"/>
          <w:sz w:val="21"/>
          <w:szCs w:val="21"/>
          <w:highlight w:val="none"/>
        </w:rPr>
        <w:t>2</w:t>
      </w:r>
      <w:bookmarkStart w:id="1267" w:name="_Toc296346658"/>
      <w:bookmarkStart w:id="1268" w:name="_Toc296347156"/>
      <w:bookmarkStart w:id="1269" w:name="_Toc296503157"/>
      <w:bookmarkStart w:id="1270" w:name="_Toc296890985"/>
      <w:bookmarkStart w:id="1271" w:name="_Toc296891197"/>
      <w:bookmarkStart w:id="1272" w:name="_Toc296944496"/>
      <w:bookmarkStart w:id="1273" w:name="_Toc297120457"/>
      <w:bookmarkStart w:id="1274" w:name="_Toc292559867"/>
      <w:bookmarkStart w:id="1275" w:name="_Toc292559362"/>
      <w:bookmarkStart w:id="1276" w:name="_Toc297048343"/>
      <w:r>
        <w:rPr>
          <w:rFonts w:hint="eastAsia"/>
          <w:color w:val="auto"/>
          <w:kern w:val="2"/>
          <w:sz w:val="21"/>
          <w:szCs w:val="21"/>
          <w:highlight w:val="none"/>
        </w:rPr>
        <w:t>. 发包人</w:t>
      </w:r>
      <w:bookmarkEnd w:id="1264"/>
      <w:bookmarkEnd w:id="1265"/>
      <w:bookmarkEnd w:id="1266"/>
    </w:p>
    <w:bookmarkEnd w:id="1267"/>
    <w:bookmarkEnd w:id="1268"/>
    <w:bookmarkEnd w:id="1269"/>
    <w:bookmarkEnd w:id="1270"/>
    <w:bookmarkEnd w:id="1271"/>
    <w:bookmarkEnd w:id="1272"/>
    <w:bookmarkEnd w:id="1273"/>
    <w:bookmarkEnd w:id="1274"/>
    <w:bookmarkEnd w:id="1275"/>
    <w:bookmarkEnd w:id="1276"/>
    <w:p w14:paraId="5A9578A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 发包人代表</w:t>
      </w:r>
    </w:p>
    <w:p w14:paraId="05C18A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14:paraId="46A5B6B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14:paraId="0A627B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14:paraId="18DC5A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14:paraId="0604AB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14:paraId="08C6F8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14:paraId="342881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14:paraId="2A516797">
      <w:pPr>
        <w:pStyle w:val="7"/>
        <w:spacing w:before="0" w:beforeAutospacing="0" w:after="0" w:afterAutospacing="0" w:line="360" w:lineRule="auto"/>
        <w:ind w:firstLine="422" w:firstLineChars="200"/>
        <w:rPr>
          <w:color w:val="auto"/>
          <w:sz w:val="21"/>
          <w:szCs w:val="21"/>
          <w:highlight w:val="none"/>
        </w:rPr>
      </w:pPr>
      <w:bookmarkStart w:id="1277" w:name="_Toc532377332"/>
      <w:r>
        <w:rPr>
          <w:rFonts w:hint="eastAsia"/>
          <w:color w:val="auto"/>
          <w:sz w:val="21"/>
          <w:szCs w:val="21"/>
          <w:highlight w:val="none"/>
        </w:rPr>
        <w:t>2.4 施工现场、施工条件和基础资料的提供</w:t>
      </w:r>
      <w:bookmarkEnd w:id="1277"/>
    </w:p>
    <w:p w14:paraId="25D66D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14:paraId="795705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2.4.1.1 提供场地：</w:t>
      </w:r>
    </w:p>
    <w:p w14:paraId="43F1114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03B07DF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14:paraId="6D45EA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14:paraId="0F12BD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14:paraId="67A637E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14:paraId="0AF473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14:paraId="16D37AD2">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关于发包人应负责提供施工所需要的条件：</w:t>
      </w:r>
      <w:r>
        <w:rPr>
          <w:rFonts w:hint="eastAsia" w:ascii="宋体" w:hAnsi="宋体"/>
          <w:color w:val="auto"/>
          <w:szCs w:val="21"/>
          <w:highlight w:val="none"/>
          <w:u w:val="single"/>
          <w:lang w:val="en-US" w:eastAsia="zh-CN"/>
        </w:rPr>
        <w:t xml:space="preserve">通水、电、道路（发包人解决施工用水、用电借口，并 </w:t>
      </w:r>
    </w:p>
    <w:p w14:paraId="7A1E5184">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lang w:val="en-US" w:eastAsia="zh-CN"/>
        </w:rPr>
        <w:t>承担相应费用；接口后由承包人自行搭建，并装表计量，并承担相应费用；施工所需的电讯线路由承包 人自行解决）</w:t>
      </w:r>
      <w:r>
        <w:rPr>
          <w:rFonts w:hint="eastAsia" w:ascii="宋体" w:hAnsi="宋体"/>
          <w:color w:val="auto"/>
          <w:szCs w:val="21"/>
          <w:highlight w:val="none"/>
          <w:u w:val="single"/>
        </w:rPr>
        <w:t>。</w:t>
      </w:r>
    </w:p>
    <w:p w14:paraId="64EA3EA3">
      <w:pPr>
        <w:pStyle w:val="7"/>
        <w:spacing w:before="0" w:beforeAutospacing="0" w:after="0" w:afterAutospacing="0" w:line="360" w:lineRule="auto"/>
        <w:ind w:firstLine="422" w:firstLineChars="200"/>
        <w:rPr>
          <w:color w:val="auto"/>
          <w:sz w:val="21"/>
          <w:szCs w:val="21"/>
          <w:highlight w:val="none"/>
        </w:rPr>
      </w:pPr>
      <w:bookmarkStart w:id="1278" w:name="_Toc532377333"/>
      <w:r>
        <w:rPr>
          <w:rFonts w:hint="eastAsia"/>
          <w:color w:val="auto"/>
          <w:sz w:val="21"/>
          <w:szCs w:val="21"/>
          <w:highlight w:val="none"/>
        </w:rPr>
        <w:t>2.5 资金来源证明及支付担保</w:t>
      </w:r>
      <w:bookmarkEnd w:id="1278"/>
    </w:p>
    <w:p w14:paraId="6DD7519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6E01D31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lang w:eastAsia="zh-CN"/>
        </w:rPr>
        <w:t>不</w:t>
      </w:r>
      <w:r>
        <w:rPr>
          <w:rFonts w:hint="eastAsia" w:ascii="宋体" w:hAnsi="宋体"/>
          <w:color w:val="auto"/>
          <w:szCs w:val="21"/>
          <w:highlight w:val="none"/>
          <w:u w:val="single"/>
        </w:rPr>
        <w:t>提供</w:t>
      </w:r>
      <w:r>
        <w:rPr>
          <w:rFonts w:hint="eastAsia" w:ascii="宋体" w:hAnsi="宋体"/>
          <w:color w:val="auto"/>
          <w:szCs w:val="21"/>
          <w:highlight w:val="none"/>
        </w:rPr>
        <w:t>。</w:t>
      </w:r>
    </w:p>
    <w:p w14:paraId="1DA811B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4ACCE4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2299D6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1046A7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D122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9D1108D">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79" w:name="_Toc351203635"/>
      <w:bookmarkStart w:id="1280" w:name="_Toc532375610"/>
      <w:bookmarkStart w:id="1281" w:name="_Toc532377334"/>
      <w:r>
        <w:rPr>
          <w:rFonts w:hint="eastAsia"/>
          <w:color w:val="auto"/>
          <w:kern w:val="2"/>
          <w:sz w:val="21"/>
          <w:szCs w:val="21"/>
          <w:highlight w:val="none"/>
        </w:rPr>
        <w:t>3</w:t>
      </w:r>
      <w:bookmarkStart w:id="1282" w:name="_Toc292559363"/>
      <w:bookmarkStart w:id="1283" w:name="_Toc296891198"/>
      <w:bookmarkStart w:id="1284" w:name="_Toc296890986"/>
      <w:bookmarkStart w:id="1285" w:name="_Toc297120458"/>
      <w:bookmarkStart w:id="1286" w:name="_Toc297048344"/>
      <w:bookmarkStart w:id="1287" w:name="_Toc296347157"/>
      <w:bookmarkStart w:id="1288" w:name="_Toc296944497"/>
      <w:bookmarkStart w:id="1289" w:name="_Toc296346659"/>
      <w:bookmarkStart w:id="1290" w:name="_Toc292559868"/>
      <w:bookmarkStart w:id="1291" w:name="_Toc296503158"/>
      <w:r>
        <w:rPr>
          <w:rFonts w:hint="eastAsia"/>
          <w:color w:val="auto"/>
          <w:kern w:val="2"/>
          <w:sz w:val="21"/>
          <w:szCs w:val="21"/>
          <w:highlight w:val="none"/>
        </w:rPr>
        <w:t>. 承包人</w:t>
      </w:r>
      <w:bookmarkEnd w:id="1279"/>
      <w:bookmarkEnd w:id="1280"/>
      <w:bookmarkEnd w:id="1281"/>
    </w:p>
    <w:bookmarkEnd w:id="1282"/>
    <w:bookmarkEnd w:id="1283"/>
    <w:bookmarkEnd w:id="1284"/>
    <w:bookmarkEnd w:id="1285"/>
    <w:bookmarkEnd w:id="1286"/>
    <w:bookmarkEnd w:id="1287"/>
    <w:bookmarkEnd w:id="1288"/>
    <w:bookmarkEnd w:id="1289"/>
    <w:bookmarkEnd w:id="1290"/>
    <w:bookmarkEnd w:id="1291"/>
    <w:p w14:paraId="32321F2F">
      <w:pPr>
        <w:pStyle w:val="7"/>
        <w:spacing w:before="0" w:beforeAutospacing="0" w:after="0" w:afterAutospacing="0" w:line="360" w:lineRule="auto"/>
        <w:ind w:firstLine="422" w:firstLineChars="200"/>
        <w:rPr>
          <w:color w:val="auto"/>
          <w:sz w:val="21"/>
          <w:szCs w:val="21"/>
          <w:highlight w:val="none"/>
        </w:rPr>
      </w:pPr>
      <w:bookmarkStart w:id="1292" w:name="_Toc532377335"/>
      <w:r>
        <w:rPr>
          <w:rFonts w:hint="eastAsia"/>
          <w:color w:val="auto"/>
          <w:sz w:val="21"/>
          <w:szCs w:val="21"/>
          <w:highlight w:val="none"/>
        </w:rPr>
        <w:t>3.1 承包人的一般义务</w:t>
      </w:r>
      <w:bookmarkEnd w:id="1292"/>
    </w:p>
    <w:p w14:paraId="4DE25C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本款细化为3.1.1～3.1.10项：</w:t>
      </w:r>
    </w:p>
    <w:p w14:paraId="487063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4EC193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4C3F745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20DDD8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12D0B36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7FAC69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14:paraId="622772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14:paraId="7C938B3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14:paraId="7E351EAA">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14:paraId="677E0EC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承包人需要提交的竣工资料套数：完整竣工资</w:t>
      </w:r>
      <w:r>
        <w:rPr>
          <w:rFonts w:hint="eastAsia" w:ascii="宋体" w:hAnsi="宋体"/>
          <w:color w:val="000000" w:themeColor="text1"/>
          <w:szCs w:val="21"/>
          <w:highlight w:val="none"/>
          <w14:textFill>
            <w14:solidFill>
              <w14:schemeClr w14:val="tx1"/>
            </w14:solidFill>
          </w14:textFill>
        </w:rPr>
        <w:t>料一式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套（</w:t>
      </w:r>
      <w:r>
        <w:rPr>
          <w:rFonts w:hint="eastAsia" w:ascii="宋体" w:hAnsi="宋体"/>
          <w:color w:val="auto"/>
          <w:szCs w:val="21"/>
          <w:highlight w:val="none"/>
        </w:rPr>
        <w:t>含电子文档）。</w:t>
      </w:r>
    </w:p>
    <w:p w14:paraId="675B54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1CB9D50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个月内移交给发包人</w:t>
      </w:r>
      <w:r>
        <w:rPr>
          <w:rFonts w:hint="eastAsia" w:ascii="宋体" w:hAnsi="宋体"/>
          <w:color w:val="auto"/>
          <w:szCs w:val="21"/>
          <w:highlight w:val="none"/>
        </w:rPr>
        <w:t>。</w:t>
      </w:r>
    </w:p>
    <w:p w14:paraId="311E983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完整的书面文件及电子文档</w:t>
      </w:r>
      <w:r>
        <w:rPr>
          <w:rFonts w:hint="eastAsia" w:ascii="宋体" w:hAnsi="宋体"/>
          <w:color w:val="auto"/>
          <w:szCs w:val="21"/>
          <w:highlight w:val="none"/>
        </w:rPr>
        <w:t>。</w:t>
      </w:r>
    </w:p>
    <w:p w14:paraId="2F20DE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3.1.10承包人应履行的其他义务：</w:t>
      </w:r>
    </w:p>
    <w:p w14:paraId="4BE1F1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6BB82BD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64C7E2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C2DEA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14:paraId="636E226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14:paraId="7828D989">
      <w:pPr>
        <w:spacing w:line="360" w:lineRule="auto"/>
        <w:ind w:firstLine="420" w:firstLineChars="200"/>
        <w:jc w:val="left"/>
        <w:rPr>
          <w:rFonts w:hint="eastAsia" w:ascii="宋体" w:hAnsi="宋体"/>
          <w:color w:val="auto"/>
          <w:szCs w:val="21"/>
          <w:highlight w:val="none"/>
        </w:rPr>
      </w:pPr>
      <w:bookmarkStart w:id="1293" w:name="_Toc532377336"/>
      <w:r>
        <w:rPr>
          <w:rFonts w:hint="eastAsia" w:ascii="宋体" w:hAnsi="宋体"/>
          <w:color w:val="auto"/>
          <w:szCs w:val="21"/>
          <w:highlight w:val="none"/>
        </w:rPr>
        <w:t>3.1.10.6</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0164E44">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3.2 项目经理</w:t>
      </w:r>
      <w:bookmarkEnd w:id="1293"/>
    </w:p>
    <w:p w14:paraId="2A489082">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14:paraId="46A3D6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6A446B3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14:paraId="666B98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97DE8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14:paraId="03CC29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14:paraId="145D64D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14:paraId="2654418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14:paraId="7EEF86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14:paraId="724A9A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14:paraId="4017D1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14:paraId="359132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技术负责人</w:t>
      </w:r>
    </w:p>
    <w:p w14:paraId="12A21F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D4F9E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BE93FB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52A4F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DF3A6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14:paraId="2CF5D130">
      <w:pPr>
        <w:pStyle w:val="2"/>
        <w:spacing w:after="0"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55ADB73F">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14:paraId="5CDAB9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1294" w:name="_Hlk528927599"/>
    </w:p>
    <w:bookmarkEnd w:id="1294"/>
    <w:p w14:paraId="616835B5">
      <w:pPr>
        <w:spacing w:line="360" w:lineRule="auto"/>
        <w:ind w:firstLine="420" w:firstLineChars="200"/>
        <w:jc w:val="left"/>
        <w:rPr>
          <w:rFonts w:ascii="宋体" w:hAnsi="宋体"/>
          <w:color w:val="auto"/>
          <w:szCs w:val="21"/>
          <w:highlight w:val="none"/>
        </w:rPr>
      </w:pPr>
      <w:bookmarkStart w:id="1295"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295"/>
    </w:p>
    <w:p w14:paraId="64B9F4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232138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1、死亡；</w:t>
      </w:r>
    </w:p>
    <w:p w14:paraId="0D9E01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14:paraId="4FD2FF5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14:paraId="7B3B4C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4、非承包人原因导致中标3个月不能开工；</w:t>
      </w:r>
    </w:p>
    <w:p w14:paraId="7DCE1DF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5、被公安或者司法机关限制人身自由；</w:t>
      </w:r>
    </w:p>
    <w:p w14:paraId="3D2BDAE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6、被取消职称或者执业资格，不满足项目管理要求；</w:t>
      </w:r>
    </w:p>
    <w:p w14:paraId="1968001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7、非承包人原因导致确需变更的其它情形。</w:t>
      </w:r>
    </w:p>
    <w:p w14:paraId="58EBE3D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本款补充3.2.6项</w:t>
      </w:r>
    </w:p>
    <w:p w14:paraId="2F3C38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14:paraId="2A0194BE">
      <w:pPr>
        <w:pStyle w:val="7"/>
        <w:spacing w:before="0" w:beforeAutospacing="0" w:after="0" w:afterAutospacing="0" w:line="360" w:lineRule="auto"/>
        <w:ind w:firstLine="422" w:firstLineChars="200"/>
        <w:rPr>
          <w:color w:val="auto"/>
          <w:sz w:val="21"/>
          <w:szCs w:val="21"/>
          <w:highlight w:val="none"/>
        </w:rPr>
      </w:pPr>
      <w:bookmarkStart w:id="1296" w:name="_Toc532377337"/>
      <w:r>
        <w:rPr>
          <w:rFonts w:hint="eastAsia"/>
          <w:color w:val="auto"/>
          <w:sz w:val="21"/>
          <w:szCs w:val="21"/>
          <w:highlight w:val="none"/>
        </w:rPr>
        <w:t>3.3 承包人人员</w:t>
      </w:r>
      <w:bookmarkEnd w:id="1296"/>
    </w:p>
    <w:p w14:paraId="16A2E9A9">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lang w:eastAsia="zh-CN"/>
        </w:rPr>
        <w:t>按相关规定。</w:t>
      </w:r>
    </w:p>
    <w:p w14:paraId="5072F5E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517AB3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3E4303D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14:paraId="4E3ECF92">
      <w:pPr>
        <w:pStyle w:val="7"/>
        <w:spacing w:before="0" w:beforeAutospacing="0" w:after="0" w:afterAutospacing="0" w:line="360" w:lineRule="auto"/>
        <w:ind w:firstLine="422" w:firstLineChars="200"/>
        <w:rPr>
          <w:color w:val="auto"/>
          <w:sz w:val="21"/>
          <w:szCs w:val="21"/>
          <w:highlight w:val="none"/>
        </w:rPr>
      </w:pPr>
      <w:bookmarkStart w:id="1297" w:name="_Toc532377338"/>
      <w:r>
        <w:rPr>
          <w:rFonts w:hint="eastAsia"/>
          <w:color w:val="auto"/>
          <w:sz w:val="21"/>
          <w:szCs w:val="21"/>
          <w:highlight w:val="none"/>
        </w:rPr>
        <w:t>3</w:t>
      </w:r>
      <w:bookmarkStart w:id="1298" w:name="_Toc296503159"/>
      <w:bookmarkStart w:id="1299" w:name="_Toc296891199"/>
      <w:bookmarkStart w:id="1300" w:name="_Toc297123492"/>
      <w:bookmarkStart w:id="1301" w:name="_Toc296890987"/>
      <w:bookmarkStart w:id="1302" w:name="_Toc297048345"/>
      <w:bookmarkStart w:id="1303" w:name="_Toc304295523"/>
      <w:bookmarkStart w:id="1304" w:name="_Toc296346660"/>
      <w:bookmarkStart w:id="1305" w:name="_Toc292559364"/>
      <w:bookmarkStart w:id="1306" w:name="_Toc296944498"/>
      <w:bookmarkStart w:id="1307" w:name="_Toc300934945"/>
      <w:bookmarkStart w:id="1308" w:name="_Toc296347158"/>
      <w:bookmarkStart w:id="1309" w:name="_Toc297120459"/>
      <w:bookmarkStart w:id="1310" w:name="_Toc297216151"/>
      <w:bookmarkStart w:id="1311" w:name="_Toc303539102"/>
      <w:bookmarkStart w:id="1312" w:name="_Toc292559869"/>
      <w:bookmarkStart w:id="1313" w:name="_Toc312677988"/>
      <w:r>
        <w:rPr>
          <w:rFonts w:hint="eastAsia"/>
          <w:color w:val="auto"/>
          <w:sz w:val="21"/>
          <w:szCs w:val="21"/>
          <w:highlight w:val="none"/>
        </w:rPr>
        <w:t>.5 分包</w:t>
      </w:r>
      <w:bookmarkEnd w:id="1297"/>
    </w:p>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14:paraId="345F31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1314" w:name="_Toc296891200"/>
      <w:bookmarkStart w:id="1315" w:name="_Toc292559365"/>
      <w:bookmarkStart w:id="1316" w:name="_Toc296346661"/>
      <w:bookmarkStart w:id="1317" w:name="_Toc296503160"/>
      <w:bookmarkStart w:id="1318" w:name="_Toc292559870"/>
      <w:bookmarkStart w:id="1319" w:name="_Toc297216152"/>
      <w:bookmarkStart w:id="1320" w:name="_Toc312677989"/>
      <w:bookmarkStart w:id="1321" w:name="_Toc296347159"/>
      <w:bookmarkStart w:id="1322" w:name="_Toc296944499"/>
      <w:bookmarkStart w:id="1323" w:name="_Toc296890988"/>
      <w:bookmarkStart w:id="1324" w:name="_Toc297123493"/>
      <w:bookmarkStart w:id="1325" w:name="_Toc300934946"/>
      <w:bookmarkStart w:id="1326" w:name="_Toc318581158"/>
      <w:bookmarkStart w:id="1327" w:name="_Toc297120460"/>
      <w:bookmarkStart w:id="1328" w:name="_Toc303539103"/>
      <w:bookmarkStart w:id="1329" w:name="_Toc304295524"/>
      <w:bookmarkStart w:id="1330" w:name="_Toc297048346"/>
      <w:r>
        <w:rPr>
          <w:rFonts w:hint="eastAsia" w:ascii="宋体" w:hAnsi="宋体"/>
          <w:color w:val="auto"/>
          <w:szCs w:val="21"/>
          <w:highlight w:val="none"/>
        </w:rPr>
        <w:t>.5.1 分包的一般约定</w:t>
      </w:r>
    </w:p>
    <w:p w14:paraId="640E81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14:paraId="2B2BEB6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1331" w:name="_Toc296944500"/>
      <w:bookmarkStart w:id="1332" w:name="_Toc296891201"/>
      <w:bookmarkStart w:id="1333" w:name="_Toc304295525"/>
      <w:bookmarkStart w:id="1334" w:name="_Toc297048347"/>
      <w:bookmarkStart w:id="1335" w:name="_Toc303539104"/>
      <w:bookmarkStart w:id="1336" w:name="_Toc296503161"/>
      <w:bookmarkStart w:id="1337" w:name="_Toc297120461"/>
      <w:bookmarkStart w:id="1338" w:name="_Toc300934947"/>
      <w:bookmarkStart w:id="1339" w:name="_Toc296346662"/>
      <w:bookmarkStart w:id="1340" w:name="_Toc296890989"/>
      <w:bookmarkStart w:id="1341" w:name="_Toc297216153"/>
      <w:bookmarkStart w:id="1342" w:name="_Toc296347160"/>
      <w:bookmarkStart w:id="1343" w:name="_Toc297123494"/>
      <w:r>
        <w:rPr>
          <w:rFonts w:hint="eastAsia" w:ascii="宋体" w:hAnsi="宋体"/>
          <w:color w:val="auto"/>
          <w:szCs w:val="21"/>
          <w:highlight w:val="none"/>
        </w:rPr>
        <w:t>；关键性工作指梁、板、柱等部位。</w:t>
      </w:r>
    </w:p>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14:paraId="2D88E8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0C496E3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1344" w:name="_Toc318581159"/>
      <w:bookmarkStart w:id="1345" w:name="_Toc312677990"/>
      <w:r>
        <w:rPr>
          <w:rFonts w:hint="eastAsia" w:ascii="宋体" w:hAnsi="宋体"/>
          <w:color w:val="auto"/>
          <w:szCs w:val="21"/>
          <w:highlight w:val="none"/>
        </w:rPr>
        <w:t>.5.2分包的确定</w:t>
      </w:r>
    </w:p>
    <w:p w14:paraId="7CE8370F">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p w14:paraId="006BF6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14:paraId="5416917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关于分包合同价款支付的约定：</w:t>
      </w:r>
      <w:bookmarkEnd w:id="1344"/>
      <w:bookmarkEnd w:id="1345"/>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14:paraId="77080E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本款补充3.5.6项：</w:t>
      </w:r>
    </w:p>
    <w:p w14:paraId="11FF167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3.5.6严禁违法分包</w:t>
      </w:r>
    </w:p>
    <w:p w14:paraId="3383EA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36D2BB54">
      <w:pPr>
        <w:pStyle w:val="7"/>
        <w:spacing w:before="0" w:beforeAutospacing="0" w:after="0" w:afterAutospacing="0" w:line="360" w:lineRule="auto"/>
        <w:ind w:firstLine="422" w:firstLineChars="200"/>
        <w:rPr>
          <w:color w:val="auto"/>
          <w:sz w:val="21"/>
          <w:szCs w:val="21"/>
          <w:highlight w:val="none"/>
        </w:rPr>
      </w:pPr>
      <w:bookmarkStart w:id="1346" w:name="_Toc532377339"/>
      <w:r>
        <w:rPr>
          <w:rFonts w:hint="eastAsia"/>
          <w:color w:val="auto"/>
          <w:sz w:val="21"/>
          <w:szCs w:val="21"/>
          <w:highlight w:val="none"/>
        </w:rPr>
        <w:t>3.7 履约担保</w:t>
      </w:r>
      <w:bookmarkEnd w:id="1346"/>
    </w:p>
    <w:p w14:paraId="27CA107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3.7.1承包人是否提供履约担保：</w:t>
      </w:r>
      <w:r>
        <w:rPr>
          <w:rFonts w:hint="eastAsia" w:ascii="宋体" w:hAnsi="宋体"/>
          <w:color w:val="000000" w:themeColor="text1"/>
          <w:szCs w:val="21"/>
          <w:highlight w:val="none"/>
          <w:u w:val="singl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w:t>
      </w:r>
    </w:p>
    <w:p w14:paraId="7B53CAB1">
      <w:pPr>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3.7.2承包人提供履约担保的形式、金额及期限：</w:t>
      </w:r>
    </w:p>
    <w:p w14:paraId="5AFF64B2">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（1）履约担保的形式：</w:t>
      </w:r>
      <w:r>
        <w:rPr>
          <w:rFonts w:hint="eastAsia" w:ascii="宋体" w:hAnsi="宋体"/>
          <w:color w:val="000000" w:themeColor="text1"/>
          <w:szCs w:val="21"/>
          <w:highlight w:val="none"/>
          <w:u w:val="none"/>
          <w14:textFill>
            <w14:solidFill>
              <w14:schemeClr w14:val="tx1"/>
            </w14:solidFill>
          </w14:textFill>
        </w:rPr>
        <w:t>现金或银行保函或现金+银行保函的组合；采用保函形式的，保函必须为不可撤销且见索即付</w:t>
      </w:r>
      <w:r>
        <w:rPr>
          <w:rFonts w:hint="eastAsia" w:ascii="宋体" w:hAnsi="宋体"/>
          <w:color w:val="000000" w:themeColor="text1"/>
          <w:szCs w:val="21"/>
          <w:highlight w:val="none"/>
          <w14:textFill>
            <w14:solidFill>
              <w14:schemeClr w14:val="tx1"/>
            </w14:solidFill>
          </w14:textFill>
        </w:rPr>
        <w:t>；</w:t>
      </w:r>
    </w:p>
    <w:p w14:paraId="305D5D4C">
      <w:pPr>
        <w:tabs>
          <w:tab w:val="left" w:pos="1134"/>
        </w:tabs>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（2）履约担保的金额：</w:t>
      </w:r>
      <w:r>
        <w:rPr>
          <w:rFonts w:hint="eastAsia" w:ascii="宋体" w:hAnsi="宋体"/>
          <w:color w:val="000000" w:themeColor="text1"/>
          <w:szCs w:val="21"/>
          <w:u w:val="single"/>
          <w14:textFill>
            <w14:solidFill>
              <w14:schemeClr w14:val="tx1"/>
            </w14:solidFill>
          </w14:textFill>
        </w:rPr>
        <w:t>中标价的</w:t>
      </w:r>
      <w:r>
        <w:rPr>
          <w:rFonts w:hint="eastAsia" w:ascii="宋体" w:hAnsi="宋体"/>
          <w:color w:val="000000" w:themeColor="text1"/>
          <w:szCs w:val="21"/>
          <w:u w:val="single"/>
          <w:lang w:val="en-US" w:eastAsia="zh-CN"/>
          <w14:textFill>
            <w14:solidFill>
              <w14:schemeClr w14:val="tx1"/>
            </w14:solidFill>
          </w14:textFill>
        </w:rPr>
        <w:t>10%</w:t>
      </w:r>
      <w:r>
        <w:rPr>
          <w:rFonts w:hint="eastAsia" w:ascii="宋体" w:hAnsi="宋体"/>
          <w:color w:val="000000" w:themeColor="text1"/>
          <w:szCs w:val="21"/>
          <w:u w:val="single"/>
          <w:lang w:eastAsia="zh-CN"/>
          <w14:textFill>
            <w14:solidFill>
              <w14:schemeClr w14:val="tx1"/>
            </w14:solidFill>
          </w14:textFill>
        </w:rPr>
        <w:t>，即</w:t>
      </w:r>
      <w:r>
        <w:rPr>
          <w:rFonts w:hint="eastAsia" w:ascii="宋体" w:hAnsi="宋体"/>
          <w:color w:val="000000" w:themeColor="text1"/>
          <w:szCs w:val="21"/>
          <w:u w:val="single"/>
          <w:lang w:val="en-US" w:eastAsia="zh-CN"/>
          <w14:textFill>
            <w14:solidFill>
              <w14:schemeClr w14:val="tx1"/>
            </w14:solidFill>
          </w14:textFill>
        </w:rPr>
        <w:t xml:space="preserve">     万元</w:t>
      </w:r>
      <w:r>
        <w:rPr>
          <w:rFonts w:hint="eastAsia" w:ascii="宋体" w:hAnsi="宋体"/>
          <w:color w:val="000000" w:themeColor="text1"/>
          <w:szCs w:val="21"/>
          <w:highlight w:val="none"/>
          <w14:textFill>
            <w14:solidFill>
              <w14:schemeClr w14:val="tx1"/>
            </w14:solidFill>
          </w14:textFill>
        </w:rPr>
        <w:t>；</w:t>
      </w:r>
    </w:p>
    <w:p w14:paraId="57B89278">
      <w:pPr>
        <w:tabs>
          <w:tab w:val="left" w:pos="1134"/>
        </w:tabs>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（3）履约担保的提交时间：</w:t>
      </w:r>
      <w:r>
        <w:rPr>
          <w:rFonts w:hint="eastAsia" w:ascii="宋体" w:hAnsi="宋体"/>
          <w:color w:val="000000" w:themeColor="text1"/>
          <w:szCs w:val="21"/>
          <w:highlight w:val="none"/>
          <w:u w:val="single"/>
          <w14:textFill>
            <w14:solidFill>
              <w14:schemeClr w14:val="tx1"/>
            </w14:solidFill>
          </w14:textFill>
        </w:rPr>
        <w:t>在合同签订前，承包人按担保金额向发包人提交履约担保</w:t>
      </w:r>
      <w:r>
        <w:rPr>
          <w:rFonts w:hint="eastAsia" w:ascii="宋体" w:hAnsi="宋体"/>
          <w:color w:val="000000" w:themeColor="text1"/>
          <w:szCs w:val="21"/>
          <w:highlight w:val="none"/>
          <w14:textFill>
            <w14:solidFill>
              <w14:schemeClr w14:val="tx1"/>
            </w14:solidFill>
          </w14:textFill>
        </w:rPr>
        <w:t>。</w:t>
      </w:r>
    </w:p>
    <w:p w14:paraId="0A2577E7">
      <w:pPr>
        <w:tabs>
          <w:tab w:val="left" w:pos="1134"/>
        </w:tabs>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（4）履约担保的期限：</w:t>
      </w:r>
      <w:r>
        <w:rPr>
          <w:rFonts w:hint="eastAsia" w:ascii="宋体" w:hAnsi="宋体"/>
          <w:color w:val="000000" w:themeColor="text1"/>
          <w:szCs w:val="21"/>
          <w:u w:val="single"/>
          <w14:textFill>
            <w14:solidFill>
              <w14:schemeClr w14:val="tx1"/>
            </w14:solidFill>
          </w14:textFill>
        </w:rPr>
        <w:t>自提交履约担保之日起至竣工验收合格之日止</w:t>
      </w:r>
      <w:r>
        <w:rPr>
          <w:rFonts w:hint="eastAsia" w:ascii="宋体" w:hAnsi="宋体"/>
          <w:color w:val="000000" w:themeColor="text1"/>
          <w:szCs w:val="21"/>
          <w:highlight w:val="none"/>
          <w14:textFill>
            <w14:solidFill>
              <w14:schemeClr w14:val="tx1"/>
            </w14:solidFill>
          </w14:textFill>
        </w:rPr>
        <w:t>。</w:t>
      </w:r>
    </w:p>
    <w:p w14:paraId="33279168">
      <w:pPr>
        <w:tabs>
          <w:tab w:val="left" w:pos="1134"/>
        </w:tabs>
        <w:spacing w:line="360" w:lineRule="auto"/>
        <w:ind w:firstLine="420" w:firstLineChars="200"/>
        <w:jc w:val="left"/>
        <w:rPr>
          <w:rFonts w:hint="eastAsia" w:ascii="宋体" w:hAnsi="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（5）履约担保的退还时间：</w:t>
      </w:r>
      <w:r>
        <w:rPr>
          <w:rFonts w:hint="eastAsia" w:ascii="宋体" w:hAnsi="宋体"/>
          <w:color w:val="000000" w:themeColor="text1"/>
          <w:szCs w:val="21"/>
          <w:highlight w:val="none"/>
          <w:u w:val="single"/>
          <w14:textFill>
            <w14:solidFill>
              <w14:schemeClr w14:val="tx1"/>
            </w14:solidFill>
          </w14:textFill>
        </w:rPr>
        <w:t>采用现金担保的，工程竣工验收合格后14天内无息退还；采用银行保函的，工程竣工验收合格后14天内退还</w:t>
      </w:r>
      <w:r>
        <w:rPr>
          <w:rFonts w:hint="eastAsia" w:ascii="宋体" w:hAnsi="宋体"/>
          <w:color w:val="000000" w:themeColor="text1"/>
          <w:szCs w:val="21"/>
          <w:highlight w:val="none"/>
          <w:u w:val="single"/>
          <w:lang w:eastAsia="zh-CN"/>
          <w14:textFill>
            <w14:solidFill>
              <w14:schemeClr w14:val="tx1"/>
            </w14:solidFill>
          </w14:textFill>
        </w:rPr>
        <w:t>。</w:t>
      </w:r>
    </w:p>
    <w:p w14:paraId="69F00FB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347" w:name="_Toc532377340"/>
      <w:bookmarkStart w:id="1348" w:name="_Toc351203636"/>
      <w:bookmarkStart w:id="1349" w:name="_Toc532375611"/>
      <w:r>
        <w:rPr>
          <w:rFonts w:hint="eastAsia"/>
          <w:color w:val="auto"/>
          <w:kern w:val="2"/>
          <w:sz w:val="21"/>
          <w:szCs w:val="21"/>
          <w:highlight w:val="none"/>
        </w:rPr>
        <w:t>4</w:t>
      </w:r>
      <w:bookmarkStart w:id="1350" w:name="_Toc296891202"/>
      <w:bookmarkStart w:id="1351" w:name="_Toc296347161"/>
      <w:bookmarkStart w:id="1352" w:name="_Toc296503162"/>
      <w:bookmarkStart w:id="1353" w:name="_Toc296944501"/>
      <w:bookmarkStart w:id="1354" w:name="_Toc296346663"/>
      <w:bookmarkStart w:id="1355" w:name="_Toc292559871"/>
      <w:bookmarkStart w:id="1356" w:name="_Toc297120462"/>
      <w:bookmarkStart w:id="1357" w:name="_Toc296890990"/>
      <w:bookmarkStart w:id="1358" w:name="_Toc267251413"/>
      <w:bookmarkStart w:id="1359" w:name="_Toc292559366"/>
      <w:bookmarkStart w:id="1360" w:name="_Toc297048348"/>
      <w:r>
        <w:rPr>
          <w:rFonts w:hint="eastAsia"/>
          <w:color w:val="auto"/>
          <w:kern w:val="2"/>
          <w:sz w:val="21"/>
          <w:szCs w:val="21"/>
          <w:highlight w:val="none"/>
        </w:rPr>
        <w:t>. 监</w:t>
      </w:r>
      <w:bookmarkEnd w:id="1350"/>
      <w:bookmarkEnd w:id="1351"/>
      <w:bookmarkEnd w:id="1352"/>
      <w:bookmarkEnd w:id="1353"/>
      <w:bookmarkEnd w:id="1354"/>
      <w:bookmarkEnd w:id="1355"/>
      <w:bookmarkEnd w:id="1356"/>
      <w:bookmarkEnd w:id="1357"/>
      <w:bookmarkEnd w:id="1358"/>
      <w:bookmarkEnd w:id="1359"/>
      <w:bookmarkEnd w:id="1360"/>
      <w:r>
        <w:rPr>
          <w:rFonts w:hint="eastAsia"/>
          <w:color w:val="auto"/>
          <w:kern w:val="2"/>
          <w:sz w:val="21"/>
          <w:szCs w:val="21"/>
          <w:highlight w:val="none"/>
        </w:rPr>
        <w:t>理人</w:t>
      </w:r>
      <w:bookmarkEnd w:id="1347"/>
      <w:bookmarkEnd w:id="1348"/>
      <w:bookmarkEnd w:id="1349"/>
    </w:p>
    <w:p w14:paraId="21C6A3F2">
      <w:pPr>
        <w:pStyle w:val="7"/>
        <w:spacing w:before="0" w:beforeAutospacing="0" w:after="0" w:afterAutospacing="0" w:line="360" w:lineRule="auto"/>
        <w:ind w:firstLine="422" w:firstLineChars="200"/>
        <w:rPr>
          <w:color w:val="auto"/>
          <w:sz w:val="21"/>
          <w:szCs w:val="21"/>
          <w:highlight w:val="none"/>
        </w:rPr>
      </w:pPr>
      <w:bookmarkStart w:id="1361" w:name="_Toc532377341"/>
      <w:r>
        <w:rPr>
          <w:rFonts w:hint="eastAsia"/>
          <w:color w:val="auto"/>
          <w:sz w:val="21"/>
          <w:szCs w:val="21"/>
          <w:highlight w:val="none"/>
        </w:rPr>
        <w:t>4.1 监理人的一般规定</w:t>
      </w:r>
      <w:bookmarkEnd w:id="1361"/>
    </w:p>
    <w:p w14:paraId="130501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4CEBBBB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14:paraId="5813170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lang w:val="en-US" w:eastAsia="zh-CN"/>
        </w:rPr>
        <w:t xml:space="preserve">甲方承担监理费用，办 </w:t>
      </w:r>
    </w:p>
    <w:p w14:paraId="23BDD3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lang w:val="en-US" w:eastAsia="zh-CN"/>
        </w:rPr>
        <w:t>公场所及生活场所均由乙方</w:t>
      </w:r>
      <w:r>
        <w:rPr>
          <w:rFonts w:hint="eastAsia" w:ascii="宋体" w:hAnsi="宋体"/>
          <w:color w:val="auto"/>
          <w:szCs w:val="21"/>
          <w:highlight w:val="none"/>
          <w:u w:val="none"/>
          <w:lang w:val="en-US" w:eastAsia="zh-CN"/>
        </w:rPr>
        <w:t>提供</w:t>
      </w:r>
      <w:r>
        <w:rPr>
          <w:rFonts w:hint="eastAsia" w:ascii="宋体" w:hAnsi="宋体"/>
          <w:color w:val="auto"/>
          <w:szCs w:val="21"/>
          <w:highlight w:val="none"/>
          <w:u w:val="none"/>
        </w:rPr>
        <w:t>。</w:t>
      </w:r>
    </w:p>
    <w:p w14:paraId="1E73841B">
      <w:pPr>
        <w:pStyle w:val="7"/>
        <w:spacing w:before="0" w:beforeAutospacing="0" w:after="0" w:afterAutospacing="0" w:line="360" w:lineRule="auto"/>
        <w:ind w:firstLine="422" w:firstLineChars="200"/>
        <w:rPr>
          <w:color w:val="auto"/>
          <w:sz w:val="21"/>
          <w:szCs w:val="21"/>
          <w:highlight w:val="none"/>
        </w:rPr>
      </w:pPr>
      <w:bookmarkStart w:id="1362" w:name="_Toc532377342"/>
      <w:r>
        <w:rPr>
          <w:rFonts w:hint="eastAsia"/>
          <w:color w:val="auto"/>
          <w:sz w:val="21"/>
          <w:szCs w:val="21"/>
          <w:highlight w:val="none"/>
        </w:rPr>
        <w:t>4.2 监理人员</w:t>
      </w:r>
      <w:bookmarkEnd w:id="1362"/>
    </w:p>
    <w:p w14:paraId="4E3995C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14:paraId="324674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51AF63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14:paraId="537E7E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14:paraId="5555A9B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7C8F064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5DD3A0AA">
      <w:pPr>
        <w:pStyle w:val="7"/>
        <w:spacing w:before="0" w:beforeAutospacing="0" w:after="0" w:afterAutospacing="0" w:line="360" w:lineRule="auto"/>
        <w:ind w:firstLine="420" w:firstLineChars="200"/>
        <w:rPr>
          <w:b w:val="0"/>
          <w:color w:val="auto"/>
          <w:sz w:val="21"/>
          <w:szCs w:val="21"/>
          <w:highlight w:val="none"/>
        </w:rPr>
      </w:pPr>
      <w:bookmarkStart w:id="1363" w:name="_Toc532377343"/>
      <w:r>
        <w:rPr>
          <w:rFonts w:hint="eastAsia"/>
          <w:b w:val="0"/>
          <w:color w:val="auto"/>
          <w:sz w:val="21"/>
          <w:szCs w:val="21"/>
          <w:highlight w:val="none"/>
        </w:rPr>
        <w:t>4.4 商定或确定</w:t>
      </w:r>
      <w:bookmarkEnd w:id="1363"/>
    </w:p>
    <w:p w14:paraId="0C95C6A0">
      <w:pPr>
        <w:spacing w:line="360" w:lineRule="auto"/>
        <w:ind w:firstLine="420" w:firstLineChars="200"/>
        <w:jc w:val="left"/>
        <w:rPr>
          <w:rFonts w:ascii="宋体" w:hAnsi="宋体"/>
          <w:color w:val="auto"/>
          <w:szCs w:val="21"/>
          <w:highlight w:val="none"/>
        </w:rPr>
      </w:pPr>
      <w:bookmarkStart w:id="1364" w:name="_Toc267251418"/>
      <w:r>
        <w:rPr>
          <w:rFonts w:hint="eastAsia" w:ascii="宋体" w:hAnsi="宋体"/>
          <w:color w:val="auto"/>
          <w:szCs w:val="21"/>
          <w:highlight w:val="none"/>
        </w:rPr>
        <w:t>在发包人和承包人不能通过协商达成一致意见时，发包人授权监理人对以下事项进行确定：</w:t>
      </w:r>
    </w:p>
    <w:p w14:paraId="7612DC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                    </w:t>
      </w:r>
      <w:r>
        <w:rPr>
          <w:rFonts w:hint="eastAsia" w:ascii="宋体" w:hAnsi="宋体"/>
          <w:color w:val="auto"/>
          <w:szCs w:val="21"/>
          <w:highlight w:val="none"/>
        </w:rPr>
        <w:t>。</w:t>
      </w:r>
    </w:p>
    <w:p w14:paraId="699BCD14">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365" w:name="_Toc532377344"/>
      <w:bookmarkStart w:id="1366" w:name="_Toc351203637"/>
      <w:bookmarkStart w:id="1367" w:name="_Toc532375612"/>
      <w:r>
        <w:rPr>
          <w:rFonts w:hint="eastAsia"/>
          <w:color w:val="auto"/>
          <w:kern w:val="2"/>
          <w:sz w:val="21"/>
          <w:szCs w:val="21"/>
          <w:highlight w:val="none"/>
        </w:rPr>
        <w:t>5</w:t>
      </w:r>
      <w:bookmarkEnd w:id="1364"/>
      <w:bookmarkStart w:id="1368" w:name="_Toc292559367"/>
      <w:bookmarkStart w:id="1369" w:name="_Toc296346664"/>
      <w:bookmarkStart w:id="1370" w:name="_Toc297120463"/>
      <w:bookmarkStart w:id="1371" w:name="_Toc296503163"/>
      <w:bookmarkStart w:id="1372" w:name="_Toc296347162"/>
      <w:bookmarkStart w:id="1373" w:name="_Toc296891203"/>
      <w:bookmarkStart w:id="1374" w:name="_Toc297048349"/>
      <w:bookmarkStart w:id="1375" w:name="_Toc292559872"/>
      <w:bookmarkStart w:id="1376" w:name="_Toc296890991"/>
      <w:bookmarkStart w:id="1377" w:name="_Toc296944502"/>
      <w:r>
        <w:rPr>
          <w:rFonts w:hint="eastAsia"/>
          <w:color w:val="auto"/>
          <w:kern w:val="2"/>
          <w:sz w:val="21"/>
          <w:szCs w:val="21"/>
          <w:highlight w:val="none"/>
        </w:rPr>
        <w:t>. 工程质量</w:t>
      </w:r>
      <w:bookmarkEnd w:id="1365"/>
      <w:bookmarkEnd w:id="1366"/>
      <w:bookmarkEnd w:id="1367"/>
    </w:p>
    <w:p w14:paraId="0FD08D8A">
      <w:pPr>
        <w:pStyle w:val="7"/>
        <w:spacing w:before="0" w:beforeAutospacing="0" w:after="0" w:afterAutospacing="0" w:line="360" w:lineRule="auto"/>
        <w:ind w:firstLine="422" w:firstLineChars="200"/>
        <w:rPr>
          <w:color w:val="auto"/>
          <w:sz w:val="21"/>
          <w:szCs w:val="21"/>
          <w:highlight w:val="none"/>
        </w:rPr>
      </w:pPr>
      <w:bookmarkStart w:id="1378" w:name="_Toc532377345"/>
      <w:r>
        <w:rPr>
          <w:rFonts w:hint="eastAsia"/>
          <w:color w:val="auto"/>
          <w:sz w:val="21"/>
          <w:szCs w:val="21"/>
          <w:highlight w:val="none"/>
        </w:rPr>
        <w:t>5.1 质量要求</w:t>
      </w:r>
      <w:bookmarkEnd w:id="1378"/>
      <w:bookmarkStart w:id="1379" w:name="_Hlk528909888"/>
      <w:bookmarkStart w:id="1380" w:name="_Toc300934949"/>
      <w:bookmarkStart w:id="1381" w:name="_Toc297123496"/>
      <w:bookmarkStart w:id="1382" w:name="_Toc297216155"/>
      <w:bookmarkStart w:id="1383" w:name="_Toc312677997"/>
      <w:bookmarkStart w:id="1384" w:name="_Toc303539106"/>
      <w:bookmarkStart w:id="1385" w:name="_Toc318581164"/>
      <w:bookmarkStart w:id="1386" w:name="_Toc304295527"/>
    </w:p>
    <w:p w14:paraId="4A76004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工程质量符合国家有关施工质量验收规范和标准要求，达到合格标准</w:t>
      </w:r>
      <w:r>
        <w:rPr>
          <w:rFonts w:hint="eastAsia" w:ascii="宋体" w:hAnsi="宋体"/>
          <w:color w:val="auto"/>
          <w:szCs w:val="21"/>
          <w:highlight w:val="none"/>
        </w:rPr>
        <w:t>。</w:t>
      </w:r>
    </w:p>
    <w:bookmarkEnd w:id="1379"/>
    <w:p w14:paraId="0FFE3A91">
      <w:pPr>
        <w:pStyle w:val="7"/>
        <w:spacing w:before="0" w:beforeAutospacing="0" w:after="0" w:afterAutospacing="0" w:line="360" w:lineRule="auto"/>
        <w:ind w:firstLine="422" w:firstLineChars="200"/>
        <w:rPr>
          <w:color w:val="auto"/>
          <w:sz w:val="21"/>
          <w:szCs w:val="21"/>
          <w:highlight w:val="none"/>
        </w:rPr>
      </w:pPr>
      <w:bookmarkStart w:id="1387" w:name="_Toc532377346"/>
      <w:r>
        <w:rPr>
          <w:rFonts w:hint="eastAsia"/>
          <w:color w:val="auto"/>
          <w:sz w:val="21"/>
          <w:szCs w:val="21"/>
          <w:highlight w:val="none"/>
        </w:rPr>
        <w:t>5.2 质量保证措施</w:t>
      </w:r>
      <w:bookmarkEnd w:id="1387"/>
    </w:p>
    <w:p w14:paraId="2E36E5A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本款补充5.2.4项：</w:t>
      </w:r>
    </w:p>
    <w:p w14:paraId="5D52BA6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14:paraId="51A1787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14:paraId="06C97AE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14:paraId="44AC44B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14:paraId="2072A38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14:paraId="7CD9517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14:paraId="36F38B0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14:paraId="7D65ECA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14:paraId="29A2146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14:paraId="3467F15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14:paraId="3E7B7D8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14:paraId="40712EB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DC3C53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14:paraId="1C4C8491">
      <w:pPr>
        <w:pStyle w:val="7"/>
        <w:spacing w:before="0" w:beforeAutospacing="0" w:after="0" w:afterAutospacing="0" w:line="360" w:lineRule="auto"/>
        <w:ind w:firstLine="422" w:firstLineChars="200"/>
        <w:rPr>
          <w:color w:val="auto"/>
          <w:sz w:val="21"/>
          <w:szCs w:val="21"/>
          <w:highlight w:val="none"/>
        </w:rPr>
      </w:pPr>
      <w:bookmarkStart w:id="1388" w:name="_Toc351203536"/>
      <w:bookmarkStart w:id="1389" w:name="_Toc532377347"/>
      <w:bookmarkStart w:id="1390" w:name="_Hlk528927873"/>
      <w:r>
        <w:rPr>
          <w:rFonts w:hint="eastAsia"/>
          <w:color w:val="auto"/>
          <w:sz w:val="21"/>
          <w:szCs w:val="21"/>
          <w:highlight w:val="none"/>
        </w:rPr>
        <w:t>5.3隐蔽工程检查</w:t>
      </w:r>
    </w:p>
    <w:p w14:paraId="09B4770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5.3.2检查程序</w:t>
      </w:r>
    </w:p>
    <w:p w14:paraId="7D3E856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24</w:t>
      </w:r>
      <w:r>
        <w:rPr>
          <w:rFonts w:hint="eastAsia" w:ascii="宋体" w:hAnsi="宋体"/>
          <w:color w:val="auto"/>
          <w:szCs w:val="21"/>
          <w:highlight w:val="none"/>
          <w:u w:val="single"/>
        </w:rPr>
        <w:t xml:space="preserve"> </w:t>
      </w:r>
      <w:r>
        <w:rPr>
          <w:rFonts w:hint="eastAsia" w:ascii="宋体" w:hAnsi="宋体"/>
          <w:color w:val="auto"/>
          <w:szCs w:val="21"/>
          <w:highlight w:val="none"/>
        </w:rPr>
        <w:t>小时书面通知监理人检查，通知中应载明隐蔽检查的内容、时间和地点，并应附有自检记录和必要的检查资料。</w:t>
      </w:r>
    </w:p>
    <w:p w14:paraId="36FA028C">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5</w:t>
      </w:r>
      <w:bookmarkStart w:id="1391" w:name="_Toc337558762"/>
      <w:r>
        <w:rPr>
          <w:rFonts w:hint="eastAsia"/>
          <w:color w:val="auto"/>
          <w:sz w:val="21"/>
          <w:szCs w:val="21"/>
          <w:highlight w:val="none"/>
        </w:rPr>
        <w:t>.4 不合格工程的处理</w:t>
      </w:r>
      <w:bookmarkEnd w:id="1388"/>
      <w:bookmarkEnd w:id="1389"/>
    </w:p>
    <w:bookmarkEnd w:id="1391"/>
    <w:p w14:paraId="73FAF58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本款补充5.4.3项：</w:t>
      </w:r>
    </w:p>
    <w:p w14:paraId="164CAE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0307AAE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本条补充5.6款：</w:t>
      </w:r>
    </w:p>
    <w:bookmarkEnd w:id="1390"/>
    <w:p w14:paraId="7E5A199D">
      <w:pPr>
        <w:pStyle w:val="7"/>
        <w:spacing w:before="0" w:beforeAutospacing="0" w:after="0" w:afterAutospacing="0" w:line="360" w:lineRule="auto"/>
        <w:ind w:firstLine="422" w:firstLineChars="200"/>
        <w:rPr>
          <w:color w:val="auto"/>
          <w:sz w:val="21"/>
          <w:szCs w:val="21"/>
          <w:highlight w:val="none"/>
        </w:rPr>
      </w:pPr>
      <w:bookmarkStart w:id="1392" w:name="_Toc532377348"/>
      <w:r>
        <w:rPr>
          <w:rFonts w:hint="eastAsia"/>
          <w:color w:val="auto"/>
          <w:sz w:val="21"/>
          <w:szCs w:val="21"/>
          <w:highlight w:val="none"/>
        </w:rPr>
        <w:t>5.6 质量事故的处理</w:t>
      </w:r>
      <w:bookmarkEnd w:id="1392"/>
    </w:p>
    <w:p w14:paraId="44F4245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14:paraId="779A138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68"/>
    <w:bookmarkEnd w:id="1369"/>
    <w:bookmarkEnd w:id="1370"/>
    <w:bookmarkEnd w:id="1371"/>
    <w:bookmarkEnd w:id="1372"/>
    <w:bookmarkEnd w:id="1373"/>
    <w:bookmarkEnd w:id="1374"/>
    <w:bookmarkEnd w:id="1375"/>
    <w:bookmarkEnd w:id="1376"/>
    <w:bookmarkEnd w:id="1377"/>
    <w:bookmarkEnd w:id="1380"/>
    <w:bookmarkEnd w:id="1381"/>
    <w:bookmarkEnd w:id="1382"/>
    <w:bookmarkEnd w:id="1383"/>
    <w:bookmarkEnd w:id="1384"/>
    <w:bookmarkEnd w:id="1385"/>
    <w:bookmarkEnd w:id="1386"/>
    <w:p w14:paraId="3B781A53">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393" w:name="_Toc351203638"/>
      <w:bookmarkStart w:id="1394" w:name="_Toc532375613"/>
      <w:bookmarkStart w:id="1395" w:name="_Toc532377349"/>
      <w:bookmarkStart w:id="1396" w:name="_Toc296891001"/>
      <w:bookmarkStart w:id="1397" w:name="_Toc296503173"/>
      <w:bookmarkStart w:id="1398" w:name="_Toc267251427"/>
      <w:bookmarkStart w:id="1399" w:name="_Toc351203642"/>
      <w:bookmarkStart w:id="1400" w:name="_Toc267251428"/>
      <w:bookmarkStart w:id="1401" w:name="_Toc296346674"/>
      <w:bookmarkStart w:id="1402" w:name="_Toc292559378"/>
      <w:bookmarkStart w:id="1403" w:name="_Toc296891213"/>
      <w:bookmarkStart w:id="1404" w:name="_Toc292559883"/>
      <w:bookmarkStart w:id="1405" w:name="_Toc296347172"/>
      <w:bookmarkStart w:id="1406" w:name="_Toc296944512"/>
      <w:bookmarkStart w:id="1407" w:name="_Toc297120473"/>
      <w:bookmarkStart w:id="1408" w:name="_Toc297048359"/>
      <w:r>
        <w:rPr>
          <w:rFonts w:hint="eastAsia"/>
          <w:color w:val="auto"/>
          <w:kern w:val="2"/>
          <w:sz w:val="21"/>
          <w:szCs w:val="21"/>
          <w:highlight w:val="none"/>
        </w:rPr>
        <w:t>6. 安全文明施工与环境保护</w:t>
      </w:r>
      <w:bookmarkEnd w:id="1393"/>
      <w:bookmarkEnd w:id="1394"/>
      <w:bookmarkEnd w:id="1395"/>
    </w:p>
    <w:p w14:paraId="67FDD04B">
      <w:pPr>
        <w:pStyle w:val="7"/>
        <w:spacing w:before="0" w:beforeAutospacing="0" w:after="0" w:afterAutospacing="0" w:line="360" w:lineRule="auto"/>
        <w:ind w:firstLine="422" w:firstLineChars="200"/>
        <w:rPr>
          <w:color w:val="auto"/>
          <w:sz w:val="21"/>
          <w:szCs w:val="21"/>
          <w:highlight w:val="none"/>
        </w:rPr>
      </w:pPr>
      <w:bookmarkStart w:id="1409" w:name="_Toc532375614"/>
      <w:bookmarkStart w:id="1410" w:name="_Toc532377350"/>
      <w:r>
        <w:rPr>
          <w:rFonts w:hint="eastAsia"/>
          <w:color w:val="auto"/>
          <w:sz w:val="21"/>
          <w:szCs w:val="21"/>
          <w:highlight w:val="none"/>
        </w:rPr>
        <w:t>6.1 安全文明施工</w:t>
      </w:r>
      <w:bookmarkEnd w:id="1409"/>
      <w:bookmarkEnd w:id="1410"/>
    </w:p>
    <w:p w14:paraId="1F984D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承包人必须认真贯彻执行国家安全生产法律、法规、规章和标准，按照重庆市现行的质量、安全文明施工有关规定和发包人安全管理的有关规定，建立完善的质量、安全、文明施工管理制度。</w:t>
      </w:r>
    </w:p>
    <w:p w14:paraId="202EF7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68A07F7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14:paraId="00569CF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14:paraId="394E9D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14:paraId="66DC1C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14:paraId="2E564B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14:paraId="0F2A2DC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14:paraId="0AE534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14:paraId="7360E11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14:paraId="03131B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14:paraId="31AF1C6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14:paraId="033350A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14:paraId="20251DE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w:t>
      </w:r>
      <w:r>
        <w:rPr>
          <w:rFonts w:hint="eastAsia" w:ascii="宋体" w:hAnsi="宋体"/>
          <w:color w:val="000000" w:themeColor="text1"/>
          <w:szCs w:val="21"/>
          <w:highlight w:val="none"/>
          <w14:textFill>
            <w14:solidFill>
              <w14:schemeClr w14:val="tx1"/>
            </w14:solidFill>
          </w14:textFill>
        </w:rPr>
        <w:t>.6 关于安全文明施工费支付比例和支付期限的约定：按照行业主管部门相关规定</w:t>
      </w:r>
      <w:r>
        <w:rPr>
          <w:rFonts w:hint="eastAsia" w:ascii="宋体" w:hAnsi="宋体"/>
          <w:color w:val="000000" w:themeColor="text1"/>
          <w:szCs w:val="21"/>
          <w:highlight w:val="none"/>
          <w:u w:val="single"/>
          <w:lang w:val="en-US" w:eastAsia="zh-CN"/>
          <w14:textFill>
            <w14:solidFill>
              <w14:schemeClr w14:val="tx1"/>
            </w14:solidFill>
          </w14:textFill>
        </w:rPr>
        <w:t xml:space="preserve">渝建发{2014}25 号《重庆市建设工程安全文明施工费计取及使用管理规定》的通知 </w:t>
      </w:r>
      <w:r>
        <w:rPr>
          <w:rFonts w:hint="eastAsia" w:ascii="宋体" w:hAnsi="宋体"/>
          <w:color w:val="000000" w:themeColor="text1"/>
          <w:szCs w:val="21"/>
          <w:highlight w:val="none"/>
          <w14:textFill>
            <w14:solidFill>
              <w14:schemeClr w14:val="tx1"/>
            </w14:solidFill>
          </w14:textFill>
        </w:rPr>
        <w:t>执行。</w:t>
      </w:r>
    </w:p>
    <w:p w14:paraId="3F81EA7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14:paraId="0D4DBF10">
      <w:pPr>
        <w:pStyle w:val="7"/>
        <w:spacing w:before="0" w:beforeAutospacing="0" w:after="0" w:afterAutospacing="0" w:line="360" w:lineRule="auto"/>
        <w:ind w:firstLine="422" w:firstLineChars="200"/>
        <w:rPr>
          <w:color w:val="auto"/>
          <w:sz w:val="21"/>
          <w:szCs w:val="21"/>
          <w:highlight w:val="none"/>
        </w:rPr>
      </w:pPr>
      <w:bookmarkStart w:id="1411" w:name="_Toc532377351"/>
      <w:bookmarkStart w:id="1412" w:name="_Toc532375615"/>
      <w:r>
        <w:rPr>
          <w:rFonts w:hint="eastAsia"/>
          <w:color w:val="auto"/>
          <w:sz w:val="21"/>
          <w:szCs w:val="21"/>
          <w:highlight w:val="none"/>
        </w:rPr>
        <w:t>6.3 环境保护</w:t>
      </w:r>
      <w:bookmarkEnd w:id="1411"/>
      <w:bookmarkEnd w:id="1412"/>
    </w:p>
    <w:p w14:paraId="4681F08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本款补充6.3.1～6.3.8项：</w:t>
      </w:r>
    </w:p>
    <w:p w14:paraId="646BD14C">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098BA73">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0C6A9743">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7FE18162">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2960B025">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14:paraId="2C26963B">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14:paraId="63159278">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14:paraId="736BD82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14:paraId="501CE224">
      <w:pPr>
        <w:spacing w:line="360" w:lineRule="auto"/>
        <w:ind w:firstLine="420" w:firstLineChars="200"/>
        <w:jc w:val="left"/>
        <w:rPr>
          <w:rFonts w:hint="eastAsia" w:ascii="宋体" w:hAnsi="宋体"/>
          <w:color w:val="auto"/>
          <w:szCs w:val="21"/>
          <w:highlight w:val="none"/>
        </w:rPr>
      </w:pPr>
      <w:bookmarkStart w:id="1413" w:name="_Toc532377352"/>
      <w:bookmarkStart w:id="1414" w:name="_Toc351203639"/>
      <w:bookmarkStart w:id="1415" w:name="_Toc532375616"/>
      <w:r>
        <w:rPr>
          <w:rFonts w:hint="eastAsia" w:ascii="宋体" w:hAnsi="宋体"/>
          <w:color w:val="auto"/>
          <w:szCs w:val="21"/>
          <w:highlight w:val="none"/>
        </w:rPr>
        <w:t xml:space="preserve">6.3.9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CDE6DB8">
      <w:pPr>
        <w:pStyle w:val="6"/>
        <w:keepNext/>
        <w:keepLines/>
        <w:spacing w:before="156" w:beforeLines="50" w:beforeAutospacing="0" w:after="156" w:afterLines="50" w:afterAutospacing="0" w:line="360" w:lineRule="auto"/>
        <w:jc w:val="both"/>
        <w:rPr>
          <w:bCs w:val="0"/>
          <w:color w:val="auto"/>
          <w:kern w:val="2"/>
          <w:sz w:val="21"/>
          <w:szCs w:val="21"/>
          <w:highlight w:val="none"/>
        </w:rPr>
      </w:pPr>
      <w:r>
        <w:rPr>
          <w:rFonts w:hint="eastAsia"/>
          <w:color w:val="auto"/>
          <w:kern w:val="2"/>
          <w:sz w:val="21"/>
          <w:szCs w:val="21"/>
          <w:highlight w:val="none"/>
        </w:rPr>
        <w:t>7. 工期和进度</w:t>
      </w:r>
      <w:bookmarkEnd w:id="1413"/>
      <w:bookmarkEnd w:id="1414"/>
      <w:bookmarkEnd w:id="1415"/>
    </w:p>
    <w:p w14:paraId="77257E75">
      <w:pPr>
        <w:pStyle w:val="7"/>
        <w:spacing w:before="0" w:beforeAutospacing="0" w:after="0" w:afterAutospacing="0" w:line="360" w:lineRule="auto"/>
        <w:ind w:firstLine="422" w:firstLineChars="200"/>
        <w:rPr>
          <w:color w:val="auto"/>
          <w:sz w:val="21"/>
          <w:szCs w:val="21"/>
          <w:highlight w:val="none"/>
        </w:rPr>
      </w:pPr>
      <w:bookmarkStart w:id="1416" w:name="_Toc532377353"/>
      <w:bookmarkStart w:id="1417" w:name="_Toc532375617"/>
      <w:r>
        <w:rPr>
          <w:rFonts w:hint="eastAsia"/>
          <w:color w:val="auto"/>
          <w:sz w:val="21"/>
          <w:szCs w:val="21"/>
          <w:highlight w:val="none"/>
        </w:rPr>
        <w:t>7.1 施工组织设计</w:t>
      </w:r>
      <w:bookmarkEnd w:id="1416"/>
      <w:bookmarkEnd w:id="1417"/>
    </w:p>
    <w:p w14:paraId="5B915E86">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14:paraId="514660FA">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14:paraId="51251A1E">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天内，但最迟不得晚于开工通知载明的开工日期前7天</w:t>
      </w:r>
      <w:r>
        <w:rPr>
          <w:rFonts w:hint="eastAsia" w:ascii="宋体" w:hAnsi="宋体"/>
          <w:color w:val="auto"/>
          <w:szCs w:val="21"/>
          <w:highlight w:val="none"/>
        </w:rPr>
        <w:t>。</w:t>
      </w:r>
    </w:p>
    <w:p w14:paraId="01D598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天内</w:t>
      </w:r>
      <w:r>
        <w:rPr>
          <w:rFonts w:hint="eastAsia" w:ascii="宋体" w:hAnsi="宋体"/>
          <w:color w:val="auto"/>
          <w:szCs w:val="21"/>
          <w:highlight w:val="none"/>
        </w:rPr>
        <w:t>。</w:t>
      </w:r>
    </w:p>
    <w:p w14:paraId="6C5A4E2D">
      <w:pPr>
        <w:pStyle w:val="7"/>
        <w:spacing w:before="0" w:beforeAutospacing="0" w:after="0" w:afterAutospacing="0" w:line="360" w:lineRule="auto"/>
        <w:ind w:firstLine="422" w:firstLineChars="200"/>
        <w:rPr>
          <w:color w:val="auto"/>
          <w:sz w:val="21"/>
          <w:szCs w:val="21"/>
          <w:highlight w:val="none"/>
        </w:rPr>
      </w:pPr>
      <w:bookmarkStart w:id="1418" w:name="_Toc532375618"/>
      <w:bookmarkStart w:id="1419" w:name="_Toc532377354"/>
      <w:r>
        <w:rPr>
          <w:rFonts w:hint="eastAsia"/>
          <w:color w:val="auto"/>
          <w:sz w:val="21"/>
          <w:szCs w:val="21"/>
          <w:highlight w:val="none"/>
        </w:rPr>
        <w:t>7.2 施工进度计划</w:t>
      </w:r>
      <w:bookmarkEnd w:id="1418"/>
      <w:bookmarkEnd w:id="1419"/>
    </w:p>
    <w:p w14:paraId="07D2897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14:paraId="1B1A406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  天内</w:t>
      </w:r>
      <w:r>
        <w:rPr>
          <w:rFonts w:hint="eastAsia" w:ascii="宋体" w:hAnsi="宋体"/>
          <w:color w:val="auto"/>
          <w:szCs w:val="21"/>
          <w:highlight w:val="none"/>
        </w:rPr>
        <w:t>。</w:t>
      </w:r>
    </w:p>
    <w:p w14:paraId="134B31C5">
      <w:pPr>
        <w:pStyle w:val="7"/>
        <w:spacing w:before="0" w:beforeAutospacing="0" w:after="0" w:afterAutospacing="0" w:line="360" w:lineRule="auto"/>
        <w:ind w:firstLine="422" w:firstLineChars="200"/>
        <w:rPr>
          <w:color w:val="auto"/>
          <w:sz w:val="21"/>
          <w:szCs w:val="21"/>
          <w:highlight w:val="none"/>
        </w:rPr>
      </w:pPr>
      <w:bookmarkStart w:id="1420" w:name="_Toc532375619"/>
      <w:bookmarkStart w:id="1421" w:name="_Toc532377355"/>
      <w:bookmarkStart w:id="1422" w:name="_Toc304295541"/>
      <w:bookmarkStart w:id="1423" w:name="_Toc297123514"/>
      <w:bookmarkStart w:id="1424" w:name="_Toc300934966"/>
      <w:bookmarkStart w:id="1425" w:name="_Toc312677479"/>
      <w:bookmarkStart w:id="1426" w:name="_Toc303539123"/>
      <w:bookmarkStart w:id="1427" w:name="_Toc297216173"/>
      <w:bookmarkStart w:id="1428" w:name="_Toc312678005"/>
      <w:r>
        <w:rPr>
          <w:rFonts w:hint="eastAsia"/>
          <w:color w:val="auto"/>
          <w:sz w:val="21"/>
          <w:szCs w:val="21"/>
          <w:highlight w:val="none"/>
        </w:rPr>
        <w:t>7.3 开工</w:t>
      </w:r>
      <w:bookmarkEnd w:id="1420"/>
      <w:bookmarkEnd w:id="1421"/>
    </w:p>
    <w:p w14:paraId="4FEFD4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14:paraId="481FFB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 xml:space="preserve">不晚于开工前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天</w:t>
      </w:r>
      <w:r>
        <w:rPr>
          <w:rFonts w:hint="eastAsia" w:ascii="宋体" w:hAnsi="宋体"/>
          <w:color w:val="auto"/>
          <w:szCs w:val="21"/>
          <w:highlight w:val="none"/>
        </w:rPr>
        <w:t>。</w:t>
      </w:r>
    </w:p>
    <w:p w14:paraId="2E9208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 xml:space="preserve">不晚于开工前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天</w:t>
      </w:r>
      <w:r>
        <w:rPr>
          <w:rFonts w:hint="eastAsia" w:ascii="宋体" w:hAnsi="宋体"/>
          <w:color w:val="auto"/>
          <w:szCs w:val="21"/>
          <w:highlight w:val="none"/>
        </w:rPr>
        <w:t>。</w:t>
      </w:r>
    </w:p>
    <w:p w14:paraId="45821B9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 xml:space="preserve">不晚于开工前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天</w:t>
      </w:r>
      <w:r>
        <w:rPr>
          <w:rFonts w:hint="eastAsia" w:ascii="宋体" w:hAnsi="宋体"/>
          <w:color w:val="auto"/>
          <w:szCs w:val="21"/>
          <w:highlight w:val="none"/>
        </w:rPr>
        <w:t>。</w:t>
      </w:r>
    </w:p>
    <w:bookmarkEnd w:id="1422"/>
    <w:bookmarkEnd w:id="1423"/>
    <w:bookmarkEnd w:id="1424"/>
    <w:bookmarkEnd w:id="1425"/>
    <w:bookmarkEnd w:id="1426"/>
    <w:bookmarkEnd w:id="1427"/>
    <w:bookmarkEnd w:id="1428"/>
    <w:p w14:paraId="0B06495F">
      <w:pPr>
        <w:pStyle w:val="7"/>
        <w:spacing w:before="0" w:beforeAutospacing="0" w:after="0" w:afterAutospacing="0" w:line="360" w:lineRule="auto"/>
        <w:ind w:firstLine="422" w:firstLineChars="200"/>
        <w:rPr>
          <w:color w:val="auto"/>
          <w:sz w:val="21"/>
          <w:szCs w:val="21"/>
          <w:highlight w:val="none"/>
        </w:rPr>
      </w:pPr>
      <w:bookmarkStart w:id="1429" w:name="_Toc532377356"/>
      <w:bookmarkStart w:id="1430" w:name="_Toc532375620"/>
      <w:r>
        <w:rPr>
          <w:rFonts w:hint="eastAsia"/>
          <w:color w:val="auto"/>
          <w:sz w:val="21"/>
          <w:szCs w:val="21"/>
          <w:highlight w:val="none"/>
        </w:rPr>
        <w:t>7.4 测量放线</w:t>
      </w:r>
      <w:bookmarkEnd w:id="1429"/>
      <w:bookmarkEnd w:id="1430"/>
    </w:p>
    <w:p w14:paraId="4EF6CE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 xml:space="preserve">不晚于开工前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天</w:t>
      </w:r>
      <w:r>
        <w:rPr>
          <w:rFonts w:hint="eastAsia" w:ascii="宋体" w:hAnsi="宋体"/>
          <w:color w:val="auto"/>
          <w:szCs w:val="21"/>
          <w:highlight w:val="none"/>
        </w:rPr>
        <w:t>。</w:t>
      </w:r>
    </w:p>
    <w:p w14:paraId="1114ED6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 xml:space="preserve">发出开工通知后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14:paraId="427843AD">
      <w:pPr>
        <w:pStyle w:val="7"/>
        <w:spacing w:before="0" w:beforeAutospacing="0" w:after="0" w:afterAutospacing="0" w:line="360" w:lineRule="auto"/>
        <w:ind w:firstLine="422" w:firstLineChars="200"/>
        <w:rPr>
          <w:color w:val="auto"/>
          <w:sz w:val="21"/>
          <w:szCs w:val="21"/>
          <w:highlight w:val="none"/>
        </w:rPr>
      </w:pPr>
      <w:bookmarkStart w:id="1431" w:name="_Toc532377357"/>
      <w:bookmarkStart w:id="1432" w:name="_Toc532375621"/>
      <w:r>
        <w:rPr>
          <w:rFonts w:hint="eastAsia"/>
          <w:color w:val="auto"/>
          <w:sz w:val="21"/>
          <w:szCs w:val="21"/>
          <w:highlight w:val="none"/>
        </w:rPr>
        <w:t>7</w:t>
      </w:r>
      <w:bookmarkStart w:id="1433" w:name="_Toc312678010"/>
      <w:bookmarkStart w:id="1434" w:name="_Toc303539125"/>
      <w:bookmarkStart w:id="1435" w:name="_Toc312677484"/>
      <w:bookmarkStart w:id="1436" w:name="_Toc297216175"/>
      <w:bookmarkStart w:id="1437" w:name="_Toc297123516"/>
      <w:bookmarkStart w:id="1438" w:name="_Toc300934968"/>
      <w:bookmarkStart w:id="1439" w:name="_Toc304295546"/>
      <w:r>
        <w:rPr>
          <w:rFonts w:hint="eastAsia"/>
          <w:color w:val="auto"/>
          <w:sz w:val="21"/>
          <w:szCs w:val="21"/>
          <w:highlight w:val="none"/>
        </w:rPr>
        <w:t>.5 工期延误</w:t>
      </w:r>
      <w:bookmarkEnd w:id="1431"/>
      <w:bookmarkEnd w:id="1432"/>
    </w:p>
    <w:bookmarkEnd w:id="1433"/>
    <w:bookmarkEnd w:id="1434"/>
    <w:bookmarkEnd w:id="1435"/>
    <w:bookmarkEnd w:id="1436"/>
    <w:bookmarkEnd w:id="1437"/>
    <w:bookmarkEnd w:id="1438"/>
    <w:bookmarkEnd w:id="1439"/>
    <w:p w14:paraId="0EC48EB0">
      <w:pPr>
        <w:spacing w:line="360" w:lineRule="auto"/>
        <w:ind w:firstLine="420" w:firstLineChars="200"/>
        <w:jc w:val="left"/>
        <w:rPr>
          <w:rFonts w:ascii="宋体" w:hAnsi="宋体"/>
          <w:color w:val="auto"/>
          <w:szCs w:val="21"/>
          <w:highlight w:val="none"/>
        </w:rPr>
      </w:pPr>
      <w:bookmarkStart w:id="1440" w:name="_Hlk528927940"/>
      <w:r>
        <w:rPr>
          <w:rFonts w:hint="eastAsia" w:ascii="宋体" w:hAnsi="宋体"/>
          <w:color w:val="auto"/>
          <w:szCs w:val="21"/>
          <w:highlight w:val="none"/>
        </w:rPr>
        <w:t>7.5.1 因发包人原因导致工期延误：</w:t>
      </w:r>
    </w:p>
    <w:p w14:paraId="3829D4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14:paraId="4D60AF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14:paraId="08D720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14:paraId="200691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14:paraId="023610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（4）变更未及时审批，直接影响项目关键线路的；</w:t>
      </w:r>
    </w:p>
    <w:p w14:paraId="6DA628B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（5）实施变更直接影响项目关键线路的；</w:t>
      </w:r>
    </w:p>
    <w:p w14:paraId="6E0AAC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（6）因发包人原因导致工程暂停施工、停建、缓建的；</w:t>
      </w:r>
    </w:p>
    <w:p w14:paraId="21DDBDA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（7）因征地拆迁、当地群众阻工等情形的；</w:t>
      </w:r>
    </w:p>
    <w:p w14:paraId="1BA29EC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14:paraId="290D3E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14:paraId="766BA0C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14:paraId="162CD5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1440"/>
    <w:p w14:paraId="17825FBA">
      <w:pPr>
        <w:pStyle w:val="7"/>
        <w:spacing w:before="0" w:beforeAutospacing="0" w:after="0" w:afterAutospacing="0" w:line="360" w:lineRule="auto"/>
        <w:ind w:firstLine="422" w:firstLineChars="200"/>
        <w:rPr>
          <w:color w:val="auto"/>
          <w:sz w:val="21"/>
          <w:szCs w:val="21"/>
          <w:highlight w:val="none"/>
        </w:rPr>
      </w:pPr>
      <w:bookmarkStart w:id="1441" w:name="_Toc532375622"/>
      <w:bookmarkStart w:id="1442" w:name="_Toc532377358"/>
      <w:bookmarkStart w:id="1443" w:name="_Hlk528927997"/>
      <w:r>
        <w:rPr>
          <w:rFonts w:hint="eastAsia"/>
          <w:color w:val="auto"/>
          <w:sz w:val="21"/>
          <w:szCs w:val="21"/>
          <w:highlight w:val="none"/>
        </w:rPr>
        <w:t>7</w:t>
      </w:r>
      <w:bookmarkStart w:id="1444" w:name="_Toc303539128"/>
      <w:bookmarkStart w:id="1445" w:name="_Toc297216178"/>
      <w:bookmarkStart w:id="1446" w:name="_Toc312678015"/>
      <w:bookmarkStart w:id="1447" w:name="_Toc300934971"/>
      <w:bookmarkStart w:id="1448" w:name="_Toc304295549"/>
      <w:bookmarkStart w:id="1449" w:name="_Toc297123519"/>
      <w:r>
        <w:rPr>
          <w:rFonts w:hint="eastAsia"/>
          <w:color w:val="auto"/>
          <w:sz w:val="21"/>
          <w:szCs w:val="21"/>
          <w:highlight w:val="none"/>
        </w:rPr>
        <w:t>.6 不</w:t>
      </w:r>
      <w:bookmarkEnd w:id="1444"/>
      <w:bookmarkEnd w:id="1445"/>
      <w:bookmarkEnd w:id="1446"/>
      <w:bookmarkEnd w:id="1447"/>
      <w:bookmarkEnd w:id="1448"/>
      <w:bookmarkEnd w:id="1449"/>
      <w:r>
        <w:rPr>
          <w:rFonts w:hint="eastAsia"/>
          <w:color w:val="auto"/>
          <w:sz w:val="21"/>
          <w:szCs w:val="21"/>
          <w:highlight w:val="none"/>
        </w:rPr>
        <w:t>利物质条件</w:t>
      </w:r>
      <w:bookmarkEnd w:id="1441"/>
      <w:bookmarkEnd w:id="1442"/>
    </w:p>
    <w:bookmarkEnd w:id="1443"/>
    <w:p w14:paraId="6E951453">
      <w:pPr>
        <w:spacing w:line="360" w:lineRule="auto"/>
        <w:ind w:firstLine="420" w:firstLineChars="200"/>
        <w:jc w:val="left"/>
        <w:rPr>
          <w:rFonts w:ascii="宋体" w:hAnsi="宋体"/>
          <w:bCs/>
          <w:color w:val="auto"/>
          <w:szCs w:val="21"/>
          <w:highlight w:val="none"/>
        </w:rPr>
      </w:pPr>
      <w:bookmarkStart w:id="1450" w:name="_Toc304295550"/>
      <w:bookmarkStart w:id="1451" w:name="_Toc318581172"/>
      <w:bookmarkStart w:id="1452" w:name="_Toc300934972"/>
      <w:bookmarkStart w:id="1453" w:name="_Toc297216179"/>
      <w:bookmarkStart w:id="1454" w:name="_Toc312678016"/>
      <w:bookmarkStart w:id="1455" w:name="_Toc297123520"/>
      <w:bookmarkStart w:id="1456" w:name="_Toc303539129"/>
      <w:r>
        <w:rPr>
          <w:rFonts w:hint="eastAsia" w:ascii="宋体" w:hAnsi="宋体"/>
          <w:color w:val="auto"/>
          <w:szCs w:val="21"/>
          <w:highlight w:val="none"/>
        </w:rPr>
        <w:t>不利物质条件的其他情形和有关约定：</w:t>
      </w:r>
      <w:bookmarkStart w:id="1457" w:name="_Hlk528910274"/>
      <w:r>
        <w:rPr>
          <w:rFonts w:hint="eastAsia" w:ascii="宋体" w:hAnsi="宋体"/>
          <w:color w:val="auto"/>
          <w:szCs w:val="21"/>
          <w:highlight w:val="none"/>
          <w:u w:val="single"/>
          <w:lang w:eastAsia="zh-CN"/>
        </w:rPr>
        <w:t>按相关规定</w:t>
      </w:r>
      <w:r>
        <w:rPr>
          <w:rFonts w:hint="eastAsia" w:ascii="宋体" w:hAnsi="宋体"/>
          <w:color w:val="auto"/>
          <w:szCs w:val="21"/>
          <w:highlight w:val="none"/>
        </w:rPr>
        <w:t>。</w:t>
      </w:r>
    </w:p>
    <w:bookmarkEnd w:id="1450"/>
    <w:bookmarkEnd w:id="1451"/>
    <w:bookmarkEnd w:id="1452"/>
    <w:bookmarkEnd w:id="1453"/>
    <w:bookmarkEnd w:id="1454"/>
    <w:bookmarkEnd w:id="1455"/>
    <w:bookmarkEnd w:id="1456"/>
    <w:bookmarkEnd w:id="1457"/>
    <w:p w14:paraId="46788409">
      <w:pPr>
        <w:pStyle w:val="7"/>
        <w:spacing w:before="0" w:beforeAutospacing="0" w:after="0" w:afterAutospacing="0" w:line="360" w:lineRule="auto"/>
        <w:ind w:firstLine="422" w:firstLineChars="200"/>
        <w:rPr>
          <w:color w:val="auto"/>
          <w:sz w:val="21"/>
          <w:szCs w:val="21"/>
          <w:highlight w:val="none"/>
        </w:rPr>
      </w:pPr>
      <w:bookmarkStart w:id="1458" w:name="_Toc532377359"/>
      <w:bookmarkStart w:id="1459" w:name="_Toc532375623"/>
      <w:r>
        <w:rPr>
          <w:rFonts w:hint="eastAsia"/>
          <w:color w:val="auto"/>
          <w:sz w:val="21"/>
          <w:szCs w:val="21"/>
          <w:highlight w:val="none"/>
        </w:rPr>
        <w:t>7</w:t>
      </w:r>
      <w:bookmarkStart w:id="1460" w:name="_Toc312678017"/>
      <w:bookmarkStart w:id="1461" w:name="_Toc297216180"/>
      <w:bookmarkStart w:id="1462" w:name="_Toc300934973"/>
      <w:bookmarkStart w:id="1463" w:name="_Toc303539130"/>
      <w:bookmarkStart w:id="1464" w:name="_Toc304295551"/>
      <w:bookmarkStart w:id="1465" w:name="_Toc297123521"/>
      <w:r>
        <w:rPr>
          <w:rFonts w:hint="eastAsia"/>
          <w:color w:val="auto"/>
          <w:sz w:val="21"/>
          <w:szCs w:val="21"/>
          <w:highlight w:val="none"/>
        </w:rPr>
        <w:t>.7异常恶劣的气候条件</w:t>
      </w:r>
      <w:bookmarkEnd w:id="1458"/>
      <w:bookmarkEnd w:id="1459"/>
    </w:p>
    <w:bookmarkEnd w:id="1460"/>
    <w:bookmarkEnd w:id="1461"/>
    <w:bookmarkEnd w:id="1462"/>
    <w:bookmarkEnd w:id="1463"/>
    <w:bookmarkEnd w:id="1464"/>
    <w:bookmarkEnd w:id="1465"/>
    <w:p w14:paraId="5D764E7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（异常气候是指项目所在地50年以上一遇的罕见气候现象）</w:t>
      </w:r>
      <w:r>
        <w:rPr>
          <w:rFonts w:hint="eastAsia" w:ascii="宋体" w:hAnsi="宋体"/>
          <w:color w:val="auto"/>
          <w:szCs w:val="21"/>
          <w:highlight w:val="none"/>
        </w:rPr>
        <w:t>。</w:t>
      </w:r>
    </w:p>
    <w:p w14:paraId="5C7FCDBF">
      <w:pPr>
        <w:pStyle w:val="7"/>
        <w:spacing w:before="0" w:beforeAutospacing="0" w:after="0" w:afterAutospacing="0" w:line="360" w:lineRule="auto"/>
        <w:ind w:firstLine="422" w:firstLineChars="200"/>
        <w:rPr>
          <w:color w:val="auto"/>
          <w:sz w:val="21"/>
          <w:szCs w:val="21"/>
          <w:highlight w:val="none"/>
        </w:rPr>
      </w:pPr>
      <w:bookmarkStart w:id="1466" w:name="_Toc532375624"/>
      <w:bookmarkStart w:id="1467" w:name="_Toc532377360"/>
      <w:r>
        <w:rPr>
          <w:rFonts w:hint="eastAsia"/>
          <w:color w:val="auto"/>
          <w:sz w:val="21"/>
          <w:szCs w:val="21"/>
          <w:highlight w:val="none"/>
        </w:rPr>
        <w:t>7.9 提前竣工</w:t>
      </w:r>
      <w:bookmarkEnd w:id="1466"/>
      <w:bookmarkEnd w:id="1467"/>
    </w:p>
    <w:p w14:paraId="7C454E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7.9.1项细化为：</w:t>
      </w:r>
    </w:p>
    <w:p w14:paraId="385950A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4FB06D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7C2F970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5CEF5F7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lang w:eastAsia="zh-CN"/>
        </w:rPr>
        <w:t>无</w:t>
      </w:r>
      <w:r>
        <w:rPr>
          <w:rFonts w:hint="eastAsia" w:ascii="宋体" w:hAnsi="宋体"/>
          <w:color w:val="auto"/>
          <w:szCs w:val="21"/>
          <w:highlight w:val="none"/>
        </w:rPr>
        <w:t>。</w:t>
      </w:r>
    </w:p>
    <w:p w14:paraId="64DF656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468" w:name="_Toc532377361"/>
      <w:bookmarkStart w:id="1469" w:name="_Toc532375625"/>
      <w:bookmarkStart w:id="1470" w:name="_Toc351203640"/>
      <w:r>
        <w:rPr>
          <w:rFonts w:hint="eastAsia"/>
          <w:color w:val="auto"/>
          <w:kern w:val="2"/>
          <w:sz w:val="21"/>
          <w:szCs w:val="21"/>
          <w:highlight w:val="none"/>
        </w:rPr>
        <w:t>8. 材料与设备</w:t>
      </w:r>
      <w:bookmarkEnd w:id="1468"/>
      <w:bookmarkEnd w:id="1469"/>
      <w:bookmarkEnd w:id="1470"/>
    </w:p>
    <w:p w14:paraId="071B9FB5">
      <w:pPr>
        <w:pStyle w:val="7"/>
        <w:spacing w:before="0" w:beforeAutospacing="0" w:after="0" w:afterAutospacing="0" w:line="360" w:lineRule="auto"/>
        <w:ind w:firstLine="422" w:firstLineChars="200"/>
        <w:rPr>
          <w:color w:val="auto"/>
          <w:sz w:val="21"/>
          <w:szCs w:val="21"/>
          <w:highlight w:val="none"/>
        </w:rPr>
      </w:pPr>
      <w:bookmarkStart w:id="1471" w:name="_Toc532377362"/>
      <w:bookmarkStart w:id="1472" w:name="_Toc532375626"/>
      <w:r>
        <w:rPr>
          <w:rFonts w:hint="eastAsia"/>
          <w:color w:val="auto"/>
          <w:sz w:val="21"/>
          <w:szCs w:val="21"/>
          <w:highlight w:val="none"/>
        </w:rPr>
        <w:t>8.1发包人供应材料与工程设备</w:t>
      </w:r>
      <w:bookmarkEnd w:id="1471"/>
      <w:bookmarkEnd w:id="1472"/>
    </w:p>
    <w:p w14:paraId="2CE1383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时甲供材料暂定价格，在支付工程款时扣除</w:t>
      </w:r>
      <w:r>
        <w:rPr>
          <w:rFonts w:hint="eastAsia" w:ascii="宋体" w:hAnsi="宋体"/>
          <w:color w:val="auto"/>
          <w:szCs w:val="21"/>
          <w:highlight w:val="none"/>
        </w:rPr>
        <w:t>。</w:t>
      </w:r>
    </w:p>
    <w:p w14:paraId="76885D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14:paraId="7F79C9A1">
      <w:pPr>
        <w:pStyle w:val="7"/>
        <w:spacing w:before="0" w:beforeAutospacing="0" w:after="0" w:afterAutospacing="0" w:line="360" w:lineRule="auto"/>
        <w:ind w:firstLine="422" w:firstLineChars="200"/>
        <w:rPr>
          <w:color w:val="auto"/>
          <w:sz w:val="21"/>
          <w:szCs w:val="21"/>
          <w:highlight w:val="none"/>
        </w:rPr>
      </w:pPr>
      <w:bookmarkStart w:id="1473" w:name="_Toc532375627"/>
      <w:bookmarkStart w:id="1474" w:name="_Toc351203554"/>
      <w:bookmarkStart w:id="1475" w:name="_Toc532377363"/>
      <w:r>
        <w:rPr>
          <w:rFonts w:hint="eastAsia"/>
          <w:color w:val="auto"/>
          <w:sz w:val="21"/>
          <w:szCs w:val="21"/>
          <w:highlight w:val="none"/>
        </w:rPr>
        <w:t>8</w:t>
      </w:r>
      <w:bookmarkStart w:id="1476" w:name="_Toc337558778"/>
      <w:bookmarkStart w:id="1477" w:name="_Toc296346561"/>
      <w:bookmarkStart w:id="1478" w:name="_Toc296503060"/>
      <w:r>
        <w:rPr>
          <w:rFonts w:hint="eastAsia"/>
          <w:color w:val="auto"/>
          <w:sz w:val="21"/>
          <w:szCs w:val="21"/>
          <w:highlight w:val="none"/>
        </w:rPr>
        <w:t>.2 承包人采购材料与工程设备</w:t>
      </w:r>
      <w:bookmarkEnd w:id="1473"/>
      <w:bookmarkEnd w:id="1474"/>
      <w:bookmarkEnd w:id="1475"/>
    </w:p>
    <w:bookmarkEnd w:id="1476"/>
    <w:bookmarkEnd w:id="1477"/>
    <w:bookmarkEnd w:id="1478"/>
    <w:p w14:paraId="7270DB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14:paraId="70311FD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14:paraId="0B2E8B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8.2.3承包人选择的生产厂家或供应商满足下列条件：</w:t>
      </w:r>
    </w:p>
    <w:p w14:paraId="7A438B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lang w:eastAsia="zh-CN"/>
        </w:rPr>
        <w:t>符合相关规定</w:t>
      </w:r>
      <w:r>
        <w:rPr>
          <w:rFonts w:hint="eastAsia" w:ascii="宋体" w:hAnsi="宋体"/>
          <w:color w:val="auto"/>
          <w:szCs w:val="21"/>
          <w:highlight w:val="none"/>
        </w:rPr>
        <w:t>；</w:t>
      </w:r>
    </w:p>
    <w:p w14:paraId="474D2E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lang w:eastAsia="zh-CN"/>
        </w:rPr>
        <w:t>符合相关规定</w:t>
      </w:r>
      <w:r>
        <w:rPr>
          <w:rFonts w:hint="eastAsia" w:ascii="宋体" w:hAnsi="宋体"/>
          <w:color w:val="auto"/>
          <w:szCs w:val="21"/>
          <w:highlight w:val="none"/>
        </w:rPr>
        <w:t>；</w:t>
      </w:r>
    </w:p>
    <w:p w14:paraId="58DD1A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lang w:eastAsia="zh-CN"/>
        </w:rPr>
        <w:t>符合相关规定</w:t>
      </w:r>
      <w:r>
        <w:rPr>
          <w:rFonts w:hint="eastAsia" w:ascii="宋体" w:hAnsi="宋体"/>
          <w:color w:val="auto"/>
          <w:szCs w:val="21"/>
          <w:highlight w:val="none"/>
        </w:rPr>
        <w:t>；</w:t>
      </w:r>
    </w:p>
    <w:p w14:paraId="4166FC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4029F9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14:paraId="5B99B8B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5C02D22">
      <w:pPr>
        <w:pStyle w:val="7"/>
        <w:spacing w:before="0" w:beforeAutospacing="0" w:after="0" w:afterAutospacing="0" w:line="360" w:lineRule="auto"/>
        <w:ind w:firstLine="422" w:firstLineChars="200"/>
        <w:rPr>
          <w:color w:val="auto"/>
          <w:sz w:val="21"/>
          <w:szCs w:val="21"/>
          <w:highlight w:val="none"/>
        </w:rPr>
      </w:pPr>
      <w:bookmarkStart w:id="1479" w:name="_Toc532375628"/>
      <w:bookmarkStart w:id="1480" w:name="_Toc532377364"/>
      <w:r>
        <w:rPr>
          <w:rFonts w:hint="eastAsia"/>
          <w:color w:val="auto"/>
          <w:sz w:val="21"/>
          <w:szCs w:val="21"/>
          <w:highlight w:val="none"/>
        </w:rPr>
        <w:t>8</w:t>
      </w:r>
      <w:bookmarkStart w:id="1481" w:name="_Toc304295556"/>
      <w:bookmarkStart w:id="1482" w:name="_Toc297123527"/>
      <w:bookmarkStart w:id="1483" w:name="_Toc296890995"/>
      <w:bookmarkStart w:id="1484" w:name="_Toc296346668"/>
      <w:bookmarkStart w:id="1485" w:name="_Toc296347166"/>
      <w:bookmarkStart w:id="1486" w:name="_Toc312678019"/>
      <w:bookmarkStart w:id="1487" w:name="_Toc312677493"/>
      <w:bookmarkStart w:id="1488" w:name="_Toc297048353"/>
      <w:bookmarkStart w:id="1489" w:name="_Toc296944506"/>
      <w:bookmarkStart w:id="1490" w:name="_Toc300934979"/>
      <w:bookmarkStart w:id="1491" w:name="_Toc297216186"/>
      <w:bookmarkStart w:id="1492" w:name="_Toc303539136"/>
      <w:bookmarkStart w:id="1493" w:name="_Toc296891207"/>
      <w:bookmarkStart w:id="1494" w:name="_Toc292559372"/>
      <w:bookmarkStart w:id="1495" w:name="_Toc296503167"/>
      <w:bookmarkStart w:id="1496" w:name="_Toc297120467"/>
      <w:bookmarkStart w:id="1497" w:name="_Toc280868654"/>
      <w:bookmarkStart w:id="1498" w:name="_Toc292559877"/>
      <w:bookmarkStart w:id="1499" w:name="_Toc267251424"/>
      <w:bookmarkStart w:id="1500" w:name="_Toc280868656"/>
      <w:bookmarkStart w:id="1501" w:name="_Toc280868655"/>
      <w:r>
        <w:rPr>
          <w:rFonts w:hint="eastAsia"/>
          <w:color w:val="auto"/>
          <w:sz w:val="21"/>
          <w:szCs w:val="21"/>
          <w:highlight w:val="none"/>
        </w:rPr>
        <w:t>.4 材料与工程设备的保管与使用</w:t>
      </w:r>
      <w:bookmarkEnd w:id="1479"/>
      <w:bookmarkEnd w:id="1480"/>
    </w:p>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14:paraId="4101B6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1502" w:name="_Toc292559373"/>
      <w:bookmarkStart w:id="1503" w:name="_Toc292559878"/>
      <w:bookmarkStart w:id="1504" w:name="_Toc296503168"/>
      <w:bookmarkStart w:id="1505" w:name="_Toc297120468"/>
      <w:bookmarkStart w:id="1506" w:name="_Toc312677494"/>
      <w:bookmarkStart w:id="1507" w:name="_Toc296891208"/>
      <w:bookmarkStart w:id="1508" w:name="_Toc297216187"/>
      <w:bookmarkStart w:id="1509" w:name="_Toc296890996"/>
      <w:bookmarkStart w:id="1510" w:name="_Toc297123528"/>
      <w:bookmarkStart w:id="1511" w:name="_Toc296347167"/>
      <w:bookmarkStart w:id="1512" w:name="_Toc300934980"/>
      <w:bookmarkStart w:id="1513" w:name="_Toc312678020"/>
      <w:bookmarkStart w:id="1514" w:name="_Toc304295557"/>
      <w:bookmarkStart w:id="1515" w:name="_Toc296346669"/>
      <w:bookmarkStart w:id="1516" w:name="_Toc318581173"/>
      <w:bookmarkStart w:id="1517" w:name="_Toc297048354"/>
      <w:bookmarkStart w:id="1518" w:name="_Toc296944507"/>
      <w:bookmarkStart w:id="1519" w:name="_Toc303539137"/>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承包商承担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bookmarkEnd w:id="1502"/>
      <w:bookmarkEnd w:id="1503"/>
    </w:p>
    <w:p w14:paraId="5B9E34D3">
      <w:pPr>
        <w:pStyle w:val="7"/>
        <w:spacing w:before="0" w:beforeAutospacing="0" w:after="0" w:afterAutospacing="0" w:line="360" w:lineRule="auto"/>
        <w:ind w:firstLine="422" w:firstLineChars="200"/>
        <w:rPr>
          <w:color w:val="auto"/>
          <w:sz w:val="21"/>
          <w:szCs w:val="21"/>
          <w:highlight w:val="none"/>
        </w:rPr>
      </w:pPr>
      <w:bookmarkStart w:id="1520" w:name="_Toc532375629"/>
      <w:bookmarkStart w:id="1521" w:name="_Toc532377365"/>
      <w:r>
        <w:rPr>
          <w:rFonts w:hint="eastAsia"/>
          <w:color w:val="auto"/>
          <w:sz w:val="21"/>
          <w:szCs w:val="21"/>
          <w:highlight w:val="none"/>
        </w:rPr>
        <w:t>8.6 样品</w:t>
      </w:r>
      <w:bookmarkEnd w:id="1520"/>
      <w:bookmarkEnd w:id="1521"/>
    </w:p>
    <w:p w14:paraId="1729F183">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14:paraId="5C7FA52C">
      <w:pPr>
        <w:spacing w:line="360" w:lineRule="auto"/>
        <w:ind w:firstLine="420" w:firstLineChars="200"/>
        <w:jc w:val="left"/>
        <w:rPr>
          <w:rFonts w:hint="eastAsia" w:ascii="宋体" w:hAnsi="宋体"/>
          <w:color w:val="auto"/>
          <w:szCs w:val="21"/>
          <w:highlight w:val="none"/>
          <w:u w:val="single"/>
          <w:lang w:eastAsia="zh-CN"/>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lang w:val="en-US" w:eastAsia="zh-CN"/>
        </w:rPr>
        <w:t xml:space="preserve">所有样品均送样品 </w:t>
      </w:r>
    </w:p>
    <w:p w14:paraId="325F2227">
      <w:pPr>
        <w:spacing w:line="360" w:lineRule="auto"/>
        <w:ind w:firstLine="420" w:firstLineChars="200"/>
        <w:jc w:val="left"/>
        <w:rPr>
          <w:rFonts w:hint="eastAsia" w:ascii="宋体" w:hAnsi="宋体"/>
          <w:color w:val="auto"/>
          <w:szCs w:val="21"/>
          <w:highlight w:val="none"/>
          <w:u w:val="single"/>
          <w:lang w:eastAsia="zh-CN"/>
        </w:rPr>
      </w:pPr>
      <w:r>
        <w:rPr>
          <w:rFonts w:hint="eastAsia" w:ascii="宋体" w:hAnsi="宋体"/>
          <w:color w:val="auto"/>
          <w:szCs w:val="21"/>
          <w:highlight w:val="none"/>
          <w:u w:val="single"/>
          <w:lang w:val="en-US" w:eastAsia="zh-CN"/>
        </w:rPr>
        <w:t>两份，由发包方认可后当面封存在发包方现场办公室封存</w:t>
      </w:r>
      <w:r>
        <w:rPr>
          <w:rFonts w:hint="eastAsia" w:ascii="宋体" w:hAnsi="宋体"/>
          <w:color w:val="auto"/>
          <w:szCs w:val="21"/>
          <w:highlight w:val="none"/>
          <w:u w:val="single"/>
          <w:lang w:eastAsia="zh-CN"/>
        </w:rPr>
        <w:t>。</w:t>
      </w:r>
    </w:p>
    <w:p w14:paraId="4F49D9B4">
      <w:pPr>
        <w:pStyle w:val="7"/>
        <w:spacing w:before="0" w:beforeAutospacing="0" w:after="0" w:afterAutospacing="0" w:line="360" w:lineRule="auto"/>
        <w:ind w:firstLine="422" w:firstLineChars="200"/>
        <w:rPr>
          <w:color w:val="auto"/>
          <w:sz w:val="21"/>
          <w:szCs w:val="21"/>
          <w:highlight w:val="none"/>
        </w:rPr>
      </w:pPr>
      <w:bookmarkStart w:id="1522" w:name="_Toc532377366"/>
      <w:bookmarkStart w:id="1523" w:name="_Toc532375630"/>
      <w:r>
        <w:rPr>
          <w:rFonts w:hint="eastAsia"/>
          <w:color w:val="auto"/>
          <w:sz w:val="21"/>
          <w:szCs w:val="21"/>
          <w:highlight w:val="none"/>
        </w:rPr>
        <w:t>8.8 施工设备和临时设施</w:t>
      </w:r>
      <w:bookmarkEnd w:id="1522"/>
      <w:bookmarkEnd w:id="1523"/>
    </w:p>
    <w:p w14:paraId="27E0CDE5">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14:paraId="5EAA16B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14:paraId="449C3B19">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524" w:name="_Toc532377367"/>
      <w:bookmarkStart w:id="1525" w:name="_Toc351203641"/>
      <w:bookmarkStart w:id="1526" w:name="_Toc532375631"/>
      <w:r>
        <w:rPr>
          <w:rFonts w:hint="eastAsia"/>
          <w:color w:val="auto"/>
          <w:kern w:val="2"/>
          <w:sz w:val="21"/>
          <w:szCs w:val="21"/>
          <w:highlight w:val="none"/>
        </w:rPr>
        <w:t>9</w:t>
      </w:r>
      <w:bookmarkEnd w:id="1499"/>
      <w:bookmarkEnd w:id="1500"/>
      <w:bookmarkEnd w:id="1501"/>
      <w:bookmarkStart w:id="1527" w:name="_Toc297123533"/>
      <w:bookmarkStart w:id="1528" w:name="_Toc297216192"/>
      <w:bookmarkStart w:id="1529" w:name="_Toc304295559"/>
      <w:bookmarkStart w:id="1530" w:name="_Toc300934982"/>
      <w:bookmarkStart w:id="1531" w:name="_Toc303539139"/>
      <w:bookmarkStart w:id="1532" w:name="_Toc312677495"/>
      <w:bookmarkStart w:id="1533" w:name="_Toc312678021"/>
      <w:r>
        <w:rPr>
          <w:rFonts w:hint="eastAsia"/>
          <w:color w:val="auto"/>
          <w:kern w:val="2"/>
          <w:sz w:val="21"/>
          <w:szCs w:val="21"/>
          <w:highlight w:val="none"/>
        </w:rPr>
        <w:t>. 试验与检验</w:t>
      </w:r>
      <w:bookmarkEnd w:id="1524"/>
      <w:bookmarkEnd w:id="1525"/>
      <w:bookmarkEnd w:id="1526"/>
    </w:p>
    <w:bookmarkEnd w:id="1527"/>
    <w:bookmarkEnd w:id="1528"/>
    <w:bookmarkEnd w:id="1529"/>
    <w:bookmarkEnd w:id="1530"/>
    <w:bookmarkEnd w:id="1531"/>
    <w:bookmarkEnd w:id="1532"/>
    <w:bookmarkEnd w:id="1533"/>
    <w:p w14:paraId="66B8CE1E">
      <w:pPr>
        <w:pStyle w:val="7"/>
        <w:spacing w:before="0" w:beforeAutospacing="0" w:after="0" w:afterAutospacing="0" w:line="360" w:lineRule="auto"/>
        <w:ind w:firstLine="422" w:firstLineChars="200"/>
        <w:rPr>
          <w:color w:val="auto"/>
          <w:sz w:val="21"/>
          <w:szCs w:val="21"/>
          <w:highlight w:val="none"/>
        </w:rPr>
      </w:pPr>
      <w:bookmarkStart w:id="1534" w:name="_Toc532377368"/>
      <w:bookmarkStart w:id="1535" w:name="_Toc532375632"/>
      <w:r>
        <w:rPr>
          <w:rFonts w:hint="eastAsia"/>
          <w:color w:val="auto"/>
          <w:sz w:val="21"/>
          <w:szCs w:val="21"/>
          <w:highlight w:val="none"/>
        </w:rPr>
        <w:t>9</w:t>
      </w:r>
      <w:bookmarkStart w:id="1536" w:name="_Toc312677496"/>
      <w:bookmarkStart w:id="1537" w:name="_Toc304295560"/>
      <w:bookmarkStart w:id="1538" w:name="_Toc312678022"/>
      <w:bookmarkStart w:id="1539" w:name="_Toc300934983"/>
      <w:bookmarkStart w:id="1540" w:name="_Toc297123534"/>
      <w:bookmarkStart w:id="1541" w:name="_Toc297216193"/>
      <w:bookmarkStart w:id="1542" w:name="_Toc303539140"/>
      <w:r>
        <w:rPr>
          <w:rFonts w:hint="eastAsia"/>
          <w:color w:val="auto"/>
          <w:sz w:val="21"/>
          <w:szCs w:val="21"/>
          <w:highlight w:val="none"/>
        </w:rPr>
        <w:t>.1 试验设备与试验人员</w:t>
      </w:r>
      <w:bookmarkEnd w:id="1534"/>
      <w:bookmarkEnd w:id="1535"/>
    </w:p>
    <w:bookmarkEnd w:id="1536"/>
    <w:bookmarkEnd w:id="1537"/>
    <w:bookmarkEnd w:id="1538"/>
    <w:bookmarkEnd w:id="1539"/>
    <w:bookmarkEnd w:id="1540"/>
    <w:bookmarkEnd w:id="1541"/>
    <w:bookmarkEnd w:id="1542"/>
    <w:p w14:paraId="080B66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1543" w:name="_Toc297123535"/>
      <w:bookmarkStart w:id="1544" w:name="_Toc304295561"/>
      <w:bookmarkStart w:id="1545" w:name="_Toc303539141"/>
      <w:bookmarkStart w:id="1546" w:name="_Toc312678023"/>
      <w:bookmarkStart w:id="1547" w:name="_Toc297216194"/>
      <w:bookmarkStart w:id="1548" w:name="_Toc300934984"/>
      <w:bookmarkStart w:id="1549" w:name="_Toc312677497"/>
      <w:bookmarkStart w:id="1550" w:name="_Toc318581174"/>
      <w:r>
        <w:rPr>
          <w:rFonts w:hint="eastAsia" w:ascii="宋体" w:hAnsi="宋体"/>
          <w:color w:val="auto"/>
          <w:szCs w:val="21"/>
          <w:highlight w:val="none"/>
        </w:rPr>
        <w:t>.1.2 试验设备</w:t>
      </w:r>
    </w:p>
    <w:p w14:paraId="42836A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1543"/>
      <w:bookmarkEnd w:id="1544"/>
      <w:bookmarkEnd w:id="1545"/>
      <w:bookmarkEnd w:id="1546"/>
      <w:bookmarkEnd w:id="1547"/>
      <w:bookmarkEnd w:id="1548"/>
      <w:bookmarkEnd w:id="1549"/>
      <w:bookmarkStart w:id="1551" w:name="_Toc312677498"/>
      <w:bookmarkStart w:id="1552" w:name="_Toc297123536"/>
      <w:bookmarkStart w:id="1553" w:name="_Toc312678024"/>
      <w:bookmarkStart w:id="1554" w:name="_Toc303539142"/>
      <w:bookmarkStart w:id="1555" w:name="_Toc304295562"/>
      <w:bookmarkStart w:id="1556" w:name="_Toc300934985"/>
      <w:bookmarkStart w:id="1557" w:name="_Toc297216195"/>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0E71BF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2C80B4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满足相关规定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5CD7B28">
      <w:pPr>
        <w:pStyle w:val="7"/>
        <w:spacing w:before="0" w:beforeAutospacing="0" w:after="0" w:afterAutospacing="0" w:line="360" w:lineRule="auto"/>
        <w:ind w:firstLine="422" w:firstLineChars="200"/>
        <w:rPr>
          <w:color w:val="auto"/>
          <w:sz w:val="21"/>
          <w:szCs w:val="21"/>
          <w:highlight w:val="none"/>
        </w:rPr>
      </w:pPr>
      <w:bookmarkStart w:id="1558" w:name="_Toc532375633"/>
      <w:bookmarkStart w:id="1559" w:name="_Toc532377369"/>
      <w:r>
        <w:rPr>
          <w:rFonts w:hint="eastAsia"/>
          <w:color w:val="auto"/>
          <w:sz w:val="21"/>
          <w:szCs w:val="21"/>
          <w:highlight w:val="none"/>
        </w:rPr>
        <w:t>9.4 现场工艺试验</w:t>
      </w:r>
      <w:bookmarkEnd w:id="1558"/>
      <w:bookmarkEnd w:id="1559"/>
    </w:p>
    <w:p w14:paraId="1EF5ED9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本款补充9.4.1～9.4.5项：</w:t>
      </w:r>
    </w:p>
    <w:bookmarkEnd w:id="1550"/>
    <w:bookmarkEnd w:id="1551"/>
    <w:bookmarkEnd w:id="1552"/>
    <w:bookmarkEnd w:id="1553"/>
    <w:bookmarkEnd w:id="1554"/>
    <w:bookmarkEnd w:id="1555"/>
    <w:bookmarkEnd w:id="1556"/>
    <w:bookmarkEnd w:id="1557"/>
    <w:p w14:paraId="45EF480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9.4.1一般检验试验：</w:t>
      </w:r>
    </w:p>
    <w:p w14:paraId="2514E875">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02728200">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1FD8DC7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9.4.2特殊检验试验：</w:t>
      </w:r>
    </w:p>
    <w:p w14:paraId="728099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5A5A7FA5">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14:paraId="54927829">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14:paraId="45E18C1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9.4.3专项检测：</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5E85C5B">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14:paraId="3AD82B14">
      <w:pPr>
        <w:tabs>
          <w:tab w:val="left" w:pos="711"/>
          <w:tab w:val="left" w:pos="2580"/>
        </w:tabs>
        <w:spacing w:line="360" w:lineRule="auto"/>
        <w:ind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9.4.5检测试验不合格的项目，其缺陷处理和复测费用由承包人承担，工期不予延长。</w:t>
      </w:r>
    </w:p>
    <w:bookmarkEnd w:id="1396"/>
    <w:bookmarkEnd w:id="1397"/>
    <w:bookmarkEnd w:id="1398"/>
    <w:bookmarkEnd w:id="1399"/>
    <w:bookmarkEnd w:id="1400"/>
    <w:bookmarkEnd w:id="1401"/>
    <w:bookmarkEnd w:id="1402"/>
    <w:bookmarkEnd w:id="1403"/>
    <w:bookmarkEnd w:id="1404"/>
    <w:bookmarkEnd w:id="1405"/>
    <w:bookmarkEnd w:id="1406"/>
    <w:bookmarkEnd w:id="1407"/>
    <w:bookmarkEnd w:id="1408"/>
    <w:p w14:paraId="312F6776">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560" w:name="_Toc532377370"/>
      <w:bookmarkStart w:id="1561" w:name="_Toc532375634"/>
      <w:bookmarkStart w:id="1562" w:name="_Toc267251484"/>
      <w:bookmarkStart w:id="1563" w:name="_Toc267251482"/>
      <w:bookmarkStart w:id="1564" w:name="_Hlk524298112"/>
      <w:bookmarkStart w:id="1565" w:name="_Toc267251489"/>
      <w:bookmarkStart w:id="1566" w:name="_Toc267251486"/>
      <w:bookmarkStart w:id="1567" w:name="_Toc267251485"/>
      <w:bookmarkStart w:id="1568" w:name="_Toc267251488"/>
      <w:bookmarkStart w:id="1569" w:name="_Toc267251490"/>
      <w:bookmarkStart w:id="1570" w:name="_Toc267251498"/>
      <w:bookmarkStart w:id="1571" w:name="_Toc267251501"/>
      <w:bookmarkStart w:id="1572" w:name="_Toc267251510"/>
      <w:bookmarkStart w:id="1573" w:name="_Toc267251508"/>
      <w:bookmarkStart w:id="1574" w:name="_Toc267251507"/>
      <w:bookmarkStart w:id="1575" w:name="_Toc267251511"/>
      <w:bookmarkStart w:id="1576" w:name="_Toc267251515"/>
      <w:bookmarkStart w:id="1577" w:name="_Toc267251513"/>
      <w:bookmarkStart w:id="1578" w:name="_Toc267251506"/>
      <w:bookmarkStart w:id="1579" w:name="_Toc267251493"/>
      <w:bookmarkStart w:id="1580" w:name="_Toc267251503"/>
      <w:bookmarkStart w:id="1581" w:name="_Toc267251497"/>
      <w:bookmarkStart w:id="1582" w:name="_Toc267251502"/>
      <w:bookmarkStart w:id="1583" w:name="_Toc267251504"/>
      <w:bookmarkStart w:id="1584" w:name="_Toc267251514"/>
      <w:bookmarkStart w:id="1585" w:name="_Toc267251496"/>
      <w:bookmarkStart w:id="1586" w:name="_Toc267251492"/>
      <w:bookmarkStart w:id="1587" w:name="_Toc267251494"/>
      <w:bookmarkStart w:id="1588" w:name="_Toc267251495"/>
      <w:bookmarkStart w:id="1589" w:name="_Toc267251509"/>
      <w:bookmarkStart w:id="1590" w:name="_Toc267251499"/>
      <w:bookmarkStart w:id="1591" w:name="_Toc267251491"/>
      <w:r>
        <w:rPr>
          <w:rFonts w:hint="eastAsia"/>
          <w:color w:val="auto"/>
          <w:kern w:val="2"/>
          <w:sz w:val="21"/>
          <w:szCs w:val="21"/>
          <w:highlight w:val="none"/>
        </w:rPr>
        <w:t>1</w:t>
      </w:r>
      <w:bookmarkStart w:id="1592" w:name="_Toc303539146"/>
      <w:bookmarkStart w:id="1593" w:name="_Toc296891233"/>
      <w:bookmarkStart w:id="1594" w:name="_Toc296891021"/>
      <w:bookmarkStart w:id="1595" w:name="_Toc296346694"/>
      <w:bookmarkStart w:id="1596" w:name="_Toc292559903"/>
      <w:bookmarkStart w:id="1597" w:name="_Toc296944532"/>
      <w:bookmarkStart w:id="1598" w:name="_Toc296347192"/>
      <w:bookmarkStart w:id="1599" w:name="_Toc304295566"/>
      <w:bookmarkStart w:id="1600" w:name="_Toc300934989"/>
      <w:bookmarkStart w:id="1601" w:name="_Toc292559398"/>
      <w:bookmarkStart w:id="1602" w:name="_Toc297216199"/>
      <w:bookmarkStart w:id="1603" w:name="_Toc297048379"/>
      <w:bookmarkStart w:id="1604" w:name="_Toc297123540"/>
      <w:bookmarkStart w:id="1605" w:name="_Toc296503193"/>
      <w:bookmarkStart w:id="1606" w:name="_Toc297120493"/>
      <w:bookmarkStart w:id="1607" w:name="_Toc312678025"/>
      <w:bookmarkStart w:id="1608" w:name="_Toc312677499"/>
      <w:bookmarkStart w:id="1609" w:name="_Toc267251441"/>
      <w:bookmarkStart w:id="1610" w:name="_Toc267251435"/>
      <w:bookmarkStart w:id="1611" w:name="_Toc267251433"/>
      <w:bookmarkStart w:id="1612" w:name="_Toc267251437"/>
      <w:bookmarkStart w:id="1613" w:name="_Toc267251439"/>
      <w:bookmarkStart w:id="1614" w:name="_Toc267251440"/>
      <w:r>
        <w:rPr>
          <w:rFonts w:hint="eastAsia"/>
          <w:color w:val="auto"/>
          <w:kern w:val="2"/>
          <w:sz w:val="21"/>
          <w:szCs w:val="21"/>
          <w:highlight w:val="none"/>
        </w:rPr>
        <w:t>0. 变更</w:t>
      </w:r>
      <w:bookmarkEnd w:id="1560"/>
      <w:bookmarkEnd w:id="156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bookmarkEnd w:id="1607"/>
    <w:bookmarkEnd w:id="1608"/>
    <w:p w14:paraId="1023140C">
      <w:pPr>
        <w:pStyle w:val="7"/>
        <w:spacing w:before="0" w:beforeAutospacing="0" w:after="0" w:afterAutospacing="0" w:line="360" w:lineRule="auto"/>
        <w:ind w:firstLine="422" w:firstLineChars="200"/>
        <w:rPr>
          <w:color w:val="auto"/>
          <w:sz w:val="21"/>
          <w:szCs w:val="21"/>
          <w:highlight w:val="none"/>
        </w:rPr>
      </w:pPr>
      <w:bookmarkStart w:id="1615" w:name="_Toc532375635"/>
      <w:bookmarkStart w:id="1616" w:name="_Toc532377371"/>
      <w:r>
        <w:rPr>
          <w:rFonts w:hint="eastAsia"/>
          <w:color w:val="auto"/>
          <w:sz w:val="21"/>
          <w:szCs w:val="21"/>
          <w:highlight w:val="none"/>
        </w:rPr>
        <w:t>1</w:t>
      </w:r>
      <w:bookmarkStart w:id="1617" w:name="_Toc297123541"/>
      <w:bookmarkStart w:id="1618" w:name="_Toc300934990"/>
      <w:bookmarkStart w:id="1619" w:name="_Toc312678026"/>
      <w:bookmarkStart w:id="1620" w:name="_Toc297216200"/>
      <w:bookmarkStart w:id="1621" w:name="_Toc296891234"/>
      <w:bookmarkStart w:id="1622" w:name="_Toc297120494"/>
      <w:bookmarkStart w:id="1623" w:name="_Toc304295567"/>
      <w:bookmarkStart w:id="1624" w:name="_Toc297048380"/>
      <w:bookmarkStart w:id="1625" w:name="_Toc292559904"/>
      <w:bookmarkStart w:id="1626" w:name="_Toc296347193"/>
      <w:bookmarkStart w:id="1627" w:name="_Toc296346695"/>
      <w:bookmarkStart w:id="1628" w:name="_Toc296891022"/>
      <w:bookmarkStart w:id="1629" w:name="_Toc296503194"/>
      <w:bookmarkStart w:id="1630" w:name="_Toc312677500"/>
      <w:bookmarkStart w:id="1631" w:name="_Toc292559399"/>
      <w:bookmarkStart w:id="1632" w:name="_Toc303539147"/>
      <w:bookmarkStart w:id="1633" w:name="_Toc296944533"/>
      <w:r>
        <w:rPr>
          <w:rFonts w:hint="eastAsia"/>
          <w:color w:val="auto"/>
          <w:sz w:val="21"/>
          <w:szCs w:val="21"/>
          <w:highlight w:val="none"/>
        </w:rPr>
        <w:t>0.1变更的范围</w:t>
      </w:r>
      <w:bookmarkEnd w:id="1615"/>
      <w:bookmarkEnd w:id="1616"/>
    </w:p>
    <w:p w14:paraId="03AFF5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关于变更范围的约定：</w:t>
      </w:r>
    </w:p>
    <w:p w14:paraId="50095F6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14:paraId="1A4C85D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14:paraId="5CE4A1D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14:paraId="5469C6E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14:paraId="1D413D5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14:paraId="1F01F93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（6）勘察设计变更；</w:t>
      </w:r>
    </w:p>
    <w:p w14:paraId="2CF8A33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14:paraId="759C844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（8）项目管理人员变更；</w:t>
      </w:r>
    </w:p>
    <w:p w14:paraId="27EE639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（9）因人工、原材料等价格变化导致的合同总价变更；</w:t>
      </w:r>
    </w:p>
    <w:p w14:paraId="17CA998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（10）非实施内容变化导致的工期变更；</w:t>
      </w:r>
    </w:p>
    <w:p w14:paraId="66335A4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ADB44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7727B6D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p w14:paraId="7532F903">
      <w:pPr>
        <w:pStyle w:val="7"/>
        <w:spacing w:before="0" w:beforeAutospacing="0" w:after="0" w:afterAutospacing="0" w:line="360" w:lineRule="auto"/>
        <w:ind w:firstLine="422" w:firstLineChars="200"/>
        <w:rPr>
          <w:color w:val="auto"/>
          <w:sz w:val="21"/>
          <w:szCs w:val="21"/>
          <w:highlight w:val="none"/>
        </w:rPr>
      </w:pPr>
      <w:bookmarkStart w:id="1634" w:name="_Toc351203569"/>
      <w:bookmarkStart w:id="1635" w:name="_Toc532375636"/>
      <w:bookmarkStart w:id="1636" w:name="_Toc532377372"/>
      <w:r>
        <w:rPr>
          <w:rFonts w:hint="eastAsia"/>
          <w:color w:val="auto"/>
          <w:sz w:val="21"/>
          <w:szCs w:val="21"/>
          <w:highlight w:val="none"/>
        </w:rPr>
        <w:t>1</w:t>
      </w:r>
      <w:bookmarkStart w:id="1637" w:name="_Toc296503085"/>
      <w:bookmarkStart w:id="1638" w:name="_Toc296346586"/>
      <w:bookmarkStart w:id="1639" w:name="_Toc337558789"/>
      <w:r>
        <w:rPr>
          <w:rFonts w:hint="eastAsia"/>
          <w:color w:val="auto"/>
          <w:sz w:val="21"/>
          <w:szCs w:val="21"/>
          <w:highlight w:val="none"/>
        </w:rPr>
        <w:t>0.2变更权</w:t>
      </w:r>
      <w:bookmarkEnd w:id="1634"/>
      <w:bookmarkEnd w:id="1635"/>
      <w:bookmarkEnd w:id="1636"/>
    </w:p>
    <w:bookmarkEnd w:id="1637"/>
    <w:bookmarkEnd w:id="1638"/>
    <w:bookmarkEnd w:id="1639"/>
    <w:p w14:paraId="1745AE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10.2.1发包人和监理人提出变更</w:t>
      </w:r>
    </w:p>
    <w:p w14:paraId="53B9B1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783D1B0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212BB31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若出现重大设计变更，变更后的内容超出承包人资质或能力范围的，发包人将另行依法</w:t>
      </w:r>
      <w:r>
        <w:rPr>
          <w:rFonts w:hint="eastAsia" w:ascii="宋体" w:hAnsi="宋体"/>
          <w:color w:val="auto"/>
          <w:szCs w:val="21"/>
          <w:highlight w:val="none"/>
          <w:lang w:eastAsia="zh-CN"/>
        </w:rPr>
        <w:t>比选</w:t>
      </w:r>
      <w:r>
        <w:rPr>
          <w:rFonts w:hint="eastAsia" w:ascii="宋体" w:hAnsi="宋体"/>
          <w:color w:val="auto"/>
          <w:szCs w:val="21"/>
          <w:highlight w:val="none"/>
        </w:rPr>
        <w:t>选择承包单位，无需征得承包人同意。</w:t>
      </w:r>
    </w:p>
    <w:p w14:paraId="7C61DB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10.2.2 承包人提出变更建议</w:t>
      </w:r>
    </w:p>
    <w:p w14:paraId="6E8FBE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14:paraId="2F2BA71F">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如果发包人对承包人已实施的施工项目在发出重大设计变更之前要求承包人提出一份建议，那么，承包人应尽快提出：</w:t>
      </w:r>
    </w:p>
    <w:p w14:paraId="6681D8F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（1）对所提方案和（或）待做工作及其实施计划的说明</w:t>
      </w:r>
      <w:r>
        <w:rPr>
          <w:rFonts w:hint="eastAsia" w:ascii="宋体" w:hAnsi="宋体"/>
          <w:color w:val="auto"/>
          <w:szCs w:val="21"/>
          <w:highlight w:val="none"/>
        </w:rPr>
        <w:t>；</w:t>
      </w:r>
    </w:p>
    <w:p w14:paraId="0EB50DA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（2）承包人按照对工程进度计划进行必要修改的建议</w:t>
      </w:r>
      <w:r>
        <w:rPr>
          <w:rFonts w:hint="eastAsia" w:ascii="宋体" w:hAnsi="宋体"/>
          <w:color w:val="auto"/>
          <w:szCs w:val="21"/>
          <w:highlight w:val="none"/>
        </w:rPr>
        <w:t>；</w:t>
      </w:r>
    </w:p>
    <w:p w14:paraId="7F4B09DB">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（3）承包人发生较大返工损失增加费用的建议</w:t>
      </w:r>
      <w:r>
        <w:rPr>
          <w:rFonts w:hint="eastAsia" w:ascii="宋体" w:hAnsi="宋体"/>
          <w:color w:val="auto"/>
          <w:szCs w:val="21"/>
          <w:highlight w:val="none"/>
        </w:rPr>
        <w:t>。</w:t>
      </w:r>
    </w:p>
    <w:p w14:paraId="47C2AE4A">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发包人在收到上述建议书后，应尽快给予批准、否决或提出意见</w:t>
      </w:r>
      <w:r>
        <w:rPr>
          <w:rFonts w:hint="eastAsia" w:ascii="宋体" w:hAnsi="宋体"/>
          <w:color w:val="auto"/>
          <w:szCs w:val="21"/>
          <w:highlight w:val="none"/>
        </w:rPr>
        <w:t>。</w:t>
      </w:r>
    </w:p>
    <w:p w14:paraId="44DE011E">
      <w:pPr>
        <w:pStyle w:val="7"/>
        <w:spacing w:before="0" w:beforeAutospacing="0" w:after="0" w:afterAutospacing="0" w:line="360" w:lineRule="auto"/>
        <w:ind w:firstLine="422" w:firstLineChars="200"/>
        <w:rPr>
          <w:color w:val="auto"/>
          <w:sz w:val="21"/>
          <w:szCs w:val="21"/>
          <w:highlight w:val="none"/>
        </w:rPr>
      </w:pPr>
      <w:bookmarkStart w:id="1640" w:name="_Toc532377373"/>
      <w:bookmarkStart w:id="1641" w:name="_Toc532375637"/>
      <w:bookmarkStart w:id="1642" w:name="_Hlk528928195"/>
      <w:bookmarkStart w:id="1643" w:name="_Toc351203570"/>
      <w:r>
        <w:rPr>
          <w:rFonts w:hint="eastAsia"/>
          <w:color w:val="auto"/>
          <w:sz w:val="21"/>
          <w:szCs w:val="21"/>
          <w:highlight w:val="none"/>
        </w:rPr>
        <w:t>1</w:t>
      </w:r>
      <w:bookmarkStart w:id="1644" w:name="_Toc337558790"/>
      <w:bookmarkStart w:id="1645" w:name="_Toc296503086"/>
      <w:bookmarkStart w:id="1646" w:name="_Toc296346587"/>
      <w:r>
        <w:rPr>
          <w:rFonts w:hint="eastAsia"/>
          <w:color w:val="auto"/>
          <w:sz w:val="21"/>
          <w:szCs w:val="21"/>
          <w:highlight w:val="none"/>
        </w:rPr>
        <w:t>0.3变更程序</w:t>
      </w:r>
      <w:bookmarkEnd w:id="1640"/>
      <w:bookmarkEnd w:id="1641"/>
    </w:p>
    <w:bookmarkEnd w:id="1644"/>
    <w:bookmarkEnd w:id="1645"/>
    <w:bookmarkEnd w:id="1646"/>
    <w:p w14:paraId="69701FCC">
      <w:pPr>
        <w:autoSpaceDE w:val="0"/>
        <w:autoSpaceDN w:val="0"/>
        <w:spacing w:line="360" w:lineRule="auto"/>
        <w:ind w:firstLine="420" w:firstLineChars="200"/>
        <w:jc w:val="left"/>
        <w:rPr>
          <w:rFonts w:ascii="宋体" w:hAnsi="宋体"/>
          <w:color w:val="auto"/>
          <w:szCs w:val="21"/>
          <w:highlight w:val="none"/>
        </w:rPr>
      </w:pPr>
      <w:bookmarkStart w:id="1647" w:name="_Hlk524353972"/>
      <w:r>
        <w:rPr>
          <w:rFonts w:hint="eastAsia" w:ascii="宋体" w:hAnsi="宋体"/>
          <w:color w:val="auto"/>
          <w:szCs w:val="21"/>
          <w:highlight w:val="none"/>
        </w:rPr>
        <w:t>10.3.3 变更执行</w:t>
      </w:r>
    </w:p>
    <w:p w14:paraId="6BBD6592">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6841FD0F">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重大设计变更：需经设计人、监理人和发包人三方签字认可并报相关行业部门审查同意后实施。</w:t>
      </w:r>
    </w:p>
    <w:p w14:paraId="08E8DC75">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10.3.3 项增加以下内容：</w:t>
      </w:r>
    </w:p>
    <w:p w14:paraId="3AB8B364">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7913CF3A">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14:paraId="77891A3C">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文件和行业主管部门的相关规定。</w:t>
      </w:r>
    </w:p>
    <w:p w14:paraId="7042EC4B">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14:paraId="4543BE52">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49546F33">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的规模标准的，增加的部分应当依法通过</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选择承包单位。</w:t>
      </w:r>
    </w:p>
    <w:bookmarkEnd w:id="1642"/>
    <w:bookmarkEnd w:id="1643"/>
    <w:bookmarkEnd w:id="1647"/>
    <w:p w14:paraId="56DCFD13">
      <w:pPr>
        <w:pStyle w:val="7"/>
        <w:spacing w:before="0" w:beforeAutospacing="0" w:after="0" w:afterAutospacing="0" w:line="360" w:lineRule="auto"/>
        <w:ind w:firstLine="422" w:firstLineChars="200"/>
        <w:rPr>
          <w:color w:val="auto"/>
          <w:sz w:val="21"/>
          <w:szCs w:val="21"/>
          <w:highlight w:val="none"/>
        </w:rPr>
      </w:pPr>
      <w:bookmarkStart w:id="1648" w:name="_Toc532377374"/>
      <w:bookmarkStart w:id="1649" w:name="_Toc532375638"/>
      <w:r>
        <w:rPr>
          <w:rFonts w:hint="eastAsia"/>
          <w:color w:val="auto"/>
          <w:sz w:val="21"/>
          <w:szCs w:val="21"/>
          <w:highlight w:val="none"/>
        </w:rPr>
        <w:t>10.4 变更估价</w:t>
      </w:r>
      <w:bookmarkEnd w:id="1648"/>
      <w:bookmarkEnd w:id="1649"/>
    </w:p>
    <w:p w14:paraId="1F556BFD">
      <w:pPr>
        <w:spacing w:line="360" w:lineRule="auto"/>
        <w:ind w:firstLine="420" w:firstLineChars="200"/>
        <w:jc w:val="left"/>
        <w:rPr>
          <w:rFonts w:ascii="宋体" w:hAnsi="宋体"/>
          <w:color w:val="auto"/>
          <w:szCs w:val="21"/>
          <w:highlight w:val="none"/>
        </w:rPr>
      </w:pPr>
      <w:bookmarkStart w:id="1650" w:name="_Hlk524296629"/>
      <w:r>
        <w:rPr>
          <w:rFonts w:hint="eastAsia" w:ascii="宋体" w:hAnsi="宋体"/>
          <w:color w:val="auto"/>
          <w:szCs w:val="21"/>
          <w:highlight w:val="none"/>
        </w:rPr>
        <w:t>10.4.1 变更估价原则</w:t>
      </w:r>
    </w:p>
    <w:p w14:paraId="46AD22B7">
      <w:pPr>
        <w:pStyle w:val="2"/>
        <w:spacing w:after="0"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比选文件</w:t>
      </w:r>
      <w:r>
        <w:rPr>
          <w:rFonts w:hint="eastAsia" w:ascii="宋体" w:hAnsi="宋体"/>
          <w:color w:val="auto"/>
          <w:szCs w:val="21"/>
          <w:highlight w:val="none"/>
          <w:u w:val="single"/>
        </w:rPr>
        <w:t xml:space="preserve"> </w:t>
      </w:r>
      <w:r>
        <w:rPr>
          <w:rFonts w:hint="eastAsia" w:ascii="宋体" w:hAnsi="宋体"/>
          <w:color w:val="auto"/>
          <w:szCs w:val="21"/>
          <w:highlight w:val="none"/>
        </w:rPr>
        <w:t>规定的计算规则及已标价工程量清单规定的工程量计算规则计量，按以下办法计价：</w:t>
      </w:r>
      <w:bookmarkStart w:id="1651" w:name="_Hlk524770102"/>
    </w:p>
    <w:bookmarkEnd w:id="1651"/>
    <w:p w14:paraId="77BD87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10.4.1.1已标价工程量清单中有相同项目的，按照相同项目单价计算；</w:t>
      </w:r>
    </w:p>
    <w:p w14:paraId="2258F3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10.4.1.2已标价工程量清单中有类似项目的，参考类似项目单价计算；</w:t>
      </w:r>
    </w:p>
    <w:p w14:paraId="7A73C5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10.4.1.3已标价工程量清单中无相同项目亦无类似项目的，按照以下原则执行：</w:t>
      </w:r>
    </w:p>
    <w:p w14:paraId="6B5B54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highlight w:val="none"/>
        </w:rPr>
        <w:t>。</w:t>
      </w:r>
    </w:p>
    <w:p w14:paraId="1B1166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承包人报价浮动率按下列公式计算：承包人报价浮动率=（1-中标价/最高限价）×100%。</w:t>
      </w:r>
    </w:p>
    <w:p w14:paraId="4ACE1C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（1）人工单价：按开标当期《重庆工程造价信息》发布的项目所在地的人工单价执行。</w:t>
      </w:r>
    </w:p>
    <w:p w14:paraId="12168A05">
      <w:pPr>
        <w:spacing w:line="360" w:lineRule="auto"/>
        <w:ind w:firstLine="420" w:firstLineChars="200"/>
        <w:jc w:val="left"/>
        <w:rPr>
          <w:rFonts w:ascii="宋体" w:hAnsi="宋体"/>
          <w:color w:val="auto"/>
          <w:szCs w:val="21"/>
          <w:highlight w:val="none"/>
        </w:rPr>
      </w:pPr>
      <w:bookmarkStart w:id="1652" w:name="_Hlk529023896"/>
      <w:r>
        <w:rPr>
          <w:rFonts w:hint="eastAsia" w:ascii="宋体" w:hAnsi="宋体"/>
          <w:color w:val="auto"/>
          <w:szCs w:val="21"/>
          <w:highlight w:val="none"/>
        </w:rPr>
        <w:t>（2）材料单价：</w:t>
      </w:r>
    </w:p>
    <w:p w14:paraId="4F4D4C0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①按</w:t>
      </w:r>
      <w:bookmarkStart w:id="1653" w:name="_Hlk529023354"/>
      <w:r>
        <w:rPr>
          <w:rFonts w:hint="eastAsia" w:ascii="宋体" w:hAnsi="宋体"/>
          <w:color w:val="auto"/>
          <w:szCs w:val="21"/>
          <w:highlight w:val="none"/>
        </w:rPr>
        <w:t>开标当期《重庆工程造价信息》发布的项目所在地的信息价</w:t>
      </w:r>
      <w:bookmarkEnd w:id="1653"/>
      <w:r>
        <w:rPr>
          <w:rFonts w:hint="eastAsia" w:ascii="宋体" w:hAnsi="宋体"/>
          <w:color w:val="auto"/>
          <w:szCs w:val="21"/>
          <w:highlight w:val="none"/>
        </w:rPr>
        <w:t>执行；</w:t>
      </w:r>
    </w:p>
    <w:p w14:paraId="4672FD0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②开标当期《重庆工程造价信息》中没有的，承包人投标报价中有的，按承包人投标报价中相同材料单价的最低值执行；</w:t>
      </w:r>
    </w:p>
    <w:p w14:paraId="2591FB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③开标当期《重庆工程造价信息》和承包人投标报价没有的，由承包人申报、监理人会同跟审单位、发包人根据市场行情认质核价确定。</w:t>
      </w:r>
    </w:p>
    <w:bookmarkEnd w:id="1652"/>
    <w:p w14:paraId="4904720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4FCB977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14:paraId="4DB3F6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14:paraId="29FF52E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1A0069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本款补充10.4.3项：</w:t>
      </w:r>
    </w:p>
    <w:p w14:paraId="157535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412AD7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highlight w:val="none"/>
        </w:rPr>
        <w:t>；</w:t>
      </w:r>
    </w:p>
    <w:p w14:paraId="3EC97A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按照单价计算的措施项目费，应按照实际发生变化的措施项目，按照第10.4.1项〔变更估价原则〕约定执行</w:t>
      </w:r>
      <w:r>
        <w:rPr>
          <w:rFonts w:hint="eastAsia" w:ascii="宋体" w:hAnsi="宋体"/>
          <w:color w:val="auto"/>
          <w:szCs w:val="21"/>
          <w:highlight w:val="none"/>
        </w:rPr>
        <w:t>；</w:t>
      </w:r>
    </w:p>
    <w:p w14:paraId="0766E2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按总价（或系数）计算的措施项目费，应按照实际发生变化的措施项目费按承包人报价浮动率下浮后的金额计算</w:t>
      </w:r>
      <w:r>
        <w:rPr>
          <w:rFonts w:hint="eastAsia" w:ascii="宋体" w:hAnsi="宋体"/>
          <w:color w:val="auto"/>
          <w:szCs w:val="21"/>
          <w:highlight w:val="none"/>
        </w:rPr>
        <w:t>；</w:t>
      </w:r>
    </w:p>
    <w:p w14:paraId="030C59C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highlight w:val="none"/>
        </w:rPr>
        <w:t>。</w:t>
      </w:r>
    </w:p>
    <w:bookmarkEnd w:id="1650"/>
    <w:p w14:paraId="4C704F35">
      <w:pPr>
        <w:pStyle w:val="7"/>
        <w:spacing w:before="0" w:beforeAutospacing="0" w:after="0" w:afterAutospacing="0" w:line="360" w:lineRule="auto"/>
        <w:ind w:firstLine="422" w:firstLineChars="200"/>
        <w:rPr>
          <w:color w:val="auto"/>
          <w:sz w:val="21"/>
          <w:szCs w:val="21"/>
          <w:highlight w:val="none"/>
        </w:rPr>
      </w:pPr>
      <w:bookmarkStart w:id="1654" w:name="_Toc532375639"/>
      <w:bookmarkStart w:id="1655" w:name="_Toc532377375"/>
      <w:r>
        <w:rPr>
          <w:rFonts w:hint="eastAsia"/>
          <w:color w:val="auto"/>
          <w:sz w:val="21"/>
          <w:szCs w:val="21"/>
          <w:highlight w:val="none"/>
        </w:rPr>
        <w:t>1</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Start w:id="1656" w:name="_Toc300934993"/>
      <w:bookmarkStart w:id="1657" w:name="_Toc296503197"/>
      <w:bookmarkStart w:id="1658" w:name="_Toc303539150"/>
      <w:bookmarkStart w:id="1659" w:name="_Toc297120497"/>
      <w:bookmarkStart w:id="1660" w:name="_Toc296891237"/>
      <w:bookmarkStart w:id="1661" w:name="_Toc297048383"/>
      <w:bookmarkStart w:id="1662" w:name="_Toc296347196"/>
      <w:bookmarkStart w:id="1663" w:name="_Toc297216203"/>
      <w:bookmarkStart w:id="1664" w:name="_Toc292559402"/>
      <w:bookmarkStart w:id="1665" w:name="_Toc296346698"/>
      <w:bookmarkStart w:id="1666" w:name="_Toc296891025"/>
      <w:bookmarkStart w:id="1667" w:name="_Toc292559907"/>
      <w:bookmarkStart w:id="1668" w:name="_Toc296944536"/>
      <w:bookmarkStart w:id="1669" w:name="_Toc297123544"/>
      <w:bookmarkStart w:id="1670" w:name="_Toc312677503"/>
      <w:bookmarkStart w:id="1671" w:name="_Toc312678029"/>
      <w:bookmarkStart w:id="1672" w:name="_Toc304295570"/>
      <w:r>
        <w:rPr>
          <w:rFonts w:hint="eastAsia"/>
          <w:color w:val="auto"/>
          <w:sz w:val="21"/>
          <w:szCs w:val="21"/>
          <w:highlight w:val="none"/>
        </w:rPr>
        <w:t>0.5承</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Start w:id="1673" w:name="_Toc296346704"/>
      <w:bookmarkStart w:id="1674" w:name="_Toc303539151"/>
      <w:bookmarkStart w:id="1675" w:name="_Toc300934994"/>
      <w:bookmarkStart w:id="1676" w:name="_Toc296503203"/>
      <w:bookmarkStart w:id="1677" w:name="_Toc297048389"/>
      <w:bookmarkStart w:id="1678" w:name="_Toc297123545"/>
      <w:bookmarkStart w:id="1679" w:name="_Toc297216204"/>
      <w:bookmarkStart w:id="1680" w:name="_Toc296891243"/>
      <w:bookmarkStart w:id="1681" w:name="_Toc296347202"/>
      <w:bookmarkStart w:id="1682" w:name="_Toc296891031"/>
      <w:bookmarkStart w:id="1683" w:name="_Toc296944542"/>
      <w:bookmarkStart w:id="1684" w:name="_Toc297120503"/>
      <w:bookmarkStart w:id="1685" w:name="_Toc292559913"/>
      <w:bookmarkStart w:id="1686" w:name="_Toc292559408"/>
      <w:r>
        <w:rPr>
          <w:rFonts w:hint="eastAsia"/>
          <w:color w:val="auto"/>
          <w:sz w:val="21"/>
          <w:szCs w:val="21"/>
          <w:highlight w:val="none"/>
        </w:rPr>
        <w:t>包人的合理化建议</w:t>
      </w:r>
      <w:bookmarkEnd w:id="1654"/>
      <w:bookmarkEnd w:id="1655"/>
    </w:p>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14:paraId="6EA9D0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承包人提出合理化建议的，应向监理人提交合理化建议说明，说明建议的内容和理由，以及实施该建议对合同价格和（或）工期和（或）工程经济效益的影响。</w:t>
      </w:r>
    </w:p>
    <w:p w14:paraId="698FBAB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14:paraId="2CB90D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14:paraId="7DF3E44A">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w:t>
      </w:r>
      <w:bookmarkStart w:id="1687" w:name="_Toc312677504"/>
      <w:bookmarkStart w:id="1688" w:name="_Toc300934995"/>
      <w:bookmarkStart w:id="1689" w:name="_Toc312678030"/>
      <w:bookmarkStart w:id="1690" w:name="_Toc292559914"/>
      <w:bookmarkStart w:id="1691" w:name="_Toc296347203"/>
      <w:bookmarkStart w:id="1692" w:name="_Toc297216205"/>
      <w:bookmarkStart w:id="1693" w:name="_Toc296503204"/>
      <w:bookmarkStart w:id="1694" w:name="_Toc297120504"/>
      <w:bookmarkStart w:id="1695" w:name="_Toc303539152"/>
      <w:bookmarkStart w:id="1696" w:name="_Toc297123546"/>
      <w:bookmarkStart w:id="1697" w:name="_Toc296891244"/>
      <w:bookmarkStart w:id="1698" w:name="_Toc304295571"/>
      <w:bookmarkStart w:id="1699" w:name="_Toc292559409"/>
      <w:bookmarkStart w:id="1700" w:name="_Toc296346705"/>
      <w:bookmarkStart w:id="1701" w:name="_Toc296944543"/>
      <w:bookmarkStart w:id="1702" w:name="_Toc296891032"/>
      <w:bookmarkStart w:id="1703" w:name="_Toc318581175"/>
      <w:bookmarkStart w:id="1704" w:name="_Toc297048390"/>
      <w:r>
        <w:rPr>
          <w:rFonts w:hint="eastAsia" w:ascii="宋体" w:hAnsi="宋体"/>
          <w:color w:val="auto"/>
          <w:szCs w:val="21"/>
          <w:highlight w:val="none"/>
        </w:rPr>
        <w:t>包人提出的合理化建议降低了合同价格或缩短了工期或者提高了工程经济效益的奖励的方法和金额为：</w:t>
      </w:r>
      <w:r>
        <w:rPr>
          <w:rFonts w:hint="eastAsia" w:ascii="宋体" w:hAnsi="宋体"/>
          <w:color w:val="auto"/>
          <w:szCs w:val="21"/>
          <w:highlight w:val="none"/>
          <w:u w:val="single"/>
        </w:rPr>
        <w:t>合理化建议带来经济效益的5～10 %</w:t>
      </w:r>
      <w:r>
        <w:rPr>
          <w:rFonts w:hint="eastAsia" w:ascii="宋体" w:hAnsi="宋体"/>
          <w:color w:val="auto"/>
          <w:szCs w:val="21"/>
          <w:highlight w:val="none"/>
        </w:rPr>
        <w:t>。</w:t>
      </w:r>
    </w:p>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14:paraId="1FCEBDDE">
      <w:pPr>
        <w:pStyle w:val="7"/>
        <w:spacing w:before="0" w:beforeAutospacing="0" w:after="0" w:afterAutospacing="0" w:line="360" w:lineRule="auto"/>
        <w:ind w:firstLine="422" w:firstLineChars="200"/>
        <w:rPr>
          <w:color w:val="auto"/>
          <w:sz w:val="21"/>
          <w:szCs w:val="21"/>
          <w:highlight w:val="none"/>
        </w:rPr>
      </w:pPr>
      <w:bookmarkStart w:id="1705" w:name="_Toc532377376"/>
      <w:bookmarkStart w:id="1706" w:name="_Toc532375640"/>
      <w:r>
        <w:rPr>
          <w:rFonts w:hint="eastAsia"/>
          <w:color w:val="auto"/>
          <w:sz w:val="21"/>
          <w:szCs w:val="21"/>
          <w:highlight w:val="none"/>
        </w:rPr>
        <w:t>1</w:t>
      </w:r>
      <w:bookmarkStart w:id="1707" w:name="_Toc297048385"/>
      <w:bookmarkStart w:id="1708" w:name="_Toc296891239"/>
      <w:bookmarkStart w:id="1709" w:name="_Toc296346700"/>
      <w:bookmarkStart w:id="1710" w:name="_Toc292559404"/>
      <w:bookmarkStart w:id="1711" w:name="_Toc312678033"/>
      <w:bookmarkStart w:id="1712" w:name="_Toc296891027"/>
      <w:bookmarkStart w:id="1713" w:name="_Toc303539154"/>
      <w:bookmarkStart w:id="1714" w:name="_Toc292559909"/>
      <w:bookmarkStart w:id="1715" w:name="_Toc312677507"/>
      <w:bookmarkStart w:id="1716" w:name="_Toc297123548"/>
      <w:bookmarkStart w:id="1717" w:name="_Toc296503199"/>
      <w:bookmarkStart w:id="1718" w:name="_Toc304295574"/>
      <w:bookmarkStart w:id="1719" w:name="_Toc296347198"/>
      <w:bookmarkStart w:id="1720" w:name="_Toc297120499"/>
      <w:bookmarkStart w:id="1721" w:name="_Toc300934997"/>
      <w:bookmarkStart w:id="1722" w:name="_Toc297216207"/>
      <w:bookmarkStart w:id="1723" w:name="_Toc296944538"/>
      <w:r>
        <w:rPr>
          <w:rFonts w:hint="eastAsia"/>
          <w:color w:val="auto"/>
          <w:sz w:val="21"/>
          <w:szCs w:val="21"/>
          <w:highlight w:val="none"/>
        </w:rPr>
        <w:t>0.7 暂估价</w:t>
      </w:r>
      <w:bookmarkEnd w:id="1705"/>
      <w:bookmarkEnd w:id="1706"/>
    </w:p>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14:paraId="3502EBA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p w14:paraId="7EC0C5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单项合同估算价在国家相关法律法规规定必须</w:t>
      </w:r>
      <w:r>
        <w:rPr>
          <w:rFonts w:hint="eastAsia" w:ascii="宋体" w:hAnsi="宋体"/>
          <w:color w:val="auto"/>
          <w:szCs w:val="21"/>
          <w:highlight w:val="none"/>
          <w:lang w:eastAsia="zh-CN"/>
        </w:rPr>
        <w:t>比选</w:t>
      </w:r>
      <w:r>
        <w:rPr>
          <w:rFonts w:hint="eastAsia" w:ascii="宋体" w:hAnsi="宋体"/>
          <w:color w:val="auto"/>
          <w:szCs w:val="21"/>
          <w:highlight w:val="none"/>
        </w:rPr>
        <w:t>规模以下的，符合可以不</w:t>
      </w:r>
      <w:r>
        <w:rPr>
          <w:rFonts w:hint="eastAsia" w:ascii="宋体" w:hAnsi="宋体"/>
          <w:color w:val="auto"/>
          <w:szCs w:val="21"/>
          <w:highlight w:val="none"/>
          <w:lang w:eastAsia="zh-CN"/>
        </w:rPr>
        <w:t>比选</w:t>
      </w:r>
      <w:r>
        <w:rPr>
          <w:rFonts w:hint="eastAsia" w:ascii="宋体" w:hAnsi="宋体"/>
          <w:color w:val="auto"/>
          <w:szCs w:val="21"/>
          <w:highlight w:val="none"/>
        </w:rPr>
        <w:t>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53332FF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单项合同暂估价在国家相关法律法规规定必须</w:t>
      </w:r>
      <w:r>
        <w:rPr>
          <w:rFonts w:hint="eastAsia" w:ascii="宋体" w:hAnsi="宋体"/>
          <w:color w:val="auto"/>
          <w:szCs w:val="21"/>
          <w:highlight w:val="none"/>
          <w:lang w:eastAsia="zh-CN"/>
        </w:rPr>
        <w:t>比选</w:t>
      </w:r>
      <w:r>
        <w:rPr>
          <w:rFonts w:hint="eastAsia" w:ascii="宋体" w:hAnsi="宋体"/>
          <w:color w:val="auto"/>
          <w:szCs w:val="21"/>
          <w:highlight w:val="none"/>
        </w:rPr>
        <w:t>规模以上的，需依法必须</w:t>
      </w:r>
      <w:r>
        <w:rPr>
          <w:rFonts w:hint="eastAsia" w:ascii="宋体" w:hAnsi="宋体"/>
          <w:color w:val="auto"/>
          <w:szCs w:val="21"/>
          <w:highlight w:val="none"/>
          <w:lang w:eastAsia="zh-CN"/>
        </w:rPr>
        <w:t>比选</w:t>
      </w:r>
      <w:r>
        <w:rPr>
          <w:rFonts w:hint="eastAsia" w:ascii="宋体" w:hAnsi="宋体"/>
          <w:color w:val="auto"/>
          <w:szCs w:val="21"/>
          <w:highlight w:val="none"/>
        </w:rPr>
        <w:t>的，由承包人、发包人共同</w:t>
      </w:r>
      <w:r>
        <w:rPr>
          <w:rFonts w:hint="eastAsia" w:ascii="宋体" w:hAnsi="宋体"/>
          <w:color w:val="auto"/>
          <w:szCs w:val="21"/>
          <w:highlight w:val="none"/>
          <w:lang w:eastAsia="zh-CN"/>
        </w:rPr>
        <w:t>比选</w:t>
      </w:r>
      <w:r>
        <w:rPr>
          <w:rFonts w:hint="eastAsia" w:ascii="宋体" w:hAnsi="宋体"/>
          <w:color w:val="auto"/>
          <w:szCs w:val="21"/>
          <w:highlight w:val="none"/>
        </w:rPr>
        <w:t>确定。</w:t>
      </w:r>
    </w:p>
    <w:p w14:paraId="2FC2283B">
      <w:pPr>
        <w:pStyle w:val="7"/>
        <w:spacing w:before="0" w:beforeAutospacing="0" w:after="0" w:afterAutospacing="0" w:line="360" w:lineRule="auto"/>
        <w:ind w:firstLine="422" w:firstLineChars="200"/>
        <w:rPr>
          <w:color w:val="auto"/>
          <w:sz w:val="21"/>
          <w:szCs w:val="21"/>
          <w:highlight w:val="none"/>
        </w:rPr>
      </w:pPr>
      <w:bookmarkStart w:id="1724" w:name="_Toc532377377"/>
      <w:bookmarkStart w:id="1725" w:name="_Toc532375641"/>
      <w:r>
        <w:rPr>
          <w:rFonts w:hint="eastAsia"/>
          <w:color w:val="auto"/>
          <w:sz w:val="21"/>
          <w:szCs w:val="21"/>
          <w:highlight w:val="none"/>
        </w:rPr>
        <w:t>10.8 暂列金额</w:t>
      </w:r>
      <w:bookmarkEnd w:id="1724"/>
      <w:bookmarkEnd w:id="1725"/>
    </w:p>
    <w:p w14:paraId="472FC58F">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03B54E9">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726" w:name="_Toc532377378"/>
      <w:bookmarkStart w:id="1727" w:name="_Toc351203643"/>
      <w:bookmarkStart w:id="1728" w:name="_Toc532375642"/>
      <w:r>
        <w:rPr>
          <w:rFonts w:hint="eastAsia"/>
          <w:color w:val="auto"/>
          <w:kern w:val="2"/>
          <w:sz w:val="21"/>
          <w:szCs w:val="21"/>
          <w:highlight w:val="none"/>
        </w:rPr>
        <w:t>11. 价格调整</w:t>
      </w:r>
      <w:bookmarkEnd w:id="1726"/>
      <w:bookmarkEnd w:id="1727"/>
      <w:bookmarkEnd w:id="1728"/>
    </w:p>
    <w:p w14:paraId="4F82C4E7">
      <w:pPr>
        <w:pStyle w:val="7"/>
        <w:spacing w:before="0" w:beforeAutospacing="0" w:after="0" w:afterAutospacing="0" w:line="360" w:lineRule="auto"/>
        <w:ind w:firstLine="422" w:firstLineChars="200"/>
        <w:rPr>
          <w:color w:val="auto"/>
          <w:sz w:val="21"/>
          <w:szCs w:val="21"/>
          <w:highlight w:val="none"/>
        </w:rPr>
      </w:pPr>
      <w:bookmarkStart w:id="1729" w:name="_Toc532375643"/>
      <w:bookmarkStart w:id="1730" w:name="_Toc532377379"/>
      <w:bookmarkStart w:id="1731" w:name="_Toc297216209"/>
      <w:bookmarkStart w:id="1732" w:name="_Toc296346702"/>
      <w:bookmarkStart w:id="1733" w:name="_Toc300935000"/>
      <w:bookmarkStart w:id="1734" w:name="_Toc297123550"/>
      <w:bookmarkStart w:id="1735" w:name="_Toc292559911"/>
      <w:bookmarkStart w:id="1736" w:name="_Toc303539157"/>
      <w:bookmarkStart w:id="1737" w:name="_Toc296503201"/>
      <w:bookmarkStart w:id="1738" w:name="_Toc296347200"/>
      <w:bookmarkStart w:id="1739" w:name="_Toc297048387"/>
      <w:bookmarkStart w:id="1740" w:name="_Toc292559406"/>
      <w:bookmarkStart w:id="1741" w:name="_Toc312678039"/>
      <w:bookmarkStart w:id="1742" w:name="_Toc297120501"/>
      <w:bookmarkStart w:id="1743" w:name="_Toc296944540"/>
      <w:bookmarkStart w:id="1744" w:name="_Toc296891241"/>
      <w:bookmarkStart w:id="1745" w:name="_Toc296891029"/>
      <w:bookmarkStart w:id="1746" w:name="_Toc304295577"/>
      <w:r>
        <w:rPr>
          <w:rFonts w:hint="eastAsia"/>
          <w:color w:val="auto"/>
          <w:sz w:val="21"/>
          <w:szCs w:val="21"/>
          <w:highlight w:val="none"/>
        </w:rPr>
        <w:t>11.1 市场价格波动引起的调整</w:t>
      </w:r>
      <w:bookmarkEnd w:id="1729"/>
      <w:bookmarkEnd w:id="1730"/>
    </w:p>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14:paraId="1981AC44">
      <w:pPr>
        <w:spacing w:line="360" w:lineRule="auto"/>
        <w:ind w:firstLine="420" w:firstLineChars="200"/>
        <w:jc w:val="left"/>
        <w:rPr>
          <w:rFonts w:ascii="宋体" w:hAnsi="宋体"/>
          <w:color w:val="auto"/>
          <w:szCs w:val="21"/>
          <w:highlight w:val="none"/>
        </w:rPr>
      </w:pPr>
      <w:bookmarkStart w:id="1747" w:name="_Toc466913963"/>
      <w:bookmarkStart w:id="1748" w:name="_Toc466911545"/>
      <w:bookmarkStart w:id="1749" w:name="_Toc466913513"/>
      <w:bookmarkStart w:id="1750" w:name="_Toc467689641"/>
      <w:r>
        <w:rPr>
          <w:rFonts w:hint="eastAsia" w:ascii="宋体" w:hAnsi="宋体"/>
          <w:color w:val="auto"/>
          <w:szCs w:val="21"/>
          <w:highlight w:val="none"/>
        </w:rPr>
        <w:t>市场价格波动是否调整合同价格的约定：</w:t>
      </w:r>
      <w:r>
        <w:rPr>
          <w:rFonts w:hint="eastAsia" w:ascii="宋体" w:hAnsi="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color w:val="auto"/>
          <w:szCs w:val="21"/>
          <w:highlight w:val="none"/>
        </w:rPr>
        <w:t>。</w:t>
      </w:r>
    </w:p>
    <w:p w14:paraId="534AC90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因市场价格波动调整合同价格，采用以下第2种方式对合同价格进行调整：</w:t>
      </w:r>
    </w:p>
    <w:p w14:paraId="6367FD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第1种方式：</w:t>
      </w:r>
      <w:r>
        <w:rPr>
          <w:rFonts w:hint="eastAsia" w:ascii="宋体" w:hAnsi="宋体"/>
          <w:color w:val="auto"/>
          <w:szCs w:val="21"/>
          <w:highlight w:val="none"/>
          <w:u w:val="single"/>
        </w:rPr>
        <w:t>采用价格指数进行价格调整</w:t>
      </w:r>
      <w:r>
        <w:rPr>
          <w:rFonts w:hint="eastAsia" w:ascii="宋体" w:hAnsi="宋体"/>
          <w:color w:val="auto"/>
          <w:szCs w:val="21"/>
          <w:highlight w:val="none"/>
        </w:rPr>
        <w:t>。</w:t>
      </w:r>
    </w:p>
    <w:p w14:paraId="66A4F62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BF52D1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第2种方式：</w:t>
      </w:r>
      <w:r>
        <w:rPr>
          <w:rFonts w:hint="eastAsia" w:ascii="宋体" w:hAnsi="宋体"/>
          <w:color w:val="auto"/>
          <w:szCs w:val="21"/>
          <w:highlight w:val="none"/>
          <w:u w:val="single"/>
        </w:rPr>
        <w:t>采用造价信息进行价格调整，调整方法如下</w:t>
      </w:r>
      <w:r>
        <w:rPr>
          <w:rFonts w:hint="eastAsia" w:ascii="宋体" w:hAnsi="宋体"/>
          <w:color w:val="auto"/>
          <w:szCs w:val="21"/>
          <w:highlight w:val="none"/>
        </w:rPr>
        <w:t>：</w:t>
      </w:r>
    </w:p>
    <w:p w14:paraId="7F54E9EB">
      <w:pPr>
        <w:spacing w:line="360" w:lineRule="auto"/>
        <w:ind w:firstLine="420" w:firstLineChars="200"/>
        <w:jc w:val="left"/>
        <w:rPr>
          <w:rFonts w:ascii="宋体" w:hAnsi="宋体"/>
          <w:color w:val="auto"/>
          <w:szCs w:val="21"/>
          <w:highlight w:val="none"/>
        </w:rPr>
      </w:pPr>
      <w:bookmarkStart w:id="1751" w:name="_Hlk524296901"/>
      <w:r>
        <w:rPr>
          <w:rFonts w:hint="eastAsia" w:ascii="宋体" w:hAnsi="宋体"/>
          <w:color w:val="auto"/>
          <w:szCs w:val="21"/>
          <w:highlight w:val="none"/>
        </w:rPr>
        <w:t>11.1.1人工费价差调整办法</w:t>
      </w:r>
      <w:bookmarkEnd w:id="1747"/>
      <w:bookmarkEnd w:id="1748"/>
      <w:bookmarkEnd w:id="1749"/>
      <w:bookmarkEnd w:id="1750"/>
    </w:p>
    <w:p w14:paraId="7BB39F99">
      <w:pPr>
        <w:tabs>
          <w:tab w:val="left" w:pos="711"/>
          <w:tab w:val="left" w:pos="2580"/>
        </w:tabs>
        <w:spacing w:line="360" w:lineRule="auto"/>
        <w:ind w:firstLine="420" w:firstLineChars="200"/>
        <w:jc w:val="left"/>
        <w:textAlignment w:val="baseline"/>
        <w:rPr>
          <w:rFonts w:ascii="宋体" w:hAnsi="宋体"/>
          <w:color w:val="auto"/>
          <w:szCs w:val="21"/>
          <w:highlight w:val="none"/>
        </w:rPr>
      </w:pPr>
      <w:bookmarkStart w:id="1752" w:name="_Toc467689644"/>
      <w:bookmarkStart w:id="1753" w:name="_Toc466911548"/>
      <w:bookmarkStart w:id="1754" w:name="_Toc466913516"/>
      <w:bookmarkStart w:id="1755" w:name="_Toc466913966"/>
      <w:r>
        <w:rPr>
          <w:rFonts w:hint="eastAsia" w:ascii="宋体" w:hAnsi="宋体"/>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14:paraId="3F635BBC">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73A896A8">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3C05D2AE">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bookmarkEnd w:id="1751"/>
    <w:p w14:paraId="4A49281C">
      <w:pPr>
        <w:spacing w:line="360" w:lineRule="auto"/>
        <w:ind w:firstLine="420" w:firstLineChars="200"/>
        <w:jc w:val="left"/>
        <w:rPr>
          <w:rFonts w:ascii="宋体" w:hAnsi="宋体"/>
          <w:color w:val="auto"/>
          <w:szCs w:val="21"/>
          <w:highlight w:val="none"/>
        </w:rPr>
      </w:pPr>
      <w:bookmarkStart w:id="1756" w:name="_Hlk524297138"/>
      <w:r>
        <w:rPr>
          <w:rFonts w:hint="eastAsia" w:ascii="宋体" w:hAnsi="宋体"/>
          <w:color w:val="auto"/>
          <w:szCs w:val="21"/>
          <w:highlight w:val="none"/>
        </w:rPr>
        <w:t>11.1.2 材料费价差调整</w:t>
      </w:r>
      <w:bookmarkEnd w:id="1752"/>
      <w:bookmarkEnd w:id="1753"/>
      <w:bookmarkEnd w:id="1754"/>
      <w:bookmarkEnd w:id="1755"/>
      <w:r>
        <w:rPr>
          <w:rFonts w:hint="eastAsia" w:ascii="宋体" w:hAnsi="宋体"/>
          <w:color w:val="auto"/>
          <w:szCs w:val="21"/>
          <w:highlight w:val="none"/>
        </w:rPr>
        <w:t>办法</w:t>
      </w:r>
    </w:p>
    <w:p w14:paraId="4D4046CC">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可调价差材料：</w:t>
      </w:r>
      <w:r>
        <w:rPr>
          <w:rFonts w:hint="eastAsia" w:ascii="宋体" w:hAnsi="宋体"/>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color w:val="auto"/>
          <w:szCs w:val="21"/>
          <w:highlight w:val="none"/>
        </w:rPr>
        <w:t>。</w:t>
      </w:r>
    </w:p>
    <w:p w14:paraId="2781DFE6">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可调价差材料的价差调整办法如下：</w:t>
      </w:r>
    </w:p>
    <w:bookmarkEnd w:id="1609"/>
    <w:bookmarkEnd w:id="1610"/>
    <w:bookmarkEnd w:id="1611"/>
    <w:bookmarkEnd w:id="1612"/>
    <w:bookmarkEnd w:id="1613"/>
    <w:bookmarkEnd w:id="1614"/>
    <w:p w14:paraId="6A5CFC32">
      <w:pPr>
        <w:tabs>
          <w:tab w:val="left" w:pos="711"/>
          <w:tab w:val="left" w:pos="2580"/>
        </w:tabs>
        <w:spacing w:line="360" w:lineRule="auto"/>
        <w:ind w:firstLine="420" w:firstLineChars="200"/>
        <w:jc w:val="left"/>
        <w:textAlignment w:val="baseline"/>
        <w:rPr>
          <w:rFonts w:ascii="宋体" w:hAnsi="宋体"/>
          <w:color w:val="auto"/>
          <w:szCs w:val="21"/>
          <w:highlight w:val="none"/>
        </w:rPr>
      </w:pPr>
      <w:bookmarkStart w:id="1757" w:name="_Toc296891033"/>
      <w:bookmarkStart w:id="1758" w:name="_Toc297120505"/>
      <w:bookmarkStart w:id="1759" w:name="_Toc296944544"/>
      <w:bookmarkStart w:id="1760" w:name="_Toc296503205"/>
      <w:bookmarkStart w:id="1761" w:name="_Toc292559915"/>
      <w:bookmarkStart w:id="1762" w:name="_Toc297048391"/>
      <w:bookmarkStart w:id="1763" w:name="_Toc296891245"/>
      <w:bookmarkStart w:id="1764" w:name="_Toc296347204"/>
      <w:bookmarkStart w:id="1765" w:name="_Toc296346706"/>
      <w:bookmarkStart w:id="1766" w:name="_Toc292559410"/>
      <w:bookmarkStart w:id="1767" w:name="_Toc351203644"/>
      <w:bookmarkStart w:id="1768" w:name="_Toc297123552"/>
      <w:bookmarkStart w:id="1769" w:name="_Toc312678040"/>
      <w:bookmarkStart w:id="1770" w:name="_Toc297216211"/>
      <w:bookmarkStart w:id="1771" w:name="_Toc303539159"/>
      <w:bookmarkStart w:id="1772" w:name="_Toc304295579"/>
      <w:bookmarkStart w:id="1773" w:name="_Toc300935002"/>
      <w:r>
        <w:rPr>
          <w:rFonts w:hint="eastAsia" w:ascii="宋体" w:hAnsi="宋体"/>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14:paraId="2F47C7F7">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341EE2B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49070D98">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0CF01B0A">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756"/>
    <w:p w14:paraId="387428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第3种方式：其他价格调整方式：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2E067DFB">
      <w:pPr>
        <w:pStyle w:val="7"/>
        <w:spacing w:before="0" w:beforeAutospacing="0" w:after="0" w:afterAutospacing="0" w:line="360" w:lineRule="auto"/>
        <w:ind w:firstLine="422" w:firstLineChars="200"/>
        <w:rPr>
          <w:color w:val="auto"/>
          <w:sz w:val="21"/>
          <w:szCs w:val="21"/>
          <w:highlight w:val="none"/>
        </w:rPr>
      </w:pPr>
      <w:bookmarkStart w:id="1774" w:name="_Toc532377380"/>
      <w:bookmarkStart w:id="1775" w:name="_Toc532375644"/>
      <w:bookmarkStart w:id="1776" w:name="_Hlk528928232"/>
      <w:r>
        <w:rPr>
          <w:rFonts w:hint="eastAsia"/>
          <w:color w:val="auto"/>
          <w:sz w:val="21"/>
          <w:szCs w:val="21"/>
          <w:highlight w:val="none"/>
        </w:rPr>
        <w:t>11.2 法律变化引起的调整</w:t>
      </w:r>
      <w:bookmarkEnd w:id="1774"/>
      <w:bookmarkEnd w:id="1775"/>
    </w:p>
    <w:p w14:paraId="313578F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4889BDB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本条补充11.3款</w:t>
      </w:r>
    </w:p>
    <w:bookmarkEnd w:id="1776"/>
    <w:p w14:paraId="25C3AD60">
      <w:pPr>
        <w:pStyle w:val="7"/>
        <w:spacing w:before="0" w:beforeAutospacing="0" w:after="0" w:afterAutospacing="0" w:line="360" w:lineRule="auto"/>
        <w:ind w:firstLine="422" w:firstLineChars="200"/>
        <w:rPr>
          <w:color w:val="auto"/>
          <w:sz w:val="21"/>
          <w:szCs w:val="21"/>
          <w:highlight w:val="none"/>
        </w:rPr>
      </w:pPr>
      <w:bookmarkStart w:id="1777" w:name="_Toc532377381"/>
      <w:bookmarkStart w:id="1778" w:name="_Toc532375645"/>
      <w:r>
        <w:rPr>
          <w:rFonts w:hint="eastAsia"/>
          <w:color w:val="auto"/>
          <w:sz w:val="21"/>
          <w:szCs w:val="21"/>
          <w:highlight w:val="none"/>
        </w:rPr>
        <w:t>11.3 严重不平衡报价引起的调整</w:t>
      </w:r>
      <w:bookmarkEnd w:id="1777"/>
      <w:bookmarkEnd w:id="1778"/>
    </w:p>
    <w:p w14:paraId="0711FF0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color w:val="auto"/>
          <w:szCs w:val="21"/>
          <w:highlight w:val="none"/>
        </w:rPr>
        <w:t>。</w:t>
      </w:r>
    </w:p>
    <w:p w14:paraId="5D91FDB3">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color w:val="auto"/>
          <w:szCs w:val="21"/>
          <w:highlight w:val="none"/>
        </w:rPr>
        <w:t>。</w:t>
      </w:r>
    </w:p>
    <w:p w14:paraId="284C00AD">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779" w:name="_Toc532377382"/>
      <w:bookmarkStart w:id="1780" w:name="_Toc532375646"/>
      <w:r>
        <w:rPr>
          <w:rFonts w:hint="eastAsia"/>
          <w:color w:val="auto"/>
          <w:kern w:val="2"/>
          <w:sz w:val="21"/>
          <w:szCs w:val="21"/>
          <w:highlight w:val="none"/>
        </w:rPr>
        <w:t xml:space="preserve">12. </w:t>
      </w:r>
      <w:bookmarkEnd w:id="1757"/>
      <w:bookmarkEnd w:id="1758"/>
      <w:bookmarkEnd w:id="1759"/>
      <w:bookmarkEnd w:id="1760"/>
      <w:bookmarkEnd w:id="1761"/>
      <w:bookmarkEnd w:id="1762"/>
      <w:bookmarkEnd w:id="1763"/>
      <w:bookmarkEnd w:id="1764"/>
      <w:bookmarkEnd w:id="1765"/>
      <w:bookmarkEnd w:id="1766"/>
      <w:r>
        <w:rPr>
          <w:rFonts w:hint="eastAsia"/>
          <w:color w:val="auto"/>
          <w:kern w:val="2"/>
          <w:sz w:val="21"/>
          <w:szCs w:val="21"/>
          <w:highlight w:val="none"/>
        </w:rPr>
        <w:t>合同价格、计量与支付</w:t>
      </w:r>
      <w:bookmarkEnd w:id="1767"/>
      <w:bookmarkEnd w:id="1779"/>
      <w:bookmarkEnd w:id="1780"/>
    </w:p>
    <w:bookmarkEnd w:id="1768"/>
    <w:bookmarkEnd w:id="1769"/>
    <w:bookmarkEnd w:id="1770"/>
    <w:bookmarkEnd w:id="1771"/>
    <w:bookmarkEnd w:id="1772"/>
    <w:bookmarkEnd w:id="1773"/>
    <w:p w14:paraId="60F1E710">
      <w:pPr>
        <w:pStyle w:val="7"/>
        <w:spacing w:before="0" w:beforeAutospacing="0" w:after="0" w:afterAutospacing="0" w:line="360" w:lineRule="auto"/>
        <w:ind w:firstLine="422" w:firstLineChars="200"/>
        <w:rPr>
          <w:color w:val="auto"/>
          <w:sz w:val="21"/>
          <w:szCs w:val="21"/>
          <w:highlight w:val="none"/>
        </w:rPr>
      </w:pPr>
      <w:bookmarkStart w:id="1781" w:name="_Toc267251461"/>
      <w:bookmarkStart w:id="1782" w:name="_Toc292559411"/>
      <w:bookmarkStart w:id="1783" w:name="_Toc292559916"/>
      <w:bookmarkStart w:id="1784" w:name="_Toc296891034"/>
      <w:bookmarkStart w:id="1785" w:name="_Toc297048392"/>
      <w:bookmarkStart w:id="1786" w:name="_Toc296944545"/>
      <w:bookmarkStart w:id="1787" w:name="_Toc296347205"/>
      <w:bookmarkStart w:id="1788" w:name="_Toc296503206"/>
      <w:bookmarkStart w:id="1789" w:name="_Toc296891246"/>
      <w:bookmarkStart w:id="1790" w:name="_Toc296346707"/>
      <w:bookmarkStart w:id="1791" w:name="_Toc297120506"/>
      <w:bookmarkStart w:id="1792" w:name="_Toc532377383"/>
      <w:bookmarkStart w:id="1793" w:name="_Toc532375647"/>
      <w:bookmarkStart w:id="1794" w:name="_Toc297123553"/>
      <w:bookmarkStart w:id="1795" w:name="_Toc312678041"/>
      <w:bookmarkStart w:id="1796" w:name="_Toc300935003"/>
      <w:bookmarkStart w:id="1797" w:name="_Toc303539160"/>
      <w:bookmarkStart w:id="1798" w:name="_Toc297216212"/>
      <w:bookmarkStart w:id="1799" w:name="_Toc304295580"/>
      <w:r>
        <w:rPr>
          <w:rFonts w:hint="eastAsia"/>
          <w:color w:val="auto"/>
          <w:sz w:val="21"/>
          <w:szCs w:val="21"/>
          <w:highlight w:val="none"/>
        </w:rPr>
        <w:t>12.1 合</w:t>
      </w:r>
      <w:bookmarkEnd w:id="1781"/>
      <w:bookmarkEnd w:id="1782"/>
      <w:bookmarkEnd w:id="1783"/>
      <w:r>
        <w:rPr>
          <w:rFonts w:hint="eastAsia"/>
          <w:color w:val="auto"/>
          <w:sz w:val="21"/>
          <w:szCs w:val="21"/>
          <w:highlight w:val="none"/>
        </w:rPr>
        <w:t>同价</w:t>
      </w:r>
      <w:bookmarkEnd w:id="1784"/>
      <w:bookmarkEnd w:id="1785"/>
      <w:bookmarkEnd w:id="1786"/>
      <w:bookmarkEnd w:id="1787"/>
      <w:bookmarkEnd w:id="1788"/>
      <w:bookmarkEnd w:id="1789"/>
      <w:bookmarkEnd w:id="1790"/>
      <w:bookmarkEnd w:id="1791"/>
      <w:r>
        <w:rPr>
          <w:rFonts w:hint="eastAsia"/>
          <w:color w:val="auto"/>
          <w:sz w:val="21"/>
          <w:szCs w:val="21"/>
          <w:highlight w:val="none"/>
        </w:rPr>
        <w:t>格形式</w:t>
      </w:r>
      <w:bookmarkEnd w:id="1792"/>
      <w:bookmarkEnd w:id="1793"/>
    </w:p>
    <w:bookmarkEnd w:id="1794"/>
    <w:bookmarkEnd w:id="1795"/>
    <w:bookmarkEnd w:id="1796"/>
    <w:bookmarkEnd w:id="1797"/>
    <w:bookmarkEnd w:id="1798"/>
    <w:bookmarkEnd w:id="1799"/>
    <w:p w14:paraId="5D0BEB9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w:t>
      </w:r>
    </w:p>
    <w:p w14:paraId="7048894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800" w:name="_Hlk528508096"/>
      <w:r>
        <w:rPr>
          <w:rFonts w:hint="eastAsia" w:ascii="宋体" w:hAnsi="宋体"/>
          <w:color w:val="auto"/>
          <w:szCs w:val="21"/>
          <w:highlight w:val="none"/>
          <w:u w:val="single"/>
        </w:rPr>
        <w:t>第11.1款〔市场价格波动引起的调整〕约定范围内的市场价格波动风险、政策性文件规定的各项应有费用、</w:t>
      </w:r>
      <w:bookmarkEnd w:id="1800"/>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文件和合同明示或暗示的应由承包人承担的所有责任、义务和风险等所需的费用</w:t>
      </w:r>
      <w:r>
        <w:rPr>
          <w:rFonts w:hint="eastAsia" w:ascii="宋体" w:hAnsi="宋体"/>
          <w:color w:val="auto"/>
          <w:szCs w:val="21"/>
          <w:highlight w:val="none"/>
        </w:rPr>
        <w:t>。</w:t>
      </w:r>
    </w:p>
    <w:p w14:paraId="258932C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28A484A3">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2F67A6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w:t>
      </w:r>
    </w:p>
    <w:p w14:paraId="2B222E6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文件和合同明示或暗示的应由承包人承担的所有责任、义务和风险等所需的费用</w:t>
      </w:r>
      <w:r>
        <w:rPr>
          <w:rFonts w:hint="eastAsia" w:ascii="宋体" w:hAnsi="宋体"/>
          <w:color w:val="auto"/>
          <w:szCs w:val="21"/>
          <w:highlight w:val="none"/>
        </w:rPr>
        <w:t>。</w:t>
      </w:r>
    </w:p>
    <w:p w14:paraId="1B39102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329ABB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669F0E8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61CCF49C">
      <w:pPr>
        <w:pStyle w:val="7"/>
        <w:spacing w:before="0" w:beforeAutospacing="0" w:after="0" w:afterAutospacing="0" w:line="360" w:lineRule="auto"/>
        <w:ind w:firstLine="422" w:firstLineChars="200"/>
        <w:rPr>
          <w:color w:val="auto"/>
          <w:sz w:val="21"/>
          <w:szCs w:val="21"/>
          <w:highlight w:val="none"/>
        </w:rPr>
      </w:pPr>
      <w:bookmarkStart w:id="1801" w:name="_Toc532377384"/>
      <w:bookmarkStart w:id="1802" w:name="_Toc532375648"/>
      <w:bookmarkStart w:id="1803" w:name="_Toc292559412"/>
      <w:bookmarkStart w:id="1804" w:name="_Toc304295581"/>
      <w:bookmarkStart w:id="1805" w:name="_Toc296503207"/>
      <w:bookmarkStart w:id="1806" w:name="_Toc312678042"/>
      <w:bookmarkStart w:id="1807" w:name="_Toc292559917"/>
      <w:bookmarkStart w:id="1808" w:name="_Toc296944546"/>
      <w:bookmarkStart w:id="1809" w:name="_Toc296891247"/>
      <w:bookmarkStart w:id="1810" w:name="_Toc297048393"/>
      <w:bookmarkStart w:id="1811" w:name="_Toc297123554"/>
      <w:bookmarkStart w:id="1812" w:name="_Toc297120507"/>
      <w:bookmarkStart w:id="1813" w:name="_Toc297216213"/>
      <w:bookmarkStart w:id="1814" w:name="_Toc296346708"/>
      <w:bookmarkStart w:id="1815" w:name="_Toc300935004"/>
      <w:bookmarkStart w:id="1816" w:name="_Toc296347206"/>
      <w:bookmarkStart w:id="1817" w:name="_Toc303539161"/>
      <w:bookmarkStart w:id="1818" w:name="_Toc296891035"/>
      <w:r>
        <w:rPr>
          <w:rFonts w:hint="eastAsia"/>
          <w:color w:val="auto"/>
          <w:sz w:val="21"/>
          <w:szCs w:val="21"/>
          <w:highlight w:val="none"/>
        </w:rPr>
        <w:t>12.2 预付款</w:t>
      </w:r>
      <w:bookmarkEnd w:id="1801"/>
      <w:bookmarkEnd w:id="1802"/>
    </w:p>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 w14:paraId="31E33D25">
      <w:pPr>
        <w:spacing w:line="360" w:lineRule="auto"/>
        <w:ind w:firstLine="420" w:firstLineChars="200"/>
        <w:jc w:val="left"/>
        <w:rPr>
          <w:rFonts w:hint="eastAsia" w:ascii="宋体" w:hAnsi="宋体"/>
          <w:color w:val="auto"/>
          <w:szCs w:val="21"/>
          <w:highlight w:val="none"/>
        </w:rPr>
      </w:pPr>
      <w:bookmarkStart w:id="1819" w:name="_Toc532377385"/>
      <w:bookmarkStart w:id="1820" w:name="_Toc532375649"/>
      <w:r>
        <w:rPr>
          <w:rFonts w:hint="eastAsia" w:ascii="宋体" w:hAnsi="宋体"/>
          <w:color w:val="auto"/>
          <w:szCs w:val="21"/>
          <w:highlight w:val="none"/>
          <w:lang w:val="en-US" w:eastAsia="zh-CN"/>
        </w:rPr>
        <w:t>12.2.1 预付款的支付：</w:t>
      </w:r>
      <w:r>
        <w:rPr>
          <w:rFonts w:hint="eastAsia" w:ascii="宋体" w:hAnsi="宋体"/>
          <w:color w:val="auto"/>
          <w:szCs w:val="21"/>
          <w:highlight w:val="none"/>
          <w:u w:val="single"/>
          <w:lang w:val="en-US" w:eastAsia="zh-CN"/>
        </w:rPr>
        <w:t>不采用</w:t>
      </w:r>
      <w:r>
        <w:rPr>
          <w:rFonts w:hint="eastAsia" w:ascii="宋体" w:hAnsi="宋体"/>
          <w:color w:val="auto"/>
          <w:szCs w:val="21"/>
          <w:highlight w:val="none"/>
          <w:lang w:val="en-US" w:eastAsia="zh-CN"/>
        </w:rPr>
        <w:t xml:space="preserve">。 </w:t>
      </w:r>
    </w:p>
    <w:p w14:paraId="0D688B1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12.2.2 预付款担保：</w:t>
      </w:r>
      <w:r>
        <w:rPr>
          <w:rFonts w:hint="eastAsia" w:ascii="宋体" w:hAnsi="宋体"/>
          <w:color w:val="auto"/>
          <w:szCs w:val="21"/>
          <w:highlight w:val="none"/>
          <w:u w:val="single"/>
          <w:lang w:val="en-US" w:eastAsia="zh-CN"/>
        </w:rPr>
        <w:t>不提供</w:t>
      </w:r>
      <w:r>
        <w:rPr>
          <w:rFonts w:hint="eastAsia" w:ascii="宋体" w:hAnsi="宋体"/>
          <w:color w:val="auto"/>
          <w:szCs w:val="21"/>
          <w:highlight w:val="none"/>
          <w:lang w:val="en-US" w:eastAsia="zh-CN"/>
        </w:rPr>
        <w:t xml:space="preserve">。 </w:t>
      </w:r>
    </w:p>
    <w:p w14:paraId="40BF705E">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12.3 计量</w:t>
      </w:r>
      <w:bookmarkEnd w:id="1819"/>
      <w:bookmarkEnd w:id="1820"/>
    </w:p>
    <w:p w14:paraId="0ACE1C35">
      <w:pPr>
        <w:spacing w:line="360" w:lineRule="auto"/>
        <w:ind w:firstLine="420" w:firstLineChars="200"/>
        <w:jc w:val="left"/>
        <w:rPr>
          <w:rFonts w:ascii="宋体" w:hAnsi="宋体"/>
          <w:color w:val="auto"/>
          <w:szCs w:val="21"/>
          <w:highlight w:val="none"/>
        </w:rPr>
      </w:pPr>
      <w:bookmarkStart w:id="1821" w:name="_Hlk528928260"/>
      <w:r>
        <w:rPr>
          <w:rFonts w:hint="eastAsia" w:ascii="宋体" w:hAnsi="宋体"/>
          <w:color w:val="auto"/>
          <w:szCs w:val="21"/>
          <w:highlight w:val="none"/>
        </w:rPr>
        <w:t>12.3.1 计量原则</w:t>
      </w:r>
    </w:p>
    <w:p w14:paraId="51E9C308">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821"/>
    <w:p w14:paraId="759932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14:paraId="2A1C00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olor w:val="auto"/>
          <w:szCs w:val="21"/>
          <w:highlight w:val="none"/>
        </w:rPr>
        <w:t>。</w:t>
      </w:r>
    </w:p>
    <w:p w14:paraId="393E75E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14:paraId="3E7831E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关于单价合同计量的约定：</w:t>
      </w:r>
    </w:p>
    <w:p w14:paraId="3535A948">
      <w:pPr>
        <w:spacing w:line="360" w:lineRule="auto"/>
        <w:ind w:firstLine="420" w:firstLineChars="200"/>
        <w:jc w:val="left"/>
        <w:rPr>
          <w:rFonts w:ascii="宋体" w:hAnsi="宋体"/>
          <w:color w:val="auto"/>
          <w:szCs w:val="21"/>
          <w:highlight w:val="none"/>
          <w:u w:val="single"/>
        </w:rPr>
      </w:pPr>
      <w:bookmarkStart w:id="1822" w:name="_Hlk528926162"/>
      <w:r>
        <w:rPr>
          <w:rFonts w:hint="eastAsia" w:ascii="宋体" w:hAnsi="宋体"/>
          <w:color w:val="auto"/>
          <w:szCs w:val="21"/>
          <w:highlight w:val="none"/>
          <w:u w:val="single"/>
        </w:rPr>
        <w:t>（1）承包人应于当月  日前向监理人报送上月已完成的工程量，并附进度付款申请单、已完成工程量报表和其他有关资料</w:t>
      </w:r>
      <w:r>
        <w:rPr>
          <w:rFonts w:hint="eastAsia" w:ascii="宋体" w:hAnsi="宋体"/>
          <w:color w:val="auto"/>
          <w:szCs w:val="21"/>
          <w:highlight w:val="none"/>
        </w:rPr>
        <w:t>。</w:t>
      </w:r>
    </w:p>
    <w:bookmarkEnd w:id="1822"/>
    <w:p w14:paraId="224F8113">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highlight w:val="none"/>
        </w:rPr>
        <w:t>。</w:t>
      </w:r>
    </w:p>
    <w:p w14:paraId="4A17F5E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highlight w:val="none"/>
        </w:rPr>
        <w:t>。</w:t>
      </w:r>
    </w:p>
    <w:p w14:paraId="1DEF5AB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highlight w:val="none"/>
        </w:rPr>
        <w:t>。</w:t>
      </w:r>
    </w:p>
    <w:p w14:paraId="2D7A5B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14:paraId="4F1DA4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按形象进度比例支付</w:t>
      </w:r>
      <w:r>
        <w:rPr>
          <w:rFonts w:hint="eastAsia" w:ascii="宋体" w:hAnsi="宋体"/>
          <w:color w:val="auto"/>
          <w:szCs w:val="21"/>
          <w:highlight w:val="none"/>
        </w:rPr>
        <w:t>。</w:t>
      </w:r>
    </w:p>
    <w:p w14:paraId="528D42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12.3.5总价合同采用支付分解表计量支付的，是否适用第12.3.4项〔总价合同的计量〕约定进行计量：</w:t>
      </w:r>
      <w:r>
        <w:rPr>
          <w:rFonts w:hint="eastAsia" w:ascii="宋体" w:hAnsi="宋体"/>
          <w:color w:val="auto"/>
          <w:szCs w:val="21"/>
          <w:highlight w:val="none"/>
          <w:u w:val="single"/>
        </w:rPr>
        <w:t>适用</w:t>
      </w:r>
      <w:r>
        <w:rPr>
          <w:rFonts w:hint="eastAsia" w:ascii="宋体" w:hAnsi="宋体"/>
          <w:color w:val="auto"/>
          <w:szCs w:val="21"/>
          <w:highlight w:val="none"/>
        </w:rPr>
        <w:t>。</w:t>
      </w:r>
    </w:p>
    <w:p w14:paraId="038D30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14:paraId="7D0151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1A7C69C9">
      <w:pPr>
        <w:pStyle w:val="7"/>
        <w:spacing w:before="0" w:beforeAutospacing="0" w:after="0" w:afterAutospacing="0" w:line="360" w:lineRule="auto"/>
        <w:ind w:firstLine="422" w:firstLineChars="200"/>
        <w:rPr>
          <w:rFonts w:hint="eastAsia"/>
          <w:color w:val="auto"/>
          <w:sz w:val="21"/>
          <w:szCs w:val="21"/>
          <w:highlight w:val="none"/>
        </w:rPr>
      </w:pPr>
      <w:bookmarkStart w:id="1823" w:name="_Toc532375650"/>
      <w:bookmarkStart w:id="1824" w:name="_Toc532377386"/>
      <w:bookmarkStart w:id="1825" w:name="_Hlk528928289"/>
      <w:r>
        <w:rPr>
          <w:rFonts w:hint="eastAsia"/>
          <w:color w:val="auto"/>
          <w:sz w:val="21"/>
          <w:szCs w:val="21"/>
          <w:highlight w:val="none"/>
        </w:rPr>
        <w:t>12.4 工程进度款支付</w:t>
      </w:r>
      <w:bookmarkEnd w:id="1823"/>
      <w:bookmarkEnd w:id="1824"/>
    </w:p>
    <w:bookmarkEnd w:id="1825"/>
    <w:p w14:paraId="06406B2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14:paraId="510DCB7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关于付款周期的约定：</w:t>
      </w:r>
      <w:r>
        <w:rPr>
          <w:rFonts w:hint="eastAsia" w:ascii="宋体" w:hAnsi="宋体"/>
          <w:color w:val="auto"/>
          <w:szCs w:val="21"/>
          <w:highlight w:val="none"/>
          <w:u w:val="single"/>
        </w:rPr>
        <w:t>按月计量支付进度款（按进度、按节点计量支付进度款的参考按月计量支付进度款原则执行）</w:t>
      </w:r>
      <w:r>
        <w:rPr>
          <w:rFonts w:hint="eastAsia" w:ascii="宋体" w:hAnsi="宋体"/>
          <w:color w:val="auto"/>
          <w:szCs w:val="21"/>
          <w:highlight w:val="none"/>
        </w:rPr>
        <w:t>。</w:t>
      </w:r>
    </w:p>
    <w:p w14:paraId="1DB0BF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14:paraId="3009991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进度付款申请单应包括下列内容：</w:t>
      </w:r>
    </w:p>
    <w:p w14:paraId="4EDC922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（1）截至本次付款周期已完成工作对应的金额</w:t>
      </w:r>
      <w:r>
        <w:rPr>
          <w:rFonts w:hint="eastAsia" w:ascii="宋体" w:hAnsi="宋体"/>
          <w:color w:val="auto"/>
          <w:szCs w:val="21"/>
          <w:highlight w:val="none"/>
        </w:rPr>
        <w:t>；</w:t>
      </w:r>
    </w:p>
    <w:p w14:paraId="6A5A7C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（2）根据第10条〔变更〕应增加和扣减的已审定变更金额</w:t>
      </w:r>
      <w:r>
        <w:rPr>
          <w:rFonts w:hint="eastAsia" w:ascii="宋体" w:hAnsi="宋体"/>
          <w:color w:val="auto"/>
          <w:szCs w:val="21"/>
          <w:highlight w:val="none"/>
        </w:rPr>
        <w:t>；</w:t>
      </w:r>
    </w:p>
    <w:p w14:paraId="56820F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（3）根据第12.2款〔预付款〕约定应支付的预付款和扣减的返还预付款</w:t>
      </w:r>
      <w:r>
        <w:rPr>
          <w:rFonts w:hint="eastAsia" w:ascii="宋体" w:hAnsi="宋体"/>
          <w:color w:val="auto"/>
          <w:szCs w:val="21"/>
          <w:highlight w:val="none"/>
        </w:rPr>
        <w:t>；</w:t>
      </w:r>
    </w:p>
    <w:p w14:paraId="38CEBD4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（4）根据第15.3款〔质量保证金〕约定应扣减的质量保证金</w:t>
      </w:r>
      <w:r>
        <w:rPr>
          <w:rFonts w:hint="eastAsia" w:ascii="宋体" w:hAnsi="宋体"/>
          <w:color w:val="auto"/>
          <w:szCs w:val="21"/>
          <w:highlight w:val="none"/>
        </w:rPr>
        <w:t>；</w:t>
      </w:r>
    </w:p>
    <w:p w14:paraId="58015C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（5）根据第19条〔索赔〕应增加和扣减的已审定索赔金额</w:t>
      </w:r>
      <w:r>
        <w:rPr>
          <w:rFonts w:hint="eastAsia" w:ascii="宋体" w:hAnsi="宋体"/>
          <w:color w:val="auto"/>
          <w:szCs w:val="21"/>
          <w:highlight w:val="none"/>
        </w:rPr>
        <w:t>；</w:t>
      </w:r>
    </w:p>
    <w:p w14:paraId="07C083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（6）根据第11条〔价格调整〕应增加和扣减的价格调整金额</w:t>
      </w:r>
      <w:r>
        <w:rPr>
          <w:rFonts w:hint="eastAsia" w:ascii="宋体" w:hAnsi="宋体"/>
          <w:color w:val="auto"/>
          <w:szCs w:val="21"/>
          <w:highlight w:val="none"/>
        </w:rPr>
        <w:t>；</w:t>
      </w:r>
    </w:p>
    <w:p w14:paraId="1B00EA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（7）对已签发的进度款支付证书中出现错误的修正，应在本次进度付款中支付或扣除的金额</w:t>
      </w:r>
      <w:r>
        <w:rPr>
          <w:rFonts w:hint="eastAsia" w:ascii="宋体" w:hAnsi="宋体"/>
          <w:color w:val="auto"/>
          <w:szCs w:val="21"/>
          <w:highlight w:val="none"/>
        </w:rPr>
        <w:t>；</w:t>
      </w:r>
    </w:p>
    <w:p w14:paraId="356AFF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（8）根据合同约定承包人应向发包人支付的违约金</w:t>
      </w:r>
      <w:r>
        <w:rPr>
          <w:rFonts w:hint="eastAsia" w:ascii="宋体" w:hAnsi="宋体"/>
          <w:color w:val="auto"/>
          <w:szCs w:val="21"/>
          <w:highlight w:val="none"/>
        </w:rPr>
        <w:t>；</w:t>
      </w:r>
    </w:p>
    <w:p w14:paraId="453FF3A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（9）根据合同约定发包人应向承包人支付的违约金和（或）奖励</w:t>
      </w:r>
      <w:r>
        <w:rPr>
          <w:rFonts w:hint="eastAsia" w:ascii="宋体" w:hAnsi="宋体"/>
          <w:color w:val="auto"/>
          <w:szCs w:val="21"/>
          <w:highlight w:val="none"/>
        </w:rPr>
        <w:t>；</w:t>
      </w:r>
    </w:p>
    <w:p w14:paraId="1C95A94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（10）根据合同约定应增加和扣减的其他金额</w:t>
      </w:r>
      <w:r>
        <w:rPr>
          <w:rFonts w:hint="eastAsia" w:ascii="宋体" w:hAnsi="宋体"/>
          <w:color w:val="auto"/>
          <w:szCs w:val="21"/>
          <w:highlight w:val="none"/>
        </w:rPr>
        <w:t>；</w:t>
      </w:r>
    </w:p>
    <w:p w14:paraId="58F690A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（11）当月应支付的人工费（工资款）金额</w:t>
      </w:r>
      <w:r>
        <w:rPr>
          <w:rFonts w:hint="eastAsia" w:ascii="宋体" w:hAnsi="宋体"/>
          <w:color w:val="auto"/>
          <w:szCs w:val="21"/>
          <w:highlight w:val="none"/>
        </w:rPr>
        <w:t>。</w:t>
      </w:r>
    </w:p>
    <w:p w14:paraId="2B4EE1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14:paraId="761EC2E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auto"/>
          <w:szCs w:val="21"/>
          <w:highlight w:val="none"/>
        </w:rPr>
        <w:t>。</w:t>
      </w:r>
    </w:p>
    <w:p w14:paraId="0FD99B1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color w:val="auto"/>
          <w:szCs w:val="21"/>
          <w:highlight w:val="none"/>
        </w:rPr>
        <w:t>。</w:t>
      </w:r>
    </w:p>
    <w:p w14:paraId="47BC22C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2E2775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14:paraId="62E7655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收到完整资料后7天内</w:t>
      </w:r>
      <w:r>
        <w:rPr>
          <w:rFonts w:hint="eastAsia" w:ascii="宋体" w:hAnsi="宋体"/>
          <w:color w:val="auto"/>
          <w:szCs w:val="21"/>
          <w:highlight w:val="none"/>
        </w:rPr>
        <w:t>。</w:t>
      </w:r>
    </w:p>
    <w:p w14:paraId="6C40924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发包人收到监理人报送资料后7天内完成审批并签发进度款支付证书</w:t>
      </w:r>
      <w:r>
        <w:rPr>
          <w:rFonts w:hint="eastAsia" w:ascii="宋体" w:hAnsi="宋体"/>
          <w:color w:val="auto"/>
          <w:szCs w:val="21"/>
          <w:highlight w:val="none"/>
        </w:rPr>
        <w:t>。</w:t>
      </w:r>
    </w:p>
    <w:p w14:paraId="4EC2FA3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15DD944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发包人签发进度款支付证书或临时进度款支付证书，不表明发包人已同意、批准或接受了承包人完成的相应部分的工作。</w:t>
      </w:r>
    </w:p>
    <w:p w14:paraId="74824A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（2）进度款支付：</w:t>
      </w:r>
    </w:p>
    <w:p w14:paraId="7FA93EED">
      <w:pPr>
        <w:spacing w:line="360" w:lineRule="auto"/>
        <w:ind w:firstLine="420" w:firstLineChars="200"/>
        <w:jc w:val="left"/>
        <w:rPr>
          <w:rFonts w:hint="eastAsia" w:ascii="宋体" w:hAnsi="宋体" w:cs="Times New Roman"/>
          <w:color w:val="auto"/>
          <w:szCs w:val="21"/>
          <w:highlight w:val="none"/>
          <w:u w:val="single"/>
        </w:rPr>
      </w:pPr>
      <w:r>
        <w:rPr>
          <w:rFonts w:hint="eastAsia" w:ascii="宋体" w:hAnsi="宋体" w:cs="Times New Roman"/>
          <w:color w:val="auto"/>
          <w:szCs w:val="21"/>
          <w:highlight w:val="none"/>
          <w:u w:val="single"/>
          <w:lang w:eastAsia="zh-CN"/>
        </w:rPr>
        <w:t>竣工验收合格后付至合同金额的70%；审计完成后付至审定金额的97%。剩余价款在工程质保期结束后一次性支付（质保期两年，质保金不计息），若未能按期支付工程款，到期应付而未付部分按中国人民银行同期贷款基准利率计息。</w:t>
      </w:r>
    </w:p>
    <w:p w14:paraId="68B5733E">
      <w:pPr>
        <w:pStyle w:val="7"/>
        <w:spacing w:before="0" w:beforeAutospacing="0" w:after="0" w:afterAutospacing="0" w:line="360" w:lineRule="auto"/>
        <w:ind w:firstLine="422" w:firstLineChars="200"/>
        <w:rPr>
          <w:color w:val="auto"/>
          <w:sz w:val="21"/>
          <w:szCs w:val="21"/>
          <w:highlight w:val="none"/>
        </w:rPr>
      </w:pPr>
      <w:bookmarkStart w:id="1826" w:name="_Toc351203585"/>
      <w:bookmarkStart w:id="1827" w:name="_Toc532377387"/>
      <w:r>
        <w:rPr>
          <w:rFonts w:hint="eastAsia"/>
          <w:color w:val="auto"/>
          <w:sz w:val="21"/>
          <w:szCs w:val="21"/>
          <w:highlight w:val="none"/>
        </w:rPr>
        <w:t>12.5支付账户</w:t>
      </w:r>
      <w:bookmarkEnd w:id="1826"/>
      <w:bookmarkEnd w:id="1827"/>
    </w:p>
    <w:p w14:paraId="758ED54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发包人应将合同价款支付至如下承包人指定的开户银行及银行账户：</w:t>
      </w:r>
    </w:p>
    <w:p w14:paraId="33C76301">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收款单位名称：</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667A88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收款账号：</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A8077C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收款开户银行：</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C0C60C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发包人应将人工费（工资款）支付至如下承包人指定的农民工工资专用账户：</w:t>
      </w:r>
    </w:p>
    <w:p w14:paraId="50036C4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开户银行：</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0B8CFF8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农民工工资专用账户名称：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031E15F6">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农民工工资专用账户账号：</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7CA856A5">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828" w:name="_Toc351203645"/>
      <w:bookmarkStart w:id="1829" w:name="_Toc532377388"/>
      <w:bookmarkStart w:id="1830" w:name="_Toc532375651"/>
      <w:bookmarkStart w:id="1831" w:name="_Toc297216223"/>
      <w:bookmarkStart w:id="1832" w:name="_Toc303539172"/>
      <w:bookmarkStart w:id="1833" w:name="_Toc296891047"/>
      <w:bookmarkStart w:id="1834" w:name="_Toc292559424"/>
      <w:bookmarkStart w:id="1835" w:name="_Toc296346720"/>
      <w:bookmarkStart w:id="1836" w:name="_Toc296944558"/>
      <w:bookmarkStart w:id="1837" w:name="_Toc296891259"/>
      <w:bookmarkStart w:id="1838" w:name="_Toc297123564"/>
      <w:bookmarkStart w:id="1839" w:name="_Toc312678053"/>
      <w:bookmarkStart w:id="1840" w:name="_Toc296503219"/>
      <w:bookmarkStart w:id="1841" w:name="_Toc292559929"/>
      <w:bookmarkStart w:id="1842" w:name="_Toc297048405"/>
      <w:bookmarkStart w:id="1843" w:name="_Toc300935015"/>
      <w:bookmarkStart w:id="1844" w:name="_Toc296347218"/>
      <w:bookmarkStart w:id="1845" w:name="_Toc304295593"/>
      <w:bookmarkStart w:id="1846" w:name="_Toc297120519"/>
      <w:r>
        <w:rPr>
          <w:rFonts w:hint="eastAsia"/>
          <w:color w:val="auto"/>
          <w:kern w:val="2"/>
          <w:sz w:val="21"/>
          <w:szCs w:val="21"/>
          <w:highlight w:val="none"/>
        </w:rPr>
        <w:t>13. 验收和工程试车</w:t>
      </w:r>
      <w:bookmarkEnd w:id="1828"/>
      <w:bookmarkEnd w:id="1829"/>
      <w:bookmarkEnd w:id="1830"/>
    </w:p>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p w14:paraId="3F9ACEB5">
      <w:pPr>
        <w:pStyle w:val="7"/>
        <w:spacing w:before="0" w:beforeAutospacing="0" w:after="0" w:afterAutospacing="0" w:line="360" w:lineRule="auto"/>
        <w:ind w:firstLine="422" w:firstLineChars="200"/>
        <w:rPr>
          <w:color w:val="auto"/>
          <w:sz w:val="21"/>
          <w:szCs w:val="21"/>
          <w:highlight w:val="none"/>
        </w:rPr>
      </w:pPr>
      <w:bookmarkStart w:id="1847" w:name="_Toc532377389"/>
      <w:bookmarkStart w:id="1848" w:name="_Toc532375652"/>
      <w:bookmarkStart w:id="1849" w:name="_Toc280868704"/>
      <w:bookmarkStart w:id="1850" w:name="_Toc280868705"/>
      <w:bookmarkStart w:id="1851" w:name="_Toc280868706"/>
      <w:bookmarkStart w:id="1852" w:name="_Toc280868707"/>
      <w:bookmarkStart w:id="1853" w:name="_Toc280868708"/>
      <w:bookmarkStart w:id="1854" w:name="_Toc267251475"/>
      <w:bookmarkStart w:id="1855" w:name="_Toc267251473"/>
      <w:bookmarkStart w:id="1856" w:name="_Toc267251470"/>
      <w:bookmarkStart w:id="1857" w:name="_Toc267251476"/>
      <w:bookmarkStart w:id="1858" w:name="_Toc267251472"/>
      <w:bookmarkStart w:id="1859" w:name="_Toc267251471"/>
      <w:bookmarkStart w:id="1860" w:name="_Toc267251474"/>
      <w:bookmarkStart w:id="1861" w:name="_Toc280868709"/>
      <w:r>
        <w:rPr>
          <w:rFonts w:hint="eastAsia"/>
          <w:color w:val="auto"/>
          <w:sz w:val="21"/>
          <w:szCs w:val="21"/>
          <w:highlight w:val="none"/>
        </w:rPr>
        <w:t>13.1 分部分项工程验收</w:t>
      </w:r>
      <w:bookmarkEnd w:id="1847"/>
      <w:bookmarkEnd w:id="1848"/>
    </w:p>
    <w:p w14:paraId="4BAF6CD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14:paraId="5F8BD1D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14:paraId="2D5A1BAF">
      <w:pPr>
        <w:pStyle w:val="7"/>
        <w:spacing w:before="0" w:beforeAutospacing="0" w:after="0" w:afterAutospacing="0" w:line="360" w:lineRule="auto"/>
        <w:ind w:firstLine="422" w:firstLineChars="200"/>
        <w:rPr>
          <w:color w:val="auto"/>
          <w:sz w:val="21"/>
          <w:szCs w:val="21"/>
          <w:highlight w:val="none"/>
        </w:rPr>
      </w:pPr>
      <w:bookmarkStart w:id="1862" w:name="_Toc532377390"/>
      <w:bookmarkStart w:id="1863" w:name="_Toc532375653"/>
      <w:bookmarkStart w:id="1864" w:name="_Toc296944562"/>
      <w:bookmarkStart w:id="1865" w:name="_Toc292559933"/>
      <w:bookmarkStart w:id="1866" w:name="_Toc303539173"/>
      <w:bookmarkStart w:id="1867" w:name="_Toc297048409"/>
      <w:bookmarkStart w:id="1868" w:name="_Toc292559428"/>
      <w:bookmarkStart w:id="1869" w:name="_Toc300935016"/>
      <w:bookmarkStart w:id="1870" w:name="_Toc297216224"/>
      <w:bookmarkStart w:id="1871" w:name="_Toc296891263"/>
      <w:bookmarkStart w:id="1872" w:name="_Toc297120523"/>
      <w:bookmarkStart w:id="1873" w:name="_Toc296347222"/>
      <w:bookmarkStart w:id="1874" w:name="_Toc312678056"/>
      <w:bookmarkStart w:id="1875" w:name="_Toc296346724"/>
      <w:bookmarkStart w:id="1876" w:name="_Toc297123565"/>
      <w:bookmarkStart w:id="1877" w:name="_Toc296503223"/>
      <w:bookmarkStart w:id="1878" w:name="_Toc304295596"/>
      <w:bookmarkStart w:id="1879" w:name="_Toc296891051"/>
      <w:r>
        <w:rPr>
          <w:rFonts w:hint="eastAsia"/>
          <w:color w:val="auto"/>
          <w:sz w:val="21"/>
          <w:szCs w:val="21"/>
          <w:highlight w:val="none"/>
        </w:rPr>
        <w:t>13.2 竣工验收</w:t>
      </w:r>
      <w:bookmarkEnd w:id="1862"/>
      <w:bookmarkEnd w:id="1863"/>
    </w:p>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p w14:paraId="6179240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1849"/>
    <w:p w14:paraId="7C833D2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14:paraId="67CF86D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14:paraId="2B5C4DF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14:paraId="543455A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（3）已按合同约定的内容和份数备齐竣工资料。</w:t>
      </w:r>
    </w:p>
    <w:p w14:paraId="6B4A088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F3DCF7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工程竣工及竣工资料：</w:t>
      </w:r>
    </w:p>
    <w:p w14:paraId="5E8E089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14:paraId="1270385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14:paraId="2B0F47AC">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rPr>
        <w:t>。</w:t>
      </w:r>
    </w:p>
    <w:bookmarkEnd w:id="1850"/>
    <w:p w14:paraId="2E29B87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1851"/>
    <w:p w14:paraId="6BB3DB7D">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14:paraId="4C0FAA3A">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852"/>
    <w:p w14:paraId="7B5030B8">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14:paraId="2495DD93">
      <w:pPr>
        <w:pStyle w:val="7"/>
        <w:spacing w:before="0" w:beforeAutospacing="0" w:after="0" w:afterAutospacing="0" w:line="360" w:lineRule="auto"/>
        <w:ind w:firstLine="422" w:firstLineChars="200"/>
        <w:rPr>
          <w:color w:val="auto"/>
          <w:sz w:val="21"/>
          <w:szCs w:val="21"/>
          <w:highlight w:val="none"/>
        </w:rPr>
      </w:pPr>
      <w:bookmarkStart w:id="1880" w:name="_Toc532375654"/>
      <w:bookmarkStart w:id="1881" w:name="_Toc532377391"/>
      <w:r>
        <w:rPr>
          <w:rFonts w:hint="eastAsia"/>
          <w:color w:val="auto"/>
          <w:sz w:val="21"/>
          <w:szCs w:val="21"/>
          <w:highlight w:val="none"/>
        </w:rPr>
        <w:t>13.3 工程试车</w:t>
      </w:r>
      <w:bookmarkEnd w:id="1880"/>
      <w:bookmarkEnd w:id="1881"/>
    </w:p>
    <w:p w14:paraId="7F3EB9F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14:paraId="59BD231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3E086BB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729A3EC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175F927B">
      <w:pPr>
        <w:pStyle w:val="7"/>
        <w:spacing w:before="0" w:beforeAutospacing="0" w:after="0" w:afterAutospacing="0" w:line="360" w:lineRule="auto"/>
        <w:ind w:firstLine="422" w:firstLineChars="200"/>
        <w:rPr>
          <w:color w:val="auto"/>
          <w:sz w:val="21"/>
          <w:szCs w:val="21"/>
          <w:highlight w:val="none"/>
        </w:rPr>
      </w:pPr>
      <w:bookmarkStart w:id="1882" w:name="_Toc532375655"/>
      <w:bookmarkStart w:id="1883" w:name="_Toc532377392"/>
      <w:r>
        <w:rPr>
          <w:rFonts w:hint="eastAsia"/>
          <w:color w:val="auto"/>
          <w:sz w:val="21"/>
          <w:szCs w:val="21"/>
          <w:highlight w:val="none"/>
        </w:rPr>
        <w:t>13.6 竣工退场</w:t>
      </w:r>
      <w:bookmarkEnd w:id="1882"/>
      <w:bookmarkEnd w:id="1883"/>
    </w:p>
    <w:p w14:paraId="41221C0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14:paraId="596824D5">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1853"/>
    <w:p w14:paraId="30D9BDA5">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884" w:name="_Toc351203646"/>
      <w:bookmarkStart w:id="1885" w:name="_Toc532377393"/>
      <w:bookmarkStart w:id="1886" w:name="_Toc532375656"/>
      <w:r>
        <w:rPr>
          <w:rFonts w:hint="eastAsia"/>
          <w:color w:val="auto"/>
          <w:kern w:val="2"/>
          <w:sz w:val="21"/>
          <w:szCs w:val="21"/>
          <w:highlight w:val="none"/>
        </w:rPr>
        <w:t>14. 竣工结算</w:t>
      </w:r>
      <w:bookmarkEnd w:id="1884"/>
      <w:bookmarkEnd w:id="1885"/>
      <w:bookmarkEnd w:id="1886"/>
    </w:p>
    <w:p w14:paraId="07956121">
      <w:pPr>
        <w:pStyle w:val="7"/>
        <w:spacing w:before="0" w:beforeAutospacing="0" w:after="0" w:afterAutospacing="0" w:line="360" w:lineRule="auto"/>
        <w:ind w:firstLine="422" w:firstLineChars="200"/>
        <w:rPr>
          <w:color w:val="auto"/>
          <w:sz w:val="21"/>
          <w:szCs w:val="21"/>
          <w:highlight w:val="none"/>
        </w:rPr>
      </w:pPr>
      <w:bookmarkStart w:id="1887" w:name="_Toc532375657"/>
      <w:bookmarkStart w:id="1888" w:name="_Toc532377394"/>
      <w:r>
        <w:rPr>
          <w:rFonts w:hint="eastAsia"/>
          <w:color w:val="auto"/>
          <w:sz w:val="21"/>
          <w:szCs w:val="21"/>
          <w:highlight w:val="none"/>
        </w:rPr>
        <w:t>14.1 竣工结算申请</w:t>
      </w:r>
      <w:bookmarkEnd w:id="1887"/>
      <w:bookmarkEnd w:id="1888"/>
    </w:p>
    <w:p w14:paraId="131363E9">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承包人应在工程竣工验收合格且报送</w:t>
      </w:r>
      <w:r>
        <w:rPr>
          <w:rFonts w:ascii="宋体" w:hAnsi="宋体"/>
          <w:color w:val="auto"/>
          <w:szCs w:val="21"/>
          <w:highlight w:val="none"/>
          <w:u w:val="single"/>
        </w:rPr>
        <w:t>完整工程竣工资料</w:t>
      </w:r>
      <w:r>
        <w:rPr>
          <w:rFonts w:hint="eastAsia" w:ascii="宋体" w:hAnsi="宋体"/>
          <w:color w:val="auto"/>
          <w:szCs w:val="21"/>
          <w:highlight w:val="none"/>
          <w:u w:val="single"/>
        </w:rPr>
        <w:t>之日起28天内向监理人、发包人提交竣工结算申请单，并向发包人报送完整的工程竣工资料及经监理人初审确认的完整的竣工结算资料</w:t>
      </w:r>
      <w:bookmarkStart w:id="1889" w:name="_Hlk524297994"/>
      <w:r>
        <w:rPr>
          <w:rFonts w:hint="eastAsia" w:ascii="宋体" w:hAns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32EEE4F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竣工结算申请单包括但不限于以下内容：</w:t>
      </w:r>
    </w:p>
    <w:p w14:paraId="5AD6962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（1）竣工结算合同价格；</w:t>
      </w:r>
    </w:p>
    <w:p w14:paraId="366FF2B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（2）变更增减金额；</w:t>
      </w:r>
    </w:p>
    <w:p w14:paraId="01EC104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（3）现场签证增减金额；</w:t>
      </w:r>
    </w:p>
    <w:p w14:paraId="2AA8C2D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（4）索赔增减金额；</w:t>
      </w:r>
    </w:p>
    <w:p w14:paraId="2C096D2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（5）奖励、罚金及违约金；</w:t>
      </w:r>
    </w:p>
    <w:p w14:paraId="0D9E93D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（6）发包人已支付承包人的款项；</w:t>
      </w:r>
    </w:p>
    <w:p w14:paraId="0B034FA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（7）应扣留的质量保证金；</w:t>
      </w:r>
    </w:p>
    <w:p w14:paraId="531FADF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（8）发包人应支付承包人的合同价款。</w:t>
      </w:r>
      <w:bookmarkEnd w:id="1889"/>
    </w:p>
    <w:p w14:paraId="77FE484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DECEE6">
      <w:pPr>
        <w:pStyle w:val="7"/>
        <w:spacing w:before="0" w:beforeAutospacing="0" w:after="0" w:afterAutospacing="0" w:line="360" w:lineRule="auto"/>
        <w:ind w:firstLine="422" w:firstLineChars="200"/>
        <w:rPr>
          <w:color w:val="auto"/>
          <w:sz w:val="21"/>
          <w:szCs w:val="21"/>
          <w:highlight w:val="none"/>
        </w:rPr>
      </w:pPr>
      <w:bookmarkStart w:id="1890" w:name="_Toc532377395"/>
      <w:bookmarkStart w:id="1891" w:name="_Toc532375658"/>
      <w:r>
        <w:rPr>
          <w:rFonts w:hint="eastAsia"/>
          <w:color w:val="auto"/>
          <w:sz w:val="21"/>
          <w:szCs w:val="21"/>
          <w:highlight w:val="none"/>
        </w:rPr>
        <w:t>14.2 竣工结算审核</w:t>
      </w:r>
      <w:bookmarkEnd w:id="1890"/>
      <w:bookmarkEnd w:id="1891"/>
    </w:p>
    <w:p w14:paraId="7FE2DCE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 竣工结算办法</w:t>
      </w:r>
    </w:p>
    <w:p w14:paraId="6BA6CC0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14.2.1.1计量原则</w:t>
      </w:r>
    </w:p>
    <w:p w14:paraId="639C4477">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按照第12.3.1项〔计量原则〕约定执行。</w:t>
      </w:r>
    </w:p>
    <w:p w14:paraId="01973FD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14.2.1.2计价原则</w:t>
      </w:r>
    </w:p>
    <w:p w14:paraId="62564BF9">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highlight w:val="none"/>
        </w:rPr>
        <w:t>。</w:t>
      </w:r>
    </w:p>
    <w:p w14:paraId="66D05B9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具体结算办法如下：</w:t>
      </w:r>
    </w:p>
    <w:p w14:paraId="0B90F25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（1）分部分项工程：</w:t>
      </w:r>
    </w:p>
    <w:p w14:paraId="28C086F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highlight w:val="none"/>
        </w:rPr>
        <w:t>；</w:t>
      </w:r>
    </w:p>
    <w:p w14:paraId="6AFC7B0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highlight w:val="none"/>
        </w:rPr>
        <w:t>；</w:t>
      </w:r>
    </w:p>
    <w:p w14:paraId="7F864586">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highlight w:val="none"/>
        </w:rPr>
        <w:t>；</w:t>
      </w:r>
    </w:p>
    <w:p w14:paraId="35B48F8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④合同、已标价工程量清单和</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文件另有约定的，按照其约定执行</w:t>
      </w:r>
      <w:r>
        <w:rPr>
          <w:rFonts w:hint="eastAsia" w:ascii="宋体" w:hAnsi="宋体"/>
          <w:color w:val="auto"/>
          <w:szCs w:val="21"/>
          <w:highlight w:val="none"/>
        </w:rPr>
        <w:t>。</w:t>
      </w:r>
    </w:p>
    <w:p w14:paraId="3986CC79">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（2）措施项目：</w:t>
      </w:r>
    </w:p>
    <w:p w14:paraId="565CE9C3">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highlight w:val="none"/>
        </w:rPr>
        <w:t>。</w:t>
      </w:r>
    </w:p>
    <w:p w14:paraId="4E151B7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②工程变更引起施工方案改变使措施项目发生变化的，经监理人、发包人确定后可对按第10.4.3项约定执行</w:t>
      </w:r>
      <w:r>
        <w:rPr>
          <w:rFonts w:hint="eastAsia" w:ascii="宋体" w:hAnsi="宋体"/>
          <w:color w:val="auto"/>
          <w:szCs w:val="21"/>
          <w:highlight w:val="none"/>
        </w:rPr>
        <w:t>。</w:t>
      </w:r>
    </w:p>
    <w:p w14:paraId="03A8AB39">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highlight w:val="none"/>
        </w:rPr>
        <w:t>。</w:t>
      </w:r>
    </w:p>
    <w:p w14:paraId="34B28D91">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（3）其他项目：</w:t>
      </w:r>
    </w:p>
    <w:p w14:paraId="5A0D068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①材料（工程设备）暂估价：</w:t>
      </w:r>
      <w:r>
        <w:rPr>
          <w:rFonts w:hint="eastAsia" w:ascii="宋体" w:hAnsi="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highlight w:val="none"/>
        </w:rPr>
        <w:t>。</w:t>
      </w:r>
    </w:p>
    <w:p w14:paraId="1635A3D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②专业工程暂估价：</w:t>
      </w:r>
    </w:p>
    <w:p w14:paraId="72641CD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1）对于不属于依法必须</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的暂估价项目：按发包人审定的价格进行结算</w:t>
      </w:r>
      <w:r>
        <w:rPr>
          <w:rFonts w:hint="eastAsia" w:ascii="宋体" w:hAnsi="宋体"/>
          <w:color w:val="auto"/>
          <w:szCs w:val="21"/>
          <w:highlight w:val="none"/>
        </w:rPr>
        <w:t>。</w:t>
      </w:r>
    </w:p>
    <w:p w14:paraId="722F242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2）对于依法必须</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的暂估价项目：达到</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规模标准的暂估价内容，包括专业工程暂估价和材料设备暂估价均应</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确定，并按暂估价</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文件约定结算</w:t>
      </w:r>
      <w:r>
        <w:rPr>
          <w:rFonts w:hint="eastAsia" w:ascii="宋体" w:hAnsi="宋体"/>
          <w:color w:val="auto"/>
          <w:szCs w:val="21"/>
          <w:highlight w:val="none"/>
        </w:rPr>
        <w:t>。</w:t>
      </w:r>
    </w:p>
    <w:p w14:paraId="187016A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3）总承包服务费：总承包服务费包干使用，结算时不作调整</w:t>
      </w:r>
      <w:r>
        <w:rPr>
          <w:rFonts w:hint="eastAsia" w:ascii="宋体" w:hAnsi="宋体"/>
          <w:color w:val="auto"/>
          <w:szCs w:val="21"/>
          <w:highlight w:val="none"/>
        </w:rPr>
        <w:t>。</w:t>
      </w:r>
    </w:p>
    <w:p w14:paraId="37F11F3C">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（4）价格调整：</w:t>
      </w:r>
      <w:r>
        <w:rPr>
          <w:rFonts w:hint="eastAsia" w:ascii="宋体" w:hAnsi="宋体"/>
          <w:color w:val="auto"/>
          <w:szCs w:val="21"/>
          <w:highlight w:val="none"/>
          <w:u w:val="single"/>
        </w:rPr>
        <w:t>按照第11条〔价格调整〕约定约定执行</w:t>
      </w:r>
      <w:r>
        <w:rPr>
          <w:rFonts w:hint="eastAsia" w:ascii="宋体" w:hAnsi="宋体"/>
          <w:color w:val="auto"/>
          <w:szCs w:val="21"/>
          <w:highlight w:val="none"/>
        </w:rPr>
        <w:t>。</w:t>
      </w:r>
    </w:p>
    <w:p w14:paraId="6B06BDE3">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（5）工程变更、索赔与现场签证：</w:t>
      </w:r>
    </w:p>
    <w:p w14:paraId="0BD49BE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690F485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2）索赔：按照第10.4.1项〔变更估价原则〕和第14.2.1项〔竣工结算办法〕约定执行。</w:t>
      </w:r>
    </w:p>
    <w:p w14:paraId="2DA5CB90">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3）现场签证：按照第10.4.1项〔变更估价原则〕和第14.2.1项〔竣工结算办法〕约定执行。</w:t>
      </w:r>
    </w:p>
    <w:p w14:paraId="61735090">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（6）奖励、罚金、违约金及其他费用：</w:t>
      </w:r>
      <w:r>
        <w:rPr>
          <w:rFonts w:hint="eastAsia" w:ascii="宋体" w:hAnsi="宋体"/>
          <w:color w:val="auto"/>
          <w:szCs w:val="21"/>
          <w:highlight w:val="none"/>
          <w:u w:val="single"/>
        </w:rPr>
        <w:t>按实进行结算</w:t>
      </w:r>
      <w:r>
        <w:rPr>
          <w:rFonts w:hint="eastAsia" w:ascii="宋体" w:hAnsi="宋体"/>
          <w:color w:val="auto"/>
          <w:szCs w:val="21"/>
          <w:highlight w:val="none"/>
        </w:rPr>
        <w:t>。</w:t>
      </w:r>
    </w:p>
    <w:p w14:paraId="705D4E13">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（7）规费：已标价工程量清单中规费费用按《重庆市建设工程费用定额》（CQFYDE-2018）执行。</w:t>
      </w:r>
    </w:p>
    <w:p w14:paraId="56627CF6">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22F0E97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14.2.1.3竣工结算价</w:t>
      </w:r>
    </w:p>
    <w:p w14:paraId="5C0818C5">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bookmarkStart w:id="1892" w:name="_Hlk528660512"/>
      <w:r>
        <w:rPr>
          <w:rFonts w:hint="eastAsia" w:ascii="宋体" w:hAnsi="宋体"/>
          <w:color w:val="auto"/>
          <w:szCs w:val="21"/>
          <w:highlight w:val="none"/>
          <w:u w:val="single"/>
        </w:rPr>
        <w:t>以发包人会同跟审单位、监理人、承包人根据有效资料共同确定竣工结算金额作为合同竣工结算价</w:t>
      </w:r>
      <w:r>
        <w:rPr>
          <w:rFonts w:hint="eastAsia" w:ascii="宋体" w:hAnsi="宋体"/>
          <w:color w:val="auto"/>
          <w:szCs w:val="21"/>
          <w:highlight w:val="none"/>
        </w:rPr>
        <w:t>。</w:t>
      </w:r>
    </w:p>
    <w:bookmarkEnd w:id="1892"/>
    <w:p w14:paraId="2A13555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14.2.2 竣工结算审核期限</w:t>
      </w:r>
    </w:p>
    <w:p w14:paraId="7C08F5A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监理人审核竣工付款申请单的期限：</w:t>
      </w:r>
      <w:r>
        <w:rPr>
          <w:rFonts w:hint="eastAsia" w:ascii="宋体" w:hAnsi="宋体"/>
          <w:color w:val="auto"/>
          <w:szCs w:val="21"/>
          <w:highlight w:val="none"/>
          <w:u w:val="single"/>
        </w:rPr>
        <w:t>不超过</w:t>
      </w:r>
      <w:r>
        <w:rPr>
          <w:rFonts w:hint="eastAsia" w:ascii="宋体" w:hAnsi="宋体"/>
          <w:color w:val="auto"/>
          <w:szCs w:val="21"/>
          <w:highlight w:val="none"/>
          <w:u w:val="single"/>
          <w:lang w:val="en-US" w:eastAsia="zh-CN"/>
        </w:rPr>
        <w:t>14</w:t>
      </w:r>
      <w:r>
        <w:rPr>
          <w:rFonts w:hint="eastAsia" w:ascii="宋体" w:hAnsi="宋体"/>
          <w:color w:val="auto"/>
          <w:szCs w:val="21"/>
          <w:highlight w:val="none"/>
          <w:u w:val="single"/>
        </w:rPr>
        <w:t>日</w:t>
      </w:r>
      <w:r>
        <w:rPr>
          <w:rFonts w:hint="eastAsia" w:ascii="宋体" w:hAnsi="宋体"/>
          <w:color w:val="auto"/>
          <w:szCs w:val="21"/>
          <w:highlight w:val="none"/>
        </w:rPr>
        <w:t>。</w:t>
      </w:r>
    </w:p>
    <w:p w14:paraId="7C83FF4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发包人审核竣工付款申请单的期限：</w:t>
      </w:r>
      <w:r>
        <w:rPr>
          <w:rFonts w:hint="eastAsia" w:ascii="宋体" w:hAnsi="宋体"/>
          <w:color w:val="auto"/>
          <w:szCs w:val="21"/>
          <w:highlight w:val="none"/>
          <w:u w:val="single"/>
        </w:rPr>
        <w:t>不超过</w:t>
      </w:r>
      <w:r>
        <w:rPr>
          <w:rFonts w:hint="eastAsia" w:ascii="宋体" w:hAnsi="宋体"/>
          <w:color w:val="auto"/>
          <w:szCs w:val="21"/>
          <w:highlight w:val="none"/>
          <w:u w:val="single"/>
          <w:lang w:val="en-US" w:eastAsia="zh-CN"/>
        </w:rPr>
        <w:t>14</w:t>
      </w:r>
      <w:r>
        <w:rPr>
          <w:rFonts w:hint="eastAsia" w:ascii="宋体" w:hAnsi="宋体"/>
          <w:color w:val="auto"/>
          <w:szCs w:val="21"/>
          <w:highlight w:val="none"/>
          <w:u w:val="single"/>
        </w:rPr>
        <w:t>日</w:t>
      </w:r>
      <w:r>
        <w:rPr>
          <w:rFonts w:hint="eastAsia" w:ascii="宋体" w:hAnsi="宋体"/>
          <w:color w:val="auto"/>
          <w:szCs w:val="21"/>
          <w:highlight w:val="none"/>
        </w:rPr>
        <w:t>。</w:t>
      </w:r>
    </w:p>
    <w:p w14:paraId="6242D55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完成竣工付款申请单审核后</w:t>
      </w:r>
      <w:r>
        <w:rPr>
          <w:rFonts w:hint="eastAsia" w:ascii="宋体" w:hAnsi="宋体"/>
          <w:color w:val="auto"/>
          <w:szCs w:val="21"/>
          <w:highlight w:val="none"/>
          <w:u w:val="single"/>
          <w:lang w:val="en-US" w:eastAsia="zh-CN"/>
        </w:rPr>
        <w:t>28</w:t>
      </w:r>
      <w:r>
        <w:rPr>
          <w:rFonts w:hint="eastAsia" w:ascii="宋体" w:hAnsi="宋体"/>
          <w:color w:val="auto"/>
          <w:szCs w:val="21"/>
          <w:highlight w:val="none"/>
          <w:u w:val="single"/>
        </w:rPr>
        <w:t>天内</w:t>
      </w:r>
      <w:r>
        <w:rPr>
          <w:rFonts w:hint="eastAsia" w:ascii="宋体" w:hAnsi="宋体"/>
          <w:color w:val="auto"/>
          <w:szCs w:val="21"/>
          <w:highlight w:val="none"/>
        </w:rPr>
        <w:t>。</w:t>
      </w:r>
    </w:p>
    <w:p w14:paraId="07BB00F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14:paraId="0583CE1B">
      <w:pPr>
        <w:pStyle w:val="7"/>
        <w:spacing w:before="0" w:beforeAutospacing="0" w:after="0" w:afterAutospacing="0" w:line="360" w:lineRule="auto"/>
        <w:ind w:firstLine="422" w:firstLineChars="200"/>
        <w:rPr>
          <w:color w:val="auto"/>
          <w:sz w:val="21"/>
          <w:szCs w:val="21"/>
          <w:highlight w:val="none"/>
        </w:rPr>
      </w:pPr>
      <w:bookmarkStart w:id="1893" w:name="_Toc532375659"/>
      <w:bookmarkStart w:id="1894" w:name="_Toc532377396"/>
      <w:r>
        <w:rPr>
          <w:rFonts w:hint="eastAsia"/>
          <w:color w:val="auto"/>
          <w:sz w:val="21"/>
          <w:szCs w:val="21"/>
          <w:highlight w:val="none"/>
        </w:rPr>
        <w:t>14.4 最终结清</w:t>
      </w:r>
      <w:bookmarkEnd w:id="1893"/>
      <w:bookmarkEnd w:id="1894"/>
    </w:p>
    <w:p w14:paraId="0FF3B93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14:paraId="6CAC1F4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14:paraId="174AF0D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14:paraId="4A465A5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14:paraId="343D346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14:paraId="70699A8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14:paraId="0B06854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本条补充14.5款：</w:t>
      </w:r>
    </w:p>
    <w:bookmarkEnd w:id="1854"/>
    <w:bookmarkEnd w:id="1855"/>
    <w:bookmarkEnd w:id="1856"/>
    <w:bookmarkEnd w:id="1857"/>
    <w:bookmarkEnd w:id="1858"/>
    <w:bookmarkEnd w:id="1859"/>
    <w:bookmarkEnd w:id="1860"/>
    <w:bookmarkEnd w:id="1861"/>
    <w:p w14:paraId="3DB6A939">
      <w:pPr>
        <w:pStyle w:val="7"/>
        <w:spacing w:before="0" w:beforeAutospacing="0" w:after="0" w:afterAutospacing="0" w:line="360" w:lineRule="auto"/>
        <w:ind w:firstLine="422" w:firstLineChars="200"/>
        <w:rPr>
          <w:color w:val="auto"/>
          <w:sz w:val="21"/>
          <w:szCs w:val="21"/>
          <w:highlight w:val="none"/>
        </w:rPr>
      </w:pPr>
      <w:bookmarkStart w:id="1895" w:name="_Toc532377397"/>
      <w:bookmarkStart w:id="1896" w:name="_Toc532375660"/>
      <w:r>
        <w:rPr>
          <w:rFonts w:hint="eastAsia"/>
          <w:color w:val="auto"/>
          <w:sz w:val="21"/>
          <w:szCs w:val="21"/>
          <w:highlight w:val="none"/>
        </w:rPr>
        <w:t>14.5 逾期办理或不配合办理竣工结算的处理</w:t>
      </w:r>
      <w:bookmarkEnd w:id="1895"/>
      <w:bookmarkEnd w:id="1896"/>
    </w:p>
    <w:p w14:paraId="2DE1ED8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14:paraId="2FAE1F2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897" w:name="_Hlk529133622"/>
      <w:r>
        <w:rPr>
          <w:rFonts w:hint="eastAsia" w:ascii="宋体" w:hAnsi="宋体"/>
          <w:color w:val="auto"/>
          <w:szCs w:val="21"/>
          <w:highlight w:val="none"/>
        </w:rPr>
        <w:t>次书面催告仍未在限期内报送的</w:t>
      </w:r>
      <w:bookmarkEnd w:id="1897"/>
      <w:r>
        <w:rPr>
          <w:rFonts w:hint="eastAsia" w:ascii="宋体" w:hAnsi="宋体"/>
          <w:color w:val="auto"/>
          <w:szCs w:val="21"/>
          <w:highlight w:val="none"/>
        </w:rPr>
        <w:t>；</w:t>
      </w:r>
    </w:p>
    <w:p w14:paraId="4860787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291B655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14:paraId="2F52A8A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5292A16">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1562"/>
    <w:bookmarkEnd w:id="1563"/>
    <w:bookmarkEnd w:id="1564"/>
    <w:bookmarkEnd w:id="1565"/>
    <w:bookmarkEnd w:id="1566"/>
    <w:bookmarkEnd w:id="1567"/>
    <w:bookmarkEnd w:id="1568"/>
    <w:bookmarkEnd w:id="1569"/>
    <w:p w14:paraId="562A74CE">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898" w:name="_Toc532377398"/>
      <w:bookmarkStart w:id="1899" w:name="_Toc351203647"/>
      <w:bookmarkStart w:id="1900" w:name="_Toc532375661"/>
      <w:bookmarkStart w:id="1901" w:name="_Toc267251483"/>
      <w:bookmarkStart w:id="1902" w:name="_Toc280868717"/>
      <w:bookmarkStart w:id="1903" w:name="_Toc280868718"/>
      <w:r>
        <w:rPr>
          <w:rFonts w:hint="eastAsia"/>
          <w:color w:val="auto"/>
          <w:kern w:val="2"/>
          <w:sz w:val="21"/>
          <w:szCs w:val="21"/>
          <w:highlight w:val="none"/>
        </w:rPr>
        <w:t>15. 缺陷责任期与保修</w:t>
      </w:r>
      <w:bookmarkEnd w:id="1898"/>
      <w:bookmarkEnd w:id="1899"/>
      <w:bookmarkEnd w:id="1900"/>
    </w:p>
    <w:bookmarkEnd w:id="1901"/>
    <w:p w14:paraId="6B339F58">
      <w:pPr>
        <w:pStyle w:val="7"/>
        <w:spacing w:before="0" w:beforeAutospacing="0" w:after="0" w:afterAutospacing="0" w:line="360" w:lineRule="auto"/>
        <w:ind w:firstLine="422" w:firstLineChars="200"/>
        <w:rPr>
          <w:color w:val="auto"/>
          <w:sz w:val="21"/>
          <w:szCs w:val="21"/>
          <w:highlight w:val="none"/>
        </w:rPr>
      </w:pPr>
      <w:bookmarkStart w:id="1904" w:name="_Toc532377399"/>
      <w:bookmarkStart w:id="1905" w:name="_Toc532375662"/>
      <w:r>
        <w:rPr>
          <w:rFonts w:hint="eastAsia"/>
          <w:color w:val="auto"/>
          <w:sz w:val="21"/>
          <w:szCs w:val="21"/>
          <w:highlight w:val="none"/>
        </w:rPr>
        <w:t>15.3 质量保证金</w:t>
      </w:r>
      <w:bookmarkEnd w:id="1904"/>
      <w:bookmarkEnd w:id="1905"/>
    </w:p>
    <w:p w14:paraId="3482459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14:paraId="77E3E5D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02D5A7B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（1）质量保证金保函</w:t>
      </w:r>
    </w:p>
    <w:p w14:paraId="77B2712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1）按</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文件载明的格式或发包人认可的格式向发包人提交不可撤销的见索即付银行保函</w:t>
      </w:r>
      <w:r>
        <w:rPr>
          <w:rFonts w:hint="eastAsia" w:ascii="宋体" w:hAnsi="宋体"/>
          <w:color w:val="auto"/>
          <w:szCs w:val="21"/>
          <w:highlight w:val="none"/>
        </w:rPr>
        <w:t>；</w:t>
      </w:r>
    </w:p>
    <w:p w14:paraId="541D096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2）出具保函的银行级别：</w:t>
      </w:r>
      <w:r>
        <w:rPr>
          <w:rFonts w:hint="eastAsia" w:ascii="宋体" w:hAnsi="宋体"/>
          <w:color w:val="auto"/>
          <w:szCs w:val="21"/>
          <w:highlight w:val="none"/>
          <w:u w:val="single"/>
        </w:rPr>
        <w:t>地市级及以上国家政策性银行或股份制商业银行的支行或其上级银行</w:t>
      </w:r>
      <w:r>
        <w:rPr>
          <w:rFonts w:hint="eastAsia" w:ascii="宋体" w:hAnsi="宋体"/>
          <w:color w:val="auto"/>
          <w:szCs w:val="21"/>
          <w:highlight w:val="none"/>
        </w:rPr>
        <w:t>；</w:t>
      </w:r>
    </w:p>
    <w:p w14:paraId="03EF409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D18381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14:paraId="220ADB2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14:paraId="5C6AF98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14:paraId="08807C6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3A888DB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14:paraId="347751C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1822A15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14:paraId="5764A6E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14:paraId="0B17F502">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w:t>
      </w:r>
      <w:r>
        <w:rPr>
          <w:rFonts w:hint="eastAsia" w:ascii="宋体" w:hAnsi="宋体"/>
          <w:color w:val="auto"/>
          <w:szCs w:val="21"/>
          <w:highlight w:val="none"/>
        </w:rPr>
        <w:t>。</w:t>
      </w:r>
    </w:p>
    <w:p w14:paraId="6437C1A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15.3.3质量保证金的退还</w:t>
      </w:r>
    </w:p>
    <w:p w14:paraId="5DEC922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14:paraId="2DD9C58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14:paraId="2FE6994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14:paraId="1497BEC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14:paraId="41B668D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14:paraId="35B583A2">
      <w:pPr>
        <w:pStyle w:val="7"/>
        <w:spacing w:before="0" w:beforeAutospacing="0" w:after="0" w:afterAutospacing="0" w:line="360" w:lineRule="auto"/>
        <w:ind w:firstLine="422" w:firstLineChars="200"/>
        <w:rPr>
          <w:color w:val="auto"/>
          <w:sz w:val="21"/>
          <w:szCs w:val="21"/>
          <w:highlight w:val="none"/>
        </w:rPr>
      </w:pPr>
      <w:bookmarkStart w:id="1906" w:name="_Toc532375663"/>
      <w:bookmarkStart w:id="1907" w:name="_Toc532377400"/>
      <w:r>
        <w:rPr>
          <w:rFonts w:hint="eastAsia"/>
          <w:color w:val="auto"/>
          <w:sz w:val="21"/>
          <w:szCs w:val="21"/>
          <w:highlight w:val="none"/>
        </w:rPr>
        <w:t>15.4 保修</w:t>
      </w:r>
      <w:bookmarkEnd w:id="1906"/>
      <w:bookmarkEnd w:id="1907"/>
    </w:p>
    <w:p w14:paraId="2FB250B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14:paraId="513EA84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908" w:name="_Hlk524381274"/>
      <w:r>
        <w:rPr>
          <w:rFonts w:hint="eastAsia" w:ascii="宋体" w:hAnsi="宋体"/>
          <w:color w:val="auto"/>
          <w:szCs w:val="21"/>
          <w:highlight w:val="none"/>
        </w:rPr>
        <w:t>按照附件1《工程质量保修书》的规定执行。</w:t>
      </w:r>
      <w:bookmarkEnd w:id="1908"/>
    </w:p>
    <w:p w14:paraId="0619561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14:paraId="62DD8F8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小时内，最长不能超过</w:t>
      </w:r>
      <w:r>
        <w:rPr>
          <w:rFonts w:hint="eastAsia" w:ascii="宋体" w:hAnsi="宋体"/>
          <w:color w:val="auto"/>
          <w:szCs w:val="21"/>
          <w:highlight w:val="none"/>
          <w:u w:val="single"/>
          <w:lang w:val="en-US" w:eastAsia="zh-CN"/>
        </w:rPr>
        <w:t>24</w:t>
      </w:r>
      <w:r>
        <w:rPr>
          <w:rFonts w:hint="eastAsia" w:ascii="宋体" w:hAnsi="宋体"/>
          <w:color w:val="auto"/>
          <w:szCs w:val="21"/>
          <w:highlight w:val="none"/>
          <w:u w:val="single"/>
        </w:rPr>
        <w:t>小时</w:t>
      </w:r>
      <w:r>
        <w:rPr>
          <w:rFonts w:hint="eastAsia" w:ascii="宋体" w:hAnsi="宋体"/>
          <w:color w:val="auto"/>
          <w:szCs w:val="21"/>
          <w:highlight w:val="none"/>
        </w:rPr>
        <w:t>。</w:t>
      </w:r>
    </w:p>
    <w:p w14:paraId="413C947C">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909" w:name="_Toc351203648"/>
      <w:bookmarkStart w:id="1910" w:name="_Toc532377401"/>
      <w:bookmarkStart w:id="1911" w:name="_Toc532375664"/>
      <w:r>
        <w:rPr>
          <w:rFonts w:hint="eastAsia"/>
          <w:color w:val="auto"/>
          <w:kern w:val="2"/>
          <w:sz w:val="21"/>
          <w:szCs w:val="21"/>
          <w:highlight w:val="none"/>
        </w:rPr>
        <w:t>16. 违约</w:t>
      </w:r>
      <w:bookmarkEnd w:id="1909"/>
      <w:bookmarkEnd w:id="1910"/>
      <w:bookmarkEnd w:id="1911"/>
    </w:p>
    <w:p w14:paraId="1C09AF3B">
      <w:pPr>
        <w:pStyle w:val="7"/>
        <w:spacing w:before="0" w:beforeAutospacing="0" w:after="0" w:afterAutospacing="0" w:line="360" w:lineRule="auto"/>
        <w:ind w:firstLine="422" w:firstLineChars="200"/>
        <w:rPr>
          <w:color w:val="auto"/>
          <w:sz w:val="21"/>
          <w:szCs w:val="21"/>
          <w:highlight w:val="none"/>
        </w:rPr>
      </w:pPr>
      <w:bookmarkStart w:id="1912" w:name="_Toc532377402"/>
      <w:r>
        <w:rPr>
          <w:rFonts w:hint="eastAsia"/>
          <w:color w:val="auto"/>
          <w:sz w:val="21"/>
          <w:szCs w:val="21"/>
          <w:highlight w:val="none"/>
        </w:rPr>
        <w:t>16.1 发包人违约</w:t>
      </w:r>
      <w:bookmarkEnd w:id="1912"/>
    </w:p>
    <w:p w14:paraId="0FBC72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发包人违约的情形</w:t>
      </w:r>
    </w:p>
    <w:p w14:paraId="335D7AAC">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14:paraId="66DE802C">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14:paraId="58B6F54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14:paraId="0292B58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14:paraId="4E156EA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14:paraId="060827C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14:paraId="7C1EE71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14:paraId="33A43E70">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14:paraId="47628242">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（8）发包人无正当理由未按约定退还履约担保、低价风险担保、预付款担保或质量保证金的；</w:t>
      </w:r>
    </w:p>
    <w:p w14:paraId="00186C18">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（9）发包人不当提取履约担保、低价风险担保或质量保证金的；</w:t>
      </w:r>
    </w:p>
    <w:p w14:paraId="2C403745">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14:paraId="69B5A094">
      <w:pPr>
        <w:pStyle w:val="65"/>
        <w:spacing w:line="360" w:lineRule="auto"/>
        <w:jc w:val="left"/>
        <w:rPr>
          <w:rFonts w:ascii="宋体" w:hAnsi="宋体" w:cs="Microsoft Sans Serif"/>
          <w:color w:val="auto"/>
          <w:kern w:val="0"/>
          <w:sz w:val="21"/>
          <w:szCs w:val="21"/>
          <w:highlight w:val="none"/>
          <w:u w:val="single"/>
        </w:rPr>
      </w:pPr>
      <w:r>
        <w:rPr>
          <w:rFonts w:hint="eastAsia" w:ascii="宋体" w:hAnsi="宋体" w:cs="Microsoft Sans Serif"/>
          <w:color w:val="auto"/>
          <w:kern w:val="0"/>
          <w:sz w:val="21"/>
          <w:szCs w:val="21"/>
          <w:highlight w:val="none"/>
        </w:rPr>
        <w:t>（11）发包人未按合同约定办理保险的；</w:t>
      </w:r>
    </w:p>
    <w:p w14:paraId="64690AC1">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u w:val="single"/>
        </w:rPr>
        <w:t>（12）其他：</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6FD3BF76">
      <w:pPr>
        <w:pStyle w:val="65"/>
        <w:spacing w:line="360" w:lineRule="auto"/>
        <w:rPr>
          <w:rFonts w:ascii="宋体" w:hAnsi="宋体"/>
          <w:color w:val="auto"/>
          <w:sz w:val="21"/>
          <w:szCs w:val="21"/>
          <w:highlight w:val="none"/>
        </w:rPr>
      </w:pPr>
      <w:r>
        <w:rPr>
          <w:rFonts w:hint="eastAsia" w:ascii="宋体" w:hAnsi="宋体"/>
          <w:color w:val="auto"/>
          <w:sz w:val="21"/>
          <w:szCs w:val="21"/>
          <w:highlight w:val="none"/>
        </w:rPr>
        <w:t>16.1.2发包人违约的责任</w:t>
      </w:r>
    </w:p>
    <w:p w14:paraId="5E88CE1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5490C1E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2517526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14:paraId="580F8BB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371E65CC">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3A4BECD3">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highlight w:val="none"/>
          <w:u w:val="single"/>
        </w:rPr>
        <w:t>违约金=应付未付金额×中国人民银行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u w:val="single"/>
        </w:rPr>
        <w:t>；逾期天数超过56天的，超过部分天数按上述利率的两倍计算并支付违约金</w:t>
      </w:r>
      <w:r>
        <w:rPr>
          <w:rFonts w:hint="eastAsia" w:ascii="宋体" w:hAnsi="宋体" w:cs="Microsoft Sans Serif"/>
          <w:color w:val="auto"/>
          <w:kern w:val="0"/>
          <w:szCs w:val="21"/>
          <w:highlight w:val="none"/>
        </w:rPr>
        <w:t>。</w:t>
      </w:r>
    </w:p>
    <w:p w14:paraId="499A3442">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14:paraId="0A318AD2">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4E73ED0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（9）因发包人原因造成工程质量未达到合同约定标准的，由发包人承担由此增加的费用和（或）延误的工期，并支付合理利润。</w:t>
      </w:r>
    </w:p>
    <w:p w14:paraId="7DFD101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14:paraId="35B5007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45CA31EA">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4345653E">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olor w:val="auto"/>
          <w:szCs w:val="21"/>
          <w:highlight w:val="none"/>
        </w:rPr>
        <w:t>（13）</w:t>
      </w:r>
      <w:r>
        <w:rPr>
          <w:rFonts w:hint="eastAsia" w:ascii="宋体" w:hAnsi="宋体" w:cs="Microsoft Sans Serif"/>
          <w:color w:val="auto"/>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color w:val="auto"/>
          <w:kern w:val="0"/>
          <w:szCs w:val="21"/>
          <w:highlight w:val="none"/>
          <w:u w:val="single"/>
        </w:rPr>
        <w:t>计算公式：违约金=应退未退担保金额×中国人民银行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rPr>
        <w:t>。</w:t>
      </w:r>
    </w:p>
    <w:p w14:paraId="3EDF51A8">
      <w:pPr>
        <w:pStyle w:val="2"/>
        <w:spacing w:after="0"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olor w:val="auto"/>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olor w:val="auto"/>
          <w:szCs w:val="21"/>
          <w:highlight w:val="none"/>
        </w:rPr>
        <w:t>。</w:t>
      </w:r>
    </w:p>
    <w:p w14:paraId="0B94347E">
      <w:pPr>
        <w:pStyle w:val="2"/>
        <w:spacing w:after="0"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14:paraId="3AB4363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14:paraId="21C8F2C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（17）发包人未按合同约定办理保险的违约责任：除按18.6.1项约定执行外，每延迟1天，按</w:t>
      </w:r>
      <w:r>
        <w:rPr>
          <w:rFonts w:hint="eastAsia" w:ascii="宋体" w:hAnsi="宋体" w:cs="Microsoft Sans Serif"/>
          <w:color w:val="auto"/>
          <w:kern w:val="0"/>
          <w:szCs w:val="21"/>
          <w:highlight w:val="none"/>
          <w:u w:val="single"/>
        </w:rPr>
        <w:t>500元/天</w:t>
      </w:r>
      <w:r>
        <w:rPr>
          <w:rFonts w:hint="eastAsia" w:ascii="宋体" w:hAnsi="宋体" w:cs="Microsoft Sans Serif"/>
          <w:color w:val="auto"/>
          <w:kern w:val="0"/>
          <w:szCs w:val="21"/>
          <w:highlight w:val="none"/>
        </w:rPr>
        <w:t>支付违约金。</w:t>
      </w:r>
    </w:p>
    <w:p w14:paraId="384EF3B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（18）其他：</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52D3CAE0">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57BAC7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因发包人违约解除合同</w:t>
      </w:r>
    </w:p>
    <w:p w14:paraId="7288E380">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14:paraId="7D032EE2">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14:paraId="3826CFA0">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14:paraId="341D7A3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14:paraId="68E09D6E">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14:paraId="2A7C37E2">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14:paraId="04247D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16.1.4 因发包人违约解除合同后的付款</w:t>
      </w:r>
    </w:p>
    <w:p w14:paraId="4766CD7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承包人按照本款约定解除合同的，发包人应在解除合同后28天内支付下列款项，并解除履约担保、低价风险担保、预付款担保：</w:t>
      </w:r>
    </w:p>
    <w:p w14:paraId="430F6D2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14:paraId="38ACC91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14:paraId="0B038EB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14:paraId="2D2B322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14:paraId="3838B26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14:paraId="03336FA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14:paraId="44539F31">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14:paraId="6ED362F1">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w:t>
      </w:r>
    </w:p>
    <w:p w14:paraId="12F63A7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14:paraId="5C57816C">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71367B9C">
      <w:pPr>
        <w:pStyle w:val="7"/>
        <w:spacing w:before="0" w:beforeAutospacing="0" w:after="0" w:afterAutospacing="0" w:line="360" w:lineRule="auto"/>
        <w:ind w:firstLine="422" w:firstLineChars="200"/>
        <w:rPr>
          <w:color w:val="auto"/>
          <w:sz w:val="21"/>
          <w:szCs w:val="21"/>
          <w:highlight w:val="none"/>
        </w:rPr>
      </w:pPr>
      <w:bookmarkStart w:id="1913" w:name="_Toc532377403"/>
      <w:r>
        <w:rPr>
          <w:rFonts w:hint="eastAsia"/>
          <w:color w:val="auto"/>
          <w:sz w:val="21"/>
          <w:szCs w:val="21"/>
          <w:highlight w:val="none"/>
        </w:rPr>
        <w:t>16.2 承包人违约</w:t>
      </w:r>
      <w:bookmarkEnd w:id="1913"/>
    </w:p>
    <w:p w14:paraId="3F3D4FFC">
      <w:pPr>
        <w:snapToGrid w:val="0"/>
        <w:spacing w:line="360" w:lineRule="auto"/>
        <w:ind w:firstLine="420" w:firstLineChars="200"/>
        <w:jc w:val="left"/>
        <w:rPr>
          <w:rFonts w:ascii="宋体" w:hAnsi="宋体" w:cs="Microsoft Sans Serif"/>
          <w:color w:val="auto"/>
          <w:kern w:val="0"/>
          <w:szCs w:val="21"/>
          <w:highlight w:val="none"/>
        </w:rPr>
      </w:pPr>
      <w:bookmarkStart w:id="1914" w:name="_Hlk524380579"/>
      <w:r>
        <w:rPr>
          <w:rFonts w:hint="eastAsia" w:ascii="宋体" w:hAnsi="宋体" w:cs="Microsoft Sans Serif"/>
          <w:color w:val="auto"/>
          <w:kern w:val="0"/>
          <w:szCs w:val="21"/>
          <w:highlight w:val="none"/>
        </w:rPr>
        <w:t>16.2.1 承包人违约的情形</w:t>
      </w:r>
    </w:p>
    <w:p w14:paraId="4581C72C">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14:paraId="6F7498C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14:paraId="44109D6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14:paraId="2E1DD45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14:paraId="11A8064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14:paraId="3D77757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14:paraId="0764E4B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14:paraId="7F67D4F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14:paraId="2599D12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14:paraId="09E4648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14:paraId="5748265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14:paraId="1C22BA7E">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14:paraId="215C9780">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14:paraId="1EA267F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14:paraId="2A7F47E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14:paraId="58F6838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14:paraId="7A96B28E">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14:paraId="366F096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14:paraId="7548B85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14:paraId="0EBE83F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3FDFF67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14:paraId="10AADB2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14:paraId="1F04A35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14:paraId="1BF937D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14:paraId="1743DEE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14:paraId="3F86A3F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14:paraId="6FB892F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34E8719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14:paraId="65BB626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1）承包人未提交主要施工管理人员劳动合同和社会保险证明的；</w:t>
      </w:r>
    </w:p>
    <w:p w14:paraId="76F7E22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14:paraId="3EF3165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14:paraId="68C91C2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14:paraId="5848B6B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bookmarkEnd w:id="1914"/>
    <w:p w14:paraId="18A8D35A">
      <w:pPr>
        <w:adjustRightInd w:val="0"/>
        <w:snapToGrid w:val="0"/>
        <w:spacing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（14）发包人在合同签订前对承包人已标价工程量清单清标时发现承包人的工程量清单综合单价报价超过</w:t>
      </w:r>
      <w:r>
        <w:rPr>
          <w:rFonts w:hint="eastAsia" w:ascii="宋体" w:hAnsi="宋体" w:cs="Microsoft Sans Serif"/>
          <w:color w:val="auto"/>
          <w:kern w:val="0"/>
          <w:szCs w:val="21"/>
          <w:highlight w:val="none"/>
          <w:lang w:eastAsia="zh-CN"/>
        </w:rPr>
        <w:t>比选</w:t>
      </w:r>
      <w:r>
        <w:rPr>
          <w:rFonts w:hint="eastAsia" w:ascii="宋体" w:hAnsi="宋体" w:cs="Microsoft Sans Serif"/>
          <w:color w:val="auto"/>
          <w:kern w:val="0"/>
          <w:szCs w:val="21"/>
          <w:highlight w:val="none"/>
        </w:rPr>
        <w:t>时给出的工程量清单综合单价最高限价，结算时拒不接受发包人以发出的工程量清单综合单价最高限价为基础，按照承包人的中标总报价与本工程的总价最高限价的下浮比例进行同比例下调的。</w:t>
      </w:r>
    </w:p>
    <w:p w14:paraId="6D28B7E1">
      <w:pPr>
        <w:adjustRightInd w:val="0"/>
        <w:snapToGrid w:val="0"/>
        <w:spacing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7C02DCB4">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14:paraId="60B21D9E">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14:paraId="356C232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14:paraId="16D411B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支付违约金，违法转/分包商应在7天内撤离出场。</w:t>
      </w:r>
    </w:p>
    <w:p w14:paraId="0C11ECE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78F82D6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3419677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14:paraId="6651A03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14:paraId="3F5C11C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14:paraId="7FD4DEC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7CDD1BB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14:paraId="46C2106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14:paraId="614E944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14:paraId="4E7AD2C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14:paraId="63D27E8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14:paraId="475DE7F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14:paraId="03C7670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14:paraId="11174BE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14:paraId="785A85B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14:paraId="6156655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14:paraId="6728A65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14:paraId="49AEDF60">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14:paraId="036638B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bookmarkStart w:id="1915" w:name="_Hlk524380347"/>
    </w:p>
    <w:p w14:paraId="18D1D4C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14:paraId="3D91DC4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14:paraId="759CA5E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915"/>
    <w:p w14:paraId="7E32034C">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14:paraId="32EB3C75">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14:paraId="14D91FA6">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14:paraId="763F628E">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14:paraId="7144B786">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14:paraId="2205F19D">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14:paraId="7F3D3875">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14:paraId="61F19E65">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14:paraId="1601BCD8">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14:paraId="6A38A81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14:paraId="13B2E035">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14:paraId="791F9D2D">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（10）合</w:t>
      </w:r>
      <w:r>
        <w:rPr>
          <w:rFonts w:hint="eastAsia" w:ascii="宋体" w:hAnsi="宋体" w:cs="Microsoft Sans Serif"/>
          <w:color w:val="auto"/>
          <w:kern w:val="0"/>
          <w:sz w:val="21"/>
          <w:szCs w:val="21"/>
          <w:highlight w:val="none"/>
          <w:u w:val="single"/>
        </w:rPr>
        <w:t>同约定的发包人有权解除合同的其他情形</w:t>
      </w:r>
      <w:r>
        <w:rPr>
          <w:rFonts w:hint="eastAsia" w:ascii="宋体" w:hAnsi="宋体" w:cs="Microsoft Sans Serif"/>
          <w:color w:val="auto"/>
          <w:kern w:val="0"/>
          <w:sz w:val="21"/>
          <w:szCs w:val="21"/>
          <w:highlight w:val="none"/>
        </w:rPr>
        <w:t>。</w:t>
      </w:r>
    </w:p>
    <w:p w14:paraId="7874893B">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14:paraId="6194C05B">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14:paraId="26638B01">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14:paraId="5A41ED71">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14:paraId="1359DE79">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14:paraId="4331CF2B">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14:paraId="36C43064">
      <w:pPr>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2C236134">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3EF2CA8B">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902"/>
    <w:bookmarkEnd w:id="1903"/>
    <w:p w14:paraId="5E8913FF">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916" w:name="_Toc532375665"/>
      <w:bookmarkStart w:id="1917" w:name="_Toc532377404"/>
      <w:bookmarkStart w:id="1918" w:name="_Toc351203649"/>
      <w:bookmarkStart w:id="1919" w:name="_Hlk528928440"/>
      <w:r>
        <w:rPr>
          <w:rFonts w:hint="eastAsia"/>
          <w:color w:val="auto"/>
          <w:kern w:val="2"/>
          <w:sz w:val="21"/>
          <w:szCs w:val="21"/>
          <w:highlight w:val="none"/>
        </w:rPr>
        <w:t>17. 不可抗力</w:t>
      </w:r>
      <w:bookmarkEnd w:id="1916"/>
      <w:bookmarkEnd w:id="1917"/>
      <w:bookmarkEnd w:id="1918"/>
    </w:p>
    <w:p w14:paraId="501470E8">
      <w:pPr>
        <w:pStyle w:val="7"/>
        <w:spacing w:before="0" w:beforeAutospacing="0" w:after="0" w:afterAutospacing="0" w:line="360" w:lineRule="auto"/>
        <w:ind w:firstLine="422" w:firstLineChars="200"/>
        <w:rPr>
          <w:color w:val="auto"/>
          <w:sz w:val="21"/>
          <w:szCs w:val="21"/>
          <w:highlight w:val="none"/>
        </w:rPr>
      </w:pPr>
      <w:bookmarkStart w:id="1920" w:name="_Toc532375666"/>
      <w:bookmarkStart w:id="1921" w:name="_Toc532377405"/>
      <w:r>
        <w:rPr>
          <w:rFonts w:hint="eastAsia"/>
          <w:color w:val="auto"/>
          <w:sz w:val="21"/>
          <w:szCs w:val="21"/>
          <w:highlight w:val="none"/>
        </w:rPr>
        <w:t>17.1 不可抗力的确认</w:t>
      </w:r>
      <w:bookmarkEnd w:id="1920"/>
      <w:bookmarkEnd w:id="1921"/>
    </w:p>
    <w:p w14:paraId="174B610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922" w:name="_Hlk524379638"/>
    </w:p>
    <w:p w14:paraId="34097CC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14:paraId="5716D45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14:paraId="58AD202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14:paraId="391450A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（4）化学或放射性污染或核辐射；</w:t>
      </w:r>
    </w:p>
    <w:p w14:paraId="04551EB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（5）环保治理等政府行为导致项目停工的。</w:t>
      </w:r>
      <w:bookmarkEnd w:id="1922"/>
    </w:p>
    <w:p w14:paraId="2A0F501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C385314">
      <w:pPr>
        <w:pStyle w:val="7"/>
        <w:spacing w:before="0" w:beforeAutospacing="0" w:after="0" w:afterAutospacing="0" w:line="360" w:lineRule="auto"/>
        <w:ind w:firstLine="422" w:firstLineChars="200"/>
        <w:rPr>
          <w:color w:val="auto"/>
          <w:sz w:val="21"/>
          <w:szCs w:val="21"/>
          <w:highlight w:val="none"/>
        </w:rPr>
      </w:pPr>
      <w:bookmarkStart w:id="1923" w:name="_Toc532375667"/>
      <w:bookmarkStart w:id="1924" w:name="_Toc351203610"/>
      <w:bookmarkStart w:id="1925" w:name="_Toc532377406"/>
      <w:bookmarkStart w:id="1926" w:name="_Toc296346620"/>
      <w:bookmarkStart w:id="1927" w:name="_Toc296503119"/>
      <w:bookmarkStart w:id="1928" w:name="_Toc337558826"/>
      <w:r>
        <w:rPr>
          <w:rFonts w:hint="eastAsia"/>
          <w:color w:val="auto"/>
          <w:sz w:val="21"/>
          <w:szCs w:val="21"/>
          <w:highlight w:val="none"/>
        </w:rPr>
        <w:t>17.3 不可抗力后果的承担</w:t>
      </w:r>
      <w:bookmarkEnd w:id="1923"/>
      <w:bookmarkEnd w:id="1924"/>
      <w:bookmarkEnd w:id="1925"/>
    </w:p>
    <w:bookmarkEnd w:id="1926"/>
    <w:bookmarkEnd w:id="1927"/>
    <w:bookmarkEnd w:id="1928"/>
    <w:p w14:paraId="4B52DD5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14:paraId="5395091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14:paraId="3E94372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14:paraId="2F5C9F2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（2）承包人施工设备的损坏由承包人承担；</w:t>
      </w:r>
    </w:p>
    <w:p w14:paraId="35D0E5D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14:paraId="01EEAD1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14:paraId="295AF01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14:paraId="58DE843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14:paraId="1B214D4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14:paraId="0C601C1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DFEE543">
      <w:pPr>
        <w:pStyle w:val="7"/>
        <w:spacing w:before="0" w:beforeAutospacing="0" w:after="0" w:afterAutospacing="0" w:line="360" w:lineRule="auto"/>
        <w:ind w:firstLine="422" w:firstLineChars="200"/>
        <w:rPr>
          <w:color w:val="auto"/>
          <w:sz w:val="21"/>
          <w:szCs w:val="21"/>
          <w:highlight w:val="none"/>
        </w:rPr>
      </w:pPr>
      <w:bookmarkStart w:id="1929" w:name="_Toc532375668"/>
      <w:bookmarkStart w:id="1930" w:name="_Toc532377407"/>
      <w:r>
        <w:rPr>
          <w:rFonts w:hint="eastAsia"/>
          <w:color w:val="auto"/>
          <w:sz w:val="21"/>
          <w:szCs w:val="21"/>
          <w:highlight w:val="none"/>
        </w:rPr>
        <w:t>17.4 因不可抗力解除合同</w:t>
      </w:r>
      <w:bookmarkEnd w:id="1929"/>
      <w:bookmarkEnd w:id="1930"/>
    </w:p>
    <w:p w14:paraId="06DEFD2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14:paraId="644B9D11">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931" w:name="_Toc351203650"/>
      <w:bookmarkStart w:id="1932" w:name="_Toc532375669"/>
      <w:bookmarkStart w:id="1933" w:name="_Toc532377408"/>
      <w:r>
        <w:rPr>
          <w:rFonts w:hint="eastAsia"/>
          <w:color w:val="auto"/>
          <w:kern w:val="2"/>
          <w:sz w:val="21"/>
          <w:szCs w:val="21"/>
          <w:highlight w:val="none"/>
        </w:rPr>
        <w:t>18. 保险</w:t>
      </w:r>
      <w:bookmarkEnd w:id="1931"/>
      <w:bookmarkEnd w:id="1932"/>
      <w:bookmarkEnd w:id="1933"/>
    </w:p>
    <w:p w14:paraId="3DC83ADB">
      <w:pPr>
        <w:pStyle w:val="7"/>
        <w:spacing w:before="0" w:beforeAutospacing="0" w:after="0" w:afterAutospacing="0" w:line="360" w:lineRule="auto"/>
        <w:ind w:firstLine="422" w:firstLineChars="200"/>
        <w:rPr>
          <w:color w:val="auto"/>
          <w:sz w:val="21"/>
          <w:szCs w:val="21"/>
          <w:highlight w:val="none"/>
        </w:rPr>
      </w:pPr>
      <w:bookmarkStart w:id="1934" w:name="_Toc532377409"/>
      <w:bookmarkStart w:id="1935" w:name="_Toc532375670"/>
      <w:r>
        <w:rPr>
          <w:rFonts w:hint="eastAsia"/>
          <w:color w:val="auto"/>
          <w:sz w:val="21"/>
          <w:szCs w:val="21"/>
          <w:highlight w:val="none"/>
        </w:rPr>
        <w:t>18.1 工程保险</w:t>
      </w:r>
      <w:bookmarkEnd w:id="1934"/>
      <w:bookmarkEnd w:id="1935"/>
    </w:p>
    <w:p w14:paraId="1DD9F5B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14:paraId="36E81F7A">
      <w:pPr>
        <w:pStyle w:val="7"/>
        <w:spacing w:before="0" w:beforeAutospacing="0" w:after="0" w:afterAutospacing="0" w:line="360" w:lineRule="auto"/>
        <w:ind w:firstLine="422" w:firstLineChars="200"/>
        <w:rPr>
          <w:color w:val="auto"/>
          <w:sz w:val="21"/>
          <w:szCs w:val="21"/>
          <w:highlight w:val="none"/>
        </w:rPr>
      </w:pPr>
      <w:bookmarkStart w:id="1936" w:name="_Toc532377410"/>
      <w:bookmarkStart w:id="1937" w:name="_Toc532375671"/>
      <w:r>
        <w:rPr>
          <w:rFonts w:hint="eastAsia"/>
          <w:color w:val="auto"/>
          <w:sz w:val="21"/>
          <w:szCs w:val="21"/>
          <w:highlight w:val="none"/>
        </w:rPr>
        <w:t>18.3 其他保险</w:t>
      </w:r>
      <w:bookmarkEnd w:id="1936"/>
      <w:bookmarkEnd w:id="1937"/>
    </w:p>
    <w:p w14:paraId="0A4B862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585AB17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63ADC7D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14:paraId="3CF79304">
      <w:pPr>
        <w:pStyle w:val="7"/>
        <w:spacing w:before="0" w:beforeAutospacing="0" w:after="0" w:afterAutospacing="0" w:line="360" w:lineRule="auto"/>
        <w:ind w:firstLine="422" w:firstLineChars="200"/>
        <w:rPr>
          <w:color w:val="auto"/>
          <w:sz w:val="21"/>
          <w:szCs w:val="21"/>
          <w:highlight w:val="none"/>
        </w:rPr>
      </w:pPr>
      <w:bookmarkStart w:id="1938" w:name="_Toc532375672"/>
      <w:bookmarkStart w:id="1939" w:name="_Toc532377411"/>
      <w:r>
        <w:rPr>
          <w:rFonts w:hint="eastAsia"/>
          <w:color w:val="auto"/>
          <w:sz w:val="21"/>
          <w:szCs w:val="21"/>
          <w:highlight w:val="none"/>
        </w:rPr>
        <w:t>18.7 通知义务</w:t>
      </w:r>
      <w:bookmarkEnd w:id="1938"/>
      <w:bookmarkEnd w:id="1939"/>
    </w:p>
    <w:p w14:paraId="366FEFE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523C8084">
      <w:pPr>
        <w:pStyle w:val="7"/>
        <w:spacing w:before="0" w:beforeAutospacing="0" w:after="0" w:afterAutospacing="0" w:line="360" w:lineRule="auto"/>
        <w:ind w:firstLine="422" w:firstLineChars="200"/>
        <w:rPr>
          <w:color w:val="auto"/>
          <w:sz w:val="21"/>
          <w:szCs w:val="21"/>
          <w:highlight w:val="none"/>
        </w:rPr>
      </w:pPr>
      <w:bookmarkStart w:id="1940" w:name="_Toc532375673"/>
      <w:bookmarkStart w:id="1941" w:name="_Toc532377412"/>
      <w:r>
        <w:rPr>
          <w:rFonts w:hint="eastAsia"/>
          <w:color w:val="auto"/>
          <w:sz w:val="21"/>
          <w:szCs w:val="21"/>
          <w:highlight w:val="none"/>
        </w:rPr>
        <w:t>18.8 其他</w:t>
      </w:r>
      <w:bookmarkEnd w:id="1940"/>
      <w:bookmarkEnd w:id="1941"/>
    </w:p>
    <w:p w14:paraId="633AA73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14:paraId="304CD3B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942" w:name="_Hlk524378346"/>
      <w:r>
        <w:rPr>
          <w:rFonts w:hint="eastAsia" w:ascii="宋体" w:hAnsi="宋体"/>
          <w:color w:val="auto"/>
          <w:szCs w:val="21"/>
          <w:highlight w:val="none"/>
        </w:rPr>
        <w:t>差额由承包人负责补足</w:t>
      </w:r>
      <w:bookmarkEnd w:id="1942"/>
      <w:r>
        <w:rPr>
          <w:rFonts w:hint="eastAsia" w:ascii="宋体" w:hAnsi="宋体"/>
          <w:color w:val="auto"/>
          <w:szCs w:val="21"/>
          <w:highlight w:val="none"/>
        </w:rPr>
        <w:t>。</w:t>
      </w:r>
    </w:p>
    <w:p w14:paraId="0DE95FAA">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943" w:name="_Toc532375674"/>
      <w:bookmarkStart w:id="1944" w:name="_Toc532377413"/>
      <w:bookmarkStart w:id="1945" w:name="_Toc351203620"/>
      <w:bookmarkStart w:id="1946" w:name="_Toc296346641"/>
      <w:bookmarkStart w:id="1947" w:name="_Toc337558835"/>
      <w:bookmarkStart w:id="1948" w:name="_Toc296503140"/>
      <w:r>
        <w:rPr>
          <w:rFonts w:hint="eastAsia"/>
          <w:color w:val="auto"/>
          <w:kern w:val="2"/>
          <w:sz w:val="21"/>
          <w:szCs w:val="21"/>
          <w:highlight w:val="none"/>
        </w:rPr>
        <w:t>19. 索赔</w:t>
      </w:r>
      <w:bookmarkEnd w:id="1943"/>
      <w:bookmarkEnd w:id="1944"/>
      <w:bookmarkEnd w:id="1945"/>
    </w:p>
    <w:bookmarkEnd w:id="1946"/>
    <w:bookmarkEnd w:id="1947"/>
    <w:bookmarkEnd w:id="1948"/>
    <w:p w14:paraId="3A890B7B">
      <w:pPr>
        <w:pStyle w:val="7"/>
        <w:spacing w:before="0" w:beforeAutospacing="0" w:after="0" w:afterAutospacing="0" w:line="360" w:lineRule="auto"/>
        <w:ind w:firstLine="422" w:firstLineChars="200"/>
        <w:rPr>
          <w:color w:val="auto"/>
          <w:sz w:val="21"/>
          <w:szCs w:val="21"/>
          <w:highlight w:val="none"/>
        </w:rPr>
      </w:pPr>
      <w:bookmarkStart w:id="1949" w:name="_Toc532377414"/>
      <w:bookmarkStart w:id="1950" w:name="_Toc532375675"/>
      <w:bookmarkStart w:id="1951" w:name="_Toc296346642"/>
      <w:bookmarkStart w:id="1952" w:name="_Toc337558836"/>
      <w:bookmarkStart w:id="1953" w:name="_Toc296503141"/>
      <w:bookmarkStart w:id="1954" w:name="_Toc351203621"/>
      <w:r>
        <w:rPr>
          <w:rFonts w:hint="eastAsia"/>
          <w:color w:val="auto"/>
          <w:sz w:val="21"/>
          <w:szCs w:val="21"/>
          <w:highlight w:val="none"/>
        </w:rPr>
        <w:t>19.1 承包人的索赔</w:t>
      </w:r>
      <w:bookmarkEnd w:id="1949"/>
      <w:bookmarkEnd w:id="1950"/>
    </w:p>
    <w:p w14:paraId="06EC3149">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14:paraId="5114B574">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685E44ED">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6BA449EE">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14340D3F">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14:paraId="6B5E8AF1">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92A09E3">
      <w:pPr>
        <w:pStyle w:val="7"/>
        <w:spacing w:before="0" w:beforeAutospacing="0" w:after="0" w:afterAutospacing="0" w:line="360" w:lineRule="auto"/>
        <w:ind w:firstLine="422" w:firstLineChars="200"/>
        <w:rPr>
          <w:color w:val="auto"/>
          <w:sz w:val="21"/>
          <w:szCs w:val="21"/>
          <w:highlight w:val="none"/>
        </w:rPr>
      </w:pPr>
      <w:bookmarkStart w:id="1955" w:name="_Toc532375676"/>
      <w:bookmarkStart w:id="1956" w:name="_Toc532377415"/>
      <w:r>
        <w:rPr>
          <w:rFonts w:hint="eastAsia"/>
          <w:color w:val="auto"/>
          <w:sz w:val="21"/>
          <w:szCs w:val="21"/>
          <w:highlight w:val="none"/>
        </w:rPr>
        <w:t>19.2 对承包人索赔的处理</w:t>
      </w:r>
      <w:bookmarkEnd w:id="1955"/>
      <w:bookmarkEnd w:id="1956"/>
    </w:p>
    <w:p w14:paraId="51422A4C">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对承包人索赔的处理如下：</w:t>
      </w:r>
    </w:p>
    <w:p w14:paraId="1C492911">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14:paraId="7F405177">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14:paraId="683E7274">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14:paraId="22599D8C">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14:paraId="6683DF9C">
      <w:pPr>
        <w:pStyle w:val="7"/>
        <w:spacing w:before="0" w:beforeAutospacing="0" w:after="0" w:afterAutospacing="0" w:line="360" w:lineRule="auto"/>
        <w:ind w:firstLine="422" w:firstLineChars="200"/>
        <w:rPr>
          <w:color w:val="auto"/>
          <w:sz w:val="21"/>
          <w:szCs w:val="21"/>
          <w:highlight w:val="none"/>
        </w:rPr>
      </w:pPr>
      <w:bookmarkStart w:id="1957" w:name="_Toc532377416"/>
      <w:bookmarkStart w:id="1958" w:name="_Toc532375677"/>
      <w:r>
        <w:rPr>
          <w:rFonts w:hint="eastAsia"/>
          <w:color w:val="auto"/>
          <w:sz w:val="21"/>
          <w:szCs w:val="21"/>
          <w:highlight w:val="none"/>
        </w:rPr>
        <w:t>19.3发包人的索赔</w:t>
      </w:r>
      <w:bookmarkEnd w:id="1957"/>
      <w:bookmarkEnd w:id="1958"/>
    </w:p>
    <w:p w14:paraId="4EAB4D32">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14:paraId="61726765">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59" w:name="_Hlk528652769"/>
      <w:r>
        <w:rPr>
          <w:rFonts w:hint="eastAsia" w:ascii="宋体" w:hAnsi="宋体"/>
          <w:color w:val="auto"/>
          <w:szCs w:val="21"/>
          <w:highlight w:val="none"/>
        </w:rPr>
        <w:t>通过监理人向承包人正式递交最终索赔报告</w:t>
      </w:r>
      <w:bookmarkEnd w:id="1959"/>
      <w:r>
        <w:rPr>
          <w:rFonts w:hint="eastAsia" w:ascii="宋体" w:hAnsi="宋体"/>
          <w:color w:val="auto"/>
          <w:szCs w:val="21"/>
          <w:highlight w:val="none"/>
        </w:rPr>
        <w:t>。</w:t>
      </w:r>
    </w:p>
    <w:p w14:paraId="6AF2CCF9">
      <w:pPr>
        <w:pStyle w:val="7"/>
        <w:spacing w:before="0" w:beforeAutospacing="0" w:after="0" w:afterAutospacing="0" w:line="360" w:lineRule="auto"/>
        <w:ind w:firstLine="422" w:firstLineChars="200"/>
        <w:rPr>
          <w:color w:val="auto"/>
          <w:sz w:val="21"/>
          <w:szCs w:val="21"/>
          <w:highlight w:val="none"/>
        </w:rPr>
      </w:pPr>
      <w:bookmarkStart w:id="1960" w:name="_Toc532375678"/>
      <w:bookmarkStart w:id="1961" w:name="_Toc532377417"/>
      <w:r>
        <w:rPr>
          <w:rFonts w:hint="eastAsia"/>
          <w:color w:val="auto"/>
          <w:sz w:val="21"/>
          <w:szCs w:val="21"/>
          <w:highlight w:val="none"/>
        </w:rPr>
        <w:t>19.4 对发包人索赔的处理</w:t>
      </w:r>
      <w:bookmarkEnd w:id="1960"/>
      <w:bookmarkEnd w:id="1961"/>
    </w:p>
    <w:p w14:paraId="2A77D342">
      <w:pPr>
        <w:autoSpaceDE w:val="0"/>
        <w:autoSpaceDN w:val="0"/>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14:paraId="48F1035B">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14:paraId="4354E93E">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3A22168A">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295295BB">
      <w:pPr>
        <w:pStyle w:val="7"/>
        <w:spacing w:before="0" w:beforeAutospacing="0" w:after="0" w:afterAutospacing="0" w:line="360" w:lineRule="auto"/>
        <w:ind w:firstLine="422" w:firstLineChars="200"/>
        <w:rPr>
          <w:color w:val="auto"/>
          <w:sz w:val="21"/>
          <w:szCs w:val="21"/>
          <w:highlight w:val="none"/>
        </w:rPr>
      </w:pPr>
      <w:bookmarkStart w:id="1962" w:name="_Toc532375679"/>
      <w:bookmarkStart w:id="1963" w:name="_Toc532377418"/>
      <w:bookmarkStart w:id="1964" w:name="_Hlk528928420"/>
      <w:r>
        <w:rPr>
          <w:rFonts w:hint="eastAsia"/>
          <w:color w:val="auto"/>
          <w:sz w:val="21"/>
          <w:szCs w:val="21"/>
          <w:highlight w:val="none"/>
        </w:rPr>
        <w:t>19.5 提出索赔的期限</w:t>
      </w:r>
      <w:bookmarkEnd w:id="1962"/>
      <w:bookmarkEnd w:id="1963"/>
    </w:p>
    <w:p w14:paraId="7F363B02">
      <w:pPr>
        <w:autoSpaceDE w:val="0"/>
        <w:autoSpaceDN w:val="0"/>
        <w:spacing w:line="360" w:lineRule="auto"/>
        <w:ind w:right="105" w:rightChars="50" w:firstLine="420" w:firstLineChars="200"/>
        <w:jc w:val="left"/>
        <w:rPr>
          <w:rFonts w:ascii="宋体" w:hAnsi="宋体"/>
          <w:color w:val="auto"/>
          <w:szCs w:val="21"/>
          <w:highlight w:val="none"/>
        </w:rPr>
      </w:pPr>
      <w:bookmarkStart w:id="1965"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951"/>
    <w:bookmarkEnd w:id="1952"/>
    <w:bookmarkEnd w:id="1953"/>
    <w:bookmarkEnd w:id="1954"/>
    <w:bookmarkEnd w:id="1964"/>
    <w:bookmarkEnd w:id="1965"/>
    <w:p w14:paraId="60722DCD">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966" w:name="_Toc532375680"/>
      <w:bookmarkStart w:id="1967" w:name="_Toc532377419"/>
      <w:bookmarkStart w:id="1968" w:name="_Toc351203651"/>
      <w:r>
        <w:rPr>
          <w:rFonts w:hint="eastAsia"/>
          <w:color w:val="auto"/>
          <w:kern w:val="2"/>
          <w:sz w:val="21"/>
          <w:szCs w:val="21"/>
          <w:highlight w:val="none"/>
        </w:rPr>
        <w:t>20. 争议解决</w:t>
      </w:r>
      <w:bookmarkEnd w:id="1966"/>
      <w:bookmarkEnd w:id="1967"/>
      <w:bookmarkEnd w:id="1968"/>
    </w:p>
    <w:p w14:paraId="2B161266">
      <w:pPr>
        <w:pStyle w:val="7"/>
        <w:spacing w:before="0" w:beforeAutospacing="0" w:after="0" w:afterAutospacing="0" w:line="360" w:lineRule="auto"/>
        <w:ind w:firstLine="422" w:firstLineChars="200"/>
        <w:rPr>
          <w:color w:val="auto"/>
          <w:sz w:val="21"/>
          <w:szCs w:val="21"/>
          <w:highlight w:val="none"/>
        </w:rPr>
      </w:pPr>
      <w:bookmarkStart w:id="1969" w:name="_Toc532375681"/>
      <w:bookmarkStart w:id="1970" w:name="_Toc532377420"/>
      <w:r>
        <w:rPr>
          <w:rFonts w:hint="eastAsia"/>
          <w:color w:val="auto"/>
          <w:sz w:val="21"/>
          <w:szCs w:val="21"/>
          <w:highlight w:val="none"/>
        </w:rPr>
        <w:t>20.3 争议评审</w:t>
      </w:r>
      <w:bookmarkEnd w:id="1969"/>
      <w:bookmarkEnd w:id="1970"/>
    </w:p>
    <w:p w14:paraId="36DB6C5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否</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E6AE171">
      <w:pPr>
        <w:pStyle w:val="7"/>
        <w:spacing w:before="0" w:beforeAutospacing="0" w:after="0" w:afterAutospacing="0" w:line="360" w:lineRule="auto"/>
        <w:ind w:firstLine="422" w:firstLineChars="200"/>
        <w:rPr>
          <w:color w:val="auto"/>
          <w:sz w:val="21"/>
          <w:szCs w:val="21"/>
          <w:highlight w:val="none"/>
        </w:rPr>
      </w:pPr>
      <w:bookmarkStart w:id="1971" w:name="_Toc532375682"/>
      <w:bookmarkStart w:id="1972" w:name="_Toc532377421"/>
      <w:r>
        <w:rPr>
          <w:rFonts w:hint="eastAsia"/>
          <w:color w:val="auto"/>
          <w:sz w:val="21"/>
          <w:szCs w:val="21"/>
          <w:highlight w:val="none"/>
        </w:rPr>
        <w:t>20.4 仲裁或诉讼</w:t>
      </w:r>
      <w:bookmarkEnd w:id="1971"/>
      <w:bookmarkEnd w:id="1972"/>
    </w:p>
    <w:p w14:paraId="3F696B4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25780803">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14:paraId="3DED3977">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工程所在地（重庆市铜梁区）</w:t>
      </w:r>
      <w:r>
        <w:rPr>
          <w:rFonts w:ascii="宋体" w:hAnsi="宋体"/>
          <w:color w:val="auto"/>
          <w:szCs w:val="21"/>
          <w:highlight w:val="none"/>
          <w:u w:val="single"/>
        </w:rPr>
        <w:t xml:space="preserve">  </w:t>
      </w:r>
      <w:r>
        <w:rPr>
          <w:rFonts w:ascii="宋体" w:hAnsi="宋体"/>
          <w:color w:val="auto"/>
          <w:szCs w:val="21"/>
          <w:highlight w:val="none"/>
        </w:rPr>
        <w:t>人民法院起诉。</w:t>
      </w:r>
    </w:p>
    <w:p w14:paraId="4F8EF155">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973" w:name="_Toc532377422"/>
      <w:bookmarkStart w:id="1974" w:name="_Toc532375683"/>
      <w:r>
        <w:rPr>
          <w:rFonts w:hint="eastAsia"/>
          <w:color w:val="auto"/>
          <w:kern w:val="2"/>
          <w:sz w:val="21"/>
          <w:szCs w:val="21"/>
          <w:highlight w:val="none"/>
        </w:rPr>
        <w:t>21. 补充条款</w:t>
      </w:r>
      <w:bookmarkEnd w:id="1973"/>
      <w:bookmarkEnd w:id="1974"/>
    </w:p>
    <w:p w14:paraId="3C27D52C">
      <w:pPr>
        <w:pStyle w:val="7"/>
        <w:spacing w:before="0" w:beforeAutospacing="0" w:after="0" w:afterAutospacing="0" w:line="360" w:lineRule="auto"/>
        <w:ind w:firstLine="422" w:firstLineChars="200"/>
        <w:rPr>
          <w:color w:val="auto"/>
          <w:sz w:val="21"/>
          <w:szCs w:val="21"/>
          <w:highlight w:val="none"/>
        </w:rPr>
      </w:pPr>
      <w:bookmarkStart w:id="1975" w:name="_Toc532375684"/>
      <w:bookmarkStart w:id="1976" w:name="_Toc532377423"/>
      <w:r>
        <w:rPr>
          <w:rFonts w:hint="eastAsia"/>
          <w:color w:val="auto"/>
          <w:sz w:val="21"/>
          <w:szCs w:val="21"/>
          <w:highlight w:val="none"/>
        </w:rPr>
        <w:t>21.1 退出机制</w:t>
      </w:r>
      <w:bookmarkEnd w:id="1975"/>
      <w:bookmarkEnd w:id="1976"/>
    </w:p>
    <w:p w14:paraId="3EB9212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14:paraId="187353C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14:paraId="247D59FE">
      <w:pPr>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14:paraId="0755A29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06DC8C35">
      <w:pPr>
        <w:pStyle w:val="2"/>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14:paraId="0AA17325">
      <w:pPr>
        <w:pStyle w:val="2"/>
        <w:spacing w:after="0"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14:paraId="1528DE3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6B58A6BE">
      <w:pPr>
        <w:pStyle w:val="7"/>
        <w:spacing w:before="0" w:beforeAutospacing="0" w:after="0" w:afterAutospacing="0" w:line="360" w:lineRule="auto"/>
        <w:ind w:firstLine="422" w:firstLineChars="200"/>
        <w:rPr>
          <w:color w:val="auto"/>
          <w:sz w:val="21"/>
          <w:szCs w:val="21"/>
          <w:highlight w:val="none"/>
        </w:rPr>
      </w:pPr>
      <w:bookmarkStart w:id="1977" w:name="_Toc532375685"/>
      <w:bookmarkStart w:id="1978" w:name="_Toc532377424"/>
      <w:r>
        <w:rPr>
          <w:rFonts w:hint="eastAsia"/>
          <w:color w:val="auto"/>
          <w:sz w:val="21"/>
          <w:szCs w:val="21"/>
          <w:highlight w:val="none"/>
        </w:rPr>
        <w:t>21.2智慧工地</w:t>
      </w:r>
      <w:bookmarkEnd w:id="1977"/>
      <w:bookmarkEnd w:id="1978"/>
    </w:p>
    <w:p w14:paraId="126B4A0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工地建设可参照重庆市城乡建设委员会《关于印发“智慧工地”建设工作方案的通知》（渝建〔2017〕414号）的相关要求建设。</w:t>
      </w:r>
      <w:bookmarkEnd w:id="1919"/>
    </w:p>
    <w:p w14:paraId="466AD3D3">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 xml:space="preserve">21.3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w:t>
      </w:r>
      <w:r>
        <w:rPr>
          <w:rFonts w:hint="eastAsia"/>
          <w:color w:val="auto"/>
          <w:sz w:val="21"/>
          <w:szCs w:val="21"/>
          <w:highlight w:val="none"/>
          <w:u w:val="single"/>
        </w:rPr>
        <w:t xml:space="preserve">   </w:t>
      </w:r>
    </w:p>
    <w:p w14:paraId="37268966">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979" w:name="baidusnap3"/>
      <w:bookmarkEnd w:id="1979"/>
      <w:bookmarkStart w:id="1980" w:name="baidusnap7"/>
      <w:bookmarkEnd w:id="1980"/>
      <w:bookmarkStart w:id="1981" w:name="_Toc532375686"/>
      <w:bookmarkStart w:id="1982" w:name="_Toc532377425"/>
      <w:bookmarkStart w:id="1983" w:name="_Toc351203652"/>
      <w:r>
        <w:rPr>
          <w:rFonts w:hint="eastAsia"/>
          <w:color w:val="auto"/>
          <w:kern w:val="2"/>
          <w:sz w:val="21"/>
          <w:szCs w:val="21"/>
          <w:highlight w:val="none"/>
        </w:rPr>
        <w:t>22. 合同附件</w:t>
      </w:r>
      <w:bookmarkEnd w:id="1981"/>
      <w:bookmarkEnd w:id="1982"/>
    </w:p>
    <w:p w14:paraId="682EB03F">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以下十个附件是本合同的有效组成部分：</w:t>
      </w:r>
    </w:p>
    <w:p w14:paraId="0259DF3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附件1：工程质量保修书</w:t>
      </w:r>
    </w:p>
    <w:p w14:paraId="2676BDE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附件2：主要建设工程文件目录</w:t>
      </w:r>
    </w:p>
    <w:p w14:paraId="0EEBD9D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附件3：承包人项目管理机构组成表</w:t>
      </w:r>
    </w:p>
    <w:p w14:paraId="3F64B3F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附件4：履约担保（如有）</w:t>
      </w:r>
    </w:p>
    <w:p w14:paraId="36FBE08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附件5：预付款担保（如有）</w:t>
      </w:r>
    </w:p>
    <w:p w14:paraId="5B1AD72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附件6：支付担保（如有）</w:t>
      </w:r>
    </w:p>
    <w:p w14:paraId="60370B6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附件7：专业工程暂估价表</w:t>
      </w:r>
    </w:p>
    <w:p w14:paraId="4DB049F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附件8：廉洁从业协议</w:t>
      </w:r>
    </w:p>
    <w:p w14:paraId="23520BE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附件9：安全管理协议</w:t>
      </w:r>
    </w:p>
    <w:p w14:paraId="688A39B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附件10：保障农民工工资支付协议</w:t>
      </w:r>
    </w:p>
    <w:bookmarkEnd w:id="1983"/>
    <w:p w14:paraId="741888C9">
      <w:pPr>
        <w:spacing w:line="36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984" w:name="_Toc296346727"/>
      <w:bookmarkStart w:id="1985" w:name="_Toc267261693"/>
      <w:bookmarkStart w:id="1986" w:name="_Toc296891266"/>
      <w:bookmarkStart w:id="1987" w:name="_Toc296944565"/>
      <w:bookmarkStart w:id="1988" w:name="_Toc296347225"/>
      <w:bookmarkStart w:id="1989" w:name="_Toc296891054"/>
      <w:bookmarkStart w:id="1990" w:name="_Toc296503226"/>
      <w:r>
        <w:rPr>
          <w:rFonts w:hint="eastAsia" w:ascii="宋体" w:hAnsi="宋体"/>
          <w:color w:val="auto"/>
          <w:szCs w:val="21"/>
          <w:highlight w:val="none"/>
        </w:rPr>
        <w:t>件1：</w:t>
      </w:r>
      <w:bookmarkEnd w:id="1984"/>
      <w:bookmarkEnd w:id="1985"/>
      <w:bookmarkEnd w:id="1986"/>
      <w:bookmarkEnd w:id="1987"/>
      <w:bookmarkEnd w:id="1988"/>
      <w:bookmarkEnd w:id="1989"/>
      <w:bookmarkEnd w:id="1990"/>
    </w:p>
    <w:p w14:paraId="45C71AFB">
      <w:pPr>
        <w:spacing w:before="156" w:beforeLines="50" w:after="156" w:afterLines="50" w:line="360" w:lineRule="auto"/>
        <w:jc w:val="center"/>
        <w:rPr>
          <w:rFonts w:ascii="宋体" w:hAnsi="宋体"/>
          <w:color w:val="auto"/>
          <w:szCs w:val="21"/>
          <w:highlight w:val="none"/>
        </w:rPr>
      </w:pPr>
      <w:r>
        <w:rPr>
          <w:rFonts w:hint="eastAsia" w:ascii="宋体" w:hAnsi="宋体"/>
          <w:color w:val="auto"/>
          <w:szCs w:val="21"/>
          <w:highlight w:val="none"/>
        </w:rPr>
        <w:t>工程质量保修书</w:t>
      </w:r>
    </w:p>
    <w:p w14:paraId="2316E133">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6B0E5DAA">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614A30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14:paraId="3359F77B">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292686D0">
      <w:pPr>
        <w:spacing w:line="360" w:lineRule="auto"/>
        <w:ind w:firstLine="420" w:firstLineChars="200"/>
        <w:rPr>
          <w:rFonts w:ascii="宋体" w:hAnsi="宋体"/>
          <w:color w:val="auto"/>
          <w:szCs w:val="21"/>
          <w:highlight w:val="none"/>
        </w:rPr>
      </w:pPr>
      <w:bookmarkStart w:id="1991" w:name="_Toc532375687"/>
      <w:r>
        <w:rPr>
          <w:rFonts w:hint="eastAsia" w:ascii="宋体" w:hAnsi="宋体"/>
          <w:color w:val="auto"/>
          <w:szCs w:val="21"/>
          <w:highlight w:val="none"/>
        </w:rPr>
        <w:t>一、工程质量保修范围和内容</w:t>
      </w:r>
      <w:bookmarkEnd w:id="1991"/>
    </w:p>
    <w:p w14:paraId="3E730F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72E61E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76DD2C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14:paraId="79256A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14:paraId="618457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14:paraId="4EEFF7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14:paraId="62F369A5">
      <w:pPr>
        <w:spacing w:line="360" w:lineRule="auto"/>
        <w:ind w:firstLine="420" w:firstLineChars="200"/>
        <w:rPr>
          <w:rFonts w:ascii="宋体" w:hAnsi="宋体"/>
          <w:color w:val="auto"/>
          <w:szCs w:val="21"/>
          <w:highlight w:val="none"/>
        </w:rPr>
      </w:pPr>
      <w:bookmarkStart w:id="1992" w:name="_Toc532375688"/>
      <w:r>
        <w:rPr>
          <w:rFonts w:hint="eastAsia" w:ascii="宋体" w:hAnsi="宋体"/>
          <w:color w:val="auto"/>
          <w:szCs w:val="21"/>
          <w:highlight w:val="none"/>
        </w:rPr>
        <w:t>二、质量保修期</w:t>
      </w:r>
      <w:bookmarkEnd w:id="1992"/>
    </w:p>
    <w:p w14:paraId="065555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14:paraId="40DB77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14:paraId="757440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14:paraId="4C02A8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3.供热与供冷系统，为2个采暖期、供冷期；</w:t>
      </w:r>
    </w:p>
    <w:p w14:paraId="662C89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4.电气管线、给排水管道、设备安装和装修工程，为2年；</w:t>
      </w:r>
    </w:p>
    <w:p w14:paraId="45BC97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5.其他项目保修期限：2年；</w:t>
      </w:r>
    </w:p>
    <w:p w14:paraId="77838B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14:paraId="51FB0A54">
      <w:pPr>
        <w:spacing w:line="360" w:lineRule="auto"/>
        <w:ind w:firstLine="420" w:firstLineChars="200"/>
        <w:rPr>
          <w:rFonts w:ascii="宋体" w:hAnsi="宋体"/>
          <w:color w:val="auto"/>
          <w:szCs w:val="21"/>
          <w:highlight w:val="none"/>
        </w:rPr>
      </w:pPr>
      <w:bookmarkStart w:id="1993" w:name="_Toc532375689"/>
      <w:r>
        <w:rPr>
          <w:rFonts w:hint="eastAsia" w:ascii="宋体" w:hAnsi="宋体"/>
          <w:color w:val="auto"/>
          <w:szCs w:val="21"/>
          <w:highlight w:val="none"/>
        </w:rPr>
        <w:t>三、质量保修责任</w:t>
      </w:r>
      <w:bookmarkEnd w:id="1993"/>
    </w:p>
    <w:p w14:paraId="620F06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2BD5CB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0E2529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53C02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14:paraId="7BE9A9A8">
      <w:pPr>
        <w:spacing w:line="360" w:lineRule="auto"/>
        <w:ind w:firstLine="420" w:firstLineChars="200"/>
        <w:rPr>
          <w:rFonts w:ascii="宋体" w:hAnsi="宋体"/>
          <w:color w:val="auto"/>
          <w:szCs w:val="21"/>
          <w:highlight w:val="none"/>
        </w:rPr>
      </w:pPr>
      <w:bookmarkStart w:id="1994" w:name="_Toc532375690"/>
      <w:r>
        <w:rPr>
          <w:rFonts w:hint="eastAsia" w:ascii="宋体" w:hAnsi="宋体"/>
          <w:color w:val="auto"/>
          <w:szCs w:val="21"/>
          <w:highlight w:val="none"/>
        </w:rPr>
        <w:t>四、保修费用</w:t>
      </w:r>
      <w:bookmarkEnd w:id="1994"/>
    </w:p>
    <w:p w14:paraId="32CF3F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保修费用由质量缺陷的责任方承担。</w:t>
      </w:r>
    </w:p>
    <w:p w14:paraId="4B3D8BC4">
      <w:pPr>
        <w:spacing w:line="360" w:lineRule="auto"/>
        <w:ind w:firstLine="420" w:firstLineChars="200"/>
        <w:rPr>
          <w:rFonts w:ascii="宋体" w:hAnsi="宋体"/>
          <w:color w:val="auto"/>
          <w:szCs w:val="21"/>
          <w:highlight w:val="none"/>
        </w:rPr>
      </w:pPr>
      <w:bookmarkStart w:id="1995" w:name="_Toc532375691"/>
      <w:r>
        <w:rPr>
          <w:rFonts w:hint="eastAsia" w:ascii="宋体" w:hAnsi="宋体"/>
          <w:color w:val="auto"/>
          <w:szCs w:val="21"/>
          <w:highlight w:val="none"/>
        </w:rPr>
        <w:t>五、双方约定的其他工程质量保修事项</w:t>
      </w:r>
    </w:p>
    <w:p w14:paraId="197D03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1995"/>
    </w:p>
    <w:p w14:paraId="72B93C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14:paraId="4446E1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六、本文件生效</w:t>
      </w:r>
    </w:p>
    <w:p w14:paraId="487F51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本工程质量保修书经发包人与承包人盖章后生效。</w:t>
      </w:r>
    </w:p>
    <w:p w14:paraId="6C5E94A5">
      <w:pPr>
        <w:pStyle w:val="2"/>
        <w:spacing w:line="360" w:lineRule="auto"/>
        <w:ind w:firstLine="420" w:firstLineChars="200"/>
        <w:rPr>
          <w:rFonts w:ascii="宋体" w:hAnsi="宋体"/>
          <w:color w:val="auto"/>
          <w:szCs w:val="21"/>
          <w:highlight w:val="none"/>
        </w:rPr>
      </w:pPr>
    </w:p>
    <w:p w14:paraId="54C21697">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3D2C9719">
      <w:pPr>
        <w:spacing w:line="360" w:lineRule="auto"/>
        <w:ind w:firstLine="420" w:firstLineChars="200"/>
        <w:rPr>
          <w:rFonts w:ascii="宋体" w:hAnsi="宋体"/>
          <w:snapToGrid w:val="0"/>
          <w:color w:val="auto"/>
          <w:kern w:val="0"/>
          <w:szCs w:val="21"/>
          <w:highlight w:val="none"/>
        </w:rPr>
      </w:pPr>
    </w:p>
    <w:p w14:paraId="545411E2">
      <w:pPr>
        <w:spacing w:line="360" w:lineRule="auto"/>
        <w:ind w:firstLine="420" w:firstLineChars="200"/>
        <w:rPr>
          <w:rFonts w:ascii="宋体" w:hAnsi="宋体"/>
          <w:snapToGrid w:val="0"/>
          <w:color w:val="auto"/>
          <w:kern w:val="0"/>
          <w:szCs w:val="21"/>
          <w:highlight w:val="none"/>
        </w:rPr>
      </w:pPr>
    </w:p>
    <w:p w14:paraId="46DD6F30">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（签字）</w:t>
      </w:r>
    </w:p>
    <w:p w14:paraId="38B6C199">
      <w:pPr>
        <w:spacing w:line="360" w:lineRule="auto"/>
        <w:ind w:firstLine="420" w:firstLineChars="200"/>
        <w:rPr>
          <w:rFonts w:ascii="宋体" w:hAnsi="宋体"/>
          <w:snapToGrid w:val="0"/>
          <w:color w:val="auto"/>
          <w:kern w:val="0"/>
          <w:szCs w:val="21"/>
          <w:highlight w:val="none"/>
        </w:rPr>
      </w:pPr>
    </w:p>
    <w:p w14:paraId="04DA1F08">
      <w:pPr>
        <w:spacing w:line="360" w:lineRule="auto"/>
        <w:ind w:firstLine="420" w:firstLineChars="200"/>
        <w:rPr>
          <w:rFonts w:ascii="宋体" w:hAnsi="宋体"/>
          <w:snapToGrid w:val="0"/>
          <w:color w:val="auto"/>
          <w:kern w:val="0"/>
          <w:szCs w:val="21"/>
          <w:highlight w:val="none"/>
        </w:rPr>
      </w:pPr>
    </w:p>
    <w:p w14:paraId="297490CA">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4D3C8CFD">
      <w:pPr>
        <w:spacing w:line="360" w:lineRule="auto"/>
        <w:ind w:firstLine="420" w:firstLineChars="200"/>
        <w:rPr>
          <w:rFonts w:ascii="宋体" w:hAnsi="宋体"/>
          <w:snapToGrid w:val="0"/>
          <w:color w:val="auto"/>
          <w:kern w:val="0"/>
          <w:szCs w:val="21"/>
          <w:highlight w:val="none"/>
        </w:rPr>
      </w:pPr>
    </w:p>
    <w:p w14:paraId="416D8BAA">
      <w:pPr>
        <w:spacing w:line="360" w:lineRule="auto"/>
        <w:ind w:firstLine="420" w:firstLineChars="200"/>
        <w:rPr>
          <w:rFonts w:ascii="宋体" w:hAnsi="宋体"/>
          <w:snapToGrid w:val="0"/>
          <w:color w:val="auto"/>
          <w:kern w:val="0"/>
          <w:szCs w:val="21"/>
          <w:highlight w:val="none"/>
        </w:rPr>
      </w:pPr>
    </w:p>
    <w:p w14:paraId="19FB0711">
      <w:pPr>
        <w:spacing w:line="360" w:lineRule="auto"/>
        <w:ind w:firstLine="420" w:firstLineChars="200"/>
        <w:rPr>
          <w:rFonts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（签字）</w:t>
      </w:r>
    </w:p>
    <w:p w14:paraId="7E9F0C7B">
      <w:pPr>
        <w:spacing w:line="360" w:lineRule="auto"/>
        <w:ind w:firstLine="418" w:firstLineChars="200"/>
        <w:rPr>
          <w:rFonts w:ascii="宋体" w:hAnsi="宋体"/>
          <w:snapToGrid w:val="0"/>
          <w:color w:val="auto"/>
          <w:spacing w:val="1"/>
          <w:w w:val="99"/>
          <w:kern w:val="0"/>
          <w:position w:val="-2"/>
          <w:szCs w:val="21"/>
          <w:highlight w:val="none"/>
        </w:rPr>
      </w:pPr>
    </w:p>
    <w:p w14:paraId="42255CDF">
      <w:pPr>
        <w:spacing w:line="360" w:lineRule="auto"/>
        <w:ind w:firstLine="418" w:firstLineChars="200"/>
        <w:rPr>
          <w:rFonts w:ascii="宋体" w:hAnsi="宋体"/>
          <w:snapToGrid w:val="0"/>
          <w:color w:val="auto"/>
          <w:spacing w:val="1"/>
          <w:w w:val="99"/>
          <w:kern w:val="0"/>
          <w:position w:val="-2"/>
          <w:szCs w:val="21"/>
          <w:highlight w:val="none"/>
        </w:rPr>
      </w:pPr>
    </w:p>
    <w:p w14:paraId="555296D4">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14:paraId="4B56C943">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14:paraId="2D7F2D41">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0547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noWrap w:val="0"/>
            <w:vAlign w:val="center"/>
          </w:tcPr>
          <w:p w14:paraId="2408B76F">
            <w:pPr>
              <w:spacing w:line="400" w:lineRule="exact"/>
              <w:jc w:val="center"/>
              <w:rPr>
                <w:rFonts w:ascii="宋体" w:hAnsi="宋体"/>
                <w:color w:val="auto"/>
                <w:szCs w:val="21"/>
                <w:highlight w:val="none"/>
              </w:rPr>
            </w:pPr>
            <w:r>
              <w:rPr>
                <w:rFonts w:hint="eastAsia" w:ascii="宋体" w:hAnsi="宋体"/>
                <w:color w:val="auto"/>
                <w:szCs w:val="21"/>
                <w:highlight w:val="none"/>
              </w:rPr>
              <w:t>文件名称</w:t>
            </w:r>
          </w:p>
        </w:tc>
        <w:tc>
          <w:tcPr>
            <w:tcW w:w="1418" w:type="dxa"/>
            <w:noWrap w:val="0"/>
            <w:vAlign w:val="center"/>
          </w:tcPr>
          <w:p w14:paraId="5ED65952">
            <w:pPr>
              <w:spacing w:line="400" w:lineRule="exact"/>
              <w:jc w:val="center"/>
              <w:rPr>
                <w:rFonts w:ascii="宋体" w:hAnsi="宋体"/>
                <w:color w:val="auto"/>
                <w:szCs w:val="21"/>
                <w:highlight w:val="none"/>
              </w:rPr>
            </w:pPr>
            <w:r>
              <w:rPr>
                <w:rFonts w:hint="eastAsia" w:ascii="宋体" w:hAnsi="宋体"/>
                <w:color w:val="auto"/>
                <w:szCs w:val="21"/>
                <w:highlight w:val="none"/>
              </w:rPr>
              <w:t>套数</w:t>
            </w:r>
          </w:p>
        </w:tc>
        <w:tc>
          <w:tcPr>
            <w:tcW w:w="1418" w:type="dxa"/>
            <w:noWrap w:val="0"/>
            <w:vAlign w:val="top"/>
          </w:tcPr>
          <w:p w14:paraId="1C9EEE8A">
            <w:pPr>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2917" w:type="dxa"/>
            <w:noWrap w:val="0"/>
            <w:vAlign w:val="top"/>
          </w:tcPr>
          <w:p w14:paraId="33DA6523">
            <w:pPr>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015F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1B4BB079">
            <w:pPr>
              <w:spacing w:line="400" w:lineRule="exact"/>
              <w:ind w:firstLine="420" w:firstLineChars="200"/>
              <w:rPr>
                <w:rFonts w:ascii="宋体" w:hAnsi="宋体"/>
                <w:color w:val="auto"/>
                <w:szCs w:val="21"/>
                <w:highlight w:val="none"/>
              </w:rPr>
            </w:pPr>
          </w:p>
        </w:tc>
        <w:tc>
          <w:tcPr>
            <w:tcW w:w="1418" w:type="dxa"/>
            <w:noWrap w:val="0"/>
            <w:vAlign w:val="center"/>
          </w:tcPr>
          <w:p w14:paraId="6211AAA4">
            <w:pPr>
              <w:spacing w:line="400" w:lineRule="exact"/>
              <w:ind w:firstLine="420" w:firstLineChars="200"/>
              <w:rPr>
                <w:rFonts w:ascii="宋体" w:hAnsi="宋体"/>
                <w:color w:val="auto"/>
                <w:szCs w:val="21"/>
                <w:highlight w:val="none"/>
              </w:rPr>
            </w:pPr>
          </w:p>
        </w:tc>
        <w:tc>
          <w:tcPr>
            <w:tcW w:w="1418" w:type="dxa"/>
            <w:noWrap w:val="0"/>
            <w:vAlign w:val="center"/>
          </w:tcPr>
          <w:p w14:paraId="747E8C29">
            <w:pPr>
              <w:spacing w:line="400" w:lineRule="exact"/>
              <w:ind w:firstLine="420" w:firstLineChars="200"/>
              <w:rPr>
                <w:rFonts w:ascii="宋体" w:hAnsi="宋体"/>
                <w:color w:val="auto"/>
                <w:szCs w:val="21"/>
                <w:highlight w:val="none"/>
              </w:rPr>
            </w:pPr>
          </w:p>
        </w:tc>
        <w:tc>
          <w:tcPr>
            <w:tcW w:w="2917" w:type="dxa"/>
            <w:noWrap w:val="0"/>
            <w:vAlign w:val="center"/>
          </w:tcPr>
          <w:p w14:paraId="200EE2F3">
            <w:pPr>
              <w:spacing w:line="400" w:lineRule="exact"/>
              <w:ind w:firstLine="420" w:firstLineChars="200"/>
              <w:rPr>
                <w:rFonts w:ascii="宋体" w:hAnsi="宋体"/>
                <w:color w:val="auto"/>
                <w:szCs w:val="21"/>
                <w:highlight w:val="none"/>
              </w:rPr>
            </w:pPr>
          </w:p>
        </w:tc>
      </w:tr>
      <w:tr w14:paraId="6E16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2CC0E2AA">
            <w:pPr>
              <w:spacing w:line="400" w:lineRule="exact"/>
              <w:ind w:firstLine="420" w:firstLineChars="200"/>
              <w:rPr>
                <w:rFonts w:ascii="宋体" w:hAnsi="宋体"/>
                <w:color w:val="auto"/>
                <w:szCs w:val="21"/>
                <w:highlight w:val="none"/>
              </w:rPr>
            </w:pPr>
          </w:p>
        </w:tc>
        <w:tc>
          <w:tcPr>
            <w:tcW w:w="1418" w:type="dxa"/>
            <w:noWrap w:val="0"/>
            <w:vAlign w:val="center"/>
          </w:tcPr>
          <w:p w14:paraId="32AFE4B3">
            <w:pPr>
              <w:spacing w:line="400" w:lineRule="exact"/>
              <w:ind w:firstLine="420" w:firstLineChars="200"/>
              <w:rPr>
                <w:rFonts w:ascii="宋体" w:hAnsi="宋体"/>
                <w:color w:val="auto"/>
                <w:szCs w:val="21"/>
                <w:highlight w:val="none"/>
              </w:rPr>
            </w:pPr>
          </w:p>
        </w:tc>
        <w:tc>
          <w:tcPr>
            <w:tcW w:w="1418" w:type="dxa"/>
            <w:noWrap w:val="0"/>
            <w:vAlign w:val="center"/>
          </w:tcPr>
          <w:p w14:paraId="694BE591">
            <w:pPr>
              <w:spacing w:line="400" w:lineRule="exact"/>
              <w:ind w:firstLine="420" w:firstLineChars="200"/>
              <w:rPr>
                <w:rFonts w:ascii="宋体" w:hAnsi="宋体"/>
                <w:color w:val="auto"/>
                <w:szCs w:val="21"/>
                <w:highlight w:val="none"/>
              </w:rPr>
            </w:pPr>
          </w:p>
        </w:tc>
        <w:tc>
          <w:tcPr>
            <w:tcW w:w="2917" w:type="dxa"/>
            <w:noWrap w:val="0"/>
            <w:vAlign w:val="center"/>
          </w:tcPr>
          <w:p w14:paraId="687F1548">
            <w:pPr>
              <w:spacing w:line="400" w:lineRule="exact"/>
              <w:ind w:firstLine="420" w:firstLineChars="200"/>
              <w:rPr>
                <w:rFonts w:ascii="宋体" w:hAnsi="宋体"/>
                <w:color w:val="auto"/>
                <w:szCs w:val="21"/>
                <w:highlight w:val="none"/>
              </w:rPr>
            </w:pPr>
          </w:p>
        </w:tc>
      </w:tr>
      <w:tr w14:paraId="32EF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439592AF">
            <w:pPr>
              <w:spacing w:line="400" w:lineRule="exact"/>
              <w:ind w:firstLine="420" w:firstLineChars="200"/>
              <w:rPr>
                <w:rFonts w:ascii="宋体" w:hAnsi="宋体"/>
                <w:color w:val="auto"/>
                <w:szCs w:val="21"/>
                <w:highlight w:val="none"/>
              </w:rPr>
            </w:pPr>
          </w:p>
        </w:tc>
        <w:tc>
          <w:tcPr>
            <w:tcW w:w="1418" w:type="dxa"/>
            <w:noWrap w:val="0"/>
            <w:vAlign w:val="center"/>
          </w:tcPr>
          <w:p w14:paraId="4BBE5223">
            <w:pPr>
              <w:spacing w:line="400" w:lineRule="exact"/>
              <w:ind w:firstLine="420" w:firstLineChars="200"/>
              <w:rPr>
                <w:rFonts w:ascii="宋体" w:hAnsi="宋体"/>
                <w:color w:val="auto"/>
                <w:szCs w:val="21"/>
                <w:highlight w:val="none"/>
              </w:rPr>
            </w:pPr>
          </w:p>
        </w:tc>
        <w:tc>
          <w:tcPr>
            <w:tcW w:w="1418" w:type="dxa"/>
            <w:noWrap w:val="0"/>
            <w:vAlign w:val="center"/>
          </w:tcPr>
          <w:p w14:paraId="7530AA04">
            <w:pPr>
              <w:spacing w:line="400" w:lineRule="exact"/>
              <w:ind w:firstLine="420" w:firstLineChars="200"/>
              <w:rPr>
                <w:rFonts w:ascii="宋体" w:hAnsi="宋体"/>
                <w:color w:val="auto"/>
                <w:szCs w:val="21"/>
                <w:highlight w:val="none"/>
              </w:rPr>
            </w:pPr>
          </w:p>
        </w:tc>
        <w:tc>
          <w:tcPr>
            <w:tcW w:w="2917" w:type="dxa"/>
            <w:noWrap w:val="0"/>
            <w:vAlign w:val="center"/>
          </w:tcPr>
          <w:p w14:paraId="3CFC5EC8">
            <w:pPr>
              <w:spacing w:line="400" w:lineRule="exact"/>
              <w:ind w:firstLine="420" w:firstLineChars="200"/>
              <w:rPr>
                <w:rFonts w:ascii="宋体" w:hAnsi="宋体"/>
                <w:color w:val="auto"/>
                <w:szCs w:val="21"/>
                <w:highlight w:val="none"/>
              </w:rPr>
            </w:pPr>
          </w:p>
        </w:tc>
      </w:tr>
      <w:tr w14:paraId="6DFD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2ECD8B43">
            <w:pPr>
              <w:spacing w:line="400" w:lineRule="exact"/>
              <w:ind w:firstLine="420" w:firstLineChars="200"/>
              <w:rPr>
                <w:rFonts w:ascii="宋体" w:hAnsi="宋体"/>
                <w:color w:val="auto"/>
                <w:szCs w:val="21"/>
                <w:highlight w:val="none"/>
              </w:rPr>
            </w:pPr>
          </w:p>
        </w:tc>
        <w:tc>
          <w:tcPr>
            <w:tcW w:w="1418" w:type="dxa"/>
            <w:noWrap w:val="0"/>
            <w:vAlign w:val="center"/>
          </w:tcPr>
          <w:p w14:paraId="5FA59CA7">
            <w:pPr>
              <w:spacing w:line="400" w:lineRule="exact"/>
              <w:ind w:firstLine="420" w:firstLineChars="200"/>
              <w:rPr>
                <w:rFonts w:ascii="宋体" w:hAnsi="宋体"/>
                <w:color w:val="auto"/>
                <w:szCs w:val="21"/>
                <w:highlight w:val="none"/>
              </w:rPr>
            </w:pPr>
          </w:p>
        </w:tc>
        <w:tc>
          <w:tcPr>
            <w:tcW w:w="1418" w:type="dxa"/>
            <w:noWrap w:val="0"/>
            <w:vAlign w:val="center"/>
          </w:tcPr>
          <w:p w14:paraId="669A8314">
            <w:pPr>
              <w:spacing w:line="400" w:lineRule="exact"/>
              <w:ind w:firstLine="420" w:firstLineChars="200"/>
              <w:rPr>
                <w:rFonts w:ascii="宋体" w:hAnsi="宋体"/>
                <w:color w:val="auto"/>
                <w:szCs w:val="21"/>
                <w:highlight w:val="none"/>
              </w:rPr>
            </w:pPr>
          </w:p>
        </w:tc>
        <w:tc>
          <w:tcPr>
            <w:tcW w:w="2917" w:type="dxa"/>
            <w:noWrap w:val="0"/>
            <w:vAlign w:val="center"/>
          </w:tcPr>
          <w:p w14:paraId="48B29B4C">
            <w:pPr>
              <w:spacing w:line="400" w:lineRule="exact"/>
              <w:ind w:firstLine="420" w:firstLineChars="200"/>
              <w:rPr>
                <w:rFonts w:ascii="宋体" w:hAnsi="宋体"/>
                <w:color w:val="auto"/>
                <w:szCs w:val="21"/>
                <w:highlight w:val="none"/>
              </w:rPr>
            </w:pPr>
          </w:p>
        </w:tc>
      </w:tr>
      <w:tr w14:paraId="6CE0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27751800">
            <w:pPr>
              <w:spacing w:line="400" w:lineRule="exact"/>
              <w:ind w:firstLine="420" w:firstLineChars="200"/>
              <w:rPr>
                <w:rFonts w:ascii="宋体" w:hAnsi="宋体"/>
                <w:color w:val="auto"/>
                <w:szCs w:val="21"/>
                <w:highlight w:val="none"/>
              </w:rPr>
            </w:pPr>
          </w:p>
        </w:tc>
        <w:tc>
          <w:tcPr>
            <w:tcW w:w="1418" w:type="dxa"/>
            <w:noWrap w:val="0"/>
            <w:vAlign w:val="center"/>
          </w:tcPr>
          <w:p w14:paraId="36C70859">
            <w:pPr>
              <w:spacing w:line="400" w:lineRule="exact"/>
              <w:ind w:firstLine="420" w:firstLineChars="200"/>
              <w:rPr>
                <w:rFonts w:ascii="宋体" w:hAnsi="宋体"/>
                <w:color w:val="auto"/>
                <w:szCs w:val="21"/>
                <w:highlight w:val="none"/>
              </w:rPr>
            </w:pPr>
          </w:p>
        </w:tc>
        <w:tc>
          <w:tcPr>
            <w:tcW w:w="1418" w:type="dxa"/>
            <w:noWrap w:val="0"/>
            <w:vAlign w:val="center"/>
          </w:tcPr>
          <w:p w14:paraId="4030573F">
            <w:pPr>
              <w:spacing w:line="400" w:lineRule="exact"/>
              <w:ind w:firstLine="420" w:firstLineChars="200"/>
              <w:rPr>
                <w:rFonts w:ascii="宋体" w:hAnsi="宋体"/>
                <w:color w:val="auto"/>
                <w:szCs w:val="21"/>
                <w:highlight w:val="none"/>
              </w:rPr>
            </w:pPr>
          </w:p>
        </w:tc>
        <w:tc>
          <w:tcPr>
            <w:tcW w:w="2917" w:type="dxa"/>
            <w:noWrap w:val="0"/>
            <w:vAlign w:val="center"/>
          </w:tcPr>
          <w:p w14:paraId="6B738B91">
            <w:pPr>
              <w:spacing w:line="400" w:lineRule="exact"/>
              <w:ind w:firstLine="420" w:firstLineChars="200"/>
              <w:rPr>
                <w:rFonts w:ascii="宋体" w:hAnsi="宋体"/>
                <w:color w:val="auto"/>
                <w:szCs w:val="21"/>
                <w:highlight w:val="none"/>
              </w:rPr>
            </w:pPr>
          </w:p>
        </w:tc>
      </w:tr>
      <w:tr w14:paraId="5697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39BD3D78">
            <w:pPr>
              <w:spacing w:line="400" w:lineRule="exact"/>
              <w:ind w:firstLine="420" w:firstLineChars="200"/>
              <w:rPr>
                <w:rFonts w:ascii="宋体" w:hAnsi="宋体"/>
                <w:color w:val="auto"/>
                <w:szCs w:val="21"/>
                <w:highlight w:val="none"/>
              </w:rPr>
            </w:pPr>
          </w:p>
        </w:tc>
        <w:tc>
          <w:tcPr>
            <w:tcW w:w="1418" w:type="dxa"/>
            <w:noWrap w:val="0"/>
            <w:vAlign w:val="center"/>
          </w:tcPr>
          <w:p w14:paraId="066B37C5">
            <w:pPr>
              <w:spacing w:line="400" w:lineRule="exact"/>
              <w:ind w:firstLine="420" w:firstLineChars="200"/>
              <w:rPr>
                <w:rFonts w:ascii="宋体" w:hAnsi="宋体"/>
                <w:color w:val="auto"/>
                <w:szCs w:val="21"/>
                <w:highlight w:val="none"/>
              </w:rPr>
            </w:pPr>
          </w:p>
        </w:tc>
        <w:tc>
          <w:tcPr>
            <w:tcW w:w="1418" w:type="dxa"/>
            <w:noWrap w:val="0"/>
            <w:vAlign w:val="center"/>
          </w:tcPr>
          <w:p w14:paraId="09A026DA">
            <w:pPr>
              <w:spacing w:line="400" w:lineRule="exact"/>
              <w:ind w:firstLine="420" w:firstLineChars="200"/>
              <w:rPr>
                <w:rFonts w:ascii="宋体" w:hAnsi="宋体"/>
                <w:color w:val="auto"/>
                <w:szCs w:val="21"/>
                <w:highlight w:val="none"/>
              </w:rPr>
            </w:pPr>
          </w:p>
        </w:tc>
        <w:tc>
          <w:tcPr>
            <w:tcW w:w="2917" w:type="dxa"/>
            <w:noWrap w:val="0"/>
            <w:vAlign w:val="center"/>
          </w:tcPr>
          <w:p w14:paraId="24701682">
            <w:pPr>
              <w:spacing w:line="400" w:lineRule="exact"/>
              <w:ind w:firstLine="420" w:firstLineChars="200"/>
              <w:rPr>
                <w:rFonts w:ascii="宋体" w:hAnsi="宋体"/>
                <w:color w:val="auto"/>
                <w:szCs w:val="21"/>
                <w:highlight w:val="none"/>
              </w:rPr>
            </w:pPr>
          </w:p>
        </w:tc>
      </w:tr>
      <w:tr w14:paraId="3296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1DDA8B2C">
            <w:pPr>
              <w:spacing w:line="400" w:lineRule="exact"/>
              <w:ind w:firstLine="420" w:firstLineChars="200"/>
              <w:rPr>
                <w:rFonts w:ascii="宋体" w:hAnsi="宋体"/>
                <w:color w:val="auto"/>
                <w:szCs w:val="21"/>
                <w:highlight w:val="none"/>
              </w:rPr>
            </w:pPr>
          </w:p>
        </w:tc>
        <w:tc>
          <w:tcPr>
            <w:tcW w:w="1418" w:type="dxa"/>
            <w:noWrap w:val="0"/>
            <w:vAlign w:val="center"/>
          </w:tcPr>
          <w:p w14:paraId="38CF7DD9">
            <w:pPr>
              <w:spacing w:line="400" w:lineRule="exact"/>
              <w:ind w:firstLine="420" w:firstLineChars="200"/>
              <w:rPr>
                <w:rFonts w:ascii="宋体" w:hAnsi="宋体"/>
                <w:color w:val="auto"/>
                <w:szCs w:val="21"/>
                <w:highlight w:val="none"/>
              </w:rPr>
            </w:pPr>
          </w:p>
        </w:tc>
        <w:tc>
          <w:tcPr>
            <w:tcW w:w="1418" w:type="dxa"/>
            <w:noWrap w:val="0"/>
            <w:vAlign w:val="center"/>
          </w:tcPr>
          <w:p w14:paraId="0E742CFB">
            <w:pPr>
              <w:spacing w:line="400" w:lineRule="exact"/>
              <w:ind w:firstLine="420" w:firstLineChars="200"/>
              <w:rPr>
                <w:rFonts w:ascii="宋体" w:hAnsi="宋体"/>
                <w:color w:val="auto"/>
                <w:szCs w:val="21"/>
                <w:highlight w:val="none"/>
              </w:rPr>
            </w:pPr>
          </w:p>
        </w:tc>
        <w:tc>
          <w:tcPr>
            <w:tcW w:w="2917" w:type="dxa"/>
            <w:noWrap w:val="0"/>
            <w:vAlign w:val="center"/>
          </w:tcPr>
          <w:p w14:paraId="19655F5E">
            <w:pPr>
              <w:spacing w:line="400" w:lineRule="exact"/>
              <w:ind w:firstLine="420" w:firstLineChars="200"/>
              <w:rPr>
                <w:rFonts w:ascii="宋体" w:hAnsi="宋体"/>
                <w:color w:val="auto"/>
                <w:szCs w:val="21"/>
                <w:highlight w:val="none"/>
              </w:rPr>
            </w:pPr>
          </w:p>
        </w:tc>
      </w:tr>
      <w:tr w14:paraId="697F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2D47AB1A">
            <w:pPr>
              <w:spacing w:line="400" w:lineRule="exact"/>
              <w:ind w:firstLine="420" w:firstLineChars="200"/>
              <w:rPr>
                <w:rFonts w:ascii="宋体" w:hAnsi="宋体"/>
                <w:color w:val="auto"/>
                <w:szCs w:val="21"/>
                <w:highlight w:val="none"/>
              </w:rPr>
            </w:pPr>
          </w:p>
        </w:tc>
        <w:tc>
          <w:tcPr>
            <w:tcW w:w="1418" w:type="dxa"/>
            <w:noWrap w:val="0"/>
            <w:vAlign w:val="center"/>
          </w:tcPr>
          <w:p w14:paraId="27C38170">
            <w:pPr>
              <w:spacing w:line="400" w:lineRule="exact"/>
              <w:ind w:firstLine="420" w:firstLineChars="200"/>
              <w:rPr>
                <w:rFonts w:ascii="宋体" w:hAnsi="宋体"/>
                <w:color w:val="auto"/>
                <w:szCs w:val="21"/>
                <w:highlight w:val="none"/>
              </w:rPr>
            </w:pPr>
          </w:p>
        </w:tc>
        <w:tc>
          <w:tcPr>
            <w:tcW w:w="1418" w:type="dxa"/>
            <w:noWrap w:val="0"/>
            <w:vAlign w:val="center"/>
          </w:tcPr>
          <w:p w14:paraId="7AD8EFA2">
            <w:pPr>
              <w:spacing w:line="400" w:lineRule="exact"/>
              <w:ind w:firstLine="420" w:firstLineChars="200"/>
              <w:rPr>
                <w:rFonts w:ascii="宋体" w:hAnsi="宋体"/>
                <w:color w:val="auto"/>
                <w:szCs w:val="21"/>
                <w:highlight w:val="none"/>
              </w:rPr>
            </w:pPr>
          </w:p>
        </w:tc>
        <w:tc>
          <w:tcPr>
            <w:tcW w:w="2917" w:type="dxa"/>
            <w:noWrap w:val="0"/>
            <w:vAlign w:val="center"/>
          </w:tcPr>
          <w:p w14:paraId="3121CE12">
            <w:pPr>
              <w:spacing w:line="400" w:lineRule="exact"/>
              <w:ind w:firstLine="420" w:firstLineChars="200"/>
              <w:rPr>
                <w:rFonts w:ascii="宋体" w:hAnsi="宋体"/>
                <w:color w:val="auto"/>
                <w:szCs w:val="21"/>
                <w:highlight w:val="none"/>
              </w:rPr>
            </w:pPr>
          </w:p>
        </w:tc>
      </w:tr>
      <w:tr w14:paraId="7253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282E2EB2">
            <w:pPr>
              <w:spacing w:line="400" w:lineRule="exact"/>
              <w:ind w:firstLine="420" w:firstLineChars="200"/>
              <w:rPr>
                <w:rFonts w:ascii="宋体" w:hAnsi="宋体"/>
                <w:color w:val="auto"/>
                <w:szCs w:val="21"/>
                <w:highlight w:val="none"/>
              </w:rPr>
            </w:pPr>
          </w:p>
        </w:tc>
        <w:tc>
          <w:tcPr>
            <w:tcW w:w="1418" w:type="dxa"/>
            <w:noWrap w:val="0"/>
            <w:vAlign w:val="top"/>
          </w:tcPr>
          <w:p w14:paraId="57D445D3">
            <w:pPr>
              <w:spacing w:line="400" w:lineRule="exact"/>
              <w:ind w:firstLine="420" w:firstLineChars="200"/>
              <w:rPr>
                <w:rFonts w:ascii="宋体" w:hAnsi="宋体"/>
                <w:color w:val="auto"/>
                <w:szCs w:val="21"/>
                <w:highlight w:val="none"/>
              </w:rPr>
            </w:pPr>
          </w:p>
        </w:tc>
        <w:tc>
          <w:tcPr>
            <w:tcW w:w="1418" w:type="dxa"/>
            <w:noWrap w:val="0"/>
            <w:vAlign w:val="top"/>
          </w:tcPr>
          <w:p w14:paraId="203C9BF7">
            <w:pPr>
              <w:spacing w:line="400" w:lineRule="exact"/>
              <w:ind w:firstLine="420" w:firstLineChars="200"/>
              <w:rPr>
                <w:rFonts w:ascii="宋体" w:hAnsi="宋体"/>
                <w:color w:val="auto"/>
                <w:szCs w:val="21"/>
                <w:highlight w:val="none"/>
              </w:rPr>
            </w:pPr>
          </w:p>
        </w:tc>
        <w:tc>
          <w:tcPr>
            <w:tcW w:w="2917" w:type="dxa"/>
            <w:noWrap w:val="0"/>
            <w:vAlign w:val="top"/>
          </w:tcPr>
          <w:p w14:paraId="1B795156">
            <w:pPr>
              <w:spacing w:line="400" w:lineRule="exact"/>
              <w:ind w:firstLine="420" w:firstLineChars="200"/>
              <w:rPr>
                <w:rFonts w:ascii="宋体" w:hAnsi="宋体"/>
                <w:color w:val="auto"/>
                <w:szCs w:val="21"/>
                <w:highlight w:val="none"/>
              </w:rPr>
            </w:pPr>
          </w:p>
        </w:tc>
      </w:tr>
      <w:tr w14:paraId="024D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01B75618">
            <w:pPr>
              <w:spacing w:line="400" w:lineRule="exact"/>
              <w:ind w:firstLine="420" w:firstLineChars="200"/>
              <w:rPr>
                <w:rFonts w:ascii="宋体" w:hAnsi="宋体"/>
                <w:color w:val="auto"/>
                <w:szCs w:val="21"/>
                <w:highlight w:val="none"/>
              </w:rPr>
            </w:pPr>
          </w:p>
        </w:tc>
        <w:tc>
          <w:tcPr>
            <w:tcW w:w="1418" w:type="dxa"/>
            <w:noWrap w:val="0"/>
            <w:vAlign w:val="center"/>
          </w:tcPr>
          <w:p w14:paraId="43C85A0A">
            <w:pPr>
              <w:spacing w:line="400" w:lineRule="exact"/>
              <w:ind w:firstLine="420" w:firstLineChars="200"/>
              <w:rPr>
                <w:rFonts w:ascii="宋体" w:hAnsi="宋体"/>
                <w:color w:val="auto"/>
                <w:szCs w:val="21"/>
                <w:highlight w:val="none"/>
              </w:rPr>
            </w:pPr>
          </w:p>
        </w:tc>
        <w:tc>
          <w:tcPr>
            <w:tcW w:w="1418" w:type="dxa"/>
            <w:noWrap w:val="0"/>
            <w:vAlign w:val="center"/>
          </w:tcPr>
          <w:p w14:paraId="478BCCCB">
            <w:pPr>
              <w:spacing w:line="400" w:lineRule="exact"/>
              <w:ind w:firstLine="420" w:firstLineChars="200"/>
              <w:rPr>
                <w:rFonts w:ascii="宋体" w:hAnsi="宋体"/>
                <w:color w:val="auto"/>
                <w:szCs w:val="21"/>
                <w:highlight w:val="none"/>
              </w:rPr>
            </w:pPr>
          </w:p>
        </w:tc>
        <w:tc>
          <w:tcPr>
            <w:tcW w:w="2917" w:type="dxa"/>
            <w:noWrap w:val="0"/>
            <w:vAlign w:val="center"/>
          </w:tcPr>
          <w:p w14:paraId="687EBEA4">
            <w:pPr>
              <w:spacing w:line="400" w:lineRule="exact"/>
              <w:ind w:firstLine="420" w:firstLineChars="200"/>
              <w:rPr>
                <w:rFonts w:ascii="宋体" w:hAnsi="宋体"/>
                <w:color w:val="auto"/>
                <w:szCs w:val="21"/>
                <w:highlight w:val="none"/>
              </w:rPr>
            </w:pPr>
          </w:p>
        </w:tc>
      </w:tr>
      <w:tr w14:paraId="567B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75672B28">
            <w:pPr>
              <w:spacing w:line="400" w:lineRule="exact"/>
              <w:ind w:firstLine="420" w:firstLineChars="200"/>
              <w:rPr>
                <w:rFonts w:ascii="宋体" w:hAnsi="宋体"/>
                <w:color w:val="auto"/>
                <w:szCs w:val="21"/>
                <w:highlight w:val="none"/>
              </w:rPr>
            </w:pPr>
          </w:p>
        </w:tc>
        <w:tc>
          <w:tcPr>
            <w:tcW w:w="1418" w:type="dxa"/>
            <w:noWrap w:val="0"/>
            <w:vAlign w:val="top"/>
          </w:tcPr>
          <w:p w14:paraId="5C4ACDF0">
            <w:pPr>
              <w:spacing w:line="400" w:lineRule="exact"/>
              <w:ind w:firstLine="420" w:firstLineChars="200"/>
              <w:rPr>
                <w:rFonts w:ascii="宋体" w:hAnsi="宋体"/>
                <w:color w:val="auto"/>
                <w:szCs w:val="21"/>
                <w:highlight w:val="none"/>
              </w:rPr>
            </w:pPr>
          </w:p>
        </w:tc>
        <w:tc>
          <w:tcPr>
            <w:tcW w:w="1418" w:type="dxa"/>
            <w:noWrap w:val="0"/>
            <w:vAlign w:val="top"/>
          </w:tcPr>
          <w:p w14:paraId="7CFF15B0">
            <w:pPr>
              <w:spacing w:line="400" w:lineRule="exact"/>
              <w:ind w:firstLine="420" w:firstLineChars="200"/>
              <w:rPr>
                <w:rFonts w:ascii="宋体" w:hAnsi="宋体"/>
                <w:color w:val="auto"/>
                <w:szCs w:val="21"/>
                <w:highlight w:val="none"/>
              </w:rPr>
            </w:pPr>
          </w:p>
        </w:tc>
        <w:tc>
          <w:tcPr>
            <w:tcW w:w="2917" w:type="dxa"/>
            <w:noWrap w:val="0"/>
            <w:vAlign w:val="top"/>
          </w:tcPr>
          <w:p w14:paraId="02D6667F">
            <w:pPr>
              <w:spacing w:line="400" w:lineRule="exact"/>
              <w:ind w:firstLine="420" w:firstLineChars="200"/>
              <w:rPr>
                <w:rFonts w:ascii="宋体" w:hAnsi="宋体"/>
                <w:color w:val="auto"/>
                <w:szCs w:val="21"/>
                <w:highlight w:val="none"/>
              </w:rPr>
            </w:pPr>
          </w:p>
        </w:tc>
      </w:tr>
      <w:tr w14:paraId="522D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4EBF8500">
            <w:pPr>
              <w:spacing w:line="400" w:lineRule="exact"/>
              <w:ind w:firstLine="420" w:firstLineChars="200"/>
              <w:rPr>
                <w:rFonts w:ascii="宋体" w:hAnsi="宋体"/>
                <w:color w:val="auto"/>
                <w:szCs w:val="21"/>
                <w:highlight w:val="none"/>
              </w:rPr>
            </w:pPr>
          </w:p>
        </w:tc>
        <w:tc>
          <w:tcPr>
            <w:tcW w:w="1418" w:type="dxa"/>
            <w:noWrap w:val="0"/>
            <w:vAlign w:val="top"/>
          </w:tcPr>
          <w:p w14:paraId="3531FCE5">
            <w:pPr>
              <w:spacing w:line="400" w:lineRule="exact"/>
              <w:ind w:firstLine="420" w:firstLineChars="200"/>
              <w:rPr>
                <w:rFonts w:ascii="宋体" w:hAnsi="宋体"/>
                <w:color w:val="auto"/>
                <w:szCs w:val="21"/>
                <w:highlight w:val="none"/>
              </w:rPr>
            </w:pPr>
          </w:p>
        </w:tc>
        <w:tc>
          <w:tcPr>
            <w:tcW w:w="1418" w:type="dxa"/>
            <w:noWrap w:val="0"/>
            <w:vAlign w:val="top"/>
          </w:tcPr>
          <w:p w14:paraId="0B46BE0E">
            <w:pPr>
              <w:spacing w:line="400" w:lineRule="exact"/>
              <w:ind w:firstLine="420" w:firstLineChars="200"/>
              <w:rPr>
                <w:rFonts w:ascii="宋体" w:hAnsi="宋体"/>
                <w:color w:val="auto"/>
                <w:szCs w:val="21"/>
                <w:highlight w:val="none"/>
              </w:rPr>
            </w:pPr>
          </w:p>
        </w:tc>
        <w:tc>
          <w:tcPr>
            <w:tcW w:w="2917" w:type="dxa"/>
            <w:noWrap w:val="0"/>
            <w:vAlign w:val="top"/>
          </w:tcPr>
          <w:p w14:paraId="479C12CF">
            <w:pPr>
              <w:spacing w:line="400" w:lineRule="exact"/>
              <w:ind w:firstLine="420" w:firstLineChars="200"/>
              <w:rPr>
                <w:rFonts w:ascii="宋体" w:hAnsi="宋体"/>
                <w:color w:val="auto"/>
                <w:szCs w:val="21"/>
                <w:highlight w:val="none"/>
              </w:rPr>
            </w:pPr>
          </w:p>
        </w:tc>
      </w:tr>
      <w:tr w14:paraId="15FF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768C9DDE">
            <w:pPr>
              <w:spacing w:line="400" w:lineRule="exact"/>
              <w:ind w:firstLine="420" w:firstLineChars="200"/>
              <w:rPr>
                <w:rFonts w:ascii="宋体" w:hAnsi="宋体"/>
                <w:color w:val="auto"/>
                <w:szCs w:val="21"/>
                <w:highlight w:val="none"/>
              </w:rPr>
            </w:pPr>
          </w:p>
        </w:tc>
        <w:tc>
          <w:tcPr>
            <w:tcW w:w="1418" w:type="dxa"/>
            <w:noWrap w:val="0"/>
            <w:vAlign w:val="top"/>
          </w:tcPr>
          <w:p w14:paraId="29B2CF5C">
            <w:pPr>
              <w:spacing w:line="400" w:lineRule="exact"/>
              <w:ind w:firstLine="420" w:firstLineChars="200"/>
              <w:rPr>
                <w:rFonts w:ascii="宋体" w:hAnsi="宋体"/>
                <w:color w:val="auto"/>
                <w:szCs w:val="21"/>
                <w:highlight w:val="none"/>
              </w:rPr>
            </w:pPr>
          </w:p>
        </w:tc>
        <w:tc>
          <w:tcPr>
            <w:tcW w:w="1418" w:type="dxa"/>
            <w:noWrap w:val="0"/>
            <w:vAlign w:val="top"/>
          </w:tcPr>
          <w:p w14:paraId="53EBDB6D">
            <w:pPr>
              <w:spacing w:line="400" w:lineRule="exact"/>
              <w:ind w:firstLine="420" w:firstLineChars="200"/>
              <w:rPr>
                <w:rFonts w:ascii="宋体" w:hAnsi="宋体"/>
                <w:color w:val="auto"/>
                <w:szCs w:val="21"/>
                <w:highlight w:val="none"/>
              </w:rPr>
            </w:pPr>
          </w:p>
        </w:tc>
        <w:tc>
          <w:tcPr>
            <w:tcW w:w="2917" w:type="dxa"/>
            <w:noWrap w:val="0"/>
            <w:vAlign w:val="top"/>
          </w:tcPr>
          <w:p w14:paraId="320732C6">
            <w:pPr>
              <w:spacing w:line="400" w:lineRule="exact"/>
              <w:ind w:firstLine="420" w:firstLineChars="200"/>
              <w:rPr>
                <w:rFonts w:ascii="宋体" w:hAnsi="宋体"/>
                <w:color w:val="auto"/>
                <w:szCs w:val="21"/>
                <w:highlight w:val="none"/>
              </w:rPr>
            </w:pPr>
          </w:p>
        </w:tc>
      </w:tr>
      <w:tr w14:paraId="3C81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60DF2EF9">
            <w:pPr>
              <w:spacing w:line="400" w:lineRule="exact"/>
              <w:ind w:firstLine="420" w:firstLineChars="200"/>
              <w:rPr>
                <w:rFonts w:ascii="宋体" w:hAnsi="宋体"/>
                <w:color w:val="auto"/>
                <w:szCs w:val="21"/>
                <w:highlight w:val="none"/>
              </w:rPr>
            </w:pPr>
          </w:p>
        </w:tc>
        <w:tc>
          <w:tcPr>
            <w:tcW w:w="1418" w:type="dxa"/>
            <w:noWrap w:val="0"/>
            <w:vAlign w:val="top"/>
          </w:tcPr>
          <w:p w14:paraId="465BAA2E">
            <w:pPr>
              <w:spacing w:line="400" w:lineRule="exact"/>
              <w:ind w:firstLine="420" w:firstLineChars="200"/>
              <w:rPr>
                <w:rFonts w:ascii="宋体" w:hAnsi="宋体"/>
                <w:color w:val="auto"/>
                <w:szCs w:val="21"/>
                <w:highlight w:val="none"/>
              </w:rPr>
            </w:pPr>
          </w:p>
        </w:tc>
        <w:tc>
          <w:tcPr>
            <w:tcW w:w="1418" w:type="dxa"/>
            <w:noWrap w:val="0"/>
            <w:vAlign w:val="top"/>
          </w:tcPr>
          <w:p w14:paraId="664D2CA6">
            <w:pPr>
              <w:spacing w:line="400" w:lineRule="exact"/>
              <w:ind w:firstLine="420" w:firstLineChars="200"/>
              <w:rPr>
                <w:rFonts w:ascii="宋体" w:hAnsi="宋体"/>
                <w:color w:val="auto"/>
                <w:szCs w:val="21"/>
                <w:highlight w:val="none"/>
              </w:rPr>
            </w:pPr>
          </w:p>
        </w:tc>
        <w:tc>
          <w:tcPr>
            <w:tcW w:w="2917" w:type="dxa"/>
            <w:noWrap w:val="0"/>
            <w:vAlign w:val="top"/>
          </w:tcPr>
          <w:p w14:paraId="15F063D7">
            <w:pPr>
              <w:spacing w:line="400" w:lineRule="exact"/>
              <w:ind w:firstLine="420" w:firstLineChars="200"/>
              <w:rPr>
                <w:rFonts w:ascii="宋体" w:hAnsi="宋体"/>
                <w:color w:val="auto"/>
                <w:szCs w:val="21"/>
                <w:highlight w:val="none"/>
              </w:rPr>
            </w:pPr>
          </w:p>
        </w:tc>
      </w:tr>
      <w:tr w14:paraId="7EFC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4447B761">
            <w:pPr>
              <w:spacing w:line="400" w:lineRule="exact"/>
              <w:ind w:firstLine="420" w:firstLineChars="200"/>
              <w:rPr>
                <w:rFonts w:ascii="宋体" w:hAnsi="宋体"/>
                <w:color w:val="auto"/>
                <w:szCs w:val="21"/>
                <w:highlight w:val="none"/>
              </w:rPr>
            </w:pPr>
          </w:p>
        </w:tc>
        <w:tc>
          <w:tcPr>
            <w:tcW w:w="1418" w:type="dxa"/>
            <w:noWrap w:val="0"/>
            <w:vAlign w:val="top"/>
          </w:tcPr>
          <w:p w14:paraId="037D4AC0">
            <w:pPr>
              <w:spacing w:line="400" w:lineRule="exact"/>
              <w:ind w:firstLine="420" w:firstLineChars="200"/>
              <w:rPr>
                <w:rFonts w:ascii="宋体" w:hAnsi="宋体"/>
                <w:color w:val="auto"/>
                <w:szCs w:val="21"/>
                <w:highlight w:val="none"/>
              </w:rPr>
            </w:pPr>
          </w:p>
        </w:tc>
        <w:tc>
          <w:tcPr>
            <w:tcW w:w="1418" w:type="dxa"/>
            <w:noWrap w:val="0"/>
            <w:vAlign w:val="top"/>
          </w:tcPr>
          <w:p w14:paraId="4DC8573A">
            <w:pPr>
              <w:spacing w:line="400" w:lineRule="exact"/>
              <w:ind w:firstLine="420" w:firstLineChars="200"/>
              <w:rPr>
                <w:rFonts w:ascii="宋体" w:hAnsi="宋体"/>
                <w:color w:val="auto"/>
                <w:szCs w:val="21"/>
                <w:highlight w:val="none"/>
              </w:rPr>
            </w:pPr>
          </w:p>
        </w:tc>
        <w:tc>
          <w:tcPr>
            <w:tcW w:w="2917" w:type="dxa"/>
            <w:noWrap w:val="0"/>
            <w:vAlign w:val="top"/>
          </w:tcPr>
          <w:p w14:paraId="529ED3D9">
            <w:pPr>
              <w:spacing w:line="400" w:lineRule="exact"/>
              <w:ind w:firstLine="420" w:firstLineChars="200"/>
              <w:rPr>
                <w:rFonts w:ascii="宋体" w:hAnsi="宋体"/>
                <w:color w:val="auto"/>
                <w:szCs w:val="21"/>
                <w:highlight w:val="none"/>
              </w:rPr>
            </w:pPr>
          </w:p>
        </w:tc>
      </w:tr>
      <w:tr w14:paraId="4DEA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1197BCBB">
            <w:pPr>
              <w:spacing w:line="400" w:lineRule="exact"/>
              <w:ind w:firstLine="420" w:firstLineChars="200"/>
              <w:rPr>
                <w:rFonts w:ascii="宋体" w:hAnsi="宋体"/>
                <w:color w:val="auto"/>
                <w:szCs w:val="21"/>
                <w:highlight w:val="none"/>
              </w:rPr>
            </w:pPr>
          </w:p>
        </w:tc>
        <w:tc>
          <w:tcPr>
            <w:tcW w:w="1418" w:type="dxa"/>
            <w:noWrap w:val="0"/>
            <w:vAlign w:val="top"/>
          </w:tcPr>
          <w:p w14:paraId="57BB7376">
            <w:pPr>
              <w:spacing w:line="400" w:lineRule="exact"/>
              <w:ind w:firstLine="420" w:firstLineChars="200"/>
              <w:rPr>
                <w:rFonts w:ascii="宋体" w:hAnsi="宋体"/>
                <w:color w:val="auto"/>
                <w:szCs w:val="21"/>
                <w:highlight w:val="none"/>
              </w:rPr>
            </w:pPr>
          </w:p>
        </w:tc>
        <w:tc>
          <w:tcPr>
            <w:tcW w:w="1418" w:type="dxa"/>
            <w:noWrap w:val="0"/>
            <w:vAlign w:val="top"/>
          </w:tcPr>
          <w:p w14:paraId="6AE73291">
            <w:pPr>
              <w:spacing w:line="400" w:lineRule="exact"/>
              <w:ind w:firstLine="420" w:firstLineChars="200"/>
              <w:rPr>
                <w:rFonts w:ascii="宋体" w:hAnsi="宋体"/>
                <w:color w:val="auto"/>
                <w:szCs w:val="21"/>
                <w:highlight w:val="none"/>
              </w:rPr>
            </w:pPr>
          </w:p>
        </w:tc>
        <w:tc>
          <w:tcPr>
            <w:tcW w:w="2917" w:type="dxa"/>
            <w:noWrap w:val="0"/>
            <w:vAlign w:val="top"/>
          </w:tcPr>
          <w:p w14:paraId="675CEC06">
            <w:pPr>
              <w:spacing w:line="400" w:lineRule="exact"/>
              <w:ind w:firstLine="420" w:firstLineChars="200"/>
              <w:rPr>
                <w:rFonts w:ascii="宋体" w:hAnsi="宋体"/>
                <w:color w:val="auto"/>
                <w:szCs w:val="21"/>
                <w:highlight w:val="none"/>
              </w:rPr>
            </w:pPr>
          </w:p>
        </w:tc>
      </w:tr>
      <w:tr w14:paraId="1009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44DCCE73">
            <w:pPr>
              <w:spacing w:line="400" w:lineRule="exact"/>
              <w:ind w:firstLine="420" w:firstLineChars="200"/>
              <w:rPr>
                <w:rFonts w:ascii="宋体" w:hAnsi="宋体"/>
                <w:color w:val="auto"/>
                <w:szCs w:val="21"/>
                <w:highlight w:val="none"/>
              </w:rPr>
            </w:pPr>
          </w:p>
        </w:tc>
        <w:tc>
          <w:tcPr>
            <w:tcW w:w="1418" w:type="dxa"/>
            <w:noWrap w:val="0"/>
            <w:vAlign w:val="top"/>
          </w:tcPr>
          <w:p w14:paraId="609131A6">
            <w:pPr>
              <w:spacing w:line="400" w:lineRule="exact"/>
              <w:ind w:firstLine="420" w:firstLineChars="200"/>
              <w:rPr>
                <w:rFonts w:ascii="宋体" w:hAnsi="宋体"/>
                <w:color w:val="auto"/>
                <w:szCs w:val="21"/>
                <w:highlight w:val="none"/>
              </w:rPr>
            </w:pPr>
          </w:p>
        </w:tc>
        <w:tc>
          <w:tcPr>
            <w:tcW w:w="1418" w:type="dxa"/>
            <w:noWrap w:val="0"/>
            <w:vAlign w:val="top"/>
          </w:tcPr>
          <w:p w14:paraId="229A0B42">
            <w:pPr>
              <w:spacing w:line="400" w:lineRule="exact"/>
              <w:ind w:firstLine="420" w:firstLineChars="200"/>
              <w:rPr>
                <w:rFonts w:ascii="宋体" w:hAnsi="宋体"/>
                <w:color w:val="auto"/>
                <w:szCs w:val="21"/>
                <w:highlight w:val="none"/>
              </w:rPr>
            </w:pPr>
          </w:p>
        </w:tc>
        <w:tc>
          <w:tcPr>
            <w:tcW w:w="2917" w:type="dxa"/>
            <w:noWrap w:val="0"/>
            <w:vAlign w:val="top"/>
          </w:tcPr>
          <w:p w14:paraId="3B267743">
            <w:pPr>
              <w:spacing w:line="400" w:lineRule="exact"/>
              <w:ind w:firstLine="420" w:firstLineChars="200"/>
              <w:rPr>
                <w:rFonts w:ascii="宋体" w:hAnsi="宋体"/>
                <w:color w:val="auto"/>
                <w:szCs w:val="21"/>
                <w:highlight w:val="none"/>
              </w:rPr>
            </w:pPr>
          </w:p>
        </w:tc>
      </w:tr>
      <w:tr w14:paraId="6604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137AAF8B">
            <w:pPr>
              <w:spacing w:line="400" w:lineRule="exact"/>
              <w:ind w:firstLine="420" w:firstLineChars="200"/>
              <w:rPr>
                <w:rFonts w:ascii="宋体" w:hAnsi="宋体"/>
                <w:color w:val="auto"/>
                <w:szCs w:val="21"/>
                <w:highlight w:val="none"/>
              </w:rPr>
            </w:pPr>
          </w:p>
        </w:tc>
        <w:tc>
          <w:tcPr>
            <w:tcW w:w="1418" w:type="dxa"/>
            <w:noWrap w:val="0"/>
            <w:vAlign w:val="top"/>
          </w:tcPr>
          <w:p w14:paraId="3735E32B">
            <w:pPr>
              <w:spacing w:line="400" w:lineRule="exact"/>
              <w:ind w:firstLine="420" w:firstLineChars="200"/>
              <w:rPr>
                <w:rFonts w:ascii="宋体" w:hAnsi="宋体"/>
                <w:color w:val="auto"/>
                <w:szCs w:val="21"/>
                <w:highlight w:val="none"/>
              </w:rPr>
            </w:pPr>
          </w:p>
        </w:tc>
        <w:tc>
          <w:tcPr>
            <w:tcW w:w="1418" w:type="dxa"/>
            <w:noWrap w:val="0"/>
            <w:vAlign w:val="top"/>
          </w:tcPr>
          <w:p w14:paraId="69A9FBD7">
            <w:pPr>
              <w:spacing w:line="400" w:lineRule="exact"/>
              <w:ind w:firstLine="420" w:firstLineChars="200"/>
              <w:rPr>
                <w:rFonts w:ascii="宋体" w:hAnsi="宋体"/>
                <w:color w:val="auto"/>
                <w:szCs w:val="21"/>
                <w:highlight w:val="none"/>
              </w:rPr>
            </w:pPr>
          </w:p>
        </w:tc>
        <w:tc>
          <w:tcPr>
            <w:tcW w:w="2917" w:type="dxa"/>
            <w:noWrap w:val="0"/>
            <w:vAlign w:val="top"/>
          </w:tcPr>
          <w:p w14:paraId="68D236DA">
            <w:pPr>
              <w:spacing w:line="400" w:lineRule="exact"/>
              <w:ind w:firstLine="420" w:firstLineChars="200"/>
              <w:rPr>
                <w:rFonts w:ascii="宋体" w:hAnsi="宋体"/>
                <w:color w:val="auto"/>
                <w:szCs w:val="21"/>
                <w:highlight w:val="none"/>
              </w:rPr>
            </w:pPr>
          </w:p>
        </w:tc>
      </w:tr>
    </w:tbl>
    <w:p w14:paraId="4A425D62">
      <w:pPr>
        <w:spacing w:line="360" w:lineRule="auto"/>
        <w:ind w:firstLine="420" w:firstLineChars="200"/>
        <w:rPr>
          <w:rFonts w:ascii="宋体" w:hAnsi="宋体"/>
          <w:color w:val="auto"/>
          <w:szCs w:val="21"/>
          <w:highlight w:val="none"/>
        </w:rPr>
      </w:pPr>
    </w:p>
    <w:p w14:paraId="276C6E73">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996" w:name="_Toc296346729"/>
      <w:bookmarkStart w:id="1997" w:name="_Toc296347227"/>
      <w:bookmarkStart w:id="1998" w:name="_Toc296944567"/>
      <w:bookmarkStart w:id="1999" w:name="_Toc296891056"/>
      <w:bookmarkStart w:id="2000" w:name="_Toc267261699"/>
      <w:bookmarkStart w:id="2001" w:name="_Toc296503228"/>
      <w:bookmarkStart w:id="2002" w:name="_Toc296891268"/>
      <w:r>
        <w:rPr>
          <w:rFonts w:hint="eastAsia" w:ascii="宋体" w:hAnsi="宋体"/>
          <w:color w:val="auto"/>
          <w:szCs w:val="21"/>
          <w:highlight w:val="none"/>
        </w:rPr>
        <w:t>件3：</w:t>
      </w:r>
    </w:p>
    <w:bookmarkEnd w:id="1996"/>
    <w:bookmarkEnd w:id="1997"/>
    <w:bookmarkEnd w:id="1998"/>
    <w:bookmarkEnd w:id="1999"/>
    <w:bookmarkEnd w:id="2000"/>
    <w:bookmarkEnd w:id="2001"/>
    <w:bookmarkEnd w:id="2002"/>
    <w:p w14:paraId="694024F6">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994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F028FD8">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noWrap w:val="0"/>
            <w:vAlign w:val="center"/>
          </w:tcPr>
          <w:p w14:paraId="78DA6D08">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noWrap w:val="0"/>
            <w:vAlign w:val="center"/>
          </w:tcPr>
          <w:p w14:paraId="225E4008">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noWrap w:val="0"/>
            <w:vAlign w:val="center"/>
          </w:tcPr>
          <w:p w14:paraId="6E0B2355">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noWrap w:val="0"/>
            <w:vAlign w:val="center"/>
          </w:tcPr>
          <w:p w14:paraId="0EE29223">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14:paraId="235B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noWrap w:val="0"/>
            <w:vAlign w:val="center"/>
          </w:tcPr>
          <w:p w14:paraId="3206B5FE">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14:paraId="37CE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1C0CA90">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noWrap w:val="0"/>
            <w:vAlign w:val="center"/>
          </w:tcPr>
          <w:p w14:paraId="0A2E8401">
            <w:pPr>
              <w:spacing w:line="400" w:lineRule="exact"/>
              <w:ind w:firstLine="420" w:firstLineChars="200"/>
              <w:rPr>
                <w:rFonts w:ascii="宋体" w:hAnsi="宋体"/>
                <w:color w:val="auto"/>
                <w:szCs w:val="21"/>
                <w:highlight w:val="none"/>
              </w:rPr>
            </w:pPr>
          </w:p>
        </w:tc>
        <w:tc>
          <w:tcPr>
            <w:tcW w:w="1134" w:type="dxa"/>
            <w:noWrap w:val="0"/>
            <w:vAlign w:val="center"/>
          </w:tcPr>
          <w:p w14:paraId="2C163B0E">
            <w:pPr>
              <w:spacing w:line="400" w:lineRule="exact"/>
              <w:ind w:firstLine="420" w:firstLineChars="200"/>
              <w:rPr>
                <w:rFonts w:ascii="宋体" w:hAnsi="宋体"/>
                <w:color w:val="auto"/>
                <w:szCs w:val="21"/>
                <w:highlight w:val="none"/>
              </w:rPr>
            </w:pPr>
          </w:p>
        </w:tc>
        <w:tc>
          <w:tcPr>
            <w:tcW w:w="1134" w:type="dxa"/>
            <w:noWrap w:val="0"/>
            <w:vAlign w:val="center"/>
          </w:tcPr>
          <w:p w14:paraId="41BDA3EB">
            <w:pPr>
              <w:spacing w:line="400" w:lineRule="exact"/>
              <w:ind w:firstLine="420" w:firstLineChars="200"/>
              <w:rPr>
                <w:rFonts w:ascii="宋体" w:hAnsi="宋体"/>
                <w:color w:val="auto"/>
                <w:szCs w:val="21"/>
                <w:highlight w:val="none"/>
              </w:rPr>
            </w:pPr>
          </w:p>
        </w:tc>
        <w:tc>
          <w:tcPr>
            <w:tcW w:w="4252" w:type="dxa"/>
            <w:noWrap w:val="0"/>
            <w:vAlign w:val="center"/>
          </w:tcPr>
          <w:p w14:paraId="14E25F80">
            <w:pPr>
              <w:spacing w:line="400" w:lineRule="exact"/>
              <w:ind w:firstLine="420" w:firstLineChars="200"/>
              <w:rPr>
                <w:rFonts w:ascii="宋体" w:hAnsi="宋体"/>
                <w:color w:val="auto"/>
                <w:szCs w:val="21"/>
                <w:highlight w:val="none"/>
              </w:rPr>
            </w:pPr>
          </w:p>
        </w:tc>
      </w:tr>
      <w:tr w14:paraId="4602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043DB64">
            <w:pPr>
              <w:spacing w:line="400" w:lineRule="exact"/>
              <w:jc w:val="center"/>
              <w:rPr>
                <w:rFonts w:ascii="宋体" w:hAnsi="宋体"/>
                <w:color w:val="auto"/>
                <w:szCs w:val="21"/>
                <w:highlight w:val="none"/>
              </w:rPr>
            </w:pPr>
          </w:p>
        </w:tc>
        <w:tc>
          <w:tcPr>
            <w:tcW w:w="1418" w:type="dxa"/>
            <w:noWrap w:val="0"/>
            <w:vAlign w:val="center"/>
          </w:tcPr>
          <w:p w14:paraId="7EF9F8BF">
            <w:pPr>
              <w:spacing w:line="400" w:lineRule="exact"/>
              <w:ind w:firstLine="420" w:firstLineChars="200"/>
              <w:rPr>
                <w:rFonts w:ascii="宋体" w:hAnsi="宋体"/>
                <w:color w:val="auto"/>
                <w:szCs w:val="21"/>
                <w:highlight w:val="none"/>
              </w:rPr>
            </w:pPr>
          </w:p>
        </w:tc>
        <w:tc>
          <w:tcPr>
            <w:tcW w:w="1134" w:type="dxa"/>
            <w:noWrap w:val="0"/>
            <w:vAlign w:val="center"/>
          </w:tcPr>
          <w:p w14:paraId="09D6E767">
            <w:pPr>
              <w:spacing w:line="400" w:lineRule="exact"/>
              <w:ind w:firstLine="420" w:firstLineChars="200"/>
              <w:rPr>
                <w:rFonts w:ascii="宋体" w:hAnsi="宋体"/>
                <w:color w:val="auto"/>
                <w:szCs w:val="21"/>
                <w:highlight w:val="none"/>
              </w:rPr>
            </w:pPr>
          </w:p>
        </w:tc>
        <w:tc>
          <w:tcPr>
            <w:tcW w:w="1134" w:type="dxa"/>
            <w:noWrap w:val="0"/>
            <w:vAlign w:val="center"/>
          </w:tcPr>
          <w:p w14:paraId="6F6C7FF9">
            <w:pPr>
              <w:spacing w:line="400" w:lineRule="exact"/>
              <w:ind w:firstLine="420" w:firstLineChars="200"/>
              <w:rPr>
                <w:rFonts w:ascii="宋体" w:hAnsi="宋体"/>
                <w:color w:val="auto"/>
                <w:szCs w:val="21"/>
                <w:highlight w:val="none"/>
              </w:rPr>
            </w:pPr>
          </w:p>
        </w:tc>
        <w:tc>
          <w:tcPr>
            <w:tcW w:w="4252" w:type="dxa"/>
            <w:noWrap w:val="0"/>
            <w:vAlign w:val="center"/>
          </w:tcPr>
          <w:p w14:paraId="4BC228BC">
            <w:pPr>
              <w:spacing w:line="400" w:lineRule="exact"/>
              <w:ind w:firstLine="420" w:firstLineChars="200"/>
              <w:rPr>
                <w:rFonts w:ascii="宋体" w:hAnsi="宋体"/>
                <w:color w:val="auto"/>
                <w:szCs w:val="21"/>
                <w:highlight w:val="none"/>
              </w:rPr>
            </w:pPr>
          </w:p>
        </w:tc>
      </w:tr>
      <w:tr w14:paraId="2CB6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3272B67">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14:paraId="65680646">
            <w:pPr>
              <w:spacing w:line="400" w:lineRule="exact"/>
              <w:ind w:firstLine="420" w:firstLineChars="200"/>
              <w:rPr>
                <w:rFonts w:ascii="宋体" w:hAnsi="宋体"/>
                <w:color w:val="auto"/>
                <w:szCs w:val="21"/>
                <w:highlight w:val="none"/>
              </w:rPr>
            </w:pPr>
          </w:p>
        </w:tc>
        <w:tc>
          <w:tcPr>
            <w:tcW w:w="1134" w:type="dxa"/>
            <w:noWrap w:val="0"/>
            <w:vAlign w:val="center"/>
          </w:tcPr>
          <w:p w14:paraId="1E536827">
            <w:pPr>
              <w:spacing w:line="400" w:lineRule="exact"/>
              <w:ind w:firstLine="420" w:firstLineChars="200"/>
              <w:rPr>
                <w:rFonts w:ascii="宋体" w:hAnsi="宋体"/>
                <w:color w:val="auto"/>
                <w:szCs w:val="21"/>
                <w:highlight w:val="none"/>
              </w:rPr>
            </w:pPr>
          </w:p>
        </w:tc>
        <w:tc>
          <w:tcPr>
            <w:tcW w:w="1134" w:type="dxa"/>
            <w:noWrap w:val="0"/>
            <w:vAlign w:val="center"/>
          </w:tcPr>
          <w:p w14:paraId="7E77D179">
            <w:pPr>
              <w:spacing w:line="400" w:lineRule="exact"/>
              <w:ind w:firstLine="420" w:firstLineChars="200"/>
              <w:rPr>
                <w:rFonts w:ascii="宋体" w:hAnsi="宋体"/>
                <w:color w:val="auto"/>
                <w:szCs w:val="21"/>
                <w:highlight w:val="none"/>
              </w:rPr>
            </w:pPr>
          </w:p>
        </w:tc>
        <w:tc>
          <w:tcPr>
            <w:tcW w:w="4252" w:type="dxa"/>
            <w:noWrap w:val="0"/>
            <w:vAlign w:val="center"/>
          </w:tcPr>
          <w:p w14:paraId="3257226C">
            <w:pPr>
              <w:spacing w:line="400" w:lineRule="exact"/>
              <w:ind w:firstLine="420" w:firstLineChars="200"/>
              <w:rPr>
                <w:rFonts w:ascii="宋体" w:hAnsi="宋体"/>
                <w:color w:val="auto"/>
                <w:szCs w:val="21"/>
                <w:highlight w:val="none"/>
              </w:rPr>
            </w:pPr>
          </w:p>
        </w:tc>
      </w:tr>
      <w:tr w14:paraId="1237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D8E3464">
            <w:pPr>
              <w:spacing w:line="400" w:lineRule="exact"/>
              <w:jc w:val="center"/>
              <w:rPr>
                <w:rFonts w:ascii="宋体" w:hAnsi="宋体"/>
                <w:color w:val="auto"/>
                <w:szCs w:val="21"/>
                <w:highlight w:val="none"/>
              </w:rPr>
            </w:pPr>
          </w:p>
        </w:tc>
        <w:tc>
          <w:tcPr>
            <w:tcW w:w="1418" w:type="dxa"/>
            <w:noWrap w:val="0"/>
            <w:vAlign w:val="center"/>
          </w:tcPr>
          <w:p w14:paraId="1FC9F96F">
            <w:pPr>
              <w:spacing w:line="400" w:lineRule="exact"/>
              <w:ind w:firstLine="420" w:firstLineChars="200"/>
              <w:rPr>
                <w:rFonts w:ascii="宋体" w:hAnsi="宋体"/>
                <w:color w:val="auto"/>
                <w:szCs w:val="21"/>
                <w:highlight w:val="none"/>
              </w:rPr>
            </w:pPr>
          </w:p>
        </w:tc>
        <w:tc>
          <w:tcPr>
            <w:tcW w:w="1134" w:type="dxa"/>
            <w:noWrap w:val="0"/>
            <w:vAlign w:val="center"/>
          </w:tcPr>
          <w:p w14:paraId="397A79F2">
            <w:pPr>
              <w:spacing w:line="400" w:lineRule="exact"/>
              <w:ind w:firstLine="420" w:firstLineChars="200"/>
              <w:rPr>
                <w:rFonts w:ascii="宋体" w:hAnsi="宋体"/>
                <w:color w:val="auto"/>
                <w:szCs w:val="21"/>
                <w:highlight w:val="none"/>
              </w:rPr>
            </w:pPr>
          </w:p>
        </w:tc>
        <w:tc>
          <w:tcPr>
            <w:tcW w:w="1134" w:type="dxa"/>
            <w:noWrap w:val="0"/>
            <w:vAlign w:val="center"/>
          </w:tcPr>
          <w:p w14:paraId="5670647D">
            <w:pPr>
              <w:spacing w:line="400" w:lineRule="exact"/>
              <w:ind w:firstLine="420" w:firstLineChars="200"/>
              <w:rPr>
                <w:rFonts w:ascii="宋体" w:hAnsi="宋体"/>
                <w:color w:val="auto"/>
                <w:szCs w:val="21"/>
                <w:highlight w:val="none"/>
              </w:rPr>
            </w:pPr>
          </w:p>
        </w:tc>
        <w:tc>
          <w:tcPr>
            <w:tcW w:w="4252" w:type="dxa"/>
            <w:noWrap w:val="0"/>
            <w:vAlign w:val="center"/>
          </w:tcPr>
          <w:p w14:paraId="09B102F6">
            <w:pPr>
              <w:spacing w:line="400" w:lineRule="exact"/>
              <w:ind w:firstLine="420" w:firstLineChars="200"/>
              <w:rPr>
                <w:rFonts w:ascii="宋体" w:hAnsi="宋体"/>
                <w:color w:val="auto"/>
                <w:szCs w:val="21"/>
                <w:highlight w:val="none"/>
              </w:rPr>
            </w:pPr>
          </w:p>
        </w:tc>
      </w:tr>
      <w:tr w14:paraId="37D1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425986C">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14:paraId="08D3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879A94E">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noWrap w:val="0"/>
            <w:vAlign w:val="center"/>
          </w:tcPr>
          <w:p w14:paraId="21770596">
            <w:pPr>
              <w:spacing w:line="400" w:lineRule="exact"/>
              <w:ind w:firstLine="420" w:firstLineChars="200"/>
              <w:rPr>
                <w:rFonts w:ascii="宋体" w:hAnsi="宋体"/>
                <w:color w:val="auto"/>
                <w:szCs w:val="21"/>
                <w:highlight w:val="none"/>
              </w:rPr>
            </w:pPr>
          </w:p>
        </w:tc>
        <w:tc>
          <w:tcPr>
            <w:tcW w:w="1134" w:type="dxa"/>
            <w:noWrap w:val="0"/>
            <w:vAlign w:val="center"/>
          </w:tcPr>
          <w:p w14:paraId="0008119B">
            <w:pPr>
              <w:spacing w:line="400" w:lineRule="exact"/>
              <w:ind w:firstLine="420" w:firstLineChars="200"/>
              <w:rPr>
                <w:rFonts w:ascii="宋体" w:hAnsi="宋体"/>
                <w:color w:val="auto"/>
                <w:szCs w:val="21"/>
                <w:highlight w:val="none"/>
              </w:rPr>
            </w:pPr>
          </w:p>
        </w:tc>
        <w:tc>
          <w:tcPr>
            <w:tcW w:w="1134" w:type="dxa"/>
            <w:noWrap w:val="0"/>
            <w:vAlign w:val="center"/>
          </w:tcPr>
          <w:p w14:paraId="59F7175D">
            <w:pPr>
              <w:spacing w:line="400" w:lineRule="exact"/>
              <w:ind w:firstLine="420" w:firstLineChars="200"/>
              <w:rPr>
                <w:rFonts w:ascii="宋体" w:hAnsi="宋体"/>
                <w:color w:val="auto"/>
                <w:szCs w:val="21"/>
                <w:highlight w:val="none"/>
              </w:rPr>
            </w:pPr>
          </w:p>
        </w:tc>
        <w:tc>
          <w:tcPr>
            <w:tcW w:w="4252" w:type="dxa"/>
            <w:noWrap w:val="0"/>
            <w:vAlign w:val="center"/>
          </w:tcPr>
          <w:p w14:paraId="65006628">
            <w:pPr>
              <w:spacing w:line="400" w:lineRule="exact"/>
              <w:ind w:firstLine="420" w:firstLineChars="200"/>
              <w:rPr>
                <w:rFonts w:ascii="宋体" w:hAnsi="宋体"/>
                <w:color w:val="auto"/>
                <w:szCs w:val="21"/>
                <w:highlight w:val="none"/>
              </w:rPr>
            </w:pPr>
          </w:p>
        </w:tc>
      </w:tr>
      <w:tr w14:paraId="735A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B22FFB">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noWrap w:val="0"/>
            <w:vAlign w:val="center"/>
          </w:tcPr>
          <w:p w14:paraId="6179D846">
            <w:pPr>
              <w:spacing w:line="400" w:lineRule="exact"/>
              <w:ind w:firstLine="420" w:firstLineChars="200"/>
              <w:rPr>
                <w:rFonts w:ascii="宋体" w:hAnsi="宋体"/>
                <w:color w:val="auto"/>
                <w:szCs w:val="21"/>
                <w:highlight w:val="none"/>
              </w:rPr>
            </w:pPr>
          </w:p>
        </w:tc>
        <w:tc>
          <w:tcPr>
            <w:tcW w:w="1134" w:type="dxa"/>
            <w:noWrap w:val="0"/>
            <w:vAlign w:val="center"/>
          </w:tcPr>
          <w:p w14:paraId="1679A587">
            <w:pPr>
              <w:spacing w:line="400" w:lineRule="exact"/>
              <w:ind w:firstLine="420" w:firstLineChars="200"/>
              <w:rPr>
                <w:rFonts w:ascii="宋体" w:hAnsi="宋体"/>
                <w:color w:val="auto"/>
                <w:szCs w:val="21"/>
                <w:highlight w:val="none"/>
              </w:rPr>
            </w:pPr>
          </w:p>
        </w:tc>
        <w:tc>
          <w:tcPr>
            <w:tcW w:w="1134" w:type="dxa"/>
            <w:noWrap w:val="0"/>
            <w:vAlign w:val="center"/>
          </w:tcPr>
          <w:p w14:paraId="1EBA72E0">
            <w:pPr>
              <w:spacing w:line="400" w:lineRule="exact"/>
              <w:ind w:firstLine="420" w:firstLineChars="200"/>
              <w:rPr>
                <w:rFonts w:ascii="宋体" w:hAnsi="宋体"/>
                <w:color w:val="auto"/>
                <w:szCs w:val="21"/>
                <w:highlight w:val="none"/>
              </w:rPr>
            </w:pPr>
          </w:p>
        </w:tc>
        <w:tc>
          <w:tcPr>
            <w:tcW w:w="4252" w:type="dxa"/>
            <w:noWrap w:val="0"/>
            <w:vAlign w:val="center"/>
          </w:tcPr>
          <w:p w14:paraId="4DC502D0">
            <w:pPr>
              <w:spacing w:line="400" w:lineRule="exact"/>
              <w:ind w:firstLine="420" w:firstLineChars="200"/>
              <w:rPr>
                <w:rFonts w:ascii="宋体" w:hAnsi="宋体"/>
                <w:color w:val="auto"/>
                <w:szCs w:val="21"/>
                <w:highlight w:val="none"/>
              </w:rPr>
            </w:pPr>
          </w:p>
        </w:tc>
      </w:tr>
      <w:tr w14:paraId="0D71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933B836">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noWrap w:val="0"/>
            <w:vAlign w:val="center"/>
          </w:tcPr>
          <w:p w14:paraId="194DA894">
            <w:pPr>
              <w:spacing w:line="400" w:lineRule="exact"/>
              <w:ind w:firstLine="420" w:firstLineChars="200"/>
              <w:rPr>
                <w:rFonts w:ascii="宋体" w:hAnsi="宋体"/>
                <w:color w:val="auto"/>
                <w:szCs w:val="21"/>
                <w:highlight w:val="none"/>
              </w:rPr>
            </w:pPr>
          </w:p>
        </w:tc>
        <w:tc>
          <w:tcPr>
            <w:tcW w:w="1134" w:type="dxa"/>
            <w:noWrap w:val="0"/>
            <w:vAlign w:val="center"/>
          </w:tcPr>
          <w:p w14:paraId="4F469DF6">
            <w:pPr>
              <w:spacing w:line="400" w:lineRule="exact"/>
              <w:ind w:firstLine="420" w:firstLineChars="200"/>
              <w:rPr>
                <w:rFonts w:ascii="宋体" w:hAnsi="宋体"/>
                <w:color w:val="auto"/>
                <w:szCs w:val="21"/>
                <w:highlight w:val="none"/>
              </w:rPr>
            </w:pPr>
          </w:p>
        </w:tc>
        <w:tc>
          <w:tcPr>
            <w:tcW w:w="1134" w:type="dxa"/>
            <w:noWrap w:val="0"/>
            <w:vAlign w:val="center"/>
          </w:tcPr>
          <w:p w14:paraId="44D69663">
            <w:pPr>
              <w:spacing w:line="400" w:lineRule="exact"/>
              <w:ind w:firstLine="420" w:firstLineChars="200"/>
              <w:rPr>
                <w:rFonts w:ascii="宋体" w:hAnsi="宋体"/>
                <w:color w:val="auto"/>
                <w:szCs w:val="21"/>
                <w:highlight w:val="none"/>
              </w:rPr>
            </w:pPr>
          </w:p>
        </w:tc>
        <w:tc>
          <w:tcPr>
            <w:tcW w:w="4252" w:type="dxa"/>
            <w:noWrap w:val="0"/>
            <w:vAlign w:val="center"/>
          </w:tcPr>
          <w:p w14:paraId="53C51FED">
            <w:pPr>
              <w:spacing w:line="400" w:lineRule="exact"/>
              <w:ind w:firstLine="420" w:firstLineChars="200"/>
              <w:rPr>
                <w:rFonts w:ascii="宋体" w:hAnsi="宋体"/>
                <w:color w:val="auto"/>
                <w:szCs w:val="21"/>
                <w:highlight w:val="none"/>
              </w:rPr>
            </w:pPr>
          </w:p>
        </w:tc>
      </w:tr>
      <w:tr w14:paraId="03CC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078E785">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noWrap w:val="0"/>
            <w:vAlign w:val="center"/>
          </w:tcPr>
          <w:p w14:paraId="5388D3E8">
            <w:pPr>
              <w:spacing w:line="400" w:lineRule="exact"/>
              <w:ind w:firstLine="420" w:firstLineChars="200"/>
              <w:rPr>
                <w:rFonts w:ascii="宋体" w:hAnsi="宋体"/>
                <w:color w:val="auto"/>
                <w:szCs w:val="21"/>
                <w:highlight w:val="none"/>
              </w:rPr>
            </w:pPr>
          </w:p>
        </w:tc>
        <w:tc>
          <w:tcPr>
            <w:tcW w:w="1134" w:type="dxa"/>
            <w:noWrap w:val="0"/>
            <w:vAlign w:val="center"/>
          </w:tcPr>
          <w:p w14:paraId="76D66952">
            <w:pPr>
              <w:spacing w:line="400" w:lineRule="exact"/>
              <w:ind w:firstLine="420" w:firstLineChars="200"/>
              <w:rPr>
                <w:rFonts w:ascii="宋体" w:hAnsi="宋体"/>
                <w:color w:val="auto"/>
                <w:szCs w:val="21"/>
                <w:highlight w:val="none"/>
              </w:rPr>
            </w:pPr>
          </w:p>
        </w:tc>
        <w:tc>
          <w:tcPr>
            <w:tcW w:w="1134" w:type="dxa"/>
            <w:noWrap w:val="0"/>
            <w:vAlign w:val="center"/>
          </w:tcPr>
          <w:p w14:paraId="405B5266">
            <w:pPr>
              <w:spacing w:line="400" w:lineRule="exact"/>
              <w:ind w:firstLine="420" w:firstLineChars="200"/>
              <w:rPr>
                <w:rFonts w:ascii="宋体" w:hAnsi="宋体"/>
                <w:color w:val="auto"/>
                <w:szCs w:val="21"/>
                <w:highlight w:val="none"/>
              </w:rPr>
            </w:pPr>
          </w:p>
        </w:tc>
        <w:tc>
          <w:tcPr>
            <w:tcW w:w="4252" w:type="dxa"/>
            <w:noWrap w:val="0"/>
            <w:vAlign w:val="center"/>
          </w:tcPr>
          <w:p w14:paraId="2E2E3596">
            <w:pPr>
              <w:spacing w:line="400" w:lineRule="exact"/>
              <w:ind w:firstLine="420" w:firstLineChars="200"/>
              <w:rPr>
                <w:rFonts w:ascii="宋体" w:hAnsi="宋体"/>
                <w:color w:val="auto"/>
                <w:szCs w:val="21"/>
                <w:highlight w:val="none"/>
              </w:rPr>
            </w:pPr>
          </w:p>
        </w:tc>
      </w:tr>
      <w:tr w14:paraId="25C0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E9DA6BA">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noWrap w:val="0"/>
            <w:vAlign w:val="center"/>
          </w:tcPr>
          <w:p w14:paraId="7840DAFB">
            <w:pPr>
              <w:spacing w:line="400" w:lineRule="exact"/>
              <w:ind w:firstLine="420" w:firstLineChars="200"/>
              <w:rPr>
                <w:rFonts w:ascii="宋体" w:hAnsi="宋体"/>
                <w:color w:val="auto"/>
                <w:szCs w:val="21"/>
                <w:highlight w:val="none"/>
              </w:rPr>
            </w:pPr>
          </w:p>
        </w:tc>
        <w:tc>
          <w:tcPr>
            <w:tcW w:w="1134" w:type="dxa"/>
            <w:noWrap w:val="0"/>
            <w:vAlign w:val="center"/>
          </w:tcPr>
          <w:p w14:paraId="3657C3FA">
            <w:pPr>
              <w:spacing w:line="400" w:lineRule="exact"/>
              <w:ind w:firstLine="420" w:firstLineChars="200"/>
              <w:rPr>
                <w:rFonts w:ascii="宋体" w:hAnsi="宋体"/>
                <w:color w:val="auto"/>
                <w:szCs w:val="21"/>
                <w:highlight w:val="none"/>
              </w:rPr>
            </w:pPr>
          </w:p>
        </w:tc>
        <w:tc>
          <w:tcPr>
            <w:tcW w:w="1134" w:type="dxa"/>
            <w:noWrap w:val="0"/>
            <w:vAlign w:val="center"/>
          </w:tcPr>
          <w:p w14:paraId="26154F2C">
            <w:pPr>
              <w:spacing w:line="400" w:lineRule="exact"/>
              <w:ind w:firstLine="420" w:firstLineChars="200"/>
              <w:rPr>
                <w:rFonts w:ascii="宋体" w:hAnsi="宋体"/>
                <w:color w:val="auto"/>
                <w:szCs w:val="21"/>
                <w:highlight w:val="none"/>
              </w:rPr>
            </w:pPr>
          </w:p>
        </w:tc>
        <w:tc>
          <w:tcPr>
            <w:tcW w:w="4252" w:type="dxa"/>
            <w:noWrap w:val="0"/>
            <w:vAlign w:val="center"/>
          </w:tcPr>
          <w:p w14:paraId="436B166B">
            <w:pPr>
              <w:spacing w:line="400" w:lineRule="exact"/>
              <w:ind w:firstLine="420" w:firstLineChars="200"/>
              <w:rPr>
                <w:rFonts w:ascii="宋体" w:hAnsi="宋体"/>
                <w:color w:val="auto"/>
                <w:szCs w:val="21"/>
                <w:highlight w:val="none"/>
              </w:rPr>
            </w:pPr>
          </w:p>
        </w:tc>
      </w:tr>
      <w:tr w14:paraId="174D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4B2F30D">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noWrap w:val="0"/>
            <w:vAlign w:val="center"/>
          </w:tcPr>
          <w:p w14:paraId="6AFE851A">
            <w:pPr>
              <w:spacing w:line="400" w:lineRule="exact"/>
              <w:ind w:firstLine="420" w:firstLineChars="200"/>
              <w:rPr>
                <w:rFonts w:ascii="宋体" w:hAnsi="宋体"/>
                <w:color w:val="auto"/>
                <w:szCs w:val="21"/>
                <w:highlight w:val="none"/>
              </w:rPr>
            </w:pPr>
          </w:p>
        </w:tc>
        <w:tc>
          <w:tcPr>
            <w:tcW w:w="1134" w:type="dxa"/>
            <w:noWrap w:val="0"/>
            <w:vAlign w:val="center"/>
          </w:tcPr>
          <w:p w14:paraId="5B7A0A3A">
            <w:pPr>
              <w:spacing w:line="400" w:lineRule="exact"/>
              <w:ind w:firstLine="420" w:firstLineChars="200"/>
              <w:rPr>
                <w:rFonts w:ascii="宋体" w:hAnsi="宋体"/>
                <w:color w:val="auto"/>
                <w:szCs w:val="21"/>
                <w:highlight w:val="none"/>
              </w:rPr>
            </w:pPr>
          </w:p>
        </w:tc>
        <w:tc>
          <w:tcPr>
            <w:tcW w:w="1134" w:type="dxa"/>
            <w:noWrap w:val="0"/>
            <w:vAlign w:val="center"/>
          </w:tcPr>
          <w:p w14:paraId="0868BC4B">
            <w:pPr>
              <w:spacing w:line="400" w:lineRule="exact"/>
              <w:ind w:firstLine="420" w:firstLineChars="200"/>
              <w:rPr>
                <w:rFonts w:ascii="宋体" w:hAnsi="宋体"/>
                <w:color w:val="auto"/>
                <w:szCs w:val="21"/>
                <w:highlight w:val="none"/>
              </w:rPr>
            </w:pPr>
          </w:p>
        </w:tc>
        <w:tc>
          <w:tcPr>
            <w:tcW w:w="4252" w:type="dxa"/>
            <w:noWrap w:val="0"/>
            <w:vAlign w:val="center"/>
          </w:tcPr>
          <w:p w14:paraId="6BE9F2BE">
            <w:pPr>
              <w:spacing w:line="400" w:lineRule="exact"/>
              <w:ind w:firstLine="420" w:firstLineChars="200"/>
              <w:rPr>
                <w:rFonts w:ascii="宋体" w:hAnsi="宋体"/>
                <w:color w:val="auto"/>
                <w:szCs w:val="21"/>
                <w:highlight w:val="none"/>
              </w:rPr>
            </w:pPr>
          </w:p>
        </w:tc>
      </w:tr>
      <w:tr w14:paraId="6CC9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CF1D4F0">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noWrap w:val="0"/>
            <w:vAlign w:val="center"/>
          </w:tcPr>
          <w:p w14:paraId="6FB9DECB">
            <w:pPr>
              <w:spacing w:line="400" w:lineRule="exact"/>
              <w:ind w:firstLine="420" w:firstLineChars="200"/>
              <w:rPr>
                <w:rFonts w:ascii="宋体" w:hAnsi="宋体"/>
                <w:color w:val="auto"/>
                <w:szCs w:val="21"/>
                <w:highlight w:val="none"/>
              </w:rPr>
            </w:pPr>
          </w:p>
        </w:tc>
        <w:tc>
          <w:tcPr>
            <w:tcW w:w="1134" w:type="dxa"/>
            <w:noWrap w:val="0"/>
            <w:vAlign w:val="center"/>
          </w:tcPr>
          <w:p w14:paraId="4098C08D">
            <w:pPr>
              <w:spacing w:line="400" w:lineRule="exact"/>
              <w:ind w:firstLine="420" w:firstLineChars="200"/>
              <w:rPr>
                <w:rFonts w:ascii="宋体" w:hAnsi="宋体"/>
                <w:color w:val="auto"/>
                <w:szCs w:val="21"/>
                <w:highlight w:val="none"/>
              </w:rPr>
            </w:pPr>
          </w:p>
        </w:tc>
        <w:tc>
          <w:tcPr>
            <w:tcW w:w="1134" w:type="dxa"/>
            <w:noWrap w:val="0"/>
            <w:vAlign w:val="center"/>
          </w:tcPr>
          <w:p w14:paraId="36A27AAB">
            <w:pPr>
              <w:spacing w:line="400" w:lineRule="exact"/>
              <w:ind w:firstLine="420" w:firstLineChars="200"/>
              <w:rPr>
                <w:rFonts w:ascii="宋体" w:hAnsi="宋体"/>
                <w:color w:val="auto"/>
                <w:szCs w:val="21"/>
                <w:highlight w:val="none"/>
              </w:rPr>
            </w:pPr>
          </w:p>
        </w:tc>
        <w:tc>
          <w:tcPr>
            <w:tcW w:w="4252" w:type="dxa"/>
            <w:noWrap w:val="0"/>
            <w:vAlign w:val="center"/>
          </w:tcPr>
          <w:p w14:paraId="7FD2A9A1">
            <w:pPr>
              <w:spacing w:line="400" w:lineRule="exact"/>
              <w:ind w:firstLine="420" w:firstLineChars="200"/>
              <w:rPr>
                <w:rFonts w:ascii="宋体" w:hAnsi="宋体"/>
                <w:color w:val="auto"/>
                <w:szCs w:val="21"/>
                <w:highlight w:val="none"/>
              </w:rPr>
            </w:pPr>
          </w:p>
        </w:tc>
      </w:tr>
      <w:tr w14:paraId="1EAF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B18173E">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noWrap w:val="0"/>
            <w:vAlign w:val="center"/>
          </w:tcPr>
          <w:p w14:paraId="3FE7D716">
            <w:pPr>
              <w:spacing w:line="400" w:lineRule="exact"/>
              <w:ind w:firstLine="420" w:firstLineChars="200"/>
              <w:rPr>
                <w:rFonts w:ascii="宋体" w:hAnsi="宋体"/>
                <w:color w:val="auto"/>
                <w:szCs w:val="21"/>
                <w:highlight w:val="none"/>
              </w:rPr>
            </w:pPr>
          </w:p>
        </w:tc>
        <w:tc>
          <w:tcPr>
            <w:tcW w:w="1134" w:type="dxa"/>
            <w:noWrap w:val="0"/>
            <w:vAlign w:val="center"/>
          </w:tcPr>
          <w:p w14:paraId="39BB3BB8">
            <w:pPr>
              <w:spacing w:line="400" w:lineRule="exact"/>
              <w:ind w:firstLine="420" w:firstLineChars="200"/>
              <w:rPr>
                <w:rFonts w:ascii="宋体" w:hAnsi="宋体"/>
                <w:color w:val="auto"/>
                <w:szCs w:val="21"/>
                <w:highlight w:val="none"/>
              </w:rPr>
            </w:pPr>
          </w:p>
        </w:tc>
        <w:tc>
          <w:tcPr>
            <w:tcW w:w="1134" w:type="dxa"/>
            <w:noWrap w:val="0"/>
            <w:vAlign w:val="center"/>
          </w:tcPr>
          <w:p w14:paraId="798C87DE">
            <w:pPr>
              <w:spacing w:line="400" w:lineRule="exact"/>
              <w:ind w:firstLine="420" w:firstLineChars="200"/>
              <w:rPr>
                <w:rFonts w:ascii="宋体" w:hAnsi="宋体"/>
                <w:color w:val="auto"/>
                <w:szCs w:val="21"/>
                <w:highlight w:val="none"/>
              </w:rPr>
            </w:pPr>
          </w:p>
        </w:tc>
        <w:tc>
          <w:tcPr>
            <w:tcW w:w="4252" w:type="dxa"/>
            <w:noWrap w:val="0"/>
            <w:vAlign w:val="center"/>
          </w:tcPr>
          <w:p w14:paraId="3AD27499">
            <w:pPr>
              <w:spacing w:line="400" w:lineRule="exact"/>
              <w:ind w:firstLine="420" w:firstLineChars="200"/>
              <w:rPr>
                <w:rFonts w:ascii="宋体" w:hAnsi="宋体"/>
                <w:color w:val="auto"/>
                <w:szCs w:val="21"/>
                <w:highlight w:val="none"/>
              </w:rPr>
            </w:pPr>
          </w:p>
        </w:tc>
      </w:tr>
      <w:tr w14:paraId="56C1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DB16220">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14:paraId="617DA8FA">
            <w:pPr>
              <w:spacing w:line="400" w:lineRule="exact"/>
              <w:ind w:firstLine="420" w:firstLineChars="200"/>
              <w:rPr>
                <w:rFonts w:ascii="宋体" w:hAnsi="宋体"/>
                <w:color w:val="auto"/>
                <w:szCs w:val="21"/>
                <w:highlight w:val="none"/>
              </w:rPr>
            </w:pPr>
          </w:p>
        </w:tc>
        <w:tc>
          <w:tcPr>
            <w:tcW w:w="1134" w:type="dxa"/>
            <w:noWrap w:val="0"/>
            <w:vAlign w:val="center"/>
          </w:tcPr>
          <w:p w14:paraId="2D2536BC">
            <w:pPr>
              <w:spacing w:line="400" w:lineRule="exact"/>
              <w:ind w:firstLine="420" w:firstLineChars="200"/>
              <w:rPr>
                <w:rFonts w:ascii="宋体" w:hAnsi="宋体"/>
                <w:color w:val="auto"/>
                <w:szCs w:val="21"/>
                <w:highlight w:val="none"/>
              </w:rPr>
            </w:pPr>
          </w:p>
        </w:tc>
        <w:tc>
          <w:tcPr>
            <w:tcW w:w="1134" w:type="dxa"/>
            <w:noWrap w:val="0"/>
            <w:vAlign w:val="center"/>
          </w:tcPr>
          <w:p w14:paraId="171D6F19">
            <w:pPr>
              <w:spacing w:line="400" w:lineRule="exact"/>
              <w:ind w:firstLine="420" w:firstLineChars="200"/>
              <w:rPr>
                <w:rFonts w:ascii="宋体" w:hAnsi="宋体"/>
                <w:color w:val="auto"/>
                <w:szCs w:val="21"/>
                <w:highlight w:val="none"/>
              </w:rPr>
            </w:pPr>
          </w:p>
        </w:tc>
        <w:tc>
          <w:tcPr>
            <w:tcW w:w="4252" w:type="dxa"/>
            <w:noWrap w:val="0"/>
            <w:vAlign w:val="center"/>
          </w:tcPr>
          <w:p w14:paraId="64C9A6C9">
            <w:pPr>
              <w:spacing w:line="400" w:lineRule="exact"/>
              <w:ind w:firstLine="420" w:firstLineChars="200"/>
              <w:rPr>
                <w:rFonts w:ascii="宋体" w:hAnsi="宋体"/>
                <w:color w:val="auto"/>
                <w:szCs w:val="21"/>
                <w:highlight w:val="none"/>
              </w:rPr>
            </w:pPr>
          </w:p>
        </w:tc>
      </w:tr>
      <w:tr w14:paraId="53BB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F09F752">
            <w:pPr>
              <w:spacing w:line="400" w:lineRule="exact"/>
              <w:ind w:firstLine="420" w:firstLineChars="200"/>
              <w:rPr>
                <w:rFonts w:ascii="宋体" w:hAnsi="宋体"/>
                <w:color w:val="auto"/>
                <w:szCs w:val="21"/>
                <w:highlight w:val="none"/>
              </w:rPr>
            </w:pPr>
          </w:p>
        </w:tc>
        <w:tc>
          <w:tcPr>
            <w:tcW w:w="1418" w:type="dxa"/>
            <w:noWrap w:val="0"/>
            <w:vAlign w:val="center"/>
          </w:tcPr>
          <w:p w14:paraId="3FDB5B2C">
            <w:pPr>
              <w:spacing w:line="400" w:lineRule="exact"/>
              <w:ind w:firstLine="420" w:firstLineChars="200"/>
              <w:rPr>
                <w:rFonts w:ascii="宋体" w:hAnsi="宋体"/>
                <w:color w:val="auto"/>
                <w:szCs w:val="21"/>
                <w:highlight w:val="none"/>
              </w:rPr>
            </w:pPr>
          </w:p>
        </w:tc>
        <w:tc>
          <w:tcPr>
            <w:tcW w:w="1134" w:type="dxa"/>
            <w:noWrap w:val="0"/>
            <w:vAlign w:val="center"/>
          </w:tcPr>
          <w:p w14:paraId="2BA06479">
            <w:pPr>
              <w:spacing w:line="400" w:lineRule="exact"/>
              <w:ind w:firstLine="420" w:firstLineChars="200"/>
              <w:rPr>
                <w:rFonts w:ascii="宋体" w:hAnsi="宋体"/>
                <w:color w:val="auto"/>
                <w:szCs w:val="21"/>
                <w:highlight w:val="none"/>
              </w:rPr>
            </w:pPr>
          </w:p>
        </w:tc>
        <w:tc>
          <w:tcPr>
            <w:tcW w:w="1134" w:type="dxa"/>
            <w:noWrap w:val="0"/>
            <w:vAlign w:val="center"/>
          </w:tcPr>
          <w:p w14:paraId="60CB5043">
            <w:pPr>
              <w:spacing w:line="400" w:lineRule="exact"/>
              <w:ind w:firstLine="420" w:firstLineChars="200"/>
              <w:rPr>
                <w:rFonts w:ascii="宋体" w:hAnsi="宋体"/>
                <w:color w:val="auto"/>
                <w:szCs w:val="21"/>
                <w:highlight w:val="none"/>
              </w:rPr>
            </w:pPr>
          </w:p>
        </w:tc>
        <w:tc>
          <w:tcPr>
            <w:tcW w:w="4252" w:type="dxa"/>
            <w:noWrap w:val="0"/>
            <w:vAlign w:val="center"/>
          </w:tcPr>
          <w:p w14:paraId="059029E5">
            <w:pPr>
              <w:spacing w:line="400" w:lineRule="exact"/>
              <w:ind w:firstLine="420" w:firstLineChars="200"/>
              <w:rPr>
                <w:rFonts w:ascii="宋体" w:hAnsi="宋体"/>
                <w:color w:val="auto"/>
                <w:szCs w:val="21"/>
                <w:highlight w:val="none"/>
              </w:rPr>
            </w:pPr>
          </w:p>
        </w:tc>
      </w:tr>
      <w:tr w14:paraId="1BFA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FBA3E84">
            <w:pPr>
              <w:spacing w:line="400" w:lineRule="exact"/>
              <w:ind w:firstLine="420" w:firstLineChars="200"/>
              <w:rPr>
                <w:rFonts w:ascii="宋体" w:hAnsi="宋体"/>
                <w:color w:val="auto"/>
                <w:szCs w:val="21"/>
                <w:highlight w:val="none"/>
              </w:rPr>
            </w:pPr>
          </w:p>
        </w:tc>
        <w:tc>
          <w:tcPr>
            <w:tcW w:w="1418" w:type="dxa"/>
            <w:noWrap w:val="0"/>
            <w:vAlign w:val="center"/>
          </w:tcPr>
          <w:p w14:paraId="4974A1E6">
            <w:pPr>
              <w:spacing w:line="400" w:lineRule="exact"/>
              <w:ind w:firstLine="420" w:firstLineChars="200"/>
              <w:rPr>
                <w:rFonts w:ascii="宋体" w:hAnsi="宋体"/>
                <w:color w:val="auto"/>
                <w:szCs w:val="21"/>
                <w:highlight w:val="none"/>
              </w:rPr>
            </w:pPr>
          </w:p>
        </w:tc>
        <w:tc>
          <w:tcPr>
            <w:tcW w:w="1134" w:type="dxa"/>
            <w:noWrap w:val="0"/>
            <w:vAlign w:val="center"/>
          </w:tcPr>
          <w:p w14:paraId="08BF98CA">
            <w:pPr>
              <w:spacing w:line="400" w:lineRule="exact"/>
              <w:ind w:firstLine="420" w:firstLineChars="200"/>
              <w:rPr>
                <w:rFonts w:ascii="宋体" w:hAnsi="宋体"/>
                <w:color w:val="auto"/>
                <w:szCs w:val="21"/>
                <w:highlight w:val="none"/>
              </w:rPr>
            </w:pPr>
          </w:p>
        </w:tc>
        <w:tc>
          <w:tcPr>
            <w:tcW w:w="1134" w:type="dxa"/>
            <w:noWrap w:val="0"/>
            <w:vAlign w:val="center"/>
          </w:tcPr>
          <w:p w14:paraId="5FA661D6">
            <w:pPr>
              <w:spacing w:line="400" w:lineRule="exact"/>
              <w:ind w:firstLine="420" w:firstLineChars="200"/>
              <w:rPr>
                <w:rFonts w:ascii="宋体" w:hAnsi="宋体"/>
                <w:color w:val="auto"/>
                <w:szCs w:val="21"/>
                <w:highlight w:val="none"/>
              </w:rPr>
            </w:pPr>
          </w:p>
        </w:tc>
        <w:tc>
          <w:tcPr>
            <w:tcW w:w="4252" w:type="dxa"/>
            <w:noWrap w:val="0"/>
            <w:vAlign w:val="center"/>
          </w:tcPr>
          <w:p w14:paraId="212FFDFC">
            <w:pPr>
              <w:spacing w:line="400" w:lineRule="exact"/>
              <w:ind w:firstLine="420" w:firstLineChars="200"/>
              <w:rPr>
                <w:rFonts w:ascii="宋体" w:hAnsi="宋体"/>
                <w:color w:val="auto"/>
                <w:szCs w:val="21"/>
                <w:highlight w:val="none"/>
              </w:rPr>
            </w:pPr>
          </w:p>
        </w:tc>
      </w:tr>
      <w:tr w14:paraId="4895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noWrap w:val="0"/>
            <w:vAlign w:val="center"/>
          </w:tcPr>
          <w:p w14:paraId="410E1E39">
            <w:pPr>
              <w:spacing w:line="400" w:lineRule="exact"/>
              <w:ind w:firstLine="420" w:firstLineChars="200"/>
              <w:rPr>
                <w:rFonts w:ascii="宋体" w:hAnsi="宋体"/>
                <w:color w:val="auto"/>
                <w:szCs w:val="21"/>
                <w:highlight w:val="none"/>
              </w:rPr>
            </w:pPr>
          </w:p>
        </w:tc>
        <w:tc>
          <w:tcPr>
            <w:tcW w:w="1418" w:type="dxa"/>
            <w:noWrap w:val="0"/>
            <w:vAlign w:val="center"/>
          </w:tcPr>
          <w:p w14:paraId="03B957E3">
            <w:pPr>
              <w:spacing w:line="400" w:lineRule="exact"/>
              <w:ind w:firstLine="420" w:firstLineChars="200"/>
              <w:rPr>
                <w:rFonts w:ascii="宋体" w:hAnsi="宋体"/>
                <w:color w:val="auto"/>
                <w:szCs w:val="21"/>
                <w:highlight w:val="none"/>
              </w:rPr>
            </w:pPr>
          </w:p>
        </w:tc>
        <w:tc>
          <w:tcPr>
            <w:tcW w:w="1134" w:type="dxa"/>
            <w:noWrap w:val="0"/>
            <w:vAlign w:val="center"/>
          </w:tcPr>
          <w:p w14:paraId="59E06E55">
            <w:pPr>
              <w:spacing w:line="400" w:lineRule="exact"/>
              <w:ind w:firstLine="420" w:firstLineChars="200"/>
              <w:rPr>
                <w:rFonts w:ascii="宋体" w:hAnsi="宋体"/>
                <w:color w:val="auto"/>
                <w:szCs w:val="21"/>
                <w:highlight w:val="none"/>
              </w:rPr>
            </w:pPr>
          </w:p>
        </w:tc>
        <w:tc>
          <w:tcPr>
            <w:tcW w:w="1134" w:type="dxa"/>
            <w:noWrap w:val="0"/>
            <w:vAlign w:val="center"/>
          </w:tcPr>
          <w:p w14:paraId="0B5EDC7C">
            <w:pPr>
              <w:spacing w:line="400" w:lineRule="exact"/>
              <w:ind w:firstLine="420" w:firstLineChars="200"/>
              <w:rPr>
                <w:rFonts w:ascii="宋体" w:hAnsi="宋体"/>
                <w:color w:val="auto"/>
                <w:szCs w:val="21"/>
                <w:highlight w:val="none"/>
              </w:rPr>
            </w:pPr>
          </w:p>
        </w:tc>
        <w:tc>
          <w:tcPr>
            <w:tcW w:w="4252" w:type="dxa"/>
            <w:noWrap w:val="0"/>
            <w:vAlign w:val="center"/>
          </w:tcPr>
          <w:p w14:paraId="217791FD">
            <w:pPr>
              <w:spacing w:line="400" w:lineRule="exact"/>
              <w:ind w:firstLine="420" w:firstLineChars="200"/>
              <w:rPr>
                <w:rFonts w:ascii="宋体" w:hAnsi="宋体"/>
                <w:color w:val="auto"/>
                <w:szCs w:val="21"/>
                <w:highlight w:val="none"/>
              </w:rPr>
            </w:pPr>
          </w:p>
        </w:tc>
      </w:tr>
      <w:tr w14:paraId="1C7A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noWrap w:val="0"/>
            <w:vAlign w:val="center"/>
          </w:tcPr>
          <w:p w14:paraId="7ED86680">
            <w:pPr>
              <w:spacing w:line="400" w:lineRule="exact"/>
              <w:ind w:firstLine="420" w:firstLineChars="200"/>
              <w:rPr>
                <w:rFonts w:ascii="宋体" w:hAnsi="宋体"/>
                <w:color w:val="auto"/>
                <w:szCs w:val="21"/>
                <w:highlight w:val="none"/>
              </w:rPr>
            </w:pPr>
          </w:p>
        </w:tc>
        <w:tc>
          <w:tcPr>
            <w:tcW w:w="1418" w:type="dxa"/>
            <w:noWrap w:val="0"/>
            <w:vAlign w:val="center"/>
          </w:tcPr>
          <w:p w14:paraId="5E009071">
            <w:pPr>
              <w:spacing w:line="400" w:lineRule="exact"/>
              <w:ind w:firstLine="420" w:firstLineChars="200"/>
              <w:rPr>
                <w:rFonts w:ascii="宋体" w:hAnsi="宋体"/>
                <w:color w:val="auto"/>
                <w:szCs w:val="21"/>
                <w:highlight w:val="none"/>
              </w:rPr>
            </w:pPr>
          </w:p>
        </w:tc>
        <w:tc>
          <w:tcPr>
            <w:tcW w:w="1134" w:type="dxa"/>
            <w:noWrap w:val="0"/>
            <w:vAlign w:val="center"/>
          </w:tcPr>
          <w:p w14:paraId="2EDD1BCE">
            <w:pPr>
              <w:spacing w:line="400" w:lineRule="exact"/>
              <w:ind w:firstLine="420" w:firstLineChars="200"/>
              <w:rPr>
                <w:rFonts w:ascii="宋体" w:hAnsi="宋体"/>
                <w:color w:val="auto"/>
                <w:szCs w:val="21"/>
                <w:highlight w:val="none"/>
              </w:rPr>
            </w:pPr>
          </w:p>
        </w:tc>
        <w:tc>
          <w:tcPr>
            <w:tcW w:w="1134" w:type="dxa"/>
            <w:noWrap w:val="0"/>
            <w:vAlign w:val="center"/>
          </w:tcPr>
          <w:p w14:paraId="6936D5BC">
            <w:pPr>
              <w:spacing w:line="400" w:lineRule="exact"/>
              <w:ind w:firstLine="420" w:firstLineChars="200"/>
              <w:rPr>
                <w:rFonts w:ascii="宋体" w:hAnsi="宋体"/>
                <w:color w:val="auto"/>
                <w:szCs w:val="21"/>
                <w:highlight w:val="none"/>
              </w:rPr>
            </w:pPr>
          </w:p>
        </w:tc>
        <w:tc>
          <w:tcPr>
            <w:tcW w:w="4252" w:type="dxa"/>
            <w:noWrap w:val="0"/>
            <w:vAlign w:val="center"/>
          </w:tcPr>
          <w:p w14:paraId="58BE13A1">
            <w:pPr>
              <w:spacing w:line="400" w:lineRule="exact"/>
              <w:ind w:firstLine="420" w:firstLineChars="200"/>
              <w:rPr>
                <w:rFonts w:ascii="宋体" w:hAnsi="宋体"/>
                <w:color w:val="auto"/>
                <w:szCs w:val="21"/>
                <w:highlight w:val="none"/>
              </w:rPr>
            </w:pPr>
          </w:p>
        </w:tc>
      </w:tr>
    </w:tbl>
    <w:p w14:paraId="5A3CF595">
      <w:pPr>
        <w:spacing w:line="480" w:lineRule="auto"/>
        <w:rPr>
          <w:rFonts w:ascii="宋体" w:hAnsi="宋体"/>
          <w:color w:val="auto"/>
          <w:szCs w:val="21"/>
          <w:highlight w:val="none"/>
        </w:rPr>
      </w:pPr>
      <w:r>
        <w:rPr>
          <w:rFonts w:hint="eastAsia" w:ascii="宋体" w:hAnsi="宋体"/>
          <w:color w:val="auto"/>
          <w:szCs w:val="21"/>
          <w:highlight w:val="none"/>
        </w:rPr>
        <w:br w:type="page"/>
      </w:r>
      <w:bookmarkStart w:id="2003" w:name="_Toc267261701"/>
      <w:r>
        <w:rPr>
          <w:rFonts w:hint="eastAsia" w:ascii="宋体" w:hAnsi="宋体"/>
          <w:color w:val="auto"/>
          <w:szCs w:val="21"/>
          <w:highlight w:val="none"/>
        </w:rPr>
        <w:t>附</w:t>
      </w:r>
      <w:bookmarkStart w:id="2004" w:name="_Toc296346732"/>
      <w:bookmarkStart w:id="2005" w:name="_Toc296347230"/>
      <w:bookmarkStart w:id="2006" w:name="_Toc296891271"/>
      <w:bookmarkStart w:id="2007" w:name="_Toc296503231"/>
      <w:bookmarkStart w:id="2008" w:name="_Toc296944570"/>
      <w:bookmarkStart w:id="2009" w:name="_Toc296891059"/>
      <w:r>
        <w:rPr>
          <w:rFonts w:hint="eastAsia" w:ascii="宋体" w:hAnsi="宋体"/>
          <w:color w:val="auto"/>
          <w:szCs w:val="21"/>
          <w:highlight w:val="none"/>
        </w:rPr>
        <w:t>件4：</w:t>
      </w:r>
    </w:p>
    <w:bookmarkEnd w:id="2003"/>
    <w:bookmarkEnd w:id="2004"/>
    <w:bookmarkEnd w:id="2005"/>
    <w:bookmarkEnd w:id="2006"/>
    <w:bookmarkEnd w:id="2007"/>
    <w:bookmarkEnd w:id="2008"/>
    <w:bookmarkEnd w:id="2009"/>
    <w:p w14:paraId="1FFA415A">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履约担保（如有）</w:t>
      </w:r>
    </w:p>
    <w:p w14:paraId="483AE1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w:t>
      </w:r>
    </w:p>
    <w:p w14:paraId="59C1C3C3">
      <w:pPr>
        <w:spacing w:line="360" w:lineRule="auto"/>
        <w:ind w:firstLine="420" w:firstLineChars="200"/>
        <w:rPr>
          <w:rFonts w:ascii="宋体" w:hAnsi="宋体"/>
          <w:color w:val="auto"/>
          <w:szCs w:val="21"/>
          <w:highlight w:val="none"/>
        </w:rPr>
      </w:pPr>
    </w:p>
    <w:p w14:paraId="6D2185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14:paraId="21AFFFFD">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（工程名称）施工及有关事项协商一致共同签订《建设工程施工合同》。我方愿意无条件地、不可撤销地就承包人履行与你方签订的合同，向你方提供连带责任担保。</w:t>
      </w:r>
    </w:p>
    <w:p w14:paraId="32AE63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5F4D3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w:t>
      </w:r>
      <w:r>
        <w:rPr>
          <w:rFonts w:hint="eastAsia" w:ascii="宋体" w:hAnsi="宋体"/>
          <w:color w:val="auto"/>
          <w:szCs w:val="21"/>
          <w:highlight w:val="none"/>
          <w:u w:val="single"/>
        </w:rPr>
        <w:t>自</w:t>
      </w:r>
      <w:r>
        <w:rPr>
          <w:rStyle w:val="54"/>
          <w:rFonts w:hint="eastAsia"/>
          <w:color w:val="auto"/>
          <w:highlight w:val="none"/>
        </w:rPr>
        <w:t>我</w:t>
      </w:r>
      <w:r>
        <w:rPr>
          <w:rFonts w:hint="eastAsia" w:ascii="宋体" w:hAnsi="宋体"/>
          <w:color w:val="auto"/>
          <w:szCs w:val="21"/>
          <w:highlight w:val="none"/>
          <w:u w:val="single"/>
        </w:rPr>
        <w:t>方法定代表人（或其委托代理人）签字并加盖公章之日起至你方签发或应签发工程接收证书之日止</w:t>
      </w:r>
      <w:r>
        <w:rPr>
          <w:rFonts w:hint="eastAsia" w:ascii="宋体" w:hAnsi="宋体"/>
          <w:color w:val="auto"/>
          <w:szCs w:val="21"/>
          <w:highlight w:val="none"/>
        </w:rPr>
        <w:t>。</w:t>
      </w:r>
    </w:p>
    <w:p w14:paraId="60ED16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02E734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14:paraId="473B41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5C82E3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5D8F3B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229C68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本保函自我方法定代表人（或其委托代理人）签字并加盖公章之日起生效。</w:t>
      </w:r>
    </w:p>
    <w:p w14:paraId="192DFE9E">
      <w:pPr>
        <w:spacing w:line="360" w:lineRule="auto"/>
        <w:ind w:firstLine="420" w:firstLineChars="200"/>
        <w:rPr>
          <w:rFonts w:hint="eastAsia" w:ascii="宋体" w:hAnsi="宋体"/>
          <w:color w:val="auto"/>
          <w:szCs w:val="21"/>
          <w:highlight w:val="none"/>
        </w:rPr>
      </w:pPr>
    </w:p>
    <w:p w14:paraId="3A33EA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765FF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01397D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345F31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19BE7A72">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73C6C7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3F97758D">
      <w:pPr>
        <w:spacing w:line="360" w:lineRule="auto"/>
        <w:ind w:firstLine="420" w:firstLineChars="200"/>
        <w:jc w:val="right"/>
        <w:rPr>
          <w:rFonts w:hint="eastAsia" w:ascii="宋体" w:hAnsi="宋体"/>
          <w:color w:val="auto"/>
          <w:szCs w:val="21"/>
          <w:highlight w:val="none"/>
          <w:u w:val="single"/>
        </w:rPr>
      </w:pPr>
    </w:p>
    <w:p w14:paraId="7B250D59">
      <w:pPr>
        <w:spacing w:line="360" w:lineRule="auto"/>
        <w:ind w:firstLine="420" w:firstLineChars="200"/>
        <w:jc w:val="right"/>
        <w:rPr>
          <w:rFonts w:hint="eastAsia" w:ascii="宋体" w:hAnsi="宋体"/>
          <w:color w:val="auto"/>
          <w:szCs w:val="21"/>
          <w:highlight w:val="none"/>
          <w:u w:val="single"/>
        </w:rPr>
      </w:pPr>
    </w:p>
    <w:p w14:paraId="03C6ADF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EF023FB">
      <w:pPr>
        <w:widowControl/>
        <w:spacing w:line="360" w:lineRule="auto"/>
        <w:jc w:val="left"/>
        <w:rPr>
          <w:rFonts w:ascii="宋体" w:hAnsi="宋体"/>
          <w:color w:val="auto"/>
          <w:szCs w:val="21"/>
          <w:highlight w:val="none"/>
        </w:rPr>
      </w:pPr>
      <w:r>
        <w:rPr>
          <w:rFonts w:ascii="宋体" w:hAnsi="宋体"/>
          <w:color w:val="auto"/>
          <w:szCs w:val="21"/>
          <w:highlight w:val="none"/>
        </w:rPr>
        <w:br w:type="page"/>
      </w:r>
    </w:p>
    <w:p w14:paraId="783F683E">
      <w:pPr>
        <w:spacing w:line="480" w:lineRule="auto"/>
        <w:rPr>
          <w:rFonts w:ascii="宋体" w:hAnsi="宋体"/>
          <w:color w:val="auto"/>
          <w:szCs w:val="21"/>
          <w:highlight w:val="none"/>
        </w:rPr>
      </w:pPr>
      <w:r>
        <w:rPr>
          <w:rFonts w:hint="eastAsia" w:ascii="宋体" w:hAnsi="宋体"/>
          <w:color w:val="auto"/>
          <w:szCs w:val="21"/>
          <w:highlight w:val="none"/>
        </w:rPr>
        <w:t>附</w:t>
      </w:r>
      <w:bookmarkStart w:id="2010" w:name="_Toc296503232"/>
      <w:bookmarkStart w:id="2011" w:name="_Toc267261702"/>
      <w:bookmarkStart w:id="2012" w:name="_Toc296891272"/>
      <w:bookmarkStart w:id="2013" w:name="_Toc296346733"/>
      <w:bookmarkStart w:id="2014" w:name="_Toc296891060"/>
      <w:bookmarkStart w:id="2015" w:name="_Toc296347231"/>
      <w:bookmarkStart w:id="2016" w:name="_Toc296944571"/>
      <w:r>
        <w:rPr>
          <w:rFonts w:hint="eastAsia" w:ascii="宋体" w:hAnsi="宋体"/>
          <w:color w:val="auto"/>
          <w:szCs w:val="21"/>
          <w:highlight w:val="none"/>
        </w:rPr>
        <w:t>件5：</w:t>
      </w:r>
    </w:p>
    <w:bookmarkEnd w:id="2010"/>
    <w:bookmarkEnd w:id="2011"/>
    <w:bookmarkEnd w:id="2012"/>
    <w:bookmarkEnd w:id="2013"/>
    <w:bookmarkEnd w:id="2014"/>
    <w:bookmarkEnd w:id="2015"/>
    <w:bookmarkEnd w:id="2016"/>
    <w:p w14:paraId="703C8546">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预付款担保（如有）</w:t>
      </w:r>
    </w:p>
    <w:p w14:paraId="7008A0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357BC1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3C352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AA5DD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0C7495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67AA6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0E39A0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6A66CA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29D161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273134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本保函自我方法定代表人（或其委托代理人）签字并加盖公章之日起生效。</w:t>
      </w:r>
    </w:p>
    <w:p w14:paraId="1978EDB7">
      <w:pPr>
        <w:pStyle w:val="2"/>
        <w:spacing w:line="360" w:lineRule="auto"/>
        <w:ind w:firstLine="420" w:firstLineChars="200"/>
        <w:rPr>
          <w:rFonts w:ascii="宋体" w:hAnsi="宋体"/>
          <w:color w:val="auto"/>
          <w:szCs w:val="21"/>
          <w:highlight w:val="none"/>
        </w:rPr>
      </w:pPr>
    </w:p>
    <w:p w14:paraId="290DA9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D4C07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52CA81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41CED00B">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DBA0A80">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F2EF3A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91CC7F4">
      <w:pPr>
        <w:spacing w:line="360" w:lineRule="auto"/>
        <w:ind w:firstLine="420" w:firstLineChars="200"/>
        <w:rPr>
          <w:rFonts w:ascii="宋体" w:hAnsi="宋体"/>
          <w:color w:val="auto"/>
          <w:szCs w:val="21"/>
          <w:highlight w:val="none"/>
          <w:u w:val="single"/>
        </w:rPr>
      </w:pPr>
    </w:p>
    <w:p w14:paraId="091BDFA0">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E5C9F92">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17" w:name="_Toc296891273"/>
      <w:bookmarkStart w:id="2018" w:name="_Toc296346734"/>
      <w:bookmarkStart w:id="2019" w:name="_Toc296503233"/>
      <w:bookmarkStart w:id="2020" w:name="_Toc296347232"/>
      <w:bookmarkStart w:id="2021" w:name="_Toc296944572"/>
      <w:bookmarkStart w:id="2022" w:name="_Toc296891061"/>
      <w:r>
        <w:rPr>
          <w:rFonts w:hint="eastAsia" w:ascii="宋体" w:hAnsi="宋体"/>
          <w:color w:val="auto"/>
          <w:szCs w:val="21"/>
          <w:highlight w:val="none"/>
        </w:rPr>
        <w:t>件6：</w:t>
      </w:r>
    </w:p>
    <w:bookmarkEnd w:id="2017"/>
    <w:bookmarkEnd w:id="2018"/>
    <w:bookmarkEnd w:id="2019"/>
    <w:bookmarkEnd w:id="2020"/>
    <w:bookmarkEnd w:id="2021"/>
    <w:bookmarkEnd w:id="2022"/>
    <w:p w14:paraId="66E68CCA">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支付担保（如有）</w:t>
      </w:r>
    </w:p>
    <w:p w14:paraId="1BC7A9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6ABD70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鉴于你方作为承包人已经与 </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4637E048">
      <w:pPr>
        <w:spacing w:line="360" w:lineRule="auto"/>
        <w:ind w:firstLine="420" w:firstLineChars="200"/>
        <w:rPr>
          <w:rFonts w:ascii="宋体" w:hAnsi="宋体"/>
          <w:color w:val="auto"/>
          <w:szCs w:val="21"/>
          <w:highlight w:val="none"/>
        </w:rPr>
      </w:pPr>
      <w:bookmarkStart w:id="2023" w:name="_Toc532375692"/>
      <w:r>
        <w:rPr>
          <w:rFonts w:hint="eastAsia" w:ascii="宋体" w:hAnsi="宋体"/>
          <w:color w:val="auto"/>
          <w:szCs w:val="21"/>
          <w:highlight w:val="none"/>
        </w:rPr>
        <w:t>一、保证的范围及保证金额</w:t>
      </w:r>
      <w:bookmarkEnd w:id="2023"/>
    </w:p>
    <w:p w14:paraId="58239A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523539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5C8CB0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AB76536">
      <w:pPr>
        <w:spacing w:line="360" w:lineRule="auto"/>
        <w:ind w:firstLine="420" w:firstLineChars="200"/>
        <w:rPr>
          <w:rFonts w:ascii="宋体" w:hAnsi="宋体"/>
          <w:color w:val="auto"/>
          <w:szCs w:val="21"/>
          <w:highlight w:val="none"/>
        </w:rPr>
      </w:pPr>
      <w:bookmarkStart w:id="2024" w:name="_Toc532375693"/>
      <w:r>
        <w:rPr>
          <w:rFonts w:hint="eastAsia" w:ascii="宋体" w:hAnsi="宋体"/>
          <w:color w:val="auto"/>
          <w:szCs w:val="21"/>
          <w:highlight w:val="none"/>
        </w:rPr>
        <w:t>二、保证的方式及保证期间</w:t>
      </w:r>
      <w:bookmarkEnd w:id="2024"/>
    </w:p>
    <w:p w14:paraId="2B2910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我方保证的方式为：连带责任保证。</w:t>
      </w:r>
    </w:p>
    <w:p w14:paraId="1F30D1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我方保证的期间为：自合同生效之日起至主合同约定的工程款支付完毕之日后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58676A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01D43CE7">
      <w:pPr>
        <w:spacing w:line="360" w:lineRule="auto"/>
        <w:ind w:firstLine="420" w:firstLineChars="200"/>
        <w:rPr>
          <w:rFonts w:ascii="宋体" w:hAnsi="宋体"/>
          <w:color w:val="auto"/>
          <w:szCs w:val="21"/>
          <w:highlight w:val="none"/>
        </w:rPr>
      </w:pPr>
      <w:bookmarkStart w:id="2025" w:name="_Toc532375694"/>
      <w:r>
        <w:rPr>
          <w:rFonts w:hint="eastAsia" w:ascii="宋体" w:hAnsi="宋体"/>
          <w:color w:val="auto"/>
          <w:szCs w:val="21"/>
          <w:highlight w:val="none"/>
        </w:rPr>
        <w:t>三、承担保证责任的形式</w:t>
      </w:r>
      <w:bookmarkEnd w:id="2025"/>
    </w:p>
    <w:p w14:paraId="5B7E3C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55F9BC93">
      <w:pPr>
        <w:spacing w:line="360" w:lineRule="auto"/>
        <w:ind w:firstLine="420" w:firstLineChars="200"/>
        <w:rPr>
          <w:rFonts w:ascii="宋体" w:hAnsi="宋体"/>
          <w:color w:val="auto"/>
          <w:szCs w:val="21"/>
          <w:highlight w:val="none"/>
        </w:rPr>
      </w:pPr>
      <w:bookmarkStart w:id="2026" w:name="_Toc532375695"/>
      <w:r>
        <w:rPr>
          <w:rFonts w:hint="eastAsia" w:ascii="宋体" w:hAnsi="宋体"/>
          <w:color w:val="auto"/>
          <w:szCs w:val="21"/>
          <w:highlight w:val="none"/>
        </w:rPr>
        <w:t>四、代偿的安排</w:t>
      </w:r>
      <w:bookmarkEnd w:id="2026"/>
    </w:p>
    <w:p w14:paraId="09BE76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125927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0DB371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79182E1F">
      <w:pPr>
        <w:spacing w:line="360" w:lineRule="auto"/>
        <w:ind w:firstLine="420" w:firstLineChars="200"/>
        <w:rPr>
          <w:rFonts w:ascii="宋体" w:hAnsi="宋体"/>
          <w:color w:val="auto"/>
          <w:szCs w:val="21"/>
          <w:highlight w:val="none"/>
        </w:rPr>
      </w:pPr>
      <w:bookmarkStart w:id="2027" w:name="_Toc532375696"/>
      <w:r>
        <w:rPr>
          <w:rFonts w:hint="eastAsia" w:ascii="宋体" w:hAnsi="宋体"/>
          <w:color w:val="auto"/>
          <w:szCs w:val="21"/>
          <w:highlight w:val="none"/>
        </w:rPr>
        <w:t>五、保证责任的解除</w:t>
      </w:r>
      <w:bookmarkEnd w:id="2027"/>
    </w:p>
    <w:p w14:paraId="6E3976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2B27C7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6B6D3B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1F0B7F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47EF35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  个工作日内，将本保函原件返还我方。</w:t>
      </w:r>
    </w:p>
    <w:p w14:paraId="1CFFCDF5">
      <w:pPr>
        <w:spacing w:line="360" w:lineRule="auto"/>
        <w:ind w:firstLine="420" w:firstLineChars="200"/>
        <w:rPr>
          <w:rFonts w:ascii="宋体" w:hAnsi="宋体"/>
          <w:color w:val="auto"/>
          <w:szCs w:val="21"/>
          <w:highlight w:val="none"/>
        </w:rPr>
      </w:pPr>
      <w:bookmarkStart w:id="2028" w:name="_Toc532375697"/>
      <w:r>
        <w:rPr>
          <w:rFonts w:hint="eastAsia" w:ascii="宋体" w:hAnsi="宋体"/>
          <w:color w:val="auto"/>
          <w:szCs w:val="21"/>
          <w:highlight w:val="none"/>
        </w:rPr>
        <w:t>六、免责条款</w:t>
      </w:r>
      <w:bookmarkEnd w:id="2028"/>
    </w:p>
    <w:p w14:paraId="2B9125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0F5D1D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483FC1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51861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40A2EE2A">
      <w:pPr>
        <w:spacing w:line="360" w:lineRule="auto"/>
        <w:ind w:firstLine="420" w:firstLineChars="200"/>
        <w:rPr>
          <w:rFonts w:ascii="宋体" w:hAnsi="宋体"/>
          <w:color w:val="auto"/>
          <w:szCs w:val="21"/>
          <w:highlight w:val="none"/>
        </w:rPr>
      </w:pPr>
      <w:bookmarkStart w:id="2029" w:name="_Toc532375698"/>
      <w:r>
        <w:rPr>
          <w:rFonts w:hint="eastAsia" w:ascii="宋体" w:hAnsi="宋体"/>
          <w:color w:val="auto"/>
          <w:szCs w:val="21"/>
          <w:highlight w:val="none"/>
        </w:rPr>
        <w:t>七、争议解决</w:t>
      </w:r>
      <w:bookmarkEnd w:id="2029"/>
    </w:p>
    <w:p w14:paraId="2D53C8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1DBB9D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4E02B0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3F2CFB71">
      <w:pPr>
        <w:spacing w:line="360" w:lineRule="auto"/>
        <w:ind w:firstLine="420" w:firstLineChars="200"/>
        <w:rPr>
          <w:rFonts w:ascii="宋体" w:hAnsi="宋体"/>
          <w:color w:val="auto"/>
          <w:szCs w:val="21"/>
          <w:highlight w:val="none"/>
        </w:rPr>
      </w:pPr>
      <w:bookmarkStart w:id="2030" w:name="_Toc532375699"/>
      <w:r>
        <w:rPr>
          <w:rFonts w:hint="eastAsia" w:ascii="宋体" w:hAnsi="宋体"/>
          <w:color w:val="auto"/>
          <w:szCs w:val="21"/>
          <w:highlight w:val="none"/>
        </w:rPr>
        <w:t>八、保函的生效</w:t>
      </w:r>
      <w:bookmarkEnd w:id="2030"/>
    </w:p>
    <w:p w14:paraId="50D3A0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本保函自我方法定代表人（或其委托代理人）签字并加盖公章之日起生效。</w:t>
      </w:r>
    </w:p>
    <w:p w14:paraId="6BA9F8A0">
      <w:pPr>
        <w:spacing w:line="360" w:lineRule="auto"/>
        <w:ind w:right="600" w:firstLine="420" w:firstLineChars="200"/>
        <w:jc w:val="left"/>
        <w:rPr>
          <w:rFonts w:hint="eastAsia" w:ascii="宋体" w:hAnsi="宋体"/>
          <w:color w:val="auto"/>
          <w:szCs w:val="21"/>
          <w:highlight w:val="none"/>
        </w:rPr>
      </w:pPr>
    </w:p>
    <w:p w14:paraId="22771C5B">
      <w:pPr>
        <w:spacing w:line="360" w:lineRule="auto"/>
        <w:ind w:right="600" w:firstLine="420" w:firstLineChars="200"/>
        <w:jc w:val="left"/>
        <w:rPr>
          <w:rFonts w:hint="eastAsia" w:ascii="宋体" w:hAnsi="宋体"/>
          <w:color w:val="auto"/>
          <w:szCs w:val="21"/>
          <w:highlight w:val="none"/>
        </w:rPr>
      </w:pPr>
    </w:p>
    <w:p w14:paraId="343C6C68">
      <w:pPr>
        <w:spacing w:line="360" w:lineRule="auto"/>
        <w:ind w:right="600" w:firstLine="420" w:firstLineChars="2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0CBDD6E1">
      <w:pPr>
        <w:spacing w:line="360" w:lineRule="auto"/>
        <w:ind w:right="1200" w:firstLine="420" w:firstLineChars="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855E1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76050F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2CB3AC0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5E0AE2DD">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14:paraId="13E52103">
      <w:pPr>
        <w:widowControl/>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rPr>
        <w:br w:type="page"/>
      </w:r>
    </w:p>
    <w:p w14:paraId="7E9FE82B">
      <w:pPr>
        <w:spacing w:line="480" w:lineRule="auto"/>
        <w:rPr>
          <w:rFonts w:ascii="宋体" w:hAnsi="宋体"/>
          <w:color w:val="auto"/>
          <w:szCs w:val="21"/>
          <w:highlight w:val="none"/>
        </w:rPr>
      </w:pPr>
      <w:r>
        <w:rPr>
          <w:rFonts w:hint="eastAsia" w:ascii="宋体" w:hAnsi="宋体"/>
          <w:color w:val="auto"/>
          <w:szCs w:val="21"/>
          <w:highlight w:val="none"/>
        </w:rPr>
        <w:t>附件7：</w:t>
      </w:r>
    </w:p>
    <w:p w14:paraId="23E6CB1B">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2DEC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FC2EADC">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984" w:type="dxa"/>
            <w:noWrap w:val="0"/>
            <w:vAlign w:val="top"/>
          </w:tcPr>
          <w:p w14:paraId="238E974A">
            <w:pPr>
              <w:spacing w:line="400" w:lineRule="exact"/>
              <w:jc w:val="center"/>
              <w:rPr>
                <w:rFonts w:ascii="宋体" w:hAnsi="宋体"/>
                <w:color w:val="auto"/>
                <w:szCs w:val="21"/>
                <w:highlight w:val="none"/>
              </w:rPr>
            </w:pPr>
            <w:r>
              <w:rPr>
                <w:rFonts w:hint="eastAsia" w:ascii="宋体" w:hAnsi="宋体"/>
                <w:color w:val="auto"/>
                <w:szCs w:val="21"/>
                <w:highlight w:val="none"/>
              </w:rPr>
              <w:t>专业工程名称</w:t>
            </w:r>
          </w:p>
        </w:tc>
        <w:tc>
          <w:tcPr>
            <w:tcW w:w="5103" w:type="dxa"/>
            <w:noWrap w:val="0"/>
            <w:vAlign w:val="top"/>
          </w:tcPr>
          <w:p w14:paraId="308A6318">
            <w:pPr>
              <w:spacing w:line="400" w:lineRule="exact"/>
              <w:jc w:val="center"/>
              <w:rPr>
                <w:rFonts w:ascii="宋体" w:hAnsi="宋体"/>
                <w:color w:val="auto"/>
                <w:szCs w:val="21"/>
                <w:highlight w:val="none"/>
              </w:rPr>
            </w:pPr>
            <w:r>
              <w:rPr>
                <w:rFonts w:hint="eastAsia" w:ascii="宋体" w:hAnsi="宋体"/>
                <w:color w:val="auto"/>
                <w:szCs w:val="21"/>
                <w:highlight w:val="none"/>
              </w:rPr>
              <w:t>工程内容</w:t>
            </w:r>
          </w:p>
        </w:tc>
        <w:tc>
          <w:tcPr>
            <w:tcW w:w="1560" w:type="dxa"/>
            <w:noWrap w:val="0"/>
            <w:vAlign w:val="top"/>
          </w:tcPr>
          <w:p w14:paraId="67E34BCE">
            <w:pPr>
              <w:spacing w:line="400" w:lineRule="exact"/>
              <w:jc w:val="center"/>
              <w:rPr>
                <w:rFonts w:ascii="宋体" w:hAnsi="宋体"/>
                <w:color w:val="auto"/>
                <w:szCs w:val="21"/>
                <w:highlight w:val="none"/>
              </w:rPr>
            </w:pPr>
            <w:r>
              <w:rPr>
                <w:rFonts w:hint="eastAsia" w:ascii="宋体" w:hAnsi="宋体"/>
                <w:color w:val="auto"/>
                <w:szCs w:val="21"/>
                <w:highlight w:val="none"/>
              </w:rPr>
              <w:t>金额</w:t>
            </w:r>
          </w:p>
        </w:tc>
      </w:tr>
      <w:tr w14:paraId="3B7E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6066B942">
            <w:pPr>
              <w:spacing w:line="400" w:lineRule="exact"/>
              <w:ind w:firstLine="420" w:firstLineChars="200"/>
              <w:rPr>
                <w:rFonts w:ascii="宋体" w:hAnsi="宋体"/>
                <w:color w:val="auto"/>
                <w:szCs w:val="21"/>
                <w:highlight w:val="none"/>
              </w:rPr>
            </w:pPr>
          </w:p>
        </w:tc>
        <w:tc>
          <w:tcPr>
            <w:tcW w:w="1984" w:type="dxa"/>
            <w:noWrap w:val="0"/>
            <w:vAlign w:val="top"/>
          </w:tcPr>
          <w:p w14:paraId="55AD4B01">
            <w:pPr>
              <w:spacing w:line="400" w:lineRule="exact"/>
              <w:ind w:firstLine="420" w:firstLineChars="200"/>
              <w:rPr>
                <w:rFonts w:ascii="宋体" w:hAnsi="宋体"/>
                <w:color w:val="auto"/>
                <w:szCs w:val="21"/>
                <w:highlight w:val="none"/>
              </w:rPr>
            </w:pPr>
          </w:p>
        </w:tc>
        <w:tc>
          <w:tcPr>
            <w:tcW w:w="5103" w:type="dxa"/>
            <w:noWrap w:val="0"/>
            <w:vAlign w:val="top"/>
          </w:tcPr>
          <w:p w14:paraId="4A4F976A">
            <w:pPr>
              <w:spacing w:line="400" w:lineRule="exact"/>
              <w:ind w:firstLine="420" w:firstLineChars="200"/>
              <w:rPr>
                <w:rFonts w:ascii="宋体" w:hAnsi="宋体"/>
                <w:color w:val="auto"/>
                <w:szCs w:val="21"/>
                <w:highlight w:val="none"/>
              </w:rPr>
            </w:pPr>
          </w:p>
        </w:tc>
        <w:tc>
          <w:tcPr>
            <w:tcW w:w="1560" w:type="dxa"/>
            <w:noWrap w:val="0"/>
            <w:vAlign w:val="top"/>
          </w:tcPr>
          <w:p w14:paraId="7334F418">
            <w:pPr>
              <w:spacing w:line="400" w:lineRule="exact"/>
              <w:ind w:firstLine="420" w:firstLineChars="200"/>
              <w:rPr>
                <w:rFonts w:ascii="宋体" w:hAnsi="宋体"/>
                <w:color w:val="auto"/>
                <w:szCs w:val="21"/>
                <w:highlight w:val="none"/>
              </w:rPr>
            </w:pPr>
          </w:p>
        </w:tc>
      </w:tr>
      <w:tr w14:paraId="7FA4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4B63E76">
            <w:pPr>
              <w:spacing w:line="400" w:lineRule="exact"/>
              <w:ind w:firstLine="420" w:firstLineChars="200"/>
              <w:rPr>
                <w:rFonts w:ascii="宋体" w:hAnsi="宋体"/>
                <w:color w:val="auto"/>
                <w:szCs w:val="21"/>
                <w:highlight w:val="none"/>
              </w:rPr>
            </w:pPr>
          </w:p>
        </w:tc>
        <w:tc>
          <w:tcPr>
            <w:tcW w:w="1984" w:type="dxa"/>
            <w:noWrap w:val="0"/>
            <w:vAlign w:val="top"/>
          </w:tcPr>
          <w:p w14:paraId="50D3FEB6">
            <w:pPr>
              <w:spacing w:line="400" w:lineRule="exact"/>
              <w:ind w:firstLine="420" w:firstLineChars="200"/>
              <w:rPr>
                <w:rFonts w:ascii="宋体" w:hAnsi="宋体"/>
                <w:color w:val="auto"/>
                <w:szCs w:val="21"/>
                <w:highlight w:val="none"/>
              </w:rPr>
            </w:pPr>
          </w:p>
        </w:tc>
        <w:tc>
          <w:tcPr>
            <w:tcW w:w="5103" w:type="dxa"/>
            <w:noWrap w:val="0"/>
            <w:vAlign w:val="top"/>
          </w:tcPr>
          <w:p w14:paraId="516B0C19">
            <w:pPr>
              <w:spacing w:line="400" w:lineRule="exact"/>
              <w:ind w:firstLine="420" w:firstLineChars="200"/>
              <w:rPr>
                <w:rFonts w:ascii="宋体" w:hAnsi="宋体"/>
                <w:color w:val="auto"/>
                <w:szCs w:val="21"/>
                <w:highlight w:val="none"/>
              </w:rPr>
            </w:pPr>
          </w:p>
        </w:tc>
        <w:tc>
          <w:tcPr>
            <w:tcW w:w="1560" w:type="dxa"/>
            <w:noWrap w:val="0"/>
            <w:vAlign w:val="top"/>
          </w:tcPr>
          <w:p w14:paraId="7C5B78A4">
            <w:pPr>
              <w:spacing w:line="400" w:lineRule="exact"/>
              <w:ind w:firstLine="420" w:firstLineChars="200"/>
              <w:rPr>
                <w:rFonts w:ascii="宋体" w:hAnsi="宋体"/>
                <w:color w:val="auto"/>
                <w:szCs w:val="21"/>
                <w:highlight w:val="none"/>
              </w:rPr>
            </w:pPr>
          </w:p>
        </w:tc>
      </w:tr>
      <w:tr w14:paraId="48AC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4C577176">
            <w:pPr>
              <w:spacing w:line="400" w:lineRule="exact"/>
              <w:ind w:firstLine="420" w:firstLineChars="200"/>
              <w:rPr>
                <w:rFonts w:ascii="宋体" w:hAnsi="宋体"/>
                <w:color w:val="auto"/>
                <w:szCs w:val="21"/>
                <w:highlight w:val="none"/>
              </w:rPr>
            </w:pPr>
          </w:p>
        </w:tc>
        <w:tc>
          <w:tcPr>
            <w:tcW w:w="1984" w:type="dxa"/>
            <w:noWrap w:val="0"/>
            <w:vAlign w:val="top"/>
          </w:tcPr>
          <w:p w14:paraId="6251ABC7">
            <w:pPr>
              <w:spacing w:line="400" w:lineRule="exact"/>
              <w:ind w:firstLine="420" w:firstLineChars="200"/>
              <w:rPr>
                <w:rFonts w:ascii="宋体" w:hAnsi="宋体"/>
                <w:color w:val="auto"/>
                <w:szCs w:val="21"/>
                <w:highlight w:val="none"/>
              </w:rPr>
            </w:pPr>
          </w:p>
        </w:tc>
        <w:tc>
          <w:tcPr>
            <w:tcW w:w="5103" w:type="dxa"/>
            <w:noWrap w:val="0"/>
            <w:vAlign w:val="top"/>
          </w:tcPr>
          <w:p w14:paraId="194B166F">
            <w:pPr>
              <w:spacing w:line="400" w:lineRule="exact"/>
              <w:ind w:firstLine="420" w:firstLineChars="200"/>
              <w:rPr>
                <w:rFonts w:ascii="宋体" w:hAnsi="宋体"/>
                <w:color w:val="auto"/>
                <w:szCs w:val="21"/>
                <w:highlight w:val="none"/>
              </w:rPr>
            </w:pPr>
          </w:p>
        </w:tc>
        <w:tc>
          <w:tcPr>
            <w:tcW w:w="1560" w:type="dxa"/>
            <w:noWrap w:val="0"/>
            <w:vAlign w:val="top"/>
          </w:tcPr>
          <w:p w14:paraId="0AA08849">
            <w:pPr>
              <w:spacing w:line="400" w:lineRule="exact"/>
              <w:ind w:firstLine="420" w:firstLineChars="200"/>
              <w:rPr>
                <w:rFonts w:ascii="宋体" w:hAnsi="宋体"/>
                <w:color w:val="auto"/>
                <w:szCs w:val="21"/>
                <w:highlight w:val="none"/>
              </w:rPr>
            </w:pPr>
          </w:p>
        </w:tc>
      </w:tr>
      <w:tr w14:paraId="76A1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93F01A0">
            <w:pPr>
              <w:spacing w:line="400" w:lineRule="exact"/>
              <w:ind w:firstLine="420" w:firstLineChars="200"/>
              <w:rPr>
                <w:rFonts w:ascii="宋体" w:hAnsi="宋体"/>
                <w:color w:val="auto"/>
                <w:szCs w:val="21"/>
                <w:highlight w:val="none"/>
              </w:rPr>
            </w:pPr>
          </w:p>
        </w:tc>
        <w:tc>
          <w:tcPr>
            <w:tcW w:w="1984" w:type="dxa"/>
            <w:noWrap w:val="0"/>
            <w:vAlign w:val="top"/>
          </w:tcPr>
          <w:p w14:paraId="1335FCC6">
            <w:pPr>
              <w:spacing w:line="400" w:lineRule="exact"/>
              <w:ind w:firstLine="420" w:firstLineChars="200"/>
              <w:rPr>
                <w:rFonts w:ascii="宋体" w:hAnsi="宋体"/>
                <w:color w:val="auto"/>
                <w:szCs w:val="21"/>
                <w:highlight w:val="none"/>
              </w:rPr>
            </w:pPr>
          </w:p>
        </w:tc>
        <w:tc>
          <w:tcPr>
            <w:tcW w:w="5103" w:type="dxa"/>
            <w:noWrap w:val="0"/>
            <w:vAlign w:val="top"/>
          </w:tcPr>
          <w:p w14:paraId="6A9D7BAB">
            <w:pPr>
              <w:spacing w:line="400" w:lineRule="exact"/>
              <w:ind w:firstLine="420" w:firstLineChars="200"/>
              <w:rPr>
                <w:rFonts w:ascii="宋体" w:hAnsi="宋体"/>
                <w:color w:val="auto"/>
                <w:szCs w:val="21"/>
                <w:highlight w:val="none"/>
              </w:rPr>
            </w:pPr>
          </w:p>
        </w:tc>
        <w:tc>
          <w:tcPr>
            <w:tcW w:w="1560" w:type="dxa"/>
            <w:noWrap w:val="0"/>
            <w:vAlign w:val="top"/>
          </w:tcPr>
          <w:p w14:paraId="4F5D42DE">
            <w:pPr>
              <w:spacing w:line="400" w:lineRule="exact"/>
              <w:ind w:firstLine="420" w:firstLineChars="200"/>
              <w:rPr>
                <w:rFonts w:ascii="宋体" w:hAnsi="宋体"/>
                <w:color w:val="auto"/>
                <w:szCs w:val="21"/>
                <w:highlight w:val="none"/>
              </w:rPr>
            </w:pPr>
          </w:p>
        </w:tc>
      </w:tr>
      <w:tr w14:paraId="50BB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6F1B9461">
            <w:pPr>
              <w:spacing w:line="400" w:lineRule="exact"/>
              <w:ind w:firstLine="420" w:firstLineChars="200"/>
              <w:rPr>
                <w:rFonts w:ascii="宋体" w:hAnsi="宋体"/>
                <w:color w:val="auto"/>
                <w:szCs w:val="21"/>
                <w:highlight w:val="none"/>
              </w:rPr>
            </w:pPr>
          </w:p>
        </w:tc>
        <w:tc>
          <w:tcPr>
            <w:tcW w:w="1984" w:type="dxa"/>
            <w:noWrap w:val="0"/>
            <w:vAlign w:val="top"/>
          </w:tcPr>
          <w:p w14:paraId="4378FE77">
            <w:pPr>
              <w:spacing w:line="400" w:lineRule="exact"/>
              <w:ind w:firstLine="420" w:firstLineChars="200"/>
              <w:rPr>
                <w:rFonts w:ascii="宋体" w:hAnsi="宋体"/>
                <w:color w:val="auto"/>
                <w:szCs w:val="21"/>
                <w:highlight w:val="none"/>
              </w:rPr>
            </w:pPr>
          </w:p>
        </w:tc>
        <w:tc>
          <w:tcPr>
            <w:tcW w:w="5103" w:type="dxa"/>
            <w:noWrap w:val="0"/>
            <w:vAlign w:val="top"/>
          </w:tcPr>
          <w:p w14:paraId="43327CB8">
            <w:pPr>
              <w:spacing w:line="400" w:lineRule="exact"/>
              <w:ind w:firstLine="420" w:firstLineChars="200"/>
              <w:rPr>
                <w:rFonts w:ascii="宋体" w:hAnsi="宋体"/>
                <w:color w:val="auto"/>
                <w:szCs w:val="21"/>
                <w:highlight w:val="none"/>
              </w:rPr>
            </w:pPr>
          </w:p>
        </w:tc>
        <w:tc>
          <w:tcPr>
            <w:tcW w:w="1560" w:type="dxa"/>
            <w:noWrap w:val="0"/>
            <w:vAlign w:val="top"/>
          </w:tcPr>
          <w:p w14:paraId="7F49463B">
            <w:pPr>
              <w:spacing w:line="400" w:lineRule="exact"/>
              <w:ind w:firstLine="420" w:firstLineChars="200"/>
              <w:rPr>
                <w:rFonts w:ascii="宋体" w:hAnsi="宋体"/>
                <w:color w:val="auto"/>
                <w:szCs w:val="21"/>
                <w:highlight w:val="none"/>
              </w:rPr>
            </w:pPr>
          </w:p>
        </w:tc>
      </w:tr>
      <w:tr w14:paraId="01A2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547A3BED">
            <w:pPr>
              <w:spacing w:line="400" w:lineRule="exact"/>
              <w:ind w:firstLine="420" w:firstLineChars="200"/>
              <w:rPr>
                <w:rFonts w:ascii="宋体" w:hAnsi="宋体"/>
                <w:color w:val="auto"/>
                <w:szCs w:val="21"/>
                <w:highlight w:val="none"/>
              </w:rPr>
            </w:pPr>
          </w:p>
        </w:tc>
        <w:tc>
          <w:tcPr>
            <w:tcW w:w="1984" w:type="dxa"/>
            <w:noWrap w:val="0"/>
            <w:vAlign w:val="top"/>
          </w:tcPr>
          <w:p w14:paraId="3796B680">
            <w:pPr>
              <w:spacing w:line="400" w:lineRule="exact"/>
              <w:ind w:firstLine="420" w:firstLineChars="200"/>
              <w:rPr>
                <w:rFonts w:ascii="宋体" w:hAnsi="宋体"/>
                <w:color w:val="auto"/>
                <w:szCs w:val="21"/>
                <w:highlight w:val="none"/>
              </w:rPr>
            </w:pPr>
          </w:p>
        </w:tc>
        <w:tc>
          <w:tcPr>
            <w:tcW w:w="5103" w:type="dxa"/>
            <w:noWrap w:val="0"/>
            <w:vAlign w:val="top"/>
          </w:tcPr>
          <w:p w14:paraId="031D63EF">
            <w:pPr>
              <w:spacing w:line="400" w:lineRule="exact"/>
              <w:ind w:firstLine="420" w:firstLineChars="200"/>
              <w:rPr>
                <w:rFonts w:ascii="宋体" w:hAnsi="宋体"/>
                <w:color w:val="auto"/>
                <w:szCs w:val="21"/>
                <w:highlight w:val="none"/>
              </w:rPr>
            </w:pPr>
          </w:p>
        </w:tc>
        <w:tc>
          <w:tcPr>
            <w:tcW w:w="1560" w:type="dxa"/>
            <w:noWrap w:val="0"/>
            <w:vAlign w:val="top"/>
          </w:tcPr>
          <w:p w14:paraId="5EBF5A98">
            <w:pPr>
              <w:spacing w:line="400" w:lineRule="exact"/>
              <w:ind w:firstLine="420" w:firstLineChars="200"/>
              <w:rPr>
                <w:rFonts w:ascii="宋体" w:hAnsi="宋体"/>
                <w:color w:val="auto"/>
                <w:szCs w:val="21"/>
                <w:highlight w:val="none"/>
              </w:rPr>
            </w:pPr>
          </w:p>
        </w:tc>
      </w:tr>
      <w:tr w14:paraId="124F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2D55482">
            <w:pPr>
              <w:spacing w:line="400" w:lineRule="exact"/>
              <w:ind w:firstLine="420" w:firstLineChars="200"/>
              <w:rPr>
                <w:rFonts w:ascii="宋体" w:hAnsi="宋体"/>
                <w:color w:val="auto"/>
                <w:szCs w:val="21"/>
                <w:highlight w:val="none"/>
              </w:rPr>
            </w:pPr>
          </w:p>
        </w:tc>
        <w:tc>
          <w:tcPr>
            <w:tcW w:w="1984" w:type="dxa"/>
            <w:noWrap w:val="0"/>
            <w:vAlign w:val="top"/>
          </w:tcPr>
          <w:p w14:paraId="3201AB52">
            <w:pPr>
              <w:spacing w:line="400" w:lineRule="exact"/>
              <w:ind w:firstLine="420" w:firstLineChars="200"/>
              <w:rPr>
                <w:rFonts w:ascii="宋体" w:hAnsi="宋体"/>
                <w:color w:val="auto"/>
                <w:szCs w:val="21"/>
                <w:highlight w:val="none"/>
              </w:rPr>
            </w:pPr>
          </w:p>
        </w:tc>
        <w:tc>
          <w:tcPr>
            <w:tcW w:w="5103" w:type="dxa"/>
            <w:noWrap w:val="0"/>
            <w:vAlign w:val="top"/>
          </w:tcPr>
          <w:p w14:paraId="1ABB6462">
            <w:pPr>
              <w:spacing w:line="400" w:lineRule="exact"/>
              <w:ind w:firstLine="420" w:firstLineChars="200"/>
              <w:rPr>
                <w:rFonts w:ascii="宋体" w:hAnsi="宋体"/>
                <w:color w:val="auto"/>
                <w:szCs w:val="21"/>
                <w:highlight w:val="none"/>
              </w:rPr>
            </w:pPr>
          </w:p>
        </w:tc>
        <w:tc>
          <w:tcPr>
            <w:tcW w:w="1560" w:type="dxa"/>
            <w:noWrap w:val="0"/>
            <w:vAlign w:val="top"/>
          </w:tcPr>
          <w:p w14:paraId="2F3289F8">
            <w:pPr>
              <w:spacing w:line="400" w:lineRule="exact"/>
              <w:ind w:firstLine="420" w:firstLineChars="200"/>
              <w:rPr>
                <w:rFonts w:ascii="宋体" w:hAnsi="宋体"/>
                <w:color w:val="auto"/>
                <w:szCs w:val="21"/>
                <w:highlight w:val="none"/>
              </w:rPr>
            </w:pPr>
          </w:p>
        </w:tc>
      </w:tr>
      <w:tr w14:paraId="03C6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54383B53">
            <w:pPr>
              <w:spacing w:line="400" w:lineRule="exact"/>
              <w:ind w:firstLine="420" w:firstLineChars="200"/>
              <w:rPr>
                <w:rFonts w:ascii="宋体" w:hAnsi="宋体"/>
                <w:color w:val="auto"/>
                <w:szCs w:val="21"/>
                <w:highlight w:val="none"/>
              </w:rPr>
            </w:pPr>
          </w:p>
        </w:tc>
        <w:tc>
          <w:tcPr>
            <w:tcW w:w="1984" w:type="dxa"/>
            <w:noWrap w:val="0"/>
            <w:vAlign w:val="top"/>
          </w:tcPr>
          <w:p w14:paraId="1CA16A4C">
            <w:pPr>
              <w:spacing w:line="400" w:lineRule="exact"/>
              <w:ind w:firstLine="420" w:firstLineChars="200"/>
              <w:rPr>
                <w:rFonts w:ascii="宋体" w:hAnsi="宋体"/>
                <w:color w:val="auto"/>
                <w:szCs w:val="21"/>
                <w:highlight w:val="none"/>
              </w:rPr>
            </w:pPr>
          </w:p>
        </w:tc>
        <w:tc>
          <w:tcPr>
            <w:tcW w:w="5103" w:type="dxa"/>
            <w:noWrap w:val="0"/>
            <w:vAlign w:val="top"/>
          </w:tcPr>
          <w:p w14:paraId="636F63EB">
            <w:pPr>
              <w:spacing w:line="400" w:lineRule="exact"/>
              <w:ind w:firstLine="420" w:firstLineChars="200"/>
              <w:rPr>
                <w:rFonts w:ascii="宋体" w:hAnsi="宋体"/>
                <w:color w:val="auto"/>
                <w:szCs w:val="21"/>
                <w:highlight w:val="none"/>
              </w:rPr>
            </w:pPr>
          </w:p>
        </w:tc>
        <w:tc>
          <w:tcPr>
            <w:tcW w:w="1560" w:type="dxa"/>
            <w:noWrap w:val="0"/>
            <w:vAlign w:val="top"/>
          </w:tcPr>
          <w:p w14:paraId="712C6C72">
            <w:pPr>
              <w:spacing w:line="400" w:lineRule="exact"/>
              <w:ind w:firstLine="420" w:firstLineChars="200"/>
              <w:rPr>
                <w:rFonts w:ascii="宋体" w:hAnsi="宋体"/>
                <w:color w:val="auto"/>
                <w:szCs w:val="21"/>
                <w:highlight w:val="none"/>
              </w:rPr>
            </w:pPr>
          </w:p>
        </w:tc>
      </w:tr>
      <w:tr w14:paraId="4B30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67DE064F">
            <w:pPr>
              <w:spacing w:line="400" w:lineRule="exact"/>
              <w:ind w:firstLine="420" w:firstLineChars="200"/>
              <w:rPr>
                <w:rFonts w:ascii="宋体" w:hAnsi="宋体"/>
                <w:color w:val="auto"/>
                <w:szCs w:val="21"/>
                <w:highlight w:val="none"/>
              </w:rPr>
            </w:pPr>
          </w:p>
        </w:tc>
        <w:tc>
          <w:tcPr>
            <w:tcW w:w="1984" w:type="dxa"/>
            <w:noWrap w:val="0"/>
            <w:vAlign w:val="top"/>
          </w:tcPr>
          <w:p w14:paraId="669AAF69">
            <w:pPr>
              <w:spacing w:line="400" w:lineRule="exact"/>
              <w:ind w:firstLine="420" w:firstLineChars="200"/>
              <w:rPr>
                <w:rFonts w:ascii="宋体" w:hAnsi="宋体"/>
                <w:color w:val="auto"/>
                <w:szCs w:val="21"/>
                <w:highlight w:val="none"/>
              </w:rPr>
            </w:pPr>
          </w:p>
        </w:tc>
        <w:tc>
          <w:tcPr>
            <w:tcW w:w="5103" w:type="dxa"/>
            <w:noWrap w:val="0"/>
            <w:vAlign w:val="top"/>
          </w:tcPr>
          <w:p w14:paraId="76F1E149">
            <w:pPr>
              <w:spacing w:line="400" w:lineRule="exact"/>
              <w:ind w:firstLine="420" w:firstLineChars="200"/>
              <w:rPr>
                <w:rFonts w:ascii="宋体" w:hAnsi="宋体"/>
                <w:color w:val="auto"/>
                <w:szCs w:val="21"/>
                <w:highlight w:val="none"/>
              </w:rPr>
            </w:pPr>
          </w:p>
        </w:tc>
        <w:tc>
          <w:tcPr>
            <w:tcW w:w="1560" w:type="dxa"/>
            <w:noWrap w:val="0"/>
            <w:vAlign w:val="top"/>
          </w:tcPr>
          <w:p w14:paraId="77F0064D">
            <w:pPr>
              <w:spacing w:line="400" w:lineRule="exact"/>
              <w:ind w:firstLine="420" w:firstLineChars="200"/>
              <w:rPr>
                <w:rFonts w:ascii="宋体" w:hAnsi="宋体"/>
                <w:color w:val="auto"/>
                <w:szCs w:val="21"/>
                <w:highlight w:val="none"/>
              </w:rPr>
            </w:pPr>
          </w:p>
        </w:tc>
      </w:tr>
      <w:tr w14:paraId="1926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7C00BEA">
            <w:pPr>
              <w:spacing w:line="400" w:lineRule="exact"/>
              <w:ind w:firstLine="420" w:firstLineChars="200"/>
              <w:rPr>
                <w:rFonts w:ascii="宋体" w:hAnsi="宋体"/>
                <w:color w:val="auto"/>
                <w:szCs w:val="21"/>
                <w:highlight w:val="none"/>
              </w:rPr>
            </w:pPr>
          </w:p>
        </w:tc>
        <w:tc>
          <w:tcPr>
            <w:tcW w:w="1984" w:type="dxa"/>
            <w:noWrap w:val="0"/>
            <w:vAlign w:val="top"/>
          </w:tcPr>
          <w:p w14:paraId="78D22F6D">
            <w:pPr>
              <w:spacing w:line="400" w:lineRule="exact"/>
              <w:ind w:firstLine="420" w:firstLineChars="200"/>
              <w:rPr>
                <w:rFonts w:ascii="宋体" w:hAnsi="宋体"/>
                <w:color w:val="auto"/>
                <w:szCs w:val="21"/>
                <w:highlight w:val="none"/>
              </w:rPr>
            </w:pPr>
          </w:p>
        </w:tc>
        <w:tc>
          <w:tcPr>
            <w:tcW w:w="5103" w:type="dxa"/>
            <w:noWrap w:val="0"/>
            <w:vAlign w:val="top"/>
          </w:tcPr>
          <w:p w14:paraId="0C382AFB">
            <w:pPr>
              <w:spacing w:line="400" w:lineRule="exact"/>
              <w:ind w:firstLine="420" w:firstLineChars="200"/>
              <w:rPr>
                <w:rFonts w:ascii="宋体" w:hAnsi="宋体"/>
                <w:color w:val="auto"/>
                <w:szCs w:val="21"/>
                <w:highlight w:val="none"/>
              </w:rPr>
            </w:pPr>
          </w:p>
        </w:tc>
        <w:tc>
          <w:tcPr>
            <w:tcW w:w="1560" w:type="dxa"/>
            <w:noWrap w:val="0"/>
            <w:vAlign w:val="top"/>
          </w:tcPr>
          <w:p w14:paraId="37B8E5B6">
            <w:pPr>
              <w:spacing w:line="400" w:lineRule="exact"/>
              <w:ind w:firstLine="420" w:firstLineChars="200"/>
              <w:rPr>
                <w:rFonts w:ascii="宋体" w:hAnsi="宋体"/>
                <w:color w:val="auto"/>
                <w:szCs w:val="21"/>
                <w:highlight w:val="none"/>
              </w:rPr>
            </w:pPr>
          </w:p>
        </w:tc>
      </w:tr>
      <w:tr w14:paraId="4D6A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33390DD7">
            <w:pPr>
              <w:spacing w:line="400" w:lineRule="exact"/>
              <w:ind w:firstLine="420" w:firstLineChars="200"/>
              <w:rPr>
                <w:rFonts w:ascii="宋体" w:hAnsi="宋体"/>
                <w:color w:val="auto"/>
                <w:szCs w:val="21"/>
                <w:highlight w:val="none"/>
              </w:rPr>
            </w:pPr>
          </w:p>
        </w:tc>
        <w:tc>
          <w:tcPr>
            <w:tcW w:w="1984" w:type="dxa"/>
            <w:noWrap w:val="0"/>
            <w:vAlign w:val="top"/>
          </w:tcPr>
          <w:p w14:paraId="4C9464ED">
            <w:pPr>
              <w:spacing w:line="400" w:lineRule="exact"/>
              <w:ind w:firstLine="420" w:firstLineChars="200"/>
              <w:rPr>
                <w:rFonts w:ascii="宋体" w:hAnsi="宋体"/>
                <w:color w:val="auto"/>
                <w:szCs w:val="21"/>
                <w:highlight w:val="none"/>
              </w:rPr>
            </w:pPr>
          </w:p>
        </w:tc>
        <w:tc>
          <w:tcPr>
            <w:tcW w:w="5103" w:type="dxa"/>
            <w:noWrap w:val="0"/>
            <w:vAlign w:val="top"/>
          </w:tcPr>
          <w:p w14:paraId="50037676">
            <w:pPr>
              <w:spacing w:line="400" w:lineRule="exact"/>
              <w:ind w:firstLine="420" w:firstLineChars="200"/>
              <w:rPr>
                <w:rFonts w:ascii="宋体" w:hAnsi="宋体"/>
                <w:color w:val="auto"/>
                <w:szCs w:val="21"/>
                <w:highlight w:val="none"/>
              </w:rPr>
            </w:pPr>
          </w:p>
        </w:tc>
        <w:tc>
          <w:tcPr>
            <w:tcW w:w="1560" w:type="dxa"/>
            <w:noWrap w:val="0"/>
            <w:vAlign w:val="top"/>
          </w:tcPr>
          <w:p w14:paraId="74C67D8A">
            <w:pPr>
              <w:spacing w:line="400" w:lineRule="exact"/>
              <w:ind w:firstLine="420" w:firstLineChars="200"/>
              <w:rPr>
                <w:rFonts w:ascii="宋体" w:hAnsi="宋体"/>
                <w:color w:val="auto"/>
                <w:szCs w:val="21"/>
                <w:highlight w:val="none"/>
              </w:rPr>
            </w:pPr>
          </w:p>
        </w:tc>
      </w:tr>
      <w:tr w14:paraId="1312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5D9CFAE">
            <w:pPr>
              <w:spacing w:line="400" w:lineRule="exact"/>
              <w:ind w:firstLine="420" w:firstLineChars="200"/>
              <w:rPr>
                <w:rFonts w:ascii="宋体" w:hAnsi="宋体"/>
                <w:color w:val="auto"/>
                <w:szCs w:val="21"/>
                <w:highlight w:val="none"/>
              </w:rPr>
            </w:pPr>
          </w:p>
        </w:tc>
        <w:tc>
          <w:tcPr>
            <w:tcW w:w="1984" w:type="dxa"/>
            <w:noWrap w:val="0"/>
            <w:vAlign w:val="top"/>
          </w:tcPr>
          <w:p w14:paraId="4909A28C">
            <w:pPr>
              <w:spacing w:line="400" w:lineRule="exact"/>
              <w:ind w:firstLine="420" w:firstLineChars="200"/>
              <w:rPr>
                <w:rFonts w:ascii="宋体" w:hAnsi="宋体"/>
                <w:color w:val="auto"/>
                <w:szCs w:val="21"/>
                <w:highlight w:val="none"/>
              </w:rPr>
            </w:pPr>
          </w:p>
        </w:tc>
        <w:tc>
          <w:tcPr>
            <w:tcW w:w="5103" w:type="dxa"/>
            <w:noWrap w:val="0"/>
            <w:vAlign w:val="top"/>
          </w:tcPr>
          <w:p w14:paraId="4B8524CF">
            <w:pPr>
              <w:spacing w:line="400" w:lineRule="exact"/>
              <w:ind w:firstLine="420" w:firstLineChars="200"/>
              <w:rPr>
                <w:rFonts w:ascii="宋体" w:hAnsi="宋体"/>
                <w:color w:val="auto"/>
                <w:szCs w:val="21"/>
                <w:highlight w:val="none"/>
              </w:rPr>
            </w:pPr>
          </w:p>
        </w:tc>
        <w:tc>
          <w:tcPr>
            <w:tcW w:w="1560" w:type="dxa"/>
            <w:noWrap w:val="0"/>
            <w:vAlign w:val="top"/>
          </w:tcPr>
          <w:p w14:paraId="12CDF57B">
            <w:pPr>
              <w:spacing w:line="400" w:lineRule="exact"/>
              <w:ind w:firstLine="420" w:firstLineChars="200"/>
              <w:rPr>
                <w:rFonts w:ascii="宋体" w:hAnsi="宋体"/>
                <w:color w:val="auto"/>
                <w:szCs w:val="21"/>
                <w:highlight w:val="none"/>
              </w:rPr>
            </w:pPr>
          </w:p>
        </w:tc>
      </w:tr>
      <w:tr w14:paraId="458E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232C7568">
            <w:pPr>
              <w:spacing w:line="400" w:lineRule="exact"/>
              <w:ind w:firstLine="420" w:firstLineChars="200"/>
              <w:rPr>
                <w:rFonts w:ascii="宋体" w:hAnsi="宋体"/>
                <w:color w:val="auto"/>
                <w:szCs w:val="21"/>
                <w:highlight w:val="none"/>
              </w:rPr>
            </w:pPr>
          </w:p>
        </w:tc>
        <w:tc>
          <w:tcPr>
            <w:tcW w:w="1984" w:type="dxa"/>
            <w:noWrap w:val="0"/>
            <w:vAlign w:val="top"/>
          </w:tcPr>
          <w:p w14:paraId="67F3021C">
            <w:pPr>
              <w:spacing w:line="400" w:lineRule="exact"/>
              <w:ind w:firstLine="420" w:firstLineChars="200"/>
              <w:rPr>
                <w:rFonts w:ascii="宋体" w:hAnsi="宋体"/>
                <w:color w:val="auto"/>
                <w:szCs w:val="21"/>
                <w:highlight w:val="none"/>
              </w:rPr>
            </w:pPr>
          </w:p>
        </w:tc>
        <w:tc>
          <w:tcPr>
            <w:tcW w:w="5103" w:type="dxa"/>
            <w:noWrap w:val="0"/>
            <w:vAlign w:val="top"/>
          </w:tcPr>
          <w:p w14:paraId="06C67AC4">
            <w:pPr>
              <w:spacing w:line="400" w:lineRule="exact"/>
              <w:ind w:firstLine="420" w:firstLineChars="200"/>
              <w:rPr>
                <w:rFonts w:ascii="宋体" w:hAnsi="宋体"/>
                <w:color w:val="auto"/>
                <w:szCs w:val="21"/>
                <w:highlight w:val="none"/>
              </w:rPr>
            </w:pPr>
          </w:p>
        </w:tc>
        <w:tc>
          <w:tcPr>
            <w:tcW w:w="1560" w:type="dxa"/>
            <w:noWrap w:val="0"/>
            <w:vAlign w:val="top"/>
          </w:tcPr>
          <w:p w14:paraId="16B9BCC0">
            <w:pPr>
              <w:spacing w:line="400" w:lineRule="exact"/>
              <w:ind w:firstLine="420" w:firstLineChars="200"/>
              <w:rPr>
                <w:rFonts w:ascii="宋体" w:hAnsi="宋体"/>
                <w:color w:val="auto"/>
                <w:szCs w:val="21"/>
                <w:highlight w:val="none"/>
              </w:rPr>
            </w:pPr>
          </w:p>
        </w:tc>
      </w:tr>
      <w:tr w14:paraId="014F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03D3841">
            <w:pPr>
              <w:spacing w:line="400" w:lineRule="exact"/>
              <w:ind w:firstLine="420" w:firstLineChars="200"/>
              <w:rPr>
                <w:rFonts w:ascii="宋体" w:hAnsi="宋体"/>
                <w:color w:val="auto"/>
                <w:szCs w:val="21"/>
                <w:highlight w:val="none"/>
              </w:rPr>
            </w:pPr>
          </w:p>
        </w:tc>
        <w:tc>
          <w:tcPr>
            <w:tcW w:w="1984" w:type="dxa"/>
            <w:noWrap w:val="0"/>
            <w:vAlign w:val="top"/>
          </w:tcPr>
          <w:p w14:paraId="21717122">
            <w:pPr>
              <w:spacing w:line="400" w:lineRule="exact"/>
              <w:ind w:firstLine="420" w:firstLineChars="200"/>
              <w:rPr>
                <w:rFonts w:ascii="宋体" w:hAnsi="宋体"/>
                <w:color w:val="auto"/>
                <w:szCs w:val="21"/>
                <w:highlight w:val="none"/>
              </w:rPr>
            </w:pPr>
          </w:p>
        </w:tc>
        <w:tc>
          <w:tcPr>
            <w:tcW w:w="5103" w:type="dxa"/>
            <w:noWrap w:val="0"/>
            <w:vAlign w:val="top"/>
          </w:tcPr>
          <w:p w14:paraId="574B5D1C">
            <w:pPr>
              <w:spacing w:line="400" w:lineRule="exact"/>
              <w:ind w:firstLine="420" w:firstLineChars="200"/>
              <w:rPr>
                <w:rFonts w:ascii="宋体" w:hAnsi="宋体"/>
                <w:color w:val="auto"/>
                <w:szCs w:val="21"/>
                <w:highlight w:val="none"/>
              </w:rPr>
            </w:pPr>
          </w:p>
        </w:tc>
        <w:tc>
          <w:tcPr>
            <w:tcW w:w="1560" w:type="dxa"/>
            <w:noWrap w:val="0"/>
            <w:vAlign w:val="top"/>
          </w:tcPr>
          <w:p w14:paraId="6CE3EE84">
            <w:pPr>
              <w:spacing w:line="400" w:lineRule="exact"/>
              <w:ind w:firstLine="420" w:firstLineChars="200"/>
              <w:rPr>
                <w:rFonts w:ascii="宋体" w:hAnsi="宋体"/>
                <w:color w:val="auto"/>
                <w:szCs w:val="21"/>
                <w:highlight w:val="none"/>
              </w:rPr>
            </w:pPr>
          </w:p>
        </w:tc>
      </w:tr>
      <w:tr w14:paraId="609F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9F5A803">
            <w:pPr>
              <w:spacing w:line="400" w:lineRule="exact"/>
              <w:ind w:firstLine="420" w:firstLineChars="200"/>
              <w:rPr>
                <w:rFonts w:ascii="宋体" w:hAnsi="宋体"/>
                <w:color w:val="auto"/>
                <w:szCs w:val="21"/>
                <w:highlight w:val="none"/>
              </w:rPr>
            </w:pPr>
          </w:p>
        </w:tc>
        <w:tc>
          <w:tcPr>
            <w:tcW w:w="1984" w:type="dxa"/>
            <w:noWrap w:val="0"/>
            <w:vAlign w:val="top"/>
          </w:tcPr>
          <w:p w14:paraId="42E94B8D">
            <w:pPr>
              <w:spacing w:line="400" w:lineRule="exact"/>
              <w:ind w:firstLine="420" w:firstLineChars="200"/>
              <w:rPr>
                <w:rFonts w:ascii="宋体" w:hAnsi="宋体"/>
                <w:color w:val="auto"/>
                <w:szCs w:val="21"/>
                <w:highlight w:val="none"/>
              </w:rPr>
            </w:pPr>
          </w:p>
        </w:tc>
        <w:tc>
          <w:tcPr>
            <w:tcW w:w="5103" w:type="dxa"/>
            <w:noWrap w:val="0"/>
            <w:vAlign w:val="top"/>
          </w:tcPr>
          <w:p w14:paraId="59DD286F">
            <w:pPr>
              <w:spacing w:line="400" w:lineRule="exact"/>
              <w:ind w:firstLine="420" w:firstLineChars="200"/>
              <w:rPr>
                <w:rFonts w:ascii="宋体" w:hAnsi="宋体"/>
                <w:color w:val="auto"/>
                <w:szCs w:val="21"/>
                <w:highlight w:val="none"/>
              </w:rPr>
            </w:pPr>
          </w:p>
        </w:tc>
        <w:tc>
          <w:tcPr>
            <w:tcW w:w="1560" w:type="dxa"/>
            <w:noWrap w:val="0"/>
            <w:vAlign w:val="top"/>
          </w:tcPr>
          <w:p w14:paraId="31B29552">
            <w:pPr>
              <w:spacing w:line="400" w:lineRule="exact"/>
              <w:ind w:firstLine="420" w:firstLineChars="200"/>
              <w:rPr>
                <w:rFonts w:ascii="宋体" w:hAnsi="宋体"/>
                <w:color w:val="auto"/>
                <w:szCs w:val="21"/>
                <w:highlight w:val="none"/>
              </w:rPr>
            </w:pPr>
          </w:p>
        </w:tc>
      </w:tr>
      <w:tr w14:paraId="6A2E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428ACE7">
            <w:pPr>
              <w:spacing w:line="400" w:lineRule="exact"/>
              <w:ind w:firstLine="420" w:firstLineChars="200"/>
              <w:rPr>
                <w:rFonts w:ascii="宋体" w:hAnsi="宋体"/>
                <w:color w:val="auto"/>
                <w:szCs w:val="21"/>
                <w:highlight w:val="none"/>
              </w:rPr>
            </w:pPr>
          </w:p>
        </w:tc>
        <w:tc>
          <w:tcPr>
            <w:tcW w:w="1984" w:type="dxa"/>
            <w:noWrap w:val="0"/>
            <w:vAlign w:val="top"/>
          </w:tcPr>
          <w:p w14:paraId="001CE92E">
            <w:pPr>
              <w:spacing w:line="400" w:lineRule="exact"/>
              <w:ind w:firstLine="420" w:firstLineChars="200"/>
              <w:rPr>
                <w:rFonts w:ascii="宋体" w:hAnsi="宋体"/>
                <w:color w:val="auto"/>
                <w:szCs w:val="21"/>
                <w:highlight w:val="none"/>
              </w:rPr>
            </w:pPr>
          </w:p>
        </w:tc>
        <w:tc>
          <w:tcPr>
            <w:tcW w:w="5103" w:type="dxa"/>
            <w:noWrap w:val="0"/>
            <w:vAlign w:val="top"/>
          </w:tcPr>
          <w:p w14:paraId="40F37C7F">
            <w:pPr>
              <w:spacing w:line="400" w:lineRule="exact"/>
              <w:ind w:firstLine="420" w:firstLineChars="200"/>
              <w:rPr>
                <w:rFonts w:ascii="宋体" w:hAnsi="宋体"/>
                <w:color w:val="auto"/>
                <w:szCs w:val="21"/>
                <w:highlight w:val="none"/>
              </w:rPr>
            </w:pPr>
          </w:p>
        </w:tc>
        <w:tc>
          <w:tcPr>
            <w:tcW w:w="1560" w:type="dxa"/>
            <w:noWrap w:val="0"/>
            <w:vAlign w:val="top"/>
          </w:tcPr>
          <w:p w14:paraId="09453310">
            <w:pPr>
              <w:spacing w:line="400" w:lineRule="exact"/>
              <w:ind w:firstLine="420" w:firstLineChars="200"/>
              <w:rPr>
                <w:rFonts w:ascii="宋体" w:hAnsi="宋体"/>
                <w:color w:val="auto"/>
                <w:szCs w:val="21"/>
                <w:highlight w:val="none"/>
              </w:rPr>
            </w:pPr>
          </w:p>
        </w:tc>
      </w:tr>
      <w:tr w14:paraId="0072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B79772B">
            <w:pPr>
              <w:spacing w:line="400" w:lineRule="exact"/>
              <w:ind w:firstLine="420" w:firstLineChars="200"/>
              <w:rPr>
                <w:rFonts w:ascii="宋体" w:hAnsi="宋体"/>
                <w:color w:val="auto"/>
                <w:szCs w:val="21"/>
                <w:highlight w:val="none"/>
              </w:rPr>
            </w:pPr>
          </w:p>
        </w:tc>
        <w:tc>
          <w:tcPr>
            <w:tcW w:w="1984" w:type="dxa"/>
            <w:noWrap w:val="0"/>
            <w:vAlign w:val="top"/>
          </w:tcPr>
          <w:p w14:paraId="0727AA87">
            <w:pPr>
              <w:spacing w:line="400" w:lineRule="exact"/>
              <w:ind w:firstLine="420" w:firstLineChars="200"/>
              <w:rPr>
                <w:rFonts w:ascii="宋体" w:hAnsi="宋体"/>
                <w:color w:val="auto"/>
                <w:szCs w:val="21"/>
                <w:highlight w:val="none"/>
              </w:rPr>
            </w:pPr>
          </w:p>
        </w:tc>
        <w:tc>
          <w:tcPr>
            <w:tcW w:w="5103" w:type="dxa"/>
            <w:noWrap w:val="0"/>
            <w:vAlign w:val="top"/>
          </w:tcPr>
          <w:p w14:paraId="5C5450E4">
            <w:pPr>
              <w:spacing w:line="400" w:lineRule="exact"/>
              <w:ind w:firstLine="420" w:firstLineChars="200"/>
              <w:rPr>
                <w:rFonts w:ascii="宋体" w:hAnsi="宋体"/>
                <w:color w:val="auto"/>
                <w:szCs w:val="21"/>
                <w:highlight w:val="none"/>
              </w:rPr>
            </w:pPr>
          </w:p>
        </w:tc>
        <w:tc>
          <w:tcPr>
            <w:tcW w:w="1560" w:type="dxa"/>
            <w:noWrap w:val="0"/>
            <w:vAlign w:val="top"/>
          </w:tcPr>
          <w:p w14:paraId="3EAEB90B">
            <w:pPr>
              <w:spacing w:line="400" w:lineRule="exact"/>
              <w:ind w:firstLine="420" w:firstLineChars="200"/>
              <w:rPr>
                <w:rFonts w:ascii="宋体" w:hAnsi="宋体"/>
                <w:color w:val="auto"/>
                <w:szCs w:val="21"/>
                <w:highlight w:val="none"/>
              </w:rPr>
            </w:pPr>
          </w:p>
        </w:tc>
      </w:tr>
      <w:tr w14:paraId="185A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1E4B819">
            <w:pPr>
              <w:spacing w:line="400" w:lineRule="exact"/>
              <w:ind w:firstLine="420" w:firstLineChars="200"/>
              <w:rPr>
                <w:rFonts w:ascii="宋体" w:hAnsi="宋体"/>
                <w:color w:val="auto"/>
                <w:szCs w:val="21"/>
                <w:highlight w:val="none"/>
              </w:rPr>
            </w:pPr>
          </w:p>
        </w:tc>
        <w:tc>
          <w:tcPr>
            <w:tcW w:w="1984" w:type="dxa"/>
            <w:noWrap w:val="0"/>
            <w:vAlign w:val="top"/>
          </w:tcPr>
          <w:p w14:paraId="192E1DF4">
            <w:pPr>
              <w:spacing w:line="400" w:lineRule="exact"/>
              <w:ind w:firstLine="420" w:firstLineChars="200"/>
              <w:rPr>
                <w:rFonts w:ascii="宋体" w:hAnsi="宋体"/>
                <w:color w:val="auto"/>
                <w:szCs w:val="21"/>
                <w:highlight w:val="none"/>
              </w:rPr>
            </w:pPr>
          </w:p>
        </w:tc>
        <w:tc>
          <w:tcPr>
            <w:tcW w:w="5103" w:type="dxa"/>
            <w:noWrap w:val="0"/>
            <w:vAlign w:val="top"/>
          </w:tcPr>
          <w:p w14:paraId="7E75C16A">
            <w:pPr>
              <w:spacing w:line="400" w:lineRule="exact"/>
              <w:ind w:firstLine="420" w:firstLineChars="200"/>
              <w:rPr>
                <w:rFonts w:ascii="宋体" w:hAnsi="宋体"/>
                <w:color w:val="auto"/>
                <w:szCs w:val="21"/>
                <w:highlight w:val="none"/>
              </w:rPr>
            </w:pPr>
          </w:p>
        </w:tc>
        <w:tc>
          <w:tcPr>
            <w:tcW w:w="1560" w:type="dxa"/>
            <w:noWrap w:val="0"/>
            <w:vAlign w:val="top"/>
          </w:tcPr>
          <w:p w14:paraId="66D78CF3">
            <w:pPr>
              <w:spacing w:line="400" w:lineRule="exact"/>
              <w:ind w:firstLine="420" w:firstLineChars="200"/>
              <w:rPr>
                <w:rFonts w:ascii="宋体" w:hAnsi="宋体"/>
                <w:color w:val="auto"/>
                <w:szCs w:val="21"/>
                <w:highlight w:val="none"/>
              </w:rPr>
            </w:pPr>
          </w:p>
        </w:tc>
      </w:tr>
      <w:tr w14:paraId="4E39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9BD93D5">
            <w:pPr>
              <w:spacing w:line="400" w:lineRule="exact"/>
              <w:ind w:firstLine="420" w:firstLineChars="200"/>
              <w:rPr>
                <w:rFonts w:ascii="宋体" w:hAnsi="宋体"/>
                <w:color w:val="auto"/>
                <w:szCs w:val="21"/>
                <w:highlight w:val="none"/>
              </w:rPr>
            </w:pPr>
          </w:p>
        </w:tc>
        <w:tc>
          <w:tcPr>
            <w:tcW w:w="1984" w:type="dxa"/>
            <w:noWrap w:val="0"/>
            <w:vAlign w:val="top"/>
          </w:tcPr>
          <w:p w14:paraId="3B4ACCB2">
            <w:pPr>
              <w:spacing w:line="400" w:lineRule="exact"/>
              <w:ind w:firstLine="420" w:firstLineChars="200"/>
              <w:rPr>
                <w:rFonts w:ascii="宋体" w:hAnsi="宋体"/>
                <w:color w:val="auto"/>
                <w:szCs w:val="21"/>
                <w:highlight w:val="none"/>
              </w:rPr>
            </w:pPr>
          </w:p>
        </w:tc>
        <w:tc>
          <w:tcPr>
            <w:tcW w:w="5103" w:type="dxa"/>
            <w:noWrap w:val="0"/>
            <w:vAlign w:val="top"/>
          </w:tcPr>
          <w:p w14:paraId="266F9276">
            <w:pPr>
              <w:spacing w:line="400" w:lineRule="exact"/>
              <w:ind w:firstLine="420" w:firstLineChars="200"/>
              <w:rPr>
                <w:rFonts w:ascii="宋体" w:hAnsi="宋体"/>
                <w:color w:val="auto"/>
                <w:szCs w:val="21"/>
                <w:highlight w:val="none"/>
              </w:rPr>
            </w:pPr>
          </w:p>
        </w:tc>
        <w:tc>
          <w:tcPr>
            <w:tcW w:w="1560" w:type="dxa"/>
            <w:noWrap w:val="0"/>
            <w:vAlign w:val="top"/>
          </w:tcPr>
          <w:p w14:paraId="54B0737B">
            <w:pPr>
              <w:spacing w:line="400" w:lineRule="exact"/>
              <w:ind w:firstLine="420" w:firstLineChars="200"/>
              <w:rPr>
                <w:rFonts w:ascii="宋体" w:hAnsi="宋体"/>
                <w:color w:val="auto"/>
                <w:szCs w:val="21"/>
                <w:highlight w:val="none"/>
              </w:rPr>
            </w:pPr>
          </w:p>
        </w:tc>
      </w:tr>
      <w:tr w14:paraId="79FE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5734647C">
            <w:pPr>
              <w:spacing w:line="400" w:lineRule="exact"/>
              <w:ind w:firstLine="420" w:firstLineChars="200"/>
              <w:rPr>
                <w:rFonts w:ascii="宋体" w:hAnsi="宋体"/>
                <w:color w:val="auto"/>
                <w:szCs w:val="21"/>
                <w:highlight w:val="none"/>
              </w:rPr>
            </w:pPr>
          </w:p>
        </w:tc>
        <w:tc>
          <w:tcPr>
            <w:tcW w:w="1984" w:type="dxa"/>
            <w:noWrap w:val="0"/>
            <w:vAlign w:val="top"/>
          </w:tcPr>
          <w:p w14:paraId="6AADF301">
            <w:pPr>
              <w:spacing w:line="400" w:lineRule="exact"/>
              <w:ind w:firstLine="420" w:firstLineChars="200"/>
              <w:rPr>
                <w:rFonts w:ascii="宋体" w:hAnsi="宋体"/>
                <w:color w:val="auto"/>
                <w:szCs w:val="21"/>
                <w:highlight w:val="none"/>
              </w:rPr>
            </w:pPr>
          </w:p>
        </w:tc>
        <w:tc>
          <w:tcPr>
            <w:tcW w:w="5103" w:type="dxa"/>
            <w:noWrap w:val="0"/>
            <w:vAlign w:val="top"/>
          </w:tcPr>
          <w:p w14:paraId="57927C87">
            <w:pPr>
              <w:spacing w:line="400" w:lineRule="exact"/>
              <w:ind w:firstLine="420" w:firstLineChars="200"/>
              <w:rPr>
                <w:rFonts w:ascii="宋体" w:hAnsi="宋体"/>
                <w:color w:val="auto"/>
                <w:szCs w:val="21"/>
                <w:highlight w:val="none"/>
              </w:rPr>
            </w:pPr>
          </w:p>
        </w:tc>
        <w:tc>
          <w:tcPr>
            <w:tcW w:w="1560" w:type="dxa"/>
            <w:noWrap w:val="0"/>
            <w:vAlign w:val="top"/>
          </w:tcPr>
          <w:p w14:paraId="4F43F9B8">
            <w:pPr>
              <w:spacing w:line="400" w:lineRule="exact"/>
              <w:ind w:firstLine="420" w:firstLineChars="200"/>
              <w:rPr>
                <w:rFonts w:ascii="宋体" w:hAnsi="宋体"/>
                <w:color w:val="auto"/>
                <w:szCs w:val="21"/>
                <w:highlight w:val="none"/>
              </w:rPr>
            </w:pPr>
          </w:p>
        </w:tc>
      </w:tr>
      <w:tr w14:paraId="204E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4390989A">
            <w:pPr>
              <w:spacing w:line="400" w:lineRule="exact"/>
              <w:ind w:firstLine="420" w:firstLineChars="200"/>
              <w:rPr>
                <w:rFonts w:ascii="宋体" w:hAnsi="宋体"/>
                <w:color w:val="auto"/>
                <w:szCs w:val="21"/>
                <w:highlight w:val="none"/>
              </w:rPr>
            </w:pPr>
          </w:p>
        </w:tc>
        <w:tc>
          <w:tcPr>
            <w:tcW w:w="1984" w:type="dxa"/>
            <w:noWrap w:val="0"/>
            <w:vAlign w:val="top"/>
          </w:tcPr>
          <w:p w14:paraId="064F696E">
            <w:pPr>
              <w:spacing w:line="400" w:lineRule="exact"/>
              <w:ind w:firstLine="420" w:firstLineChars="200"/>
              <w:rPr>
                <w:rFonts w:ascii="宋体" w:hAnsi="宋体"/>
                <w:color w:val="auto"/>
                <w:szCs w:val="21"/>
                <w:highlight w:val="none"/>
              </w:rPr>
            </w:pPr>
          </w:p>
        </w:tc>
        <w:tc>
          <w:tcPr>
            <w:tcW w:w="5103" w:type="dxa"/>
            <w:noWrap w:val="0"/>
            <w:vAlign w:val="top"/>
          </w:tcPr>
          <w:p w14:paraId="4F37EDC0">
            <w:pPr>
              <w:spacing w:line="400" w:lineRule="exact"/>
              <w:ind w:firstLine="420" w:firstLineChars="200"/>
              <w:rPr>
                <w:rFonts w:ascii="宋体" w:hAnsi="宋体"/>
                <w:color w:val="auto"/>
                <w:szCs w:val="21"/>
                <w:highlight w:val="none"/>
              </w:rPr>
            </w:pPr>
          </w:p>
        </w:tc>
        <w:tc>
          <w:tcPr>
            <w:tcW w:w="1560" w:type="dxa"/>
            <w:noWrap w:val="0"/>
            <w:vAlign w:val="top"/>
          </w:tcPr>
          <w:p w14:paraId="13E973FD">
            <w:pPr>
              <w:spacing w:line="400" w:lineRule="exact"/>
              <w:ind w:firstLine="420" w:firstLineChars="200"/>
              <w:rPr>
                <w:rFonts w:ascii="宋体" w:hAnsi="宋体"/>
                <w:color w:val="auto"/>
                <w:szCs w:val="21"/>
                <w:highlight w:val="none"/>
              </w:rPr>
            </w:pPr>
          </w:p>
        </w:tc>
      </w:tr>
      <w:tr w14:paraId="2E02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5DD663B">
            <w:pPr>
              <w:spacing w:line="400" w:lineRule="exact"/>
              <w:ind w:firstLine="420" w:firstLineChars="200"/>
              <w:rPr>
                <w:rFonts w:ascii="宋体" w:hAnsi="宋体"/>
                <w:color w:val="auto"/>
                <w:szCs w:val="21"/>
                <w:highlight w:val="none"/>
              </w:rPr>
            </w:pPr>
          </w:p>
        </w:tc>
        <w:tc>
          <w:tcPr>
            <w:tcW w:w="1984" w:type="dxa"/>
            <w:noWrap w:val="0"/>
            <w:vAlign w:val="top"/>
          </w:tcPr>
          <w:p w14:paraId="2654E1B7">
            <w:pPr>
              <w:spacing w:line="400" w:lineRule="exact"/>
              <w:ind w:firstLine="420" w:firstLineChars="200"/>
              <w:rPr>
                <w:rFonts w:ascii="宋体" w:hAnsi="宋体"/>
                <w:color w:val="auto"/>
                <w:szCs w:val="21"/>
                <w:highlight w:val="none"/>
              </w:rPr>
            </w:pPr>
          </w:p>
        </w:tc>
        <w:tc>
          <w:tcPr>
            <w:tcW w:w="5103" w:type="dxa"/>
            <w:noWrap w:val="0"/>
            <w:vAlign w:val="top"/>
          </w:tcPr>
          <w:p w14:paraId="24D152A2">
            <w:pPr>
              <w:spacing w:line="400" w:lineRule="exact"/>
              <w:ind w:firstLine="420" w:firstLineChars="200"/>
              <w:rPr>
                <w:rFonts w:ascii="宋体" w:hAnsi="宋体"/>
                <w:color w:val="auto"/>
                <w:szCs w:val="21"/>
                <w:highlight w:val="none"/>
              </w:rPr>
            </w:pPr>
          </w:p>
        </w:tc>
        <w:tc>
          <w:tcPr>
            <w:tcW w:w="1560" w:type="dxa"/>
            <w:noWrap w:val="0"/>
            <w:vAlign w:val="top"/>
          </w:tcPr>
          <w:p w14:paraId="2B798027">
            <w:pPr>
              <w:spacing w:line="400" w:lineRule="exact"/>
              <w:ind w:firstLine="420" w:firstLineChars="200"/>
              <w:rPr>
                <w:rFonts w:ascii="宋体" w:hAnsi="宋体"/>
                <w:color w:val="auto"/>
                <w:szCs w:val="21"/>
                <w:highlight w:val="none"/>
              </w:rPr>
            </w:pPr>
          </w:p>
        </w:tc>
      </w:tr>
      <w:tr w14:paraId="375D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noWrap w:val="0"/>
            <w:vAlign w:val="top"/>
          </w:tcPr>
          <w:p w14:paraId="4847EEA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小计：</w:t>
            </w:r>
          </w:p>
        </w:tc>
      </w:tr>
    </w:tbl>
    <w:p w14:paraId="381B13B1">
      <w:pPr>
        <w:spacing w:line="360" w:lineRule="auto"/>
        <w:ind w:firstLine="420" w:firstLineChars="200"/>
        <w:rPr>
          <w:rFonts w:ascii="宋体" w:hAnsi="宋体"/>
          <w:color w:val="auto"/>
          <w:szCs w:val="21"/>
          <w:highlight w:val="none"/>
        </w:rPr>
      </w:pPr>
    </w:p>
    <w:p w14:paraId="55FFE86E">
      <w:pPr>
        <w:pStyle w:val="2"/>
        <w:spacing w:line="360" w:lineRule="auto"/>
        <w:rPr>
          <w:rFonts w:ascii="宋体" w:hAnsi="宋体"/>
          <w:color w:val="auto"/>
          <w:szCs w:val="21"/>
          <w:highlight w:val="none"/>
        </w:rPr>
      </w:pPr>
    </w:p>
    <w:p w14:paraId="288A51DE">
      <w:pPr>
        <w:spacing w:line="480" w:lineRule="auto"/>
        <w:ind w:firstLine="420" w:firstLineChars="200"/>
        <w:rPr>
          <w:rFonts w:ascii="宋体" w:hAnsi="宋体"/>
          <w:color w:val="auto"/>
          <w:szCs w:val="21"/>
          <w:highlight w:val="none"/>
        </w:rPr>
      </w:pPr>
      <w:r>
        <w:rPr>
          <w:rFonts w:ascii="宋体" w:hAnsi="宋体"/>
          <w:color w:val="auto"/>
          <w:szCs w:val="21"/>
          <w:highlight w:val="none"/>
        </w:rPr>
        <w:br w:type="page"/>
      </w:r>
    </w:p>
    <w:p w14:paraId="22F2F217">
      <w:pPr>
        <w:spacing w:line="480" w:lineRule="auto"/>
        <w:rPr>
          <w:rFonts w:ascii="宋体" w:hAnsi="宋体"/>
          <w:color w:val="auto"/>
          <w:szCs w:val="21"/>
          <w:highlight w:val="none"/>
        </w:rPr>
      </w:pPr>
      <w:r>
        <w:rPr>
          <w:rFonts w:hint="eastAsia" w:ascii="宋体" w:hAnsi="宋体"/>
          <w:color w:val="auto"/>
          <w:szCs w:val="21"/>
          <w:highlight w:val="none"/>
        </w:rPr>
        <w:t>附件8：廉洁从业协议</w:t>
      </w:r>
    </w:p>
    <w:p w14:paraId="040E6DF6">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14:paraId="1B56B6B2">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64D6EF51">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0C8CD2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3236107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14:paraId="01363B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14:paraId="49C481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14:paraId="0F74C0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5617E5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5BEF0E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14:paraId="2B851A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14:paraId="2FFDE0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14:paraId="59CE37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14:paraId="2A3B37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14:paraId="669AF7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14:paraId="737158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14:paraId="089DEE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14:paraId="5AF55E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63D3B6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14:paraId="1DF3DA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37ADC4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45413D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14:paraId="257C32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14:paraId="13F968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14:paraId="356C75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70C494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14:paraId="371EE4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7CDF55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14:paraId="16D34E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14:paraId="51F76B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6164EB6D">
      <w:pPr>
        <w:spacing w:line="360" w:lineRule="auto"/>
        <w:rPr>
          <w:rFonts w:ascii="宋体" w:hAnsi="宋体"/>
          <w:color w:val="auto"/>
          <w:szCs w:val="21"/>
          <w:highlight w:val="none"/>
        </w:rPr>
      </w:pPr>
    </w:p>
    <w:p w14:paraId="1283BCFE">
      <w:pPr>
        <w:pStyle w:val="2"/>
        <w:spacing w:line="360" w:lineRule="auto"/>
        <w:rPr>
          <w:rFonts w:ascii="宋体" w:hAnsi="宋体"/>
          <w:color w:val="auto"/>
          <w:szCs w:val="21"/>
          <w:highlight w:val="none"/>
        </w:rPr>
      </w:pPr>
    </w:p>
    <w:p w14:paraId="5773692D">
      <w:pPr>
        <w:pStyle w:val="2"/>
        <w:spacing w:line="360" w:lineRule="auto"/>
        <w:rPr>
          <w:rFonts w:ascii="宋体" w:hAnsi="宋体"/>
          <w:color w:val="auto"/>
          <w:szCs w:val="21"/>
          <w:highlight w:val="none"/>
        </w:rPr>
      </w:pPr>
    </w:p>
    <w:p w14:paraId="111F7E54">
      <w:pPr>
        <w:spacing w:line="360" w:lineRule="auto"/>
        <w:rPr>
          <w:rFonts w:ascii="宋体" w:hAnsi="宋体"/>
          <w:color w:val="auto"/>
          <w:szCs w:val="21"/>
          <w:highlight w:val="none"/>
        </w:rPr>
      </w:pPr>
      <w:r>
        <w:rPr>
          <w:rFonts w:hint="eastAsia" w:ascii="宋体" w:hAnsi="宋体"/>
          <w:color w:val="auto"/>
          <w:szCs w:val="21"/>
          <w:highlight w:val="none"/>
        </w:rPr>
        <w:t>甲     方：                         乙     方：</w:t>
      </w:r>
    </w:p>
    <w:p w14:paraId="62FD50CF">
      <w:pPr>
        <w:spacing w:line="360" w:lineRule="auto"/>
        <w:rPr>
          <w:rFonts w:ascii="宋体" w:hAnsi="宋体"/>
          <w:color w:val="auto"/>
          <w:szCs w:val="21"/>
          <w:highlight w:val="none"/>
        </w:rPr>
      </w:pPr>
    </w:p>
    <w:p w14:paraId="1A9A37C2">
      <w:pPr>
        <w:spacing w:line="360" w:lineRule="auto"/>
        <w:rPr>
          <w:rFonts w:ascii="宋体" w:hAnsi="宋体"/>
          <w:color w:val="auto"/>
          <w:szCs w:val="21"/>
          <w:highlight w:val="none"/>
        </w:rPr>
      </w:pPr>
    </w:p>
    <w:p w14:paraId="617C6ADC">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                          法定代表人                      </w:t>
      </w:r>
    </w:p>
    <w:p w14:paraId="51A8D084">
      <w:pPr>
        <w:spacing w:line="360" w:lineRule="auto"/>
        <w:rPr>
          <w:rFonts w:ascii="宋体" w:hAnsi="宋体"/>
          <w:color w:val="auto"/>
          <w:szCs w:val="21"/>
          <w:highlight w:val="none"/>
        </w:rPr>
      </w:pPr>
    </w:p>
    <w:p w14:paraId="2ECB0159">
      <w:pPr>
        <w:spacing w:line="360" w:lineRule="auto"/>
        <w:rPr>
          <w:rFonts w:ascii="宋体" w:hAnsi="宋体"/>
          <w:color w:val="auto"/>
          <w:szCs w:val="21"/>
          <w:highlight w:val="none"/>
        </w:rPr>
      </w:pPr>
    </w:p>
    <w:p w14:paraId="325493A2">
      <w:pPr>
        <w:spacing w:line="360" w:lineRule="auto"/>
        <w:rPr>
          <w:rFonts w:ascii="宋体" w:hAnsi="宋体"/>
          <w:color w:val="auto"/>
          <w:szCs w:val="21"/>
          <w:highlight w:val="none"/>
        </w:rPr>
      </w:pPr>
      <w:r>
        <w:rPr>
          <w:rFonts w:hint="eastAsia" w:ascii="宋体" w:hAnsi="宋体"/>
          <w:color w:val="auto"/>
          <w:szCs w:val="21"/>
          <w:highlight w:val="none"/>
        </w:rPr>
        <w:t>或其授权的代理人：                  或授权的代理人：</w:t>
      </w:r>
    </w:p>
    <w:p w14:paraId="780FA28D">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附件9：安全管理协议</w:t>
      </w:r>
    </w:p>
    <w:p w14:paraId="19EED4DF">
      <w:pPr>
        <w:spacing w:before="156" w:beforeLines="50" w:after="156" w:afterLines="50" w:line="480" w:lineRule="auto"/>
        <w:jc w:val="center"/>
        <w:rPr>
          <w:rFonts w:ascii="宋体" w:hAnsi="宋体"/>
          <w:color w:val="auto"/>
          <w:szCs w:val="21"/>
          <w:highlight w:val="none"/>
        </w:rPr>
      </w:pPr>
      <w:bookmarkStart w:id="2031" w:name="_Toc448406299"/>
      <w:bookmarkStart w:id="2032" w:name="_Toc336680145"/>
      <w:bookmarkStart w:id="2033" w:name="_Toc239510288"/>
      <w:bookmarkStart w:id="2034" w:name="_Toc247431422"/>
      <w:bookmarkStart w:id="2035" w:name="_Toc435690184"/>
      <w:bookmarkStart w:id="2036" w:name="_Toc435689499"/>
      <w:r>
        <w:rPr>
          <w:rFonts w:hint="eastAsia" w:ascii="宋体" w:hAnsi="宋体"/>
          <w:color w:val="auto"/>
          <w:szCs w:val="21"/>
          <w:highlight w:val="none"/>
        </w:rPr>
        <w:t>安全管理协议</w:t>
      </w:r>
      <w:bookmarkEnd w:id="2031"/>
      <w:bookmarkEnd w:id="2032"/>
      <w:bookmarkEnd w:id="2033"/>
      <w:bookmarkEnd w:id="2034"/>
      <w:bookmarkEnd w:id="2035"/>
      <w:bookmarkEnd w:id="2036"/>
    </w:p>
    <w:p w14:paraId="4041A1A3">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7A6D99B0">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7C4003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51F70AFB">
      <w:pPr>
        <w:spacing w:line="360" w:lineRule="auto"/>
        <w:ind w:firstLine="420" w:firstLineChars="200"/>
        <w:rPr>
          <w:rFonts w:ascii="宋体" w:hAnsi="宋体"/>
          <w:color w:val="auto"/>
          <w:szCs w:val="21"/>
          <w:highlight w:val="none"/>
        </w:rPr>
      </w:pPr>
      <w:bookmarkStart w:id="2037" w:name="_Toc239510289"/>
      <w:bookmarkStart w:id="2038" w:name="_Toc532375700"/>
      <w:bookmarkStart w:id="2039" w:name="_Toc247418263"/>
      <w:bookmarkStart w:id="2040" w:name="_Toc247431423"/>
      <w:r>
        <w:rPr>
          <w:rFonts w:hint="eastAsia" w:ascii="宋体" w:hAnsi="宋体"/>
          <w:color w:val="auto"/>
          <w:szCs w:val="21"/>
          <w:highlight w:val="none"/>
        </w:rPr>
        <w:t>一、协议有效期限</w:t>
      </w:r>
      <w:bookmarkEnd w:id="2037"/>
      <w:bookmarkEnd w:id="2038"/>
      <w:bookmarkEnd w:id="2039"/>
      <w:bookmarkEnd w:id="2040"/>
    </w:p>
    <w:p w14:paraId="78E882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14:paraId="1E0A8D91">
      <w:pPr>
        <w:spacing w:line="360" w:lineRule="auto"/>
        <w:ind w:firstLine="420" w:firstLineChars="200"/>
        <w:rPr>
          <w:rFonts w:ascii="宋体" w:hAnsi="宋体"/>
          <w:color w:val="auto"/>
          <w:szCs w:val="21"/>
          <w:highlight w:val="none"/>
        </w:rPr>
      </w:pPr>
      <w:bookmarkStart w:id="2041" w:name="_Toc239510290"/>
      <w:bookmarkStart w:id="2042" w:name="_Toc247431424"/>
      <w:bookmarkStart w:id="2043" w:name="_Toc247418264"/>
      <w:bookmarkStart w:id="2044" w:name="_Toc532375701"/>
      <w:r>
        <w:rPr>
          <w:rFonts w:hint="eastAsia" w:ascii="宋体" w:hAnsi="宋体"/>
          <w:color w:val="auto"/>
          <w:szCs w:val="21"/>
          <w:highlight w:val="none"/>
        </w:rPr>
        <w:t>二、责任目标</w:t>
      </w:r>
      <w:bookmarkEnd w:id="2041"/>
      <w:bookmarkEnd w:id="2042"/>
      <w:bookmarkEnd w:id="2043"/>
      <w:bookmarkEnd w:id="2044"/>
    </w:p>
    <w:p w14:paraId="6FA881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14:paraId="019DD9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14:paraId="252802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1．不发生人身重伤事故；</w:t>
      </w:r>
    </w:p>
    <w:p w14:paraId="31E946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2．不发生火灾事故；</w:t>
      </w:r>
    </w:p>
    <w:p w14:paraId="24E78FB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14:paraId="0FD32C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14:paraId="66D2978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14:paraId="31E4AF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14:paraId="7312BEE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14:paraId="645A309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14:paraId="2D3307A4">
      <w:pPr>
        <w:spacing w:line="360" w:lineRule="auto"/>
        <w:ind w:firstLine="420" w:firstLineChars="200"/>
        <w:jc w:val="left"/>
        <w:rPr>
          <w:rFonts w:ascii="宋体" w:hAnsi="宋体"/>
          <w:color w:val="auto"/>
          <w:szCs w:val="21"/>
          <w:highlight w:val="none"/>
        </w:rPr>
      </w:pPr>
      <w:bookmarkStart w:id="2045" w:name="_Toc239510291"/>
      <w:bookmarkStart w:id="2046" w:name="_Toc247418265"/>
      <w:bookmarkStart w:id="2047" w:name="_Toc247431425"/>
      <w:r>
        <w:rPr>
          <w:rFonts w:hint="eastAsia" w:ascii="宋体" w:hAnsi="宋体"/>
          <w:color w:val="auto"/>
          <w:szCs w:val="21"/>
          <w:highlight w:val="none"/>
        </w:rPr>
        <w:t>（三）承包人承诺在施工中控制以下安全事故的发生：</w:t>
      </w:r>
      <w:bookmarkEnd w:id="2045"/>
      <w:bookmarkEnd w:id="2046"/>
      <w:bookmarkEnd w:id="2047"/>
    </w:p>
    <w:p w14:paraId="5CEA885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1．人员轻伤事故。</w:t>
      </w:r>
    </w:p>
    <w:p w14:paraId="5C441D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14:paraId="2D50FF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3．其他安全未遂事故和异常事件。</w:t>
      </w:r>
    </w:p>
    <w:p w14:paraId="1CB5B934">
      <w:pPr>
        <w:spacing w:line="360" w:lineRule="auto"/>
        <w:ind w:firstLine="420" w:firstLineChars="200"/>
        <w:rPr>
          <w:rFonts w:ascii="宋体" w:hAnsi="宋体"/>
          <w:color w:val="auto"/>
          <w:szCs w:val="21"/>
          <w:highlight w:val="none"/>
        </w:rPr>
      </w:pPr>
      <w:bookmarkStart w:id="2048" w:name="_Toc239510292"/>
      <w:bookmarkStart w:id="2049" w:name="_Toc247431426"/>
      <w:bookmarkStart w:id="2050" w:name="_Toc532375702"/>
      <w:bookmarkStart w:id="2051" w:name="_Toc247418266"/>
      <w:r>
        <w:rPr>
          <w:rFonts w:hint="eastAsia" w:ascii="宋体" w:hAnsi="宋体"/>
          <w:color w:val="auto"/>
          <w:szCs w:val="21"/>
          <w:highlight w:val="none"/>
        </w:rPr>
        <w:t>三、安全责任</w:t>
      </w:r>
      <w:bookmarkEnd w:id="2048"/>
      <w:bookmarkEnd w:id="2049"/>
      <w:bookmarkEnd w:id="2050"/>
      <w:bookmarkEnd w:id="2051"/>
    </w:p>
    <w:p w14:paraId="333D73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14:paraId="2C5EA42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14:paraId="530734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14:paraId="084A95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14:paraId="1497EF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14:paraId="2960391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14:paraId="63EC6CA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14:paraId="0A0CC06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14:paraId="42C18F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14:paraId="5E96ED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14:paraId="20A2CF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14:paraId="1D2AA70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14:paraId="54AB7B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14:paraId="40F7438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0255C9AB">
      <w:pPr>
        <w:spacing w:line="360" w:lineRule="auto"/>
        <w:ind w:firstLine="420" w:firstLineChars="200"/>
        <w:rPr>
          <w:rFonts w:ascii="宋体" w:hAnsi="宋体"/>
          <w:color w:val="auto"/>
          <w:szCs w:val="21"/>
          <w:highlight w:val="none"/>
        </w:rPr>
      </w:pPr>
      <w:bookmarkStart w:id="2052" w:name="_Toc247431427"/>
      <w:bookmarkStart w:id="2053" w:name="_Toc532375703"/>
      <w:bookmarkStart w:id="2054" w:name="_Toc247418267"/>
      <w:bookmarkStart w:id="2055" w:name="_Toc239510293"/>
      <w:r>
        <w:rPr>
          <w:rFonts w:hint="eastAsia" w:ascii="宋体" w:hAnsi="宋体"/>
          <w:color w:val="auto"/>
          <w:szCs w:val="21"/>
          <w:highlight w:val="none"/>
        </w:rPr>
        <w:t>四、接口及协调</w:t>
      </w:r>
      <w:bookmarkEnd w:id="2052"/>
      <w:bookmarkEnd w:id="2053"/>
      <w:bookmarkEnd w:id="2054"/>
      <w:bookmarkEnd w:id="2055"/>
    </w:p>
    <w:p w14:paraId="30E684E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14:paraId="6E945C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14:paraId="6312230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166ACED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6B6E01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14:paraId="565968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14:paraId="7E4FDE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14:paraId="37B169D2">
      <w:pPr>
        <w:spacing w:line="360" w:lineRule="auto"/>
        <w:ind w:firstLine="420" w:firstLineChars="200"/>
        <w:rPr>
          <w:rFonts w:ascii="宋体" w:hAnsi="宋体"/>
          <w:color w:val="auto"/>
          <w:szCs w:val="21"/>
          <w:highlight w:val="none"/>
        </w:rPr>
      </w:pPr>
      <w:bookmarkStart w:id="2056" w:name="_Toc239510294"/>
      <w:bookmarkStart w:id="2057" w:name="_Toc247418268"/>
      <w:bookmarkStart w:id="2058" w:name="_Toc532375704"/>
      <w:bookmarkStart w:id="2059" w:name="_Toc247431428"/>
      <w:r>
        <w:rPr>
          <w:rFonts w:hint="eastAsia" w:ascii="宋体" w:hAnsi="宋体"/>
          <w:color w:val="auto"/>
          <w:szCs w:val="21"/>
          <w:highlight w:val="none"/>
        </w:rPr>
        <w:t>五、安全资质审查</w:t>
      </w:r>
      <w:bookmarkEnd w:id="2056"/>
      <w:bookmarkEnd w:id="2057"/>
      <w:bookmarkEnd w:id="2058"/>
      <w:bookmarkEnd w:id="2059"/>
    </w:p>
    <w:p w14:paraId="6EA7489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14:paraId="4D0A72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1．企业安全生产许可证书复印件。</w:t>
      </w:r>
    </w:p>
    <w:p w14:paraId="05A9D50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14:paraId="627E4B9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14:paraId="7B4BF8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4．特种作业人员资格证书。</w:t>
      </w:r>
    </w:p>
    <w:p w14:paraId="29C8355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14:paraId="3DE47B6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14:paraId="3295DCE6">
      <w:pPr>
        <w:spacing w:line="360" w:lineRule="auto"/>
        <w:ind w:firstLine="420" w:firstLineChars="200"/>
        <w:rPr>
          <w:rFonts w:ascii="宋体" w:hAnsi="宋体"/>
          <w:color w:val="auto"/>
          <w:szCs w:val="21"/>
          <w:highlight w:val="none"/>
        </w:rPr>
      </w:pPr>
      <w:bookmarkStart w:id="2060" w:name="_Toc239510295"/>
      <w:bookmarkStart w:id="2061" w:name="_Toc532375705"/>
      <w:bookmarkStart w:id="2062" w:name="_Toc247418269"/>
      <w:bookmarkStart w:id="2063" w:name="_Toc247431429"/>
      <w:r>
        <w:rPr>
          <w:rFonts w:hint="eastAsia" w:ascii="宋体" w:hAnsi="宋体"/>
          <w:color w:val="auto"/>
          <w:szCs w:val="21"/>
          <w:highlight w:val="none"/>
        </w:rPr>
        <w:t>六、人员基本素质</w:t>
      </w:r>
      <w:bookmarkEnd w:id="2060"/>
      <w:bookmarkEnd w:id="2061"/>
      <w:bookmarkEnd w:id="2062"/>
      <w:bookmarkEnd w:id="2063"/>
    </w:p>
    <w:p w14:paraId="4C48243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承包人提供的人员必须满足下列要求：</w:t>
      </w:r>
    </w:p>
    <w:p w14:paraId="4D7A4D8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7610DE4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2．无刑事案件牵连。</w:t>
      </w:r>
    </w:p>
    <w:p w14:paraId="658786D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3．无吸毒、酗酒、赌博、嫖娼等恶习及违法行为。</w:t>
      </w:r>
    </w:p>
    <w:p w14:paraId="449E3F36">
      <w:pPr>
        <w:spacing w:line="360" w:lineRule="auto"/>
        <w:ind w:firstLine="420" w:firstLineChars="200"/>
        <w:rPr>
          <w:rFonts w:ascii="宋体" w:hAnsi="宋体"/>
          <w:color w:val="auto"/>
          <w:szCs w:val="21"/>
          <w:highlight w:val="none"/>
        </w:rPr>
      </w:pPr>
      <w:bookmarkStart w:id="2064" w:name="_Toc247418270"/>
      <w:bookmarkStart w:id="2065" w:name="_Toc532375706"/>
      <w:bookmarkStart w:id="2066" w:name="_Toc247431430"/>
      <w:bookmarkStart w:id="2067" w:name="_Toc239510296"/>
      <w:r>
        <w:rPr>
          <w:rFonts w:hint="eastAsia" w:ascii="宋体" w:hAnsi="宋体"/>
          <w:color w:val="auto"/>
          <w:szCs w:val="21"/>
          <w:highlight w:val="none"/>
        </w:rPr>
        <w:t>七、劳动保护</w:t>
      </w:r>
      <w:bookmarkEnd w:id="2064"/>
      <w:bookmarkEnd w:id="2065"/>
      <w:bookmarkEnd w:id="2066"/>
      <w:bookmarkEnd w:id="2067"/>
    </w:p>
    <w:p w14:paraId="6DD155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14:paraId="1FBD0F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14:paraId="201D93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14:paraId="08B69D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14:paraId="2CB24A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14:paraId="6E0CCD9D">
      <w:pPr>
        <w:spacing w:line="360" w:lineRule="auto"/>
        <w:ind w:firstLine="420" w:firstLineChars="200"/>
        <w:rPr>
          <w:rFonts w:ascii="宋体" w:hAnsi="宋体"/>
          <w:color w:val="auto"/>
          <w:szCs w:val="21"/>
          <w:highlight w:val="none"/>
        </w:rPr>
      </w:pPr>
      <w:bookmarkStart w:id="2068" w:name="_Toc239510297"/>
      <w:bookmarkStart w:id="2069" w:name="_Toc247418271"/>
      <w:bookmarkStart w:id="2070" w:name="_Toc247431431"/>
      <w:bookmarkStart w:id="2071" w:name="_Toc532375707"/>
      <w:r>
        <w:rPr>
          <w:rFonts w:hint="eastAsia" w:ascii="宋体" w:hAnsi="宋体"/>
          <w:color w:val="auto"/>
          <w:szCs w:val="21"/>
          <w:highlight w:val="none"/>
        </w:rPr>
        <w:t>八、施工机具与材料</w:t>
      </w:r>
      <w:bookmarkEnd w:id="2068"/>
      <w:bookmarkEnd w:id="2069"/>
      <w:bookmarkEnd w:id="2070"/>
      <w:bookmarkEnd w:id="2071"/>
    </w:p>
    <w:p w14:paraId="21C2EF7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14:paraId="74EDB7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14:paraId="078A879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14:paraId="307F545C">
      <w:pPr>
        <w:spacing w:line="360" w:lineRule="auto"/>
        <w:ind w:firstLine="420" w:firstLineChars="200"/>
        <w:rPr>
          <w:rFonts w:ascii="宋体" w:hAnsi="宋体"/>
          <w:color w:val="auto"/>
          <w:szCs w:val="21"/>
          <w:highlight w:val="none"/>
        </w:rPr>
      </w:pPr>
      <w:bookmarkStart w:id="2072" w:name="_Toc239510298"/>
      <w:bookmarkStart w:id="2073" w:name="_Toc247418272"/>
      <w:bookmarkStart w:id="2074" w:name="_Toc247431432"/>
      <w:bookmarkStart w:id="2075" w:name="_Toc532375708"/>
      <w:r>
        <w:rPr>
          <w:rFonts w:hint="eastAsia" w:ascii="宋体" w:hAnsi="宋体"/>
          <w:color w:val="auto"/>
          <w:szCs w:val="21"/>
          <w:highlight w:val="none"/>
        </w:rPr>
        <w:t>九、开工前安全条件检查</w:t>
      </w:r>
      <w:bookmarkEnd w:id="2072"/>
      <w:bookmarkEnd w:id="2073"/>
      <w:bookmarkEnd w:id="2074"/>
      <w:bookmarkEnd w:id="2075"/>
    </w:p>
    <w:p w14:paraId="167133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61196B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4F82D1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7160EF6C">
      <w:pPr>
        <w:spacing w:line="360" w:lineRule="auto"/>
        <w:ind w:firstLine="420" w:firstLineChars="200"/>
        <w:rPr>
          <w:rFonts w:ascii="宋体" w:hAnsi="宋体"/>
          <w:color w:val="auto"/>
          <w:szCs w:val="21"/>
          <w:highlight w:val="none"/>
        </w:rPr>
      </w:pPr>
      <w:bookmarkStart w:id="2076" w:name="_Toc532375709"/>
      <w:bookmarkStart w:id="2077" w:name="_Toc247431433"/>
      <w:bookmarkStart w:id="2078" w:name="_Toc247418273"/>
      <w:bookmarkStart w:id="2079" w:name="_Toc239510299"/>
      <w:r>
        <w:rPr>
          <w:rFonts w:hint="eastAsia" w:ascii="宋体" w:hAnsi="宋体"/>
          <w:color w:val="auto"/>
          <w:szCs w:val="21"/>
          <w:highlight w:val="none"/>
        </w:rPr>
        <w:t>十、安全监督</w:t>
      </w:r>
      <w:bookmarkEnd w:id="2076"/>
      <w:bookmarkEnd w:id="2077"/>
      <w:bookmarkEnd w:id="2078"/>
      <w:bookmarkEnd w:id="2079"/>
    </w:p>
    <w:p w14:paraId="2ED3A0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14:paraId="663C09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14:paraId="26574D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14:paraId="7D560C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14:paraId="318617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14:paraId="6386466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14:paraId="0AF45E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442BAA19">
      <w:pPr>
        <w:spacing w:line="360" w:lineRule="auto"/>
        <w:ind w:firstLine="420" w:firstLineChars="200"/>
        <w:rPr>
          <w:rFonts w:ascii="宋体" w:hAnsi="宋体"/>
          <w:color w:val="auto"/>
          <w:szCs w:val="21"/>
          <w:highlight w:val="none"/>
        </w:rPr>
      </w:pPr>
      <w:bookmarkStart w:id="2080" w:name="_Toc239510300"/>
      <w:bookmarkStart w:id="2081" w:name="_Toc247418274"/>
      <w:bookmarkStart w:id="2082" w:name="_Toc247431434"/>
      <w:bookmarkStart w:id="2083" w:name="_Toc532375710"/>
      <w:r>
        <w:rPr>
          <w:rFonts w:hint="eastAsia" w:ascii="宋体" w:hAnsi="宋体"/>
          <w:color w:val="auto"/>
          <w:szCs w:val="21"/>
          <w:highlight w:val="none"/>
        </w:rPr>
        <w:t>十一、安全培训与授权</w:t>
      </w:r>
      <w:bookmarkEnd w:id="2080"/>
      <w:bookmarkEnd w:id="2081"/>
      <w:bookmarkEnd w:id="2082"/>
      <w:bookmarkEnd w:id="2083"/>
    </w:p>
    <w:p w14:paraId="34E592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59343E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14:paraId="0DD2C8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14:paraId="1FA13F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14:paraId="4F218801">
      <w:pPr>
        <w:spacing w:line="360" w:lineRule="auto"/>
        <w:ind w:firstLine="420" w:firstLineChars="200"/>
        <w:rPr>
          <w:rFonts w:ascii="宋体" w:hAnsi="宋体"/>
          <w:color w:val="auto"/>
          <w:szCs w:val="21"/>
          <w:highlight w:val="none"/>
        </w:rPr>
      </w:pPr>
      <w:bookmarkStart w:id="2084" w:name="_Toc532375711"/>
      <w:bookmarkStart w:id="2085" w:name="_Toc247431435"/>
      <w:bookmarkStart w:id="2086" w:name="_Toc239510301"/>
      <w:bookmarkStart w:id="2087" w:name="_Toc247418275"/>
      <w:r>
        <w:rPr>
          <w:rFonts w:hint="eastAsia" w:ascii="宋体" w:hAnsi="宋体"/>
          <w:color w:val="auto"/>
          <w:szCs w:val="21"/>
          <w:highlight w:val="none"/>
        </w:rPr>
        <w:t>十二、职业健康与卫生防疫</w:t>
      </w:r>
      <w:bookmarkEnd w:id="2084"/>
      <w:bookmarkEnd w:id="2085"/>
      <w:bookmarkEnd w:id="2086"/>
      <w:bookmarkEnd w:id="2087"/>
    </w:p>
    <w:p w14:paraId="53FC5CE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49DDC9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14:paraId="64EBF5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419AC384">
      <w:pPr>
        <w:spacing w:line="360" w:lineRule="auto"/>
        <w:ind w:firstLine="420" w:firstLineChars="200"/>
        <w:rPr>
          <w:rFonts w:ascii="宋体" w:hAnsi="宋体"/>
          <w:color w:val="auto"/>
          <w:szCs w:val="21"/>
          <w:highlight w:val="none"/>
        </w:rPr>
      </w:pPr>
      <w:bookmarkStart w:id="2088" w:name="_Toc239510302"/>
      <w:bookmarkStart w:id="2089" w:name="_Toc247418276"/>
      <w:bookmarkStart w:id="2090" w:name="_Toc247431436"/>
      <w:bookmarkStart w:id="2091" w:name="_Toc532375712"/>
      <w:r>
        <w:rPr>
          <w:rFonts w:hint="eastAsia" w:ascii="宋体" w:hAnsi="宋体"/>
          <w:color w:val="auto"/>
          <w:szCs w:val="21"/>
          <w:highlight w:val="none"/>
        </w:rPr>
        <w:t>十三、文明施工与环保要求</w:t>
      </w:r>
      <w:bookmarkEnd w:id="2088"/>
      <w:bookmarkEnd w:id="2089"/>
      <w:bookmarkEnd w:id="2090"/>
      <w:bookmarkEnd w:id="2091"/>
    </w:p>
    <w:p w14:paraId="75190E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6CF307E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14:paraId="1841346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14:paraId="1AD7A3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14:paraId="14422A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6417EA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14:paraId="100BDE6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76019482">
      <w:pPr>
        <w:spacing w:line="360" w:lineRule="auto"/>
        <w:ind w:firstLine="420" w:firstLineChars="200"/>
        <w:rPr>
          <w:rFonts w:ascii="宋体" w:hAnsi="宋体"/>
          <w:color w:val="auto"/>
          <w:szCs w:val="21"/>
          <w:highlight w:val="none"/>
        </w:rPr>
      </w:pPr>
      <w:bookmarkStart w:id="2092" w:name="_Toc239510303"/>
      <w:bookmarkStart w:id="2093" w:name="_Toc247431437"/>
      <w:bookmarkStart w:id="2094" w:name="_Toc247418277"/>
      <w:bookmarkStart w:id="2095" w:name="_Toc532375713"/>
      <w:r>
        <w:rPr>
          <w:rFonts w:hint="eastAsia" w:ascii="宋体" w:hAnsi="宋体"/>
          <w:color w:val="auto"/>
          <w:szCs w:val="21"/>
          <w:highlight w:val="none"/>
        </w:rPr>
        <w:t>十四、工程风险管理与事故预防</w:t>
      </w:r>
      <w:bookmarkEnd w:id="2092"/>
      <w:bookmarkEnd w:id="2093"/>
      <w:bookmarkEnd w:id="2094"/>
      <w:bookmarkEnd w:id="2095"/>
    </w:p>
    <w:p w14:paraId="42465BF8">
      <w:pPr>
        <w:spacing w:line="360" w:lineRule="auto"/>
        <w:ind w:firstLine="420" w:firstLineChars="200"/>
        <w:jc w:val="left"/>
        <w:rPr>
          <w:rFonts w:ascii="宋体" w:hAnsi="宋体"/>
          <w:color w:val="auto"/>
          <w:szCs w:val="21"/>
          <w:highlight w:val="none"/>
        </w:rPr>
      </w:pPr>
      <w:bookmarkStart w:id="2096" w:name="_Toc247431438"/>
      <w:bookmarkStart w:id="2097" w:name="_Toc247418278"/>
      <w:bookmarkStart w:id="2098" w:name="_Toc239510304"/>
      <w:r>
        <w:rPr>
          <w:rFonts w:hint="eastAsia" w:ascii="宋体" w:hAnsi="宋体"/>
          <w:color w:val="auto"/>
          <w:szCs w:val="21"/>
          <w:highlight w:val="none"/>
        </w:rPr>
        <w:t>（一）基本要求</w:t>
      </w:r>
      <w:bookmarkEnd w:id="2096"/>
      <w:bookmarkEnd w:id="2097"/>
      <w:bookmarkEnd w:id="2098"/>
    </w:p>
    <w:p w14:paraId="40EA8640">
      <w:pPr>
        <w:spacing w:line="360" w:lineRule="auto"/>
        <w:ind w:firstLine="420" w:firstLineChars="200"/>
        <w:jc w:val="left"/>
        <w:rPr>
          <w:rFonts w:ascii="宋体" w:hAnsi="宋体"/>
          <w:color w:val="auto"/>
          <w:szCs w:val="21"/>
          <w:highlight w:val="none"/>
        </w:rPr>
      </w:pPr>
      <w:bookmarkStart w:id="2099"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2099"/>
    </w:p>
    <w:p w14:paraId="6B3317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14:paraId="25D038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14:paraId="335D6D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（3）施工作业条件的类型和主要事故风险。</w:t>
      </w:r>
    </w:p>
    <w:p w14:paraId="0E2C5A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14:paraId="6C524DC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（5）主要火灾危险（可燃物、点火源）。</w:t>
      </w:r>
    </w:p>
    <w:p w14:paraId="47D6E4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14:paraId="245525C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14:paraId="314375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（8）其他。</w:t>
      </w:r>
    </w:p>
    <w:p w14:paraId="688D21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14:paraId="3B883E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14:paraId="4FA7C337">
      <w:pPr>
        <w:spacing w:line="360" w:lineRule="auto"/>
        <w:ind w:firstLine="420" w:firstLineChars="200"/>
        <w:jc w:val="left"/>
        <w:rPr>
          <w:rFonts w:ascii="宋体" w:hAnsi="宋体"/>
          <w:color w:val="auto"/>
          <w:szCs w:val="21"/>
          <w:highlight w:val="none"/>
        </w:rPr>
      </w:pPr>
      <w:bookmarkStart w:id="2100" w:name="_Toc247431439"/>
      <w:bookmarkStart w:id="2101" w:name="_Toc247418279"/>
      <w:bookmarkStart w:id="2102" w:name="_Toc239510305"/>
      <w:r>
        <w:rPr>
          <w:rFonts w:hint="eastAsia" w:ascii="宋体" w:hAnsi="宋体"/>
          <w:color w:val="auto"/>
          <w:szCs w:val="21"/>
          <w:highlight w:val="none"/>
        </w:rPr>
        <w:t>（二）现场作业基本安全条件</w:t>
      </w:r>
      <w:bookmarkEnd w:id="2100"/>
      <w:bookmarkEnd w:id="2101"/>
      <w:bookmarkEnd w:id="2102"/>
    </w:p>
    <w:p w14:paraId="50669D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6A0BD54B">
      <w:pPr>
        <w:spacing w:line="360" w:lineRule="auto"/>
        <w:ind w:firstLine="420" w:firstLineChars="200"/>
        <w:rPr>
          <w:rFonts w:ascii="宋体" w:hAnsi="宋体"/>
          <w:color w:val="auto"/>
          <w:szCs w:val="21"/>
          <w:highlight w:val="none"/>
        </w:rPr>
      </w:pPr>
      <w:bookmarkStart w:id="2103" w:name="_Toc247418280"/>
      <w:bookmarkStart w:id="2104" w:name="_Toc239510306"/>
      <w:bookmarkStart w:id="2105" w:name="_Toc532375715"/>
      <w:bookmarkStart w:id="2106" w:name="_Toc247431440"/>
      <w:r>
        <w:rPr>
          <w:rFonts w:hint="eastAsia" w:ascii="宋体" w:hAnsi="宋体"/>
          <w:color w:val="auto"/>
          <w:szCs w:val="21"/>
          <w:highlight w:val="none"/>
        </w:rPr>
        <w:t>十五、事故报告与应急救援</w:t>
      </w:r>
      <w:bookmarkEnd w:id="2103"/>
      <w:bookmarkEnd w:id="2104"/>
      <w:bookmarkEnd w:id="2105"/>
      <w:bookmarkEnd w:id="2106"/>
    </w:p>
    <w:p w14:paraId="3C015D8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14:paraId="61C37E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14:paraId="1508DF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14:paraId="10C3CD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14:paraId="726FE45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274314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14:paraId="7C71D2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14:paraId="3F3C5E7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14:paraId="0ED10E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14:paraId="5575ED8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14:paraId="131013D4">
      <w:pPr>
        <w:spacing w:line="360" w:lineRule="auto"/>
        <w:ind w:firstLine="420" w:firstLineChars="200"/>
        <w:rPr>
          <w:rFonts w:ascii="宋体" w:hAnsi="宋体"/>
          <w:color w:val="auto"/>
          <w:szCs w:val="21"/>
          <w:highlight w:val="none"/>
        </w:rPr>
      </w:pPr>
      <w:bookmarkStart w:id="2107" w:name="_Toc532375716"/>
      <w:bookmarkStart w:id="2108" w:name="_Toc239510307"/>
      <w:bookmarkStart w:id="2109" w:name="_Toc247418281"/>
      <w:bookmarkStart w:id="2110" w:name="_Toc247431441"/>
      <w:r>
        <w:rPr>
          <w:rFonts w:hint="eastAsia" w:ascii="宋体" w:hAnsi="宋体"/>
          <w:color w:val="auto"/>
          <w:szCs w:val="21"/>
          <w:highlight w:val="none"/>
        </w:rPr>
        <w:t>十六、安全业绩考核</w:t>
      </w:r>
      <w:bookmarkEnd w:id="2107"/>
      <w:bookmarkEnd w:id="2108"/>
      <w:bookmarkEnd w:id="2109"/>
      <w:bookmarkEnd w:id="2110"/>
    </w:p>
    <w:p w14:paraId="74176D4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0D8AF44D">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EA5DE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23B5BA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违约金额</w:t>
            </w:r>
          </w:p>
        </w:tc>
      </w:tr>
      <w:tr w14:paraId="195A6BCD">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D2A4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14:paraId="60C6A509">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14:paraId="2D2A8ADB">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2A44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14:paraId="6ECF5D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签约合同价的2‰</w:t>
            </w:r>
          </w:p>
        </w:tc>
      </w:tr>
      <w:tr w14:paraId="6D29C2D9">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F7759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02E7D74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签约合同价的4‰</w:t>
            </w:r>
          </w:p>
        </w:tc>
      </w:tr>
    </w:tbl>
    <w:p w14:paraId="3C72DA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14:paraId="288580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14:paraId="181A7B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14:paraId="5897544B">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14:paraId="4CB01C91">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（5）如整个施工过程未发生以上安全事故，则给予承包人建安费总额的1‰的安全奖励。</w:t>
      </w:r>
    </w:p>
    <w:p w14:paraId="3F8FA4FB">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4040FB2A">
      <w:pPr>
        <w:spacing w:line="276" w:lineRule="auto"/>
        <w:ind w:firstLine="420" w:firstLineChars="200"/>
        <w:rPr>
          <w:rFonts w:ascii="宋体" w:hAnsi="宋体"/>
          <w:color w:val="auto"/>
          <w:szCs w:val="21"/>
          <w:highlight w:val="none"/>
        </w:rPr>
      </w:pPr>
      <w:bookmarkStart w:id="2111" w:name="_Toc247431442"/>
      <w:bookmarkStart w:id="2112" w:name="_Toc239510308"/>
      <w:bookmarkStart w:id="2113" w:name="_Toc532375717"/>
      <w:bookmarkStart w:id="2114" w:name="_Toc247418282"/>
      <w:r>
        <w:rPr>
          <w:rFonts w:hint="eastAsia" w:ascii="宋体" w:hAnsi="宋体"/>
          <w:color w:val="auto"/>
          <w:szCs w:val="21"/>
          <w:highlight w:val="none"/>
        </w:rPr>
        <w:t>十七、协议条款的修订</w:t>
      </w:r>
      <w:bookmarkEnd w:id="2111"/>
      <w:bookmarkEnd w:id="2112"/>
      <w:bookmarkEnd w:id="2113"/>
      <w:bookmarkEnd w:id="2114"/>
    </w:p>
    <w:p w14:paraId="5EEF5444">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14:paraId="559610E8">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14:paraId="0A5654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  包  人（公章）：</w:t>
      </w:r>
      <w:r>
        <w:rPr>
          <w:rFonts w:hint="eastAsia" w:ascii="宋体" w:hAnsi="宋体" w:cs="宋体"/>
          <w:color w:val="auto"/>
          <w:szCs w:val="21"/>
          <w:highlight w:val="none"/>
          <w:u w:val="single"/>
        </w:rPr>
        <w:t xml:space="preserve">                       </w:t>
      </w:r>
    </w:p>
    <w:p w14:paraId="5EEB32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3FA1AA9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或其委托代理人（签字）：</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52D4899C">
      <w:pPr>
        <w:spacing w:line="360" w:lineRule="auto"/>
        <w:ind w:firstLine="420" w:firstLineChars="200"/>
        <w:jc w:val="left"/>
        <w:rPr>
          <w:rFonts w:ascii="宋体" w:hAnsi="宋体"/>
          <w:color w:val="auto"/>
          <w:szCs w:val="21"/>
          <w:highlight w:val="none"/>
        </w:rPr>
      </w:pPr>
    </w:p>
    <w:p w14:paraId="4D9A9DE1">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承  包  人（公章）：</w:t>
      </w:r>
      <w:r>
        <w:rPr>
          <w:rFonts w:hint="eastAsia" w:ascii="宋体" w:hAnsi="宋体" w:cs="宋体"/>
          <w:color w:val="auto"/>
          <w:szCs w:val="21"/>
          <w:highlight w:val="none"/>
          <w:u w:val="single"/>
        </w:rPr>
        <w:t xml:space="preserve">                       </w:t>
      </w:r>
    </w:p>
    <w:p w14:paraId="18941A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 xml:space="preserve">                       </w:t>
      </w:r>
    </w:p>
    <w:p w14:paraId="0778B3B2">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或其委托代理人（签字）：</w:t>
      </w:r>
      <w:r>
        <w:rPr>
          <w:rFonts w:hint="eastAsia" w:ascii="宋体" w:hAnsi="宋体" w:cs="宋体"/>
          <w:color w:val="auto"/>
          <w:szCs w:val="21"/>
          <w:highlight w:val="none"/>
          <w:u w:val="single"/>
        </w:rPr>
        <w:t xml:space="preserve">                   </w:t>
      </w:r>
    </w:p>
    <w:p w14:paraId="064D2E1B">
      <w:pPr>
        <w:snapToGrid w:val="0"/>
        <w:spacing w:line="360" w:lineRule="auto"/>
        <w:jc w:val="left"/>
        <w:rPr>
          <w:rFonts w:ascii="宋体" w:hAnsi="宋体"/>
          <w:color w:val="auto"/>
          <w:kern w:val="0"/>
          <w:szCs w:val="21"/>
          <w:highlight w:val="none"/>
        </w:rPr>
      </w:pPr>
      <w:r>
        <w:rPr>
          <w:rFonts w:hint="eastAsia" w:ascii="宋体" w:hAnsi="宋体"/>
          <w:color w:val="auto"/>
          <w:szCs w:val="21"/>
          <w:highlight w:val="none"/>
        </w:rPr>
        <w:br w:type="page"/>
      </w:r>
    </w:p>
    <w:p w14:paraId="3BFB668B">
      <w:pPr>
        <w:spacing w:line="480" w:lineRule="auto"/>
        <w:rPr>
          <w:rFonts w:ascii="宋体" w:hAnsi="宋体"/>
          <w:color w:val="auto"/>
          <w:szCs w:val="21"/>
          <w:highlight w:val="none"/>
        </w:rPr>
      </w:pPr>
      <w:r>
        <w:rPr>
          <w:rFonts w:hint="eastAsia" w:ascii="宋体" w:hAnsi="宋体"/>
          <w:color w:val="auto"/>
          <w:szCs w:val="21"/>
          <w:highlight w:val="none"/>
        </w:rPr>
        <w:t>附件10 保障农民工工资支付协议</w:t>
      </w:r>
    </w:p>
    <w:p w14:paraId="0116C22D">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14:paraId="4A56A0FA">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674321C3">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0EE178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2AD339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14:paraId="27507F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1E0C58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181DD3A5">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四、若发现承包人有下列事项的，发包人在支付当期进度款时暂扣当期应支付进度款5%比例的款项。</w:t>
      </w:r>
    </w:p>
    <w:p w14:paraId="337338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（一）现场检查发现项目存在拖欠农民工工资情况并经核查属实的；</w:t>
      </w:r>
    </w:p>
    <w:p w14:paraId="5FA3D55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（二）相关行政管理部门检查发现存在拖欠农民工工资情况并经核查属实的；</w:t>
      </w:r>
    </w:p>
    <w:p w14:paraId="71F34A55">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    （三）有拖欠农民工工资投诉事项并经核查属实的。</w:t>
      </w:r>
    </w:p>
    <w:p w14:paraId="7B6DD9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70E394A0">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六、本协议经双方法定代表人或委托代理人签字并加盖公章后生效，履行完毕后自然失效。</w:t>
      </w:r>
    </w:p>
    <w:p w14:paraId="1889F9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14:paraId="110886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14:paraId="54E94139">
      <w:pPr>
        <w:pStyle w:val="2"/>
        <w:spacing w:line="360" w:lineRule="auto"/>
        <w:ind w:firstLine="420" w:firstLineChars="200"/>
        <w:rPr>
          <w:rFonts w:hint="eastAsia" w:ascii="宋体" w:hAnsi="宋体"/>
          <w:color w:val="auto"/>
          <w:szCs w:val="21"/>
          <w:highlight w:val="none"/>
        </w:rPr>
      </w:pPr>
    </w:p>
    <w:p w14:paraId="390FD903">
      <w:pPr>
        <w:pStyle w:val="2"/>
        <w:spacing w:line="360" w:lineRule="auto"/>
        <w:ind w:firstLine="420" w:firstLineChars="200"/>
        <w:rPr>
          <w:rFonts w:hint="eastAsia" w:ascii="宋体" w:hAnsi="宋体"/>
          <w:color w:val="auto"/>
          <w:szCs w:val="21"/>
          <w:highlight w:val="none"/>
        </w:rPr>
      </w:pPr>
    </w:p>
    <w:p w14:paraId="6A7E4DCD">
      <w:pPr>
        <w:pStyle w:val="2"/>
        <w:spacing w:line="360" w:lineRule="auto"/>
        <w:ind w:firstLine="420" w:firstLineChars="200"/>
        <w:rPr>
          <w:rFonts w:ascii="宋体" w:hAnsi="宋体"/>
          <w:color w:val="auto"/>
          <w:szCs w:val="21"/>
          <w:highlight w:val="none"/>
        </w:rPr>
      </w:pPr>
    </w:p>
    <w:p w14:paraId="74D6E5C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282FAEDD">
      <w:pPr>
        <w:spacing w:line="360" w:lineRule="auto"/>
        <w:ind w:firstLine="420" w:firstLineChars="200"/>
        <w:rPr>
          <w:rFonts w:ascii="宋体" w:hAnsi="宋体"/>
          <w:color w:val="auto"/>
          <w:szCs w:val="21"/>
          <w:highlight w:val="none"/>
        </w:rPr>
      </w:pPr>
    </w:p>
    <w:p w14:paraId="3043FD17">
      <w:pPr>
        <w:spacing w:line="360" w:lineRule="auto"/>
        <w:ind w:firstLine="420" w:firstLineChars="200"/>
        <w:rPr>
          <w:rFonts w:ascii="宋体" w:hAnsi="宋体"/>
          <w:color w:val="auto"/>
          <w:szCs w:val="21"/>
          <w:highlight w:val="none"/>
        </w:rPr>
      </w:pPr>
    </w:p>
    <w:p w14:paraId="255AFE01">
      <w:pPr>
        <w:pStyle w:val="2"/>
        <w:spacing w:line="360" w:lineRule="auto"/>
        <w:rPr>
          <w:rFonts w:ascii="宋体" w:hAnsi="宋体"/>
          <w:color w:val="auto"/>
          <w:szCs w:val="21"/>
          <w:highlight w:val="none"/>
        </w:rPr>
      </w:pPr>
    </w:p>
    <w:p w14:paraId="2E04BA76">
      <w:pPr>
        <w:spacing w:line="360" w:lineRule="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2AAD2327">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7F3DEC3F">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78488F0F">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2ACB0DDE">
      <w:pPr>
        <w:spacing w:line="360" w:lineRule="auto"/>
        <w:rPr>
          <w:rFonts w:ascii="宋体" w:hAnsi="宋体"/>
          <w:color w:val="auto"/>
          <w:szCs w:val="21"/>
          <w:highlight w:val="none"/>
        </w:rPr>
      </w:pPr>
    </w:p>
    <w:p w14:paraId="5FE75327">
      <w:pPr>
        <w:spacing w:line="360" w:lineRule="auto"/>
        <w:rPr>
          <w:rFonts w:ascii="宋体" w:hAnsi="宋体"/>
          <w:color w:val="auto"/>
          <w:szCs w:val="21"/>
          <w:highlight w:val="none"/>
        </w:rPr>
      </w:pPr>
    </w:p>
    <w:p w14:paraId="402F0760">
      <w:pPr>
        <w:spacing w:line="360" w:lineRule="auto"/>
        <w:rPr>
          <w:rFonts w:ascii="宋体" w:hAnsi="宋体"/>
          <w:color w:val="auto"/>
          <w:szCs w:val="21"/>
          <w:highlight w:val="none"/>
        </w:rPr>
      </w:pPr>
    </w:p>
    <w:p w14:paraId="31EA183A">
      <w:pPr>
        <w:spacing w:line="360" w:lineRule="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0325A6D3">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77DD6ACA">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500E703E">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6F249C11">
      <w:pPr>
        <w:snapToGrid w:val="0"/>
        <w:spacing w:line="360" w:lineRule="auto"/>
        <w:ind w:firstLine="560"/>
        <w:rPr>
          <w:rFonts w:ascii="宋体" w:hAnsi="宋体"/>
          <w:color w:val="auto"/>
          <w:szCs w:val="21"/>
          <w:highlight w:val="none"/>
        </w:rPr>
      </w:pPr>
    </w:p>
    <w:p w14:paraId="374EF2A0">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14:paraId="097932D7">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4278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14:paraId="1CA54285">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14:paraId="6974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noWrap w:val="0"/>
            <w:vAlign w:val="top"/>
          </w:tcPr>
          <w:p w14:paraId="7AF8EEDB">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noWrap w:val="0"/>
            <w:vAlign w:val="top"/>
          </w:tcPr>
          <w:p w14:paraId="04DB841D">
            <w:pPr>
              <w:widowControl/>
              <w:snapToGrid w:val="0"/>
              <w:spacing w:after="100" w:afterAutospacing="1" w:line="400" w:lineRule="exact"/>
              <w:rPr>
                <w:rFonts w:ascii="宋体" w:hAnsi="宋体"/>
                <w:color w:val="auto"/>
                <w:kern w:val="0"/>
                <w:szCs w:val="21"/>
                <w:highlight w:val="none"/>
              </w:rPr>
            </w:pPr>
          </w:p>
        </w:tc>
      </w:tr>
      <w:tr w14:paraId="3318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top"/>
          </w:tcPr>
          <w:p w14:paraId="6215EF44">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noWrap w:val="0"/>
            <w:vAlign w:val="top"/>
          </w:tcPr>
          <w:p w14:paraId="4093076A">
            <w:pPr>
              <w:widowControl/>
              <w:snapToGrid w:val="0"/>
              <w:spacing w:after="100" w:afterAutospacing="1" w:line="400" w:lineRule="exact"/>
              <w:rPr>
                <w:rFonts w:ascii="宋体" w:hAnsi="宋体"/>
                <w:color w:val="auto"/>
                <w:kern w:val="0"/>
                <w:szCs w:val="21"/>
                <w:highlight w:val="none"/>
              </w:rPr>
            </w:pPr>
          </w:p>
        </w:tc>
      </w:tr>
      <w:tr w14:paraId="2AEB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noWrap w:val="0"/>
            <w:vAlign w:val="top"/>
          </w:tcPr>
          <w:p w14:paraId="270A6C7F">
            <w:pPr>
              <w:widowControl/>
              <w:snapToGrid w:val="0"/>
              <w:spacing w:after="100" w:afterAutospacing="1" w:line="400" w:lineRule="exact"/>
              <w:rPr>
                <w:rFonts w:ascii="宋体" w:hAnsi="宋体"/>
                <w:color w:val="auto"/>
                <w:kern w:val="0"/>
                <w:szCs w:val="21"/>
                <w:highlight w:val="none"/>
                <w:u w:val="single"/>
              </w:rPr>
            </w:pPr>
          </w:p>
          <w:p w14:paraId="26746383">
            <w:pPr>
              <w:widowControl/>
              <w:snapToGrid w:val="0"/>
              <w:spacing w:after="100" w:afterAutospacing="1"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（项目业主单位名称）：</w:t>
            </w:r>
          </w:p>
          <w:p w14:paraId="38E4AB50">
            <w:pPr>
              <w:widowControl/>
              <w:snapToGrid w:val="0"/>
              <w:spacing w:after="100" w:afterAutospacing="1"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p>
          <w:p w14:paraId="34C79315">
            <w:pPr>
              <w:pStyle w:val="2"/>
              <w:rPr>
                <w:rFonts w:hint="eastAsia"/>
                <w:lang w:eastAsia="zh-CN"/>
              </w:rPr>
            </w:pPr>
          </w:p>
          <w:p w14:paraId="5562EE03">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施工单位项目负责人签字（加盖项目章）：</w:t>
            </w:r>
            <w:r>
              <w:rPr>
                <w:rFonts w:hint="eastAsia" w:ascii="宋体" w:hAnsi="宋体"/>
                <w:color w:val="auto"/>
                <w:kern w:val="0"/>
                <w:szCs w:val="21"/>
                <w:highlight w:val="none"/>
                <w:u w:val="single"/>
              </w:rPr>
              <w:t xml:space="preserve">        </w:t>
            </w:r>
          </w:p>
        </w:tc>
      </w:tr>
      <w:tr w14:paraId="6937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noWrap w:val="0"/>
            <w:vAlign w:val="center"/>
          </w:tcPr>
          <w:p w14:paraId="75C1F921">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noWrap w:val="0"/>
            <w:vAlign w:val="top"/>
          </w:tcPr>
          <w:p w14:paraId="1974EDF3">
            <w:pPr>
              <w:widowControl/>
              <w:snapToGrid w:val="0"/>
              <w:spacing w:after="100" w:afterAutospacing="1" w:line="400" w:lineRule="exact"/>
              <w:rPr>
                <w:rFonts w:ascii="宋体" w:hAnsi="宋体"/>
                <w:color w:val="auto"/>
                <w:kern w:val="0"/>
                <w:szCs w:val="21"/>
                <w:highlight w:val="none"/>
                <w:u w:val="single"/>
              </w:rPr>
            </w:pPr>
          </w:p>
          <w:p w14:paraId="41312D38">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总监签字并加盖项目章：</w:t>
            </w:r>
            <w:r>
              <w:rPr>
                <w:rFonts w:hint="eastAsia" w:ascii="宋体" w:hAnsi="宋体"/>
                <w:color w:val="auto"/>
                <w:kern w:val="0"/>
                <w:szCs w:val="21"/>
                <w:highlight w:val="none"/>
                <w:u w:val="single"/>
              </w:rPr>
              <w:t xml:space="preserve">        </w:t>
            </w:r>
          </w:p>
        </w:tc>
      </w:tr>
      <w:tr w14:paraId="794B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noWrap w:val="0"/>
            <w:vAlign w:val="center"/>
          </w:tcPr>
          <w:p w14:paraId="7E76E33B">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noWrap w:val="0"/>
            <w:vAlign w:val="top"/>
          </w:tcPr>
          <w:p w14:paraId="31E4F502">
            <w:pPr>
              <w:widowControl/>
              <w:snapToGrid w:val="0"/>
              <w:spacing w:after="100" w:afterAutospacing="1" w:line="400" w:lineRule="exact"/>
              <w:rPr>
                <w:rFonts w:ascii="宋体" w:hAnsi="宋体"/>
                <w:color w:val="auto"/>
                <w:kern w:val="0"/>
                <w:szCs w:val="21"/>
                <w:highlight w:val="none"/>
                <w:u w:val="single"/>
              </w:rPr>
            </w:pPr>
          </w:p>
          <w:p w14:paraId="4CED75B4">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项目负责人签字：</w:t>
            </w:r>
            <w:r>
              <w:rPr>
                <w:rFonts w:hint="eastAsia" w:ascii="宋体" w:hAnsi="宋体"/>
                <w:color w:val="auto"/>
                <w:kern w:val="0"/>
                <w:szCs w:val="21"/>
                <w:highlight w:val="none"/>
                <w:u w:val="single"/>
              </w:rPr>
              <w:t xml:space="preserve">        </w:t>
            </w:r>
          </w:p>
        </w:tc>
      </w:tr>
    </w:tbl>
    <w:p w14:paraId="7DFD8313">
      <w:pPr>
        <w:pStyle w:val="2"/>
        <w:rPr>
          <w:rFonts w:ascii="宋体" w:hAnsi="宋体"/>
          <w:color w:val="auto"/>
          <w:sz w:val="24"/>
          <w:highlight w:val="none"/>
        </w:rPr>
      </w:pPr>
    </w:p>
    <w:p w14:paraId="75708D36">
      <w:pPr>
        <w:pStyle w:val="2"/>
        <w:rPr>
          <w:rFonts w:ascii="宋体" w:hAnsi="宋体"/>
          <w:color w:val="auto"/>
          <w:sz w:val="24"/>
          <w:highlight w:val="none"/>
        </w:rPr>
      </w:pPr>
    </w:p>
    <w:p w14:paraId="1708C54B">
      <w:pPr>
        <w:pStyle w:val="2"/>
        <w:rPr>
          <w:rFonts w:ascii="宋体" w:hAnsi="宋体"/>
          <w:color w:val="auto"/>
          <w:sz w:val="24"/>
          <w:highlight w:val="none"/>
        </w:rPr>
      </w:pPr>
    </w:p>
    <w:p w14:paraId="56899C7B">
      <w:pPr>
        <w:pStyle w:val="2"/>
        <w:rPr>
          <w:rFonts w:ascii="宋体" w:hAnsi="宋体"/>
          <w:color w:val="auto"/>
          <w:sz w:val="24"/>
          <w:highlight w:val="none"/>
        </w:rPr>
      </w:pPr>
    </w:p>
    <w:p w14:paraId="2FFB3231">
      <w:pPr>
        <w:pStyle w:val="2"/>
        <w:rPr>
          <w:rFonts w:ascii="宋体" w:hAnsi="宋体"/>
          <w:color w:val="auto"/>
          <w:sz w:val="24"/>
          <w:highlight w:val="none"/>
        </w:rPr>
      </w:pPr>
    </w:p>
    <w:p w14:paraId="32227B5F">
      <w:pPr>
        <w:pStyle w:val="2"/>
        <w:rPr>
          <w:rFonts w:ascii="宋体" w:hAnsi="宋体"/>
          <w:color w:val="auto"/>
          <w:sz w:val="24"/>
          <w:highlight w:val="none"/>
        </w:rPr>
      </w:pPr>
    </w:p>
    <w:p w14:paraId="25A37075">
      <w:pPr>
        <w:pStyle w:val="2"/>
        <w:rPr>
          <w:rFonts w:ascii="宋体" w:hAnsi="宋体"/>
          <w:color w:val="auto"/>
          <w:sz w:val="24"/>
          <w:highlight w:val="none"/>
        </w:rPr>
      </w:pPr>
    </w:p>
    <w:p w14:paraId="7284FFC1">
      <w:pPr>
        <w:pStyle w:val="2"/>
        <w:rPr>
          <w:rFonts w:ascii="宋体" w:hAnsi="宋体"/>
          <w:color w:val="auto"/>
          <w:sz w:val="24"/>
          <w:highlight w:val="none"/>
        </w:rPr>
      </w:pPr>
    </w:p>
    <w:p w14:paraId="3D1BBA58">
      <w:pPr>
        <w:spacing w:line="360" w:lineRule="auto"/>
        <w:ind w:firstLine="480" w:firstLineChars="200"/>
        <w:jc w:val="left"/>
        <w:rPr>
          <w:rFonts w:ascii="宋体" w:hAnsi="宋体"/>
          <w:color w:val="auto"/>
          <w:sz w:val="24"/>
          <w:highlight w:val="none"/>
        </w:rPr>
      </w:pPr>
    </w:p>
    <w:bookmarkEnd w:id="622"/>
    <w:p w14:paraId="3F8EADFD">
      <w:pPr>
        <w:spacing w:line="360" w:lineRule="auto"/>
        <w:rPr>
          <w:rFonts w:ascii="宋体" w:hAnsi="宋体"/>
          <w:color w:val="auto"/>
          <w:szCs w:val="20"/>
          <w:highlight w:val="none"/>
        </w:rPr>
      </w:pPr>
    </w:p>
    <w:p w14:paraId="5578906C">
      <w:pPr>
        <w:spacing w:line="240" w:lineRule="exact"/>
        <w:rPr>
          <w:rFonts w:ascii="宋体" w:hAnsi="宋体"/>
          <w:color w:val="auto"/>
          <w:szCs w:val="20"/>
          <w:highlight w:val="none"/>
        </w:rPr>
      </w:pPr>
      <w:r>
        <w:rPr>
          <w:rFonts w:ascii="宋体" w:hAnsi="宋体"/>
          <w:color w:val="auto"/>
          <w:szCs w:val="20"/>
          <w:highlight w:val="none"/>
        </w:rPr>
        <w:br w:type="page"/>
      </w:r>
      <w:bookmarkStart w:id="2115" w:name="招标文件05章工程量清单"/>
      <w:bookmarkEnd w:id="2115"/>
    </w:p>
    <w:p w14:paraId="6BCD03E9">
      <w:pPr>
        <w:pStyle w:val="3"/>
        <w:spacing w:before="0" w:after="0" w:line="360" w:lineRule="auto"/>
        <w:jc w:val="center"/>
        <w:rPr>
          <w:rFonts w:ascii="宋体" w:hAnsi="宋体"/>
          <w:color w:val="auto"/>
          <w:highlight w:val="none"/>
        </w:rPr>
      </w:pPr>
      <w:bookmarkStart w:id="2116" w:name="_Toc16194"/>
      <w:bookmarkStart w:id="2117" w:name="_Toc430530513"/>
      <w:bookmarkStart w:id="2118" w:name="_Toc534185822"/>
      <w:bookmarkStart w:id="2119" w:name="_Toc30518"/>
      <w:bookmarkStart w:id="2120" w:name="_Toc287620797"/>
      <w:bookmarkStart w:id="2121" w:name="_Toc509218843"/>
      <w:bookmarkStart w:id="2122" w:name="_Toc287607855"/>
      <w:r>
        <w:rPr>
          <w:rFonts w:hint="eastAsia" w:ascii="宋体" w:hAnsi="宋体"/>
          <w:color w:val="auto"/>
          <w:highlight w:val="none"/>
        </w:rPr>
        <w:t>第五章  工程量清单</w:t>
      </w:r>
      <w:bookmarkEnd w:id="2116"/>
      <w:bookmarkEnd w:id="2117"/>
      <w:bookmarkEnd w:id="2118"/>
      <w:bookmarkEnd w:id="2119"/>
      <w:bookmarkEnd w:id="2120"/>
      <w:bookmarkEnd w:id="2121"/>
      <w:bookmarkEnd w:id="2122"/>
      <w:bookmarkStart w:id="2123" w:name="招标文件05章工程量清单01"/>
      <w:bookmarkEnd w:id="2123"/>
      <w:bookmarkStart w:id="2124" w:name="_Toc224103477"/>
      <w:bookmarkStart w:id="2125" w:name="_Toc287620798"/>
      <w:bookmarkStart w:id="2126" w:name="_Toc277082638"/>
      <w:bookmarkStart w:id="2127" w:name="_Toc430530514"/>
      <w:bookmarkStart w:id="2128" w:name="_Toc287607856"/>
    </w:p>
    <w:bookmarkEnd w:id="2124"/>
    <w:bookmarkEnd w:id="2125"/>
    <w:bookmarkEnd w:id="2126"/>
    <w:bookmarkEnd w:id="2127"/>
    <w:bookmarkEnd w:id="2128"/>
    <w:p w14:paraId="64A83241">
      <w:pPr>
        <w:snapToGrid w:val="0"/>
        <w:spacing w:line="360" w:lineRule="auto"/>
        <w:jc w:val="center"/>
        <w:rPr>
          <w:rFonts w:hint="eastAsia" w:ascii="宋体" w:hAnsi="宋体"/>
          <w:color w:val="auto"/>
          <w:sz w:val="24"/>
          <w:highlight w:val="none"/>
        </w:rPr>
      </w:pPr>
    </w:p>
    <w:p w14:paraId="57D9BD29">
      <w:pPr>
        <w:ind w:right="561"/>
        <w:rPr>
          <w:rFonts w:ascii="宋体" w:hAnsi="宋体"/>
          <w:color w:val="auto"/>
          <w:szCs w:val="21"/>
          <w:highlight w:val="none"/>
        </w:rPr>
      </w:pPr>
      <w:r>
        <w:rPr>
          <w:rFonts w:hint="eastAsia" w:ascii="宋体" w:hAnsi="宋体"/>
          <w:snapToGrid w:val="0"/>
          <w:kern w:val="0"/>
          <w:szCs w:val="21"/>
          <w:lang w:eastAsia="zh-CN"/>
        </w:rPr>
        <w:t>重庆源泰工程造价咨询有限责任公司处获取。</w:t>
      </w:r>
      <w:r>
        <w:rPr>
          <w:rFonts w:ascii="宋体" w:hAnsi="宋体"/>
          <w:color w:val="auto"/>
          <w:sz w:val="24"/>
          <w:highlight w:val="none"/>
        </w:rPr>
        <w:br w:type="page"/>
      </w:r>
    </w:p>
    <w:p w14:paraId="64FE36B3">
      <w:pPr>
        <w:pStyle w:val="3"/>
        <w:spacing w:before="0" w:after="0" w:line="360" w:lineRule="auto"/>
        <w:jc w:val="center"/>
        <w:rPr>
          <w:rFonts w:ascii="宋体" w:hAnsi="宋体"/>
          <w:color w:val="auto"/>
          <w:sz w:val="52"/>
          <w:szCs w:val="52"/>
          <w:highlight w:val="none"/>
        </w:rPr>
      </w:pPr>
      <w:bookmarkStart w:id="2129" w:name="_Toc534185823"/>
      <w:bookmarkStart w:id="2130" w:name="_Toc30709"/>
      <w:bookmarkStart w:id="2131" w:name="_Toc13474"/>
      <w:bookmarkStart w:id="2132" w:name="_Toc509218844"/>
      <w:r>
        <w:rPr>
          <w:rFonts w:ascii="宋体" w:hAnsi="宋体"/>
          <w:color w:val="auto"/>
          <w:sz w:val="52"/>
          <w:szCs w:val="52"/>
          <w:highlight w:val="none"/>
        </w:rPr>
        <w:t>第 二 卷</w:t>
      </w:r>
      <w:bookmarkEnd w:id="2129"/>
      <w:bookmarkEnd w:id="2130"/>
      <w:bookmarkEnd w:id="2131"/>
      <w:bookmarkEnd w:id="2132"/>
    </w:p>
    <w:p w14:paraId="72E50DB2">
      <w:pPr>
        <w:spacing w:line="360" w:lineRule="auto"/>
        <w:rPr>
          <w:rFonts w:ascii="宋体" w:hAnsi="宋体"/>
          <w:color w:val="auto"/>
          <w:szCs w:val="20"/>
          <w:highlight w:val="none"/>
        </w:rPr>
      </w:pPr>
      <w:r>
        <w:rPr>
          <w:rFonts w:ascii="宋体" w:hAnsi="宋体"/>
          <w:color w:val="auto"/>
          <w:szCs w:val="20"/>
          <w:highlight w:val="none"/>
        </w:rPr>
        <w:br w:type="page"/>
      </w:r>
    </w:p>
    <w:p w14:paraId="79B029B9">
      <w:pPr>
        <w:pStyle w:val="3"/>
        <w:spacing w:line="360" w:lineRule="auto"/>
        <w:jc w:val="center"/>
        <w:rPr>
          <w:rFonts w:ascii="宋体" w:hAnsi="宋体"/>
          <w:color w:val="auto"/>
          <w:highlight w:val="none"/>
        </w:rPr>
      </w:pPr>
      <w:bookmarkStart w:id="2133" w:name="招标文件06章图纸"/>
      <w:bookmarkEnd w:id="2133"/>
      <w:bookmarkStart w:id="2134" w:name="_Toc509218846"/>
      <w:bookmarkStart w:id="2135" w:name="_Toc430530519"/>
      <w:bookmarkStart w:id="2136" w:name="_Toc3490"/>
      <w:bookmarkStart w:id="2137" w:name="_Toc287607861"/>
      <w:bookmarkStart w:id="2138" w:name="_Toc22154"/>
      <w:bookmarkStart w:id="2139" w:name="_Toc287620803"/>
      <w:bookmarkStart w:id="2140" w:name="_Toc534185825"/>
      <w:r>
        <w:rPr>
          <w:rFonts w:hint="eastAsia" w:ascii="宋体" w:hAnsi="宋体"/>
          <w:color w:val="auto"/>
          <w:highlight w:val="none"/>
        </w:rPr>
        <w:t>第六章  图纸</w:t>
      </w:r>
      <w:bookmarkEnd w:id="2134"/>
      <w:bookmarkEnd w:id="2135"/>
      <w:bookmarkEnd w:id="2136"/>
      <w:bookmarkEnd w:id="2137"/>
      <w:bookmarkEnd w:id="2138"/>
      <w:bookmarkEnd w:id="2139"/>
      <w:bookmarkEnd w:id="2140"/>
    </w:p>
    <w:p w14:paraId="4288DB46">
      <w:pPr>
        <w:spacing w:line="360" w:lineRule="auto"/>
        <w:rPr>
          <w:rFonts w:hint="eastAsia" w:ascii="宋体" w:hAnsi="宋体"/>
          <w:snapToGrid w:val="0"/>
          <w:kern w:val="0"/>
          <w:szCs w:val="21"/>
          <w:lang w:eastAsia="zh-CN"/>
        </w:rPr>
      </w:pPr>
      <w:bookmarkStart w:id="2141" w:name="招标文件06章图纸01"/>
      <w:bookmarkEnd w:id="2141"/>
      <w:bookmarkStart w:id="2142" w:name="_Toc430530520"/>
      <w:bookmarkStart w:id="2143" w:name="_Toc287620804"/>
      <w:r>
        <w:rPr>
          <w:rFonts w:hint="eastAsia" w:ascii="宋体" w:hAnsi="宋体"/>
          <w:snapToGrid w:val="0"/>
          <w:kern w:val="0"/>
          <w:szCs w:val="21"/>
          <w:lang w:eastAsia="zh-CN"/>
        </w:rPr>
        <w:t>重庆源泰工程造价咨询有限责任公司处获取。</w:t>
      </w:r>
    </w:p>
    <w:bookmarkEnd w:id="2142"/>
    <w:bookmarkEnd w:id="2143"/>
    <w:p w14:paraId="6FFDA80F">
      <w:pPr>
        <w:spacing w:line="360" w:lineRule="auto"/>
        <w:rPr>
          <w:rFonts w:ascii="宋体" w:hAnsi="宋体"/>
          <w:color w:val="auto"/>
          <w:highlight w:val="none"/>
        </w:rPr>
      </w:pPr>
      <w:r>
        <w:rPr>
          <w:rFonts w:ascii="宋体" w:hAnsi="宋体"/>
          <w:color w:val="auto"/>
          <w:szCs w:val="20"/>
          <w:highlight w:val="none"/>
        </w:rPr>
        <w:br w:type="page"/>
      </w:r>
    </w:p>
    <w:p w14:paraId="6178B6C3">
      <w:pPr>
        <w:pStyle w:val="3"/>
        <w:spacing w:before="0" w:after="0" w:line="360" w:lineRule="auto"/>
        <w:jc w:val="center"/>
        <w:rPr>
          <w:rFonts w:hint="eastAsia" w:ascii="宋体" w:hAnsi="宋体"/>
          <w:color w:val="auto"/>
          <w:sz w:val="52"/>
          <w:szCs w:val="52"/>
          <w:highlight w:val="none"/>
        </w:rPr>
      </w:pPr>
      <w:bookmarkStart w:id="2144" w:name="_Toc12815"/>
      <w:bookmarkStart w:id="2145" w:name="_Toc8804"/>
      <w:r>
        <w:rPr>
          <w:rFonts w:hint="eastAsia" w:ascii="宋体" w:hAnsi="宋体"/>
          <w:color w:val="auto"/>
          <w:sz w:val="52"/>
          <w:szCs w:val="52"/>
          <w:highlight w:val="none"/>
        </w:rPr>
        <w:t>第 三 卷</w:t>
      </w:r>
      <w:bookmarkEnd w:id="2144"/>
      <w:bookmarkEnd w:id="2145"/>
      <w:bookmarkStart w:id="2146" w:name="_Toc509218847"/>
      <w:bookmarkStart w:id="2147" w:name="_Toc536620100"/>
      <w:bookmarkStart w:id="2148" w:name="_Toc536797390"/>
      <w:bookmarkStart w:id="2149" w:name="_Toc536621880"/>
      <w:bookmarkStart w:id="2150" w:name="_Toc536796986"/>
      <w:bookmarkStart w:id="2151" w:name="_Toc536796850"/>
      <w:bookmarkStart w:id="2152" w:name="_Toc536619968"/>
      <w:bookmarkStart w:id="2153" w:name="_Toc534185826"/>
      <w:bookmarkStart w:id="2154" w:name="_Toc536628344"/>
      <w:bookmarkStart w:id="2155" w:name="_Toc536797255"/>
      <w:bookmarkStart w:id="2156" w:name="_Toc13211764"/>
      <w:bookmarkStart w:id="2157" w:name="_Toc536797121"/>
      <w:bookmarkStart w:id="2158" w:name="_Toc13211206"/>
      <w:bookmarkStart w:id="2159" w:name="_Toc13210772"/>
    </w:p>
    <w:bookmarkEnd w:id="2146"/>
    <w:p w14:paraId="080C0944">
      <w:pPr>
        <w:rPr>
          <w:color w:val="auto"/>
          <w:highlight w:val="none"/>
        </w:rPr>
      </w:pPr>
      <w:r>
        <w:rPr>
          <w:color w:val="auto"/>
          <w:highlight w:val="none"/>
        </w:rPr>
        <w:br w:type="page"/>
      </w:r>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14:paraId="301F5EAB">
      <w:pPr>
        <w:pStyle w:val="3"/>
        <w:spacing w:line="360" w:lineRule="auto"/>
        <w:jc w:val="center"/>
        <w:rPr>
          <w:rFonts w:ascii="宋体" w:hAnsi="宋体"/>
          <w:color w:val="auto"/>
          <w:highlight w:val="none"/>
        </w:rPr>
      </w:pPr>
      <w:bookmarkStart w:id="2160" w:name="招标文件07章技术标准和要求"/>
      <w:bookmarkEnd w:id="2160"/>
      <w:bookmarkStart w:id="2161" w:name="_Toc19677"/>
      <w:bookmarkStart w:id="2162" w:name="_Toc17170"/>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2161"/>
      <w:bookmarkEnd w:id="2162"/>
      <w:bookmarkStart w:id="2163" w:name="招标文件07章技术标准和要求01"/>
      <w:bookmarkEnd w:id="2163"/>
      <w:bookmarkStart w:id="2164" w:name="_Toc430530524"/>
      <w:bookmarkStart w:id="2165" w:name="_Toc287620808"/>
    </w:p>
    <w:bookmarkEnd w:id="2164"/>
    <w:bookmarkEnd w:id="2165"/>
    <w:p w14:paraId="48D87F82">
      <w:pPr>
        <w:spacing w:line="360" w:lineRule="auto"/>
        <w:jc w:val="center"/>
        <w:rPr>
          <w:rFonts w:ascii="宋体" w:hAnsi="宋体"/>
          <w:color w:val="auto"/>
          <w:szCs w:val="21"/>
          <w:highlight w:val="none"/>
        </w:rPr>
      </w:pPr>
      <w:r>
        <w:rPr>
          <w:rFonts w:hint="eastAsia" w:ascii="宋体" w:hAnsi="宋体"/>
          <w:szCs w:val="20"/>
          <w:lang w:val="en-US" w:eastAsia="zh-CN"/>
        </w:rPr>
        <w:t>符合施工图及强制性质量标准和要求，符合国家、重庆市的相关标准和要求</w:t>
      </w:r>
      <w:r>
        <w:rPr>
          <w:rFonts w:hint="eastAsia" w:ascii="宋体" w:hAnsi="宋体"/>
          <w:color w:val="auto"/>
          <w:szCs w:val="21"/>
          <w:highlight w:val="none"/>
        </w:rPr>
        <w:t>。</w:t>
      </w:r>
    </w:p>
    <w:p w14:paraId="750A206B">
      <w:pPr>
        <w:spacing w:line="360" w:lineRule="auto"/>
        <w:rPr>
          <w:rFonts w:ascii="宋体" w:hAnsi="宋体"/>
          <w:color w:val="auto"/>
          <w:highlight w:val="none"/>
        </w:rPr>
      </w:pPr>
      <w:r>
        <w:rPr>
          <w:rFonts w:ascii="宋体" w:hAnsi="宋体"/>
          <w:color w:val="auto"/>
          <w:highlight w:val="none"/>
        </w:rPr>
        <w:br w:type="page"/>
      </w:r>
    </w:p>
    <w:p w14:paraId="4BE06809">
      <w:pPr>
        <w:pStyle w:val="3"/>
        <w:spacing w:before="0" w:after="0" w:line="360" w:lineRule="auto"/>
        <w:jc w:val="center"/>
        <w:rPr>
          <w:rFonts w:hint="eastAsia" w:ascii="宋体" w:hAnsi="宋体"/>
          <w:color w:val="auto"/>
          <w:sz w:val="52"/>
          <w:szCs w:val="52"/>
          <w:highlight w:val="none"/>
        </w:rPr>
      </w:pPr>
      <w:bookmarkStart w:id="2166" w:name="_Toc509218849"/>
      <w:bookmarkStart w:id="2167" w:name="_Toc31457"/>
      <w:bookmarkStart w:id="2168" w:name="_Toc534185827"/>
      <w:bookmarkStart w:id="2169" w:name="_Toc18822"/>
      <w:r>
        <w:rPr>
          <w:rFonts w:ascii="宋体" w:hAnsi="宋体"/>
          <w:color w:val="auto"/>
          <w:sz w:val="52"/>
          <w:szCs w:val="52"/>
          <w:highlight w:val="none"/>
        </w:rPr>
        <w:t>第 四 卷</w:t>
      </w:r>
      <w:bookmarkEnd w:id="2166"/>
      <w:bookmarkEnd w:id="2167"/>
      <w:bookmarkEnd w:id="2168"/>
      <w:bookmarkEnd w:id="2169"/>
      <w:bookmarkStart w:id="2170" w:name="_Toc536796989"/>
      <w:bookmarkStart w:id="2171" w:name="_Toc536621883"/>
      <w:bookmarkStart w:id="2172" w:name="_Toc536796853"/>
      <w:bookmarkStart w:id="2173" w:name="_Toc536797124"/>
      <w:bookmarkStart w:id="2174" w:name="_Toc536797258"/>
      <w:bookmarkStart w:id="2175" w:name="_Toc13211767"/>
      <w:bookmarkStart w:id="2176" w:name="_Toc536619970"/>
      <w:bookmarkStart w:id="2177" w:name="_Toc536620102"/>
      <w:bookmarkStart w:id="2178" w:name="_Toc536797393"/>
      <w:bookmarkStart w:id="2179" w:name="_Toc534185828"/>
      <w:bookmarkStart w:id="2180" w:name="_Toc13211209"/>
      <w:bookmarkStart w:id="2181" w:name="_Toc536628347"/>
      <w:bookmarkStart w:id="2182" w:name="_Toc13210775"/>
      <w:bookmarkStart w:id="2183" w:name="_Toc509218850"/>
    </w:p>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p w14:paraId="39BFB695">
      <w:pPr>
        <w:rPr>
          <w:rFonts w:hint="eastAsia"/>
          <w:color w:val="auto"/>
          <w:highlight w:val="none"/>
        </w:rPr>
      </w:pPr>
      <w:r>
        <w:rPr>
          <w:color w:val="auto"/>
          <w:highlight w:val="none"/>
        </w:rPr>
        <w:br w:type="page"/>
      </w:r>
      <w:bookmarkStart w:id="2184" w:name="招标文件08章投标文件格式"/>
      <w:bookmarkEnd w:id="2184"/>
      <w:bookmarkStart w:id="2185" w:name="_Toc287620812"/>
      <w:bookmarkStart w:id="2186" w:name="_Toc287607865"/>
    </w:p>
    <w:p w14:paraId="388A3506">
      <w:pPr>
        <w:pStyle w:val="3"/>
        <w:spacing w:line="360" w:lineRule="auto"/>
        <w:jc w:val="center"/>
        <w:rPr>
          <w:rFonts w:ascii="宋体" w:hAnsi="宋体"/>
          <w:color w:val="auto"/>
          <w:highlight w:val="none"/>
        </w:rPr>
      </w:pPr>
      <w:bookmarkStart w:id="2187" w:name="_Toc29049"/>
      <w:bookmarkStart w:id="2188" w:name="_Toc509218852"/>
      <w:bookmarkStart w:id="2189" w:name="_Toc23843"/>
      <w:bookmarkStart w:id="2190" w:name="_Toc430530528"/>
      <w:bookmarkStart w:id="2191" w:name="_Toc534185829"/>
      <w:r>
        <w:rPr>
          <w:rFonts w:hint="eastAsia" w:ascii="宋体" w:hAnsi="宋体"/>
          <w:color w:val="auto"/>
          <w:highlight w:val="none"/>
        </w:rPr>
        <w:t>第八章  投标文件格式</w:t>
      </w:r>
      <w:bookmarkEnd w:id="2185"/>
      <w:bookmarkEnd w:id="2186"/>
      <w:bookmarkEnd w:id="2187"/>
      <w:bookmarkEnd w:id="2188"/>
      <w:bookmarkEnd w:id="2189"/>
      <w:bookmarkEnd w:id="2190"/>
      <w:bookmarkEnd w:id="2191"/>
    </w:p>
    <w:p w14:paraId="26F04677">
      <w:pPr>
        <w:spacing w:line="360" w:lineRule="auto"/>
        <w:rPr>
          <w:rFonts w:ascii="宋体" w:hAnsi="宋体"/>
          <w:color w:val="auto"/>
          <w:sz w:val="32"/>
          <w:szCs w:val="32"/>
          <w:highlight w:val="none"/>
        </w:rPr>
      </w:pPr>
    </w:p>
    <w:p w14:paraId="68A2C481">
      <w:pPr>
        <w:spacing w:line="360" w:lineRule="auto"/>
        <w:jc w:val="center"/>
        <w:rPr>
          <w:rFonts w:ascii="宋体" w:hAnsi="宋体"/>
          <w:color w:val="auto"/>
          <w:sz w:val="36"/>
          <w:szCs w:val="36"/>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111"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190C2D5F"/>
                        </w:txbxContent>
                      </wps:txbx>
                      <wps:bodyPr rot="0" vert="horz" wrap="square" lIns="91440" tIns="45720" rIns="91440" bIns="45720" anchor="t" anchorCtr="0" upright="1">
                        <a:noAutofit/>
                      </wps:bodyPr>
                    </wps:wsp>
                  </a:graphicData>
                </a:graphic>
              </wp:anchor>
            </w:drawing>
          </mc:Choice>
          <mc:Fallback>
            <w:pict>
              <v:rect id="矩形 118" o:spid="_x0000_s1026" o:spt="1" style="position:absolute;left:0pt;margin-left:186.25pt;margin-top:666.6pt;height:54.6pt;width:63.6pt;z-index:251660288;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vl6p9oAAAANAQAADwAAAAAAAAABACAAAAAiAAAAZHJzL2Rvd25yZXYueG1sUEsBAhQAFAAAAAgA&#10;h07iQIKA2l4jAgAAQgQAAA4AAAAAAAAAAQAgAAAAKQEAAGRycy9lMm9Eb2MueG1sUEsFBgAAAAAG&#10;AAYAWQEAAL4FAAAAAA==&#10;">
                <v:fill on="t" focussize="0,0"/>
                <v:stroke on="f"/>
                <v:imagedata o:title=""/>
                <o:lock v:ext="edit" aspectratio="f"/>
                <v:textbox>
                  <w:txbxContent>
                    <w:p w14:paraId="190C2D5F"/>
                  </w:txbxContent>
                </v:textbox>
              </v:rect>
            </w:pict>
          </mc:Fallback>
        </mc:AlternateContent>
      </w:r>
      <w:r>
        <w:rPr>
          <w:rFonts w:ascii="宋体" w:hAnsi="宋体"/>
          <w:color w:val="auto"/>
          <w:szCs w:val="20"/>
          <w:highlight w:val="none"/>
        </w:rPr>
        <w:br w:type="page"/>
      </w:r>
      <w:bookmarkStart w:id="2192" w:name="_Toc224103493"/>
      <w:r>
        <w:rPr>
          <w:rFonts w:hint="eastAsia" w:ascii="宋体" w:hAnsi="宋体"/>
          <w:color w:val="auto"/>
          <w:sz w:val="36"/>
          <w:szCs w:val="36"/>
          <w:highlight w:val="none"/>
        </w:rPr>
        <w:t>目  录</w:t>
      </w:r>
      <w:bookmarkEnd w:id="2192"/>
    </w:p>
    <w:p w14:paraId="4BE1AC13">
      <w:pPr>
        <w:spacing w:line="360" w:lineRule="auto"/>
        <w:rPr>
          <w:rFonts w:ascii="宋体" w:hAnsi="宋体"/>
          <w:b/>
          <w:color w:val="auto"/>
          <w:highlight w:val="none"/>
        </w:rPr>
      </w:pPr>
      <w:r>
        <w:rPr>
          <w:rFonts w:hint="eastAsia" w:ascii="宋体" w:hAnsi="宋体"/>
          <w:b/>
          <w:color w:val="auto"/>
          <w:highlight w:val="none"/>
          <w:lang w:eastAsia="zh-CN"/>
        </w:rPr>
        <w:t>一</w:t>
      </w:r>
      <w:r>
        <w:rPr>
          <w:rFonts w:ascii="宋体" w:hAnsi="宋体"/>
          <w:b/>
          <w:color w:val="auto"/>
          <w:highlight w:val="none"/>
        </w:rPr>
        <w:t>、投标函部分</w:t>
      </w:r>
    </w:p>
    <w:p w14:paraId="57F85073">
      <w:pPr>
        <w:spacing w:line="360" w:lineRule="auto"/>
        <w:ind w:firstLine="420" w:firstLineChars="200"/>
        <w:rPr>
          <w:rFonts w:ascii="宋体" w:hAnsi="宋体"/>
          <w:color w:val="auto"/>
          <w:highlight w:val="none"/>
        </w:rPr>
      </w:pPr>
      <w:r>
        <w:rPr>
          <w:rFonts w:ascii="宋体" w:hAnsi="宋体"/>
          <w:color w:val="auto"/>
          <w:highlight w:val="none"/>
        </w:rPr>
        <w:t>（一）投标函</w:t>
      </w:r>
    </w:p>
    <w:p w14:paraId="5F72E024">
      <w:pPr>
        <w:spacing w:line="360" w:lineRule="auto"/>
        <w:ind w:firstLine="420" w:firstLineChars="200"/>
        <w:rPr>
          <w:rFonts w:ascii="宋体" w:hAnsi="宋体"/>
          <w:color w:val="auto"/>
          <w:highlight w:val="none"/>
        </w:rPr>
      </w:pPr>
      <w:r>
        <w:rPr>
          <w:rFonts w:ascii="宋体" w:hAnsi="宋体"/>
          <w:color w:val="auto"/>
          <w:highlight w:val="none"/>
        </w:rPr>
        <w:t>（二）投标函附录</w:t>
      </w:r>
    </w:p>
    <w:p w14:paraId="7988690A">
      <w:pPr>
        <w:spacing w:line="360" w:lineRule="auto"/>
        <w:ind w:firstLine="420" w:firstLineChars="200"/>
        <w:rPr>
          <w:rFonts w:hint="eastAsia"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14:paraId="793EF967">
      <w:pPr>
        <w:spacing w:line="360" w:lineRule="auto"/>
        <w:rPr>
          <w:rFonts w:ascii="宋体" w:hAnsi="宋体"/>
          <w:b/>
          <w:color w:val="auto"/>
          <w:highlight w:val="none"/>
        </w:rPr>
      </w:pPr>
      <w:r>
        <w:rPr>
          <w:rFonts w:hint="eastAsia" w:ascii="宋体" w:hAnsi="宋体"/>
          <w:b/>
          <w:color w:val="auto"/>
          <w:highlight w:val="none"/>
          <w:lang w:eastAsia="zh-CN"/>
        </w:rPr>
        <w:t>二</w:t>
      </w:r>
      <w:r>
        <w:rPr>
          <w:rFonts w:ascii="宋体" w:hAnsi="宋体"/>
          <w:b/>
          <w:color w:val="auto"/>
          <w:highlight w:val="none"/>
        </w:rPr>
        <w:t>、</w:t>
      </w:r>
      <w:r>
        <w:rPr>
          <w:rFonts w:hint="eastAsia" w:ascii="宋体" w:hAnsi="宋体"/>
          <w:b/>
          <w:color w:val="auto"/>
          <w:highlight w:val="none"/>
        </w:rPr>
        <w:t>经济</w:t>
      </w:r>
      <w:r>
        <w:rPr>
          <w:rFonts w:ascii="宋体" w:hAnsi="宋体"/>
          <w:b/>
          <w:color w:val="auto"/>
          <w:highlight w:val="none"/>
        </w:rPr>
        <w:t>部分</w:t>
      </w:r>
    </w:p>
    <w:p w14:paraId="378AF6AE">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14:paraId="20C418EF">
      <w:pPr>
        <w:spacing w:line="360" w:lineRule="auto"/>
        <w:rPr>
          <w:rFonts w:ascii="宋体" w:hAnsi="宋体"/>
          <w:b/>
          <w:color w:val="auto"/>
          <w:highlight w:val="none"/>
        </w:rPr>
      </w:pPr>
      <w:r>
        <w:rPr>
          <w:rFonts w:hint="eastAsia" w:ascii="宋体" w:hAnsi="宋体"/>
          <w:b/>
          <w:color w:val="auto"/>
          <w:highlight w:val="none"/>
          <w:lang w:eastAsia="zh-CN"/>
        </w:rPr>
        <w:t>三</w:t>
      </w:r>
      <w:r>
        <w:rPr>
          <w:rFonts w:ascii="宋体" w:hAnsi="宋体"/>
          <w:b/>
          <w:color w:val="auto"/>
          <w:highlight w:val="none"/>
        </w:rPr>
        <w:t>、</w:t>
      </w:r>
      <w:r>
        <w:rPr>
          <w:rFonts w:hint="eastAsia" w:ascii="宋体" w:hAnsi="宋体"/>
          <w:b/>
          <w:color w:val="auto"/>
          <w:highlight w:val="none"/>
        </w:rPr>
        <w:t>资格审查部分</w:t>
      </w:r>
    </w:p>
    <w:p w14:paraId="20947A26">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70F22134">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eastAsia="zh-CN"/>
        </w:rPr>
        <w:t>二</w:t>
      </w:r>
      <w:r>
        <w:rPr>
          <w:rFonts w:ascii="宋体" w:hAnsi="宋体"/>
          <w:color w:val="auto"/>
          <w:highlight w:val="none"/>
        </w:rPr>
        <w:t>）投标人基本情况表</w:t>
      </w:r>
    </w:p>
    <w:p w14:paraId="0F790034">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eastAsia="zh-CN"/>
        </w:rPr>
        <w:t>三</w:t>
      </w:r>
      <w:r>
        <w:rPr>
          <w:rFonts w:ascii="宋体" w:hAnsi="宋体"/>
          <w:color w:val="auto"/>
          <w:highlight w:val="none"/>
        </w:rPr>
        <w:t>）项目管理机构</w:t>
      </w:r>
    </w:p>
    <w:p w14:paraId="4299A3B9">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eastAsia="zh-CN"/>
        </w:rPr>
        <w:t>四</w:t>
      </w:r>
      <w:r>
        <w:rPr>
          <w:rFonts w:ascii="宋体" w:hAnsi="宋体"/>
          <w:color w:val="auto"/>
          <w:highlight w:val="none"/>
        </w:rPr>
        <w:t>）</w:t>
      </w:r>
      <w:r>
        <w:rPr>
          <w:rFonts w:hint="eastAsia" w:ascii="宋体" w:hAnsi="宋体"/>
          <w:color w:val="auto"/>
          <w:highlight w:val="none"/>
        </w:rPr>
        <w:t>承诺</w:t>
      </w:r>
    </w:p>
    <w:p w14:paraId="42275915">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eastAsia="zh-CN"/>
        </w:rPr>
        <w:t>五</w:t>
      </w:r>
      <w:r>
        <w:rPr>
          <w:rFonts w:ascii="宋体" w:hAnsi="宋体"/>
          <w:color w:val="auto"/>
          <w:highlight w:val="none"/>
        </w:rPr>
        <w:t>）其他资料</w:t>
      </w:r>
    </w:p>
    <w:p w14:paraId="0A7DD784">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2193" w:name="_Toc430530529"/>
      <w:bookmarkStart w:id="2194" w:name="_Toc277082642"/>
      <w:bookmarkStart w:id="2195" w:name="_Toc287620813"/>
      <w:bookmarkStart w:id="2196" w:name="_Toc224103494"/>
      <w:bookmarkStart w:id="2197" w:name="_Toc287607866"/>
    </w:p>
    <w:p w14:paraId="1C4AB95E">
      <w:pPr>
        <w:pStyle w:val="4"/>
        <w:spacing w:line="360" w:lineRule="auto"/>
        <w:jc w:val="center"/>
        <w:rPr>
          <w:rFonts w:ascii="宋体" w:hAnsi="宋体"/>
          <w:b w:val="0"/>
          <w:bCs w:val="0"/>
          <w:color w:val="auto"/>
          <w:sz w:val="44"/>
          <w:szCs w:val="44"/>
          <w:highlight w:val="none"/>
        </w:rPr>
      </w:pPr>
      <w:bookmarkStart w:id="2198" w:name="_Toc19476"/>
      <w:bookmarkStart w:id="2199" w:name="_Toc22514"/>
      <w:r>
        <w:rPr>
          <w:rFonts w:hint="eastAsia" w:ascii="宋体" w:hAnsi="宋体"/>
          <w:b w:val="0"/>
          <w:bCs w:val="0"/>
          <w:color w:val="auto"/>
          <w:sz w:val="44"/>
          <w:szCs w:val="44"/>
          <w:highlight w:val="none"/>
          <w:lang w:eastAsia="zh-CN"/>
        </w:rPr>
        <w:t>一</w:t>
      </w:r>
      <w:r>
        <w:rPr>
          <w:rFonts w:hint="eastAsia" w:ascii="宋体" w:hAnsi="宋体"/>
          <w:b w:val="0"/>
          <w:bCs w:val="0"/>
          <w:color w:val="auto"/>
          <w:sz w:val="44"/>
          <w:szCs w:val="44"/>
          <w:highlight w:val="none"/>
        </w:rPr>
        <w:t>、投标函部分</w:t>
      </w:r>
      <w:bookmarkEnd w:id="2193"/>
      <w:bookmarkEnd w:id="2194"/>
      <w:bookmarkEnd w:id="2195"/>
      <w:bookmarkEnd w:id="2196"/>
      <w:bookmarkEnd w:id="2197"/>
      <w:bookmarkEnd w:id="2198"/>
      <w:bookmarkEnd w:id="2199"/>
    </w:p>
    <w:p w14:paraId="207E3B62">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BBF3EF3">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080061FF">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363F67A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B19E61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68F03B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5463A2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2575FD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D64F346">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12C024AF">
      <w:pPr>
        <w:autoSpaceDE w:val="0"/>
        <w:autoSpaceDN w:val="0"/>
        <w:adjustRightInd w:val="0"/>
        <w:snapToGrid w:val="0"/>
        <w:spacing w:line="360" w:lineRule="auto"/>
        <w:jc w:val="left"/>
        <w:rPr>
          <w:rFonts w:ascii="宋体" w:hAnsi="宋体"/>
          <w:color w:val="auto"/>
          <w:kern w:val="0"/>
          <w:sz w:val="16"/>
          <w:szCs w:val="16"/>
          <w:highlight w:val="none"/>
        </w:rPr>
      </w:pPr>
    </w:p>
    <w:p w14:paraId="72745FCC">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14:paraId="22AE496F">
      <w:pPr>
        <w:autoSpaceDE w:val="0"/>
        <w:autoSpaceDN w:val="0"/>
        <w:adjustRightInd w:val="0"/>
        <w:snapToGrid w:val="0"/>
        <w:spacing w:line="360" w:lineRule="auto"/>
        <w:jc w:val="left"/>
        <w:rPr>
          <w:rFonts w:ascii="宋体" w:hAnsi="宋体"/>
          <w:b/>
          <w:color w:val="auto"/>
          <w:kern w:val="0"/>
          <w:sz w:val="20"/>
          <w:szCs w:val="20"/>
          <w:highlight w:val="none"/>
        </w:rPr>
      </w:pPr>
    </w:p>
    <w:p w14:paraId="1DCA4932">
      <w:pPr>
        <w:autoSpaceDE w:val="0"/>
        <w:autoSpaceDN w:val="0"/>
        <w:adjustRightInd w:val="0"/>
        <w:snapToGrid w:val="0"/>
        <w:spacing w:line="360" w:lineRule="auto"/>
        <w:jc w:val="left"/>
        <w:rPr>
          <w:rFonts w:ascii="宋体" w:hAnsi="宋体"/>
          <w:b/>
          <w:color w:val="auto"/>
          <w:kern w:val="0"/>
          <w:sz w:val="20"/>
          <w:szCs w:val="20"/>
          <w:highlight w:val="none"/>
        </w:rPr>
      </w:pPr>
    </w:p>
    <w:p w14:paraId="11BE3E25">
      <w:pPr>
        <w:autoSpaceDE w:val="0"/>
        <w:autoSpaceDN w:val="0"/>
        <w:adjustRightInd w:val="0"/>
        <w:snapToGrid w:val="0"/>
        <w:spacing w:line="360" w:lineRule="auto"/>
        <w:jc w:val="left"/>
        <w:rPr>
          <w:rFonts w:ascii="宋体" w:hAnsi="宋体"/>
          <w:b/>
          <w:color w:val="auto"/>
          <w:kern w:val="0"/>
          <w:sz w:val="20"/>
          <w:szCs w:val="20"/>
          <w:highlight w:val="none"/>
        </w:rPr>
      </w:pPr>
    </w:p>
    <w:p w14:paraId="77DFA5C8">
      <w:pPr>
        <w:autoSpaceDE w:val="0"/>
        <w:autoSpaceDN w:val="0"/>
        <w:adjustRightInd w:val="0"/>
        <w:snapToGrid w:val="0"/>
        <w:spacing w:line="360" w:lineRule="auto"/>
        <w:jc w:val="left"/>
        <w:rPr>
          <w:rFonts w:ascii="宋体" w:hAnsi="宋体"/>
          <w:b/>
          <w:color w:val="auto"/>
          <w:kern w:val="0"/>
          <w:sz w:val="20"/>
          <w:szCs w:val="20"/>
          <w:highlight w:val="none"/>
        </w:rPr>
      </w:pPr>
    </w:p>
    <w:p w14:paraId="11F93E10">
      <w:pPr>
        <w:autoSpaceDE w:val="0"/>
        <w:autoSpaceDN w:val="0"/>
        <w:adjustRightInd w:val="0"/>
        <w:snapToGrid w:val="0"/>
        <w:spacing w:line="360" w:lineRule="auto"/>
        <w:jc w:val="left"/>
        <w:rPr>
          <w:rFonts w:ascii="宋体" w:hAnsi="宋体"/>
          <w:b/>
          <w:color w:val="auto"/>
          <w:kern w:val="0"/>
          <w:sz w:val="20"/>
          <w:szCs w:val="20"/>
          <w:highlight w:val="none"/>
        </w:rPr>
      </w:pPr>
    </w:p>
    <w:p w14:paraId="16B65B32">
      <w:pPr>
        <w:autoSpaceDE w:val="0"/>
        <w:autoSpaceDN w:val="0"/>
        <w:adjustRightInd w:val="0"/>
        <w:snapToGrid w:val="0"/>
        <w:spacing w:line="360" w:lineRule="auto"/>
        <w:jc w:val="left"/>
        <w:rPr>
          <w:rFonts w:ascii="宋体" w:hAnsi="宋体"/>
          <w:b/>
          <w:color w:val="auto"/>
          <w:kern w:val="0"/>
          <w:sz w:val="20"/>
          <w:szCs w:val="20"/>
          <w:highlight w:val="none"/>
        </w:rPr>
      </w:pPr>
    </w:p>
    <w:p w14:paraId="14DC165C">
      <w:pPr>
        <w:autoSpaceDE w:val="0"/>
        <w:autoSpaceDN w:val="0"/>
        <w:adjustRightInd w:val="0"/>
        <w:snapToGrid w:val="0"/>
        <w:spacing w:line="360" w:lineRule="auto"/>
        <w:jc w:val="left"/>
        <w:rPr>
          <w:rFonts w:ascii="宋体" w:hAnsi="宋体"/>
          <w:b/>
          <w:color w:val="auto"/>
          <w:kern w:val="0"/>
          <w:sz w:val="20"/>
          <w:szCs w:val="20"/>
          <w:highlight w:val="none"/>
        </w:rPr>
      </w:pPr>
    </w:p>
    <w:p w14:paraId="25712B78">
      <w:pPr>
        <w:autoSpaceDE w:val="0"/>
        <w:autoSpaceDN w:val="0"/>
        <w:adjustRightInd w:val="0"/>
        <w:snapToGrid w:val="0"/>
        <w:spacing w:line="360" w:lineRule="auto"/>
        <w:jc w:val="left"/>
        <w:rPr>
          <w:rFonts w:ascii="宋体" w:hAnsi="宋体"/>
          <w:b/>
          <w:color w:val="auto"/>
          <w:kern w:val="0"/>
          <w:sz w:val="20"/>
          <w:szCs w:val="20"/>
          <w:highlight w:val="none"/>
        </w:rPr>
      </w:pPr>
    </w:p>
    <w:p w14:paraId="503C3108">
      <w:pPr>
        <w:autoSpaceDE w:val="0"/>
        <w:autoSpaceDN w:val="0"/>
        <w:adjustRightInd w:val="0"/>
        <w:snapToGrid w:val="0"/>
        <w:spacing w:line="360" w:lineRule="auto"/>
        <w:jc w:val="left"/>
        <w:rPr>
          <w:rFonts w:ascii="宋体" w:hAnsi="宋体"/>
          <w:b/>
          <w:color w:val="auto"/>
          <w:kern w:val="0"/>
          <w:sz w:val="20"/>
          <w:szCs w:val="20"/>
          <w:highlight w:val="none"/>
        </w:rPr>
      </w:pPr>
    </w:p>
    <w:p w14:paraId="7AA7FC71">
      <w:pPr>
        <w:autoSpaceDE w:val="0"/>
        <w:autoSpaceDN w:val="0"/>
        <w:adjustRightInd w:val="0"/>
        <w:snapToGrid w:val="0"/>
        <w:spacing w:line="360" w:lineRule="auto"/>
        <w:jc w:val="left"/>
        <w:rPr>
          <w:rFonts w:ascii="宋体" w:hAnsi="宋体"/>
          <w:b/>
          <w:color w:val="auto"/>
          <w:kern w:val="0"/>
          <w:sz w:val="20"/>
          <w:szCs w:val="20"/>
          <w:highlight w:val="none"/>
        </w:rPr>
      </w:pPr>
    </w:p>
    <w:p w14:paraId="2B0FD86E">
      <w:pPr>
        <w:autoSpaceDE w:val="0"/>
        <w:autoSpaceDN w:val="0"/>
        <w:adjustRightInd w:val="0"/>
        <w:snapToGrid w:val="0"/>
        <w:spacing w:line="360" w:lineRule="auto"/>
        <w:jc w:val="left"/>
        <w:rPr>
          <w:rFonts w:ascii="宋体" w:hAnsi="宋体"/>
          <w:b/>
          <w:color w:val="auto"/>
          <w:kern w:val="0"/>
          <w:sz w:val="20"/>
          <w:szCs w:val="20"/>
          <w:highlight w:val="none"/>
        </w:rPr>
      </w:pPr>
    </w:p>
    <w:p w14:paraId="05C3EEB0">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5C5C890F">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1D12773D">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13A5CDFF">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0FD87658">
      <w:pPr>
        <w:autoSpaceDE w:val="0"/>
        <w:autoSpaceDN w:val="0"/>
        <w:adjustRightInd w:val="0"/>
        <w:snapToGrid w:val="0"/>
        <w:spacing w:line="360" w:lineRule="auto"/>
        <w:jc w:val="left"/>
        <w:rPr>
          <w:rFonts w:ascii="宋体" w:hAnsi="宋体"/>
          <w:color w:val="auto"/>
          <w:kern w:val="0"/>
          <w:sz w:val="24"/>
          <w:szCs w:val="21"/>
          <w:highlight w:val="none"/>
        </w:rPr>
      </w:pPr>
    </w:p>
    <w:p w14:paraId="32C7C2E4">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14:paraId="421B7525">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（二）投标函附录</w:t>
      </w:r>
    </w:p>
    <w:p w14:paraId="16F8AE10">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14:paraId="699B1B83">
      <w:pPr>
        <w:autoSpaceDE w:val="0"/>
        <w:autoSpaceDN w:val="0"/>
        <w:adjustRightInd w:val="0"/>
        <w:snapToGrid w:val="0"/>
        <w:spacing w:line="360" w:lineRule="auto"/>
        <w:jc w:val="left"/>
        <w:rPr>
          <w:rFonts w:ascii="宋体" w:hAnsi="宋体"/>
          <w:color w:val="auto"/>
          <w:w w:val="99"/>
          <w:kern w:val="0"/>
          <w:sz w:val="28"/>
          <w:szCs w:val="28"/>
          <w:highlight w:val="none"/>
        </w:rPr>
      </w:pPr>
    </w:p>
    <w:p w14:paraId="18513839">
      <w:pPr>
        <w:pStyle w:val="5"/>
        <w:jc w:val="center"/>
        <w:rPr>
          <w:rFonts w:ascii="宋体" w:hAnsi="宋体"/>
          <w:b w:val="0"/>
          <w:color w:val="auto"/>
          <w:highlight w:val="none"/>
        </w:rPr>
      </w:pPr>
      <w:bookmarkStart w:id="2200" w:name="_Toc534185831"/>
      <w:bookmarkStart w:id="2201" w:name="_Toc509218854"/>
      <w:bookmarkStart w:id="2202" w:name="_Toc287620814"/>
      <w:bookmarkStart w:id="2203" w:name="_Toc277082643"/>
      <w:bookmarkStart w:id="2204" w:name="_Toc430530530"/>
      <w:bookmarkStart w:id="2205" w:name="_Toc224103495"/>
      <w:bookmarkStart w:id="2206" w:name="_Toc287607867"/>
      <w:r>
        <w:rPr>
          <w:rFonts w:ascii="宋体" w:hAnsi="宋体"/>
          <w:color w:val="auto"/>
          <w:highlight w:val="none"/>
        </w:rPr>
        <w:br w:type="page"/>
      </w:r>
      <w:bookmarkStart w:id="2207" w:name="_Toc8505"/>
      <w:bookmarkStart w:id="2208" w:name="_Toc26071"/>
      <w:r>
        <w:rPr>
          <w:rFonts w:hint="eastAsia"/>
          <w:color w:val="auto"/>
          <w:highlight w:val="none"/>
        </w:rPr>
        <w:t>（一）投标函</w:t>
      </w:r>
      <w:bookmarkEnd w:id="2200"/>
      <w:bookmarkEnd w:id="2201"/>
      <w:bookmarkEnd w:id="2202"/>
      <w:bookmarkEnd w:id="2203"/>
      <w:bookmarkEnd w:id="2204"/>
      <w:bookmarkEnd w:id="2205"/>
      <w:bookmarkEnd w:id="2206"/>
      <w:bookmarkEnd w:id="2207"/>
      <w:bookmarkEnd w:id="2208"/>
    </w:p>
    <w:p w14:paraId="45D50F62">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02A927C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元</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按合同约定实施和完成承包工程，修补工程中的任何缺陷，工程质量达到</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 xml:space="preserve"> 。</w:t>
      </w:r>
    </w:p>
    <w:p w14:paraId="5C919C7B">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我方承诺在投标有效期内不修改、撤销投标文件。</w:t>
      </w:r>
    </w:p>
    <w:p w14:paraId="0A21AFE5">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文件的相关规定，投标保证金的受益人为</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p>
    <w:p w14:paraId="4AA5B044">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5228F019">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621639A9">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14:paraId="6E90D08A">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文件规定向你方递交履约担保。</w:t>
      </w:r>
    </w:p>
    <w:p w14:paraId="73752E16">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（4）我方承诺在合同约定的期限内完成并移交全部合同工程。</w:t>
      </w:r>
    </w:p>
    <w:p w14:paraId="7372E289">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在此声明，所递交的投标文件及有关资料内容完整、真实和准确，且不存在第二章“投标人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46C66077">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104FEBDE">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121FD62">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14:paraId="42C6C94E">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1FE2675A">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DDC3BCD">
      <w:pPr>
        <w:tabs>
          <w:tab w:val="left" w:pos="8300"/>
        </w:tabs>
        <w:autoSpaceDE w:val="0"/>
        <w:autoSpaceDN w:val="0"/>
        <w:adjustRightInd w:val="0"/>
        <w:spacing w:line="400" w:lineRule="exact"/>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88E8203">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C4687FA">
      <w:pPr>
        <w:tabs>
          <w:tab w:val="left" w:pos="8300"/>
        </w:tabs>
        <w:autoSpaceDE w:val="0"/>
        <w:autoSpaceDN w:val="0"/>
        <w:adjustRightInd w:val="0"/>
        <w:spacing w:line="400" w:lineRule="exact"/>
        <w:ind w:firstLine="420" w:firstLineChars="200"/>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EA40714">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0E1D647A">
      <w:pPr>
        <w:tabs>
          <w:tab w:val="left" w:pos="8300"/>
        </w:tabs>
        <w:autoSpaceDE w:val="0"/>
        <w:autoSpaceDN w:val="0"/>
        <w:adjustRightInd w:val="0"/>
        <w:spacing w:line="400" w:lineRule="exact"/>
        <w:ind w:firstLine="420" w:firstLineChars="200"/>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69D2BDC">
      <w:pPr>
        <w:tabs>
          <w:tab w:val="left" w:pos="8300"/>
        </w:tabs>
        <w:autoSpaceDE w:val="0"/>
        <w:autoSpaceDN w:val="0"/>
        <w:adjustRightInd w:val="0"/>
        <w:spacing w:line="400" w:lineRule="exact"/>
        <w:ind w:firstLine="420" w:firstLineChars="200"/>
        <w:jc w:val="right"/>
        <w:rPr>
          <w:rFonts w:hint="eastAsia" w:ascii="宋体" w:hAnsi="宋体"/>
          <w:color w:val="auto"/>
          <w:kern w:val="0"/>
          <w:szCs w:val="21"/>
          <w:highlight w:val="none"/>
        </w:rPr>
      </w:pPr>
    </w:p>
    <w:p w14:paraId="0E9FBF2C">
      <w:pPr>
        <w:tabs>
          <w:tab w:val="left" w:pos="8300"/>
        </w:tabs>
        <w:autoSpaceDE w:val="0"/>
        <w:autoSpaceDN w:val="0"/>
        <w:adjustRightInd w:val="0"/>
        <w:spacing w:line="4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注：联合体投标的，应在本投标函第6条中列明联合体全体成员的单位全称；要求加盖单位法人章的地方由联合体牵头人加盖单位法人印章即可。</w:t>
      </w:r>
    </w:p>
    <w:p w14:paraId="16F17589">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61F87D52">
      <w:pPr>
        <w:pStyle w:val="5"/>
        <w:jc w:val="center"/>
        <w:rPr>
          <w:rFonts w:ascii="宋体" w:hAnsi="宋体"/>
          <w:snapToGrid w:val="0"/>
          <w:color w:val="auto"/>
          <w:kern w:val="0"/>
          <w:szCs w:val="21"/>
          <w:highlight w:val="none"/>
        </w:rPr>
      </w:pPr>
      <w:bookmarkStart w:id="2209" w:name="_Toc224103496"/>
      <w:bookmarkStart w:id="2210" w:name="_Toc277082644"/>
      <w:bookmarkStart w:id="2211" w:name="_Toc287607868"/>
      <w:bookmarkStart w:id="2212" w:name="_Toc430530531"/>
      <w:bookmarkStart w:id="2213" w:name="_Toc287620815"/>
      <w:r>
        <w:rPr>
          <w:rFonts w:ascii="宋体" w:hAnsi="宋体"/>
          <w:color w:val="auto"/>
          <w:sz w:val="28"/>
          <w:highlight w:val="none"/>
        </w:rPr>
        <w:br w:type="page"/>
      </w:r>
      <w:bookmarkStart w:id="2214" w:name="_Toc32004"/>
      <w:bookmarkStart w:id="2215" w:name="_Toc534185832"/>
      <w:bookmarkStart w:id="2216" w:name="_Toc509218855"/>
      <w:bookmarkStart w:id="2217" w:name="_Toc30967"/>
      <w:r>
        <w:rPr>
          <w:color w:val="auto"/>
          <w:highlight w:val="none"/>
        </w:rPr>
        <w:t>（二）投标函附录</w:t>
      </w:r>
      <w:bookmarkEnd w:id="2209"/>
      <w:bookmarkEnd w:id="2210"/>
      <w:bookmarkEnd w:id="2211"/>
      <w:bookmarkEnd w:id="2212"/>
      <w:bookmarkEnd w:id="2213"/>
      <w:bookmarkEnd w:id="2214"/>
      <w:bookmarkEnd w:id="2215"/>
      <w:bookmarkEnd w:id="2216"/>
      <w:bookmarkEnd w:id="2217"/>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43D445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14:paraId="2F818C87">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noWrap w:val="0"/>
            <w:vAlign w:val="center"/>
          </w:tcPr>
          <w:p w14:paraId="33C7D0F2">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noWrap w:val="0"/>
            <w:vAlign w:val="center"/>
          </w:tcPr>
          <w:p w14:paraId="1218A12E">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noWrap w:val="0"/>
            <w:vAlign w:val="center"/>
          </w:tcPr>
          <w:p w14:paraId="0A6575BA">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noWrap w:val="0"/>
            <w:vAlign w:val="center"/>
          </w:tcPr>
          <w:p w14:paraId="560C37F9">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534AE2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14:paraId="41B86322">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w:t>
            </w:r>
          </w:p>
        </w:tc>
        <w:tc>
          <w:tcPr>
            <w:tcW w:w="2582" w:type="dxa"/>
            <w:noWrap w:val="0"/>
            <w:vAlign w:val="center"/>
          </w:tcPr>
          <w:p w14:paraId="1A574652">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2388" w:type="dxa"/>
            <w:noWrap w:val="0"/>
            <w:vAlign w:val="center"/>
          </w:tcPr>
          <w:p w14:paraId="49004369">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1.1.2.8</w:t>
            </w:r>
          </w:p>
        </w:tc>
        <w:tc>
          <w:tcPr>
            <w:tcW w:w="2987" w:type="dxa"/>
            <w:noWrap w:val="0"/>
            <w:vAlign w:val="center"/>
          </w:tcPr>
          <w:p w14:paraId="43309A9A">
            <w:pPr>
              <w:tabs>
                <w:tab w:val="left" w:pos="2190"/>
              </w:tabs>
              <w:autoSpaceDE w:val="0"/>
              <w:autoSpaceDN w:val="0"/>
              <w:adjustRightInd w:val="0"/>
              <w:ind w:firstLine="630" w:firstLineChars="300"/>
              <w:jc w:val="left"/>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姓名：</w:t>
            </w:r>
            <w:r>
              <w:rPr>
                <w:rFonts w:hint="eastAsia" w:ascii="宋体" w:hAnsi="宋体"/>
                <w:snapToGrid w:val="0"/>
                <w:color w:val="auto"/>
                <w:kern w:val="0"/>
                <w:szCs w:val="21"/>
                <w:highlight w:val="none"/>
                <w:u w:val="single"/>
              </w:rPr>
              <w:t xml:space="preserve">        </w:t>
            </w:r>
          </w:p>
        </w:tc>
        <w:tc>
          <w:tcPr>
            <w:tcW w:w="792" w:type="dxa"/>
            <w:noWrap w:val="0"/>
            <w:vAlign w:val="center"/>
          </w:tcPr>
          <w:p w14:paraId="6BBAF2B8">
            <w:pPr>
              <w:autoSpaceDE w:val="0"/>
              <w:autoSpaceDN w:val="0"/>
              <w:adjustRightInd w:val="0"/>
              <w:jc w:val="center"/>
              <w:rPr>
                <w:rFonts w:ascii="宋体" w:hAnsi="宋体"/>
                <w:snapToGrid w:val="0"/>
                <w:color w:val="auto"/>
                <w:kern w:val="0"/>
                <w:szCs w:val="21"/>
                <w:highlight w:val="none"/>
              </w:rPr>
            </w:pPr>
          </w:p>
        </w:tc>
      </w:tr>
      <w:tr w14:paraId="13EB54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14:paraId="0C94B485">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2</w:t>
            </w:r>
          </w:p>
        </w:tc>
        <w:tc>
          <w:tcPr>
            <w:tcW w:w="2582" w:type="dxa"/>
            <w:noWrap w:val="0"/>
            <w:vAlign w:val="center"/>
          </w:tcPr>
          <w:p w14:paraId="5571866A">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noWrap w:val="0"/>
            <w:vAlign w:val="center"/>
          </w:tcPr>
          <w:p w14:paraId="7F8DAFD3">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1.1.4.3</w:t>
            </w:r>
          </w:p>
        </w:tc>
        <w:tc>
          <w:tcPr>
            <w:tcW w:w="2987" w:type="dxa"/>
            <w:noWrap w:val="0"/>
            <w:vAlign w:val="center"/>
          </w:tcPr>
          <w:p w14:paraId="19804E4D">
            <w:pPr>
              <w:tabs>
                <w:tab w:val="left" w:pos="1560"/>
              </w:tabs>
              <w:autoSpaceDE w:val="0"/>
              <w:autoSpaceDN w:val="0"/>
              <w:adjustRightInd w:val="0"/>
              <w:ind w:firstLine="630" w:firstLineChars="300"/>
              <w:rPr>
                <w:rFonts w:hint="eastAsia" w:ascii="宋体" w:hAnsi="宋体"/>
                <w:snapToGrid w:val="0"/>
                <w:color w:val="auto"/>
                <w:kern w:val="0"/>
                <w:szCs w:val="21"/>
                <w:highlight w:val="none"/>
              </w:rPr>
            </w:pPr>
            <w:r>
              <w:rPr>
                <w:rFonts w:ascii="宋体" w:hAnsi="宋体"/>
                <w:snapToGrid w:val="0"/>
                <w:color w:val="auto"/>
                <w:kern w:val="0"/>
                <w:szCs w:val="21"/>
                <w:highlight w:val="none"/>
              </w:rPr>
              <w:t>天数：</w:t>
            </w:r>
            <w:r>
              <w:rPr>
                <w:rFonts w:hint="eastAsia" w:ascii="宋体" w:hAnsi="宋体"/>
                <w:snapToGrid w:val="0"/>
                <w:color w:val="auto"/>
                <w:kern w:val="0"/>
                <w:szCs w:val="21"/>
                <w:highlight w:val="none"/>
                <w:u w:val="single"/>
              </w:rPr>
              <w:t xml:space="preserve">        </w:t>
            </w:r>
          </w:p>
        </w:tc>
        <w:tc>
          <w:tcPr>
            <w:tcW w:w="792" w:type="dxa"/>
            <w:noWrap w:val="0"/>
            <w:vAlign w:val="center"/>
          </w:tcPr>
          <w:p w14:paraId="13F79AA3">
            <w:pPr>
              <w:autoSpaceDE w:val="0"/>
              <w:autoSpaceDN w:val="0"/>
              <w:adjustRightInd w:val="0"/>
              <w:jc w:val="center"/>
              <w:rPr>
                <w:rFonts w:ascii="宋体" w:hAnsi="宋体"/>
                <w:snapToGrid w:val="0"/>
                <w:color w:val="auto"/>
                <w:kern w:val="0"/>
                <w:szCs w:val="21"/>
                <w:highlight w:val="none"/>
              </w:rPr>
            </w:pPr>
          </w:p>
        </w:tc>
      </w:tr>
      <w:tr w14:paraId="4B791E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14:paraId="1887AE3D">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w:t>
            </w:r>
          </w:p>
        </w:tc>
        <w:tc>
          <w:tcPr>
            <w:tcW w:w="2582" w:type="dxa"/>
            <w:noWrap w:val="0"/>
            <w:vAlign w:val="center"/>
          </w:tcPr>
          <w:p w14:paraId="5011F5F8">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缺陷责任期</w:t>
            </w:r>
          </w:p>
        </w:tc>
        <w:tc>
          <w:tcPr>
            <w:tcW w:w="2388" w:type="dxa"/>
            <w:noWrap w:val="0"/>
            <w:vAlign w:val="center"/>
          </w:tcPr>
          <w:p w14:paraId="63309E4A">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1.1.4.4</w:t>
            </w:r>
          </w:p>
        </w:tc>
        <w:tc>
          <w:tcPr>
            <w:tcW w:w="2987" w:type="dxa"/>
            <w:noWrap w:val="0"/>
            <w:vAlign w:val="center"/>
          </w:tcPr>
          <w:p w14:paraId="3BE684BA">
            <w:pPr>
              <w:autoSpaceDE w:val="0"/>
              <w:autoSpaceDN w:val="0"/>
              <w:adjustRightInd w:val="0"/>
              <w:jc w:val="center"/>
              <w:rPr>
                <w:rFonts w:ascii="宋体" w:hAnsi="宋体"/>
                <w:snapToGrid w:val="0"/>
                <w:color w:val="auto"/>
                <w:kern w:val="0"/>
                <w:szCs w:val="21"/>
                <w:highlight w:val="none"/>
              </w:rPr>
            </w:pPr>
          </w:p>
        </w:tc>
        <w:tc>
          <w:tcPr>
            <w:tcW w:w="792" w:type="dxa"/>
            <w:noWrap w:val="0"/>
            <w:vAlign w:val="center"/>
          </w:tcPr>
          <w:p w14:paraId="6D3F6B6E">
            <w:pPr>
              <w:autoSpaceDE w:val="0"/>
              <w:autoSpaceDN w:val="0"/>
              <w:adjustRightInd w:val="0"/>
              <w:jc w:val="center"/>
              <w:rPr>
                <w:rFonts w:ascii="宋体" w:hAnsi="宋体"/>
                <w:snapToGrid w:val="0"/>
                <w:color w:val="auto"/>
                <w:kern w:val="0"/>
                <w:szCs w:val="21"/>
                <w:highlight w:val="none"/>
              </w:rPr>
            </w:pPr>
          </w:p>
        </w:tc>
      </w:tr>
      <w:tr w14:paraId="536F09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14:paraId="2943828B">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4</w:t>
            </w:r>
          </w:p>
        </w:tc>
        <w:tc>
          <w:tcPr>
            <w:tcW w:w="2582" w:type="dxa"/>
            <w:noWrap w:val="0"/>
            <w:vAlign w:val="center"/>
          </w:tcPr>
          <w:p w14:paraId="0C98856F">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noWrap w:val="0"/>
            <w:vAlign w:val="center"/>
          </w:tcPr>
          <w:p w14:paraId="0FCC4B31">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3.5</w:t>
            </w:r>
          </w:p>
        </w:tc>
        <w:tc>
          <w:tcPr>
            <w:tcW w:w="2987" w:type="dxa"/>
            <w:noWrap w:val="0"/>
            <w:vAlign w:val="center"/>
          </w:tcPr>
          <w:p w14:paraId="4AECA0D2">
            <w:pPr>
              <w:autoSpaceDE w:val="0"/>
              <w:autoSpaceDN w:val="0"/>
              <w:adjustRightInd w:val="0"/>
              <w:jc w:val="center"/>
              <w:rPr>
                <w:rFonts w:ascii="宋体" w:hAnsi="宋体"/>
                <w:snapToGrid w:val="0"/>
                <w:color w:val="auto"/>
                <w:kern w:val="0"/>
                <w:szCs w:val="21"/>
                <w:highlight w:val="none"/>
              </w:rPr>
            </w:pPr>
          </w:p>
        </w:tc>
        <w:tc>
          <w:tcPr>
            <w:tcW w:w="792" w:type="dxa"/>
            <w:noWrap w:val="0"/>
            <w:vAlign w:val="center"/>
          </w:tcPr>
          <w:p w14:paraId="0034A5A0">
            <w:pPr>
              <w:autoSpaceDE w:val="0"/>
              <w:autoSpaceDN w:val="0"/>
              <w:adjustRightInd w:val="0"/>
              <w:jc w:val="center"/>
              <w:rPr>
                <w:rFonts w:ascii="宋体" w:hAnsi="宋体"/>
                <w:snapToGrid w:val="0"/>
                <w:color w:val="auto"/>
                <w:kern w:val="0"/>
                <w:szCs w:val="21"/>
                <w:highlight w:val="none"/>
              </w:rPr>
            </w:pPr>
          </w:p>
        </w:tc>
      </w:tr>
      <w:tr w14:paraId="39929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14:paraId="5D52C847">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noWrap w:val="0"/>
            <w:vAlign w:val="center"/>
          </w:tcPr>
          <w:p w14:paraId="248FDE6C">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noWrap w:val="0"/>
            <w:vAlign w:val="center"/>
          </w:tcPr>
          <w:p w14:paraId="15212A1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noWrap w:val="0"/>
            <w:vAlign w:val="center"/>
          </w:tcPr>
          <w:p w14:paraId="37107E53">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noWrap w:val="0"/>
            <w:vAlign w:val="center"/>
          </w:tcPr>
          <w:p w14:paraId="0F577F51">
            <w:pPr>
              <w:autoSpaceDE w:val="0"/>
              <w:autoSpaceDN w:val="0"/>
              <w:adjustRightInd w:val="0"/>
              <w:jc w:val="center"/>
              <w:rPr>
                <w:rFonts w:ascii="宋体" w:hAnsi="宋体"/>
                <w:snapToGrid w:val="0"/>
                <w:color w:val="auto"/>
                <w:kern w:val="0"/>
                <w:szCs w:val="21"/>
                <w:highlight w:val="none"/>
              </w:rPr>
            </w:pPr>
          </w:p>
        </w:tc>
      </w:tr>
      <w:tr w14:paraId="394275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14:paraId="661E1D90">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noWrap w:val="0"/>
            <w:vAlign w:val="center"/>
          </w:tcPr>
          <w:p w14:paraId="64929E74">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noWrap w:val="0"/>
            <w:vAlign w:val="center"/>
          </w:tcPr>
          <w:p w14:paraId="7477361F">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noWrap w:val="0"/>
            <w:vAlign w:val="center"/>
          </w:tcPr>
          <w:p w14:paraId="2965659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noWrap w:val="0"/>
            <w:vAlign w:val="center"/>
          </w:tcPr>
          <w:p w14:paraId="0F76B38A">
            <w:pPr>
              <w:autoSpaceDE w:val="0"/>
              <w:autoSpaceDN w:val="0"/>
              <w:adjustRightInd w:val="0"/>
              <w:jc w:val="center"/>
              <w:rPr>
                <w:rFonts w:ascii="宋体" w:hAnsi="宋体"/>
                <w:snapToGrid w:val="0"/>
                <w:color w:val="auto"/>
                <w:kern w:val="0"/>
                <w:szCs w:val="21"/>
                <w:highlight w:val="none"/>
              </w:rPr>
            </w:pPr>
          </w:p>
        </w:tc>
      </w:tr>
    </w:tbl>
    <w:p w14:paraId="57BD755A">
      <w:pPr>
        <w:spacing w:line="360" w:lineRule="auto"/>
        <w:rPr>
          <w:rFonts w:ascii="宋体" w:hAnsi="宋体"/>
          <w:snapToGrid w:val="0"/>
          <w:color w:val="auto"/>
          <w:w w:val="99"/>
          <w:highlight w:val="none"/>
        </w:rPr>
      </w:pPr>
    </w:p>
    <w:p w14:paraId="082DBBA5">
      <w:pPr>
        <w:spacing w:line="360" w:lineRule="auto"/>
        <w:rPr>
          <w:rFonts w:ascii="宋体" w:hAnsi="宋体"/>
          <w:snapToGrid w:val="0"/>
          <w:color w:val="auto"/>
          <w:highlight w:val="none"/>
        </w:rPr>
      </w:pPr>
    </w:p>
    <w:p w14:paraId="3ED67A02">
      <w:pPr>
        <w:tabs>
          <w:tab w:val="left" w:pos="7140"/>
          <w:tab w:val="left" w:pos="7560"/>
          <w:tab w:val="left" w:pos="8300"/>
        </w:tabs>
        <w:autoSpaceDE w:val="0"/>
        <w:autoSpaceDN w:val="0"/>
        <w:adjustRightInd w:val="0"/>
        <w:spacing w:line="360" w:lineRule="auto"/>
        <w:ind w:right="210" w:firstLine="2396" w:firstLineChars="1141"/>
        <w:rPr>
          <w:rFonts w:hint="eastAsia"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50E4E7D2">
      <w:pPr>
        <w:tabs>
          <w:tab w:val="left" w:pos="7140"/>
          <w:tab w:val="left" w:pos="7560"/>
          <w:tab w:val="left" w:pos="8300"/>
        </w:tabs>
        <w:autoSpaceDE w:val="0"/>
        <w:autoSpaceDN w:val="0"/>
        <w:adjustRightInd w:val="0"/>
        <w:spacing w:line="360" w:lineRule="auto"/>
        <w:ind w:right="210" w:firstLine="1984" w:firstLineChars="945"/>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67986BE8">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（签字或盖章） </w:t>
      </w:r>
    </w:p>
    <w:p w14:paraId="53E1F0CD">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56B42654">
      <w:pPr>
        <w:pStyle w:val="5"/>
        <w:jc w:val="center"/>
        <w:rPr>
          <w:rFonts w:ascii="宋体" w:hAnsi="宋体"/>
          <w:b w:val="0"/>
          <w:snapToGrid w:val="0"/>
          <w:color w:val="auto"/>
          <w:kern w:val="0"/>
          <w:sz w:val="30"/>
          <w:szCs w:val="30"/>
          <w:highlight w:val="none"/>
        </w:rPr>
      </w:pPr>
      <w:r>
        <w:rPr>
          <w:rFonts w:ascii="宋体" w:hAnsi="宋体"/>
          <w:snapToGrid w:val="0"/>
          <w:color w:val="auto"/>
          <w:highlight w:val="none"/>
        </w:rPr>
        <w:br w:type="page"/>
      </w:r>
      <w:bookmarkStart w:id="2218" w:name="_Toc277082645"/>
      <w:bookmarkStart w:id="2219" w:name="_Toc31150"/>
      <w:bookmarkStart w:id="2220" w:name="_Toc430530532"/>
      <w:bookmarkStart w:id="2221" w:name="_Toc8650"/>
      <w:bookmarkStart w:id="2222" w:name="_Toc287620816"/>
      <w:bookmarkStart w:id="2223" w:name="_Toc224103497"/>
      <w:bookmarkStart w:id="2224" w:name="_Toc287607869"/>
      <w:r>
        <w:rPr>
          <w:color w:val="auto"/>
          <w:sz w:val="30"/>
          <w:szCs w:val="30"/>
          <w:highlight w:val="none"/>
        </w:rPr>
        <w:t>（三）</w:t>
      </w:r>
      <w:r>
        <w:rPr>
          <w:rFonts w:hint="eastAsia"/>
          <w:color w:val="auto"/>
          <w:sz w:val="30"/>
          <w:szCs w:val="30"/>
          <w:highlight w:val="none"/>
        </w:rPr>
        <w:t>法定代表人身份证明或附有法定代表人身份证明的授权委托书</w:t>
      </w:r>
      <w:bookmarkEnd w:id="2218"/>
      <w:bookmarkEnd w:id="2219"/>
      <w:bookmarkEnd w:id="2220"/>
      <w:bookmarkEnd w:id="2221"/>
      <w:bookmarkEnd w:id="2222"/>
      <w:bookmarkEnd w:id="2223"/>
      <w:bookmarkEnd w:id="2224"/>
    </w:p>
    <w:p w14:paraId="26A78C62">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42CE8C18">
      <w:pPr>
        <w:spacing w:line="480" w:lineRule="auto"/>
        <w:jc w:val="center"/>
        <w:rPr>
          <w:rFonts w:ascii="宋体" w:hAnsi="宋体"/>
          <w:color w:val="auto"/>
          <w:highlight w:val="none"/>
        </w:rPr>
      </w:pPr>
    </w:p>
    <w:p w14:paraId="20F0769C">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6CF102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23C5AF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500F5FA">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1EA6D9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17492A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B4DCF5E">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14:paraId="16951097">
      <w:pPr>
        <w:tabs>
          <w:tab w:val="left" w:pos="3360"/>
        </w:tabs>
        <w:autoSpaceDE w:val="0"/>
        <w:autoSpaceDN w:val="0"/>
        <w:adjustRightInd w:val="0"/>
        <w:snapToGrid w:val="0"/>
        <w:spacing w:line="480" w:lineRule="auto"/>
        <w:ind w:firstLine="390" w:firstLineChars="186"/>
        <w:jc w:val="left"/>
        <w:rPr>
          <w:rFonts w:hint="eastAsia" w:ascii="宋体" w:hAnsi="宋体"/>
          <w:color w:val="auto"/>
          <w:kern w:val="0"/>
          <w:szCs w:val="21"/>
          <w:highlight w:val="none"/>
        </w:rPr>
      </w:pPr>
      <w:r>
        <w:rPr>
          <w:rFonts w:ascii="宋体" w:hAnsi="宋体"/>
          <w:color w:val="auto"/>
          <w:kern w:val="0"/>
          <w:szCs w:val="21"/>
          <w:highlight w:val="none"/>
        </w:rPr>
        <w:t>特此证明。</w:t>
      </w:r>
    </w:p>
    <w:p w14:paraId="560B5726">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附：法定代表人身份证明复印件（双面）</w:t>
      </w:r>
    </w:p>
    <w:p w14:paraId="496E5BAE">
      <w:pPr>
        <w:pStyle w:val="2"/>
        <w:spacing w:after="0" w:line="360" w:lineRule="auto"/>
        <w:rPr>
          <w:rFonts w:hint="eastAsia" w:ascii="宋体" w:hAnsi="宋体"/>
          <w:color w:val="auto"/>
          <w:szCs w:val="21"/>
          <w:highlight w:val="none"/>
        </w:rPr>
      </w:pPr>
    </w:p>
    <w:p w14:paraId="6A6EC417">
      <w:pPr>
        <w:pStyle w:val="2"/>
        <w:spacing w:after="0" w:line="360" w:lineRule="auto"/>
        <w:rPr>
          <w:rFonts w:hint="eastAsia" w:ascii="宋体" w:hAnsi="宋体"/>
          <w:color w:val="auto"/>
          <w:szCs w:val="21"/>
          <w:highlight w:val="none"/>
        </w:rPr>
      </w:pPr>
    </w:p>
    <w:p w14:paraId="4DF04479">
      <w:pPr>
        <w:pStyle w:val="2"/>
        <w:spacing w:after="0" w:line="360" w:lineRule="auto"/>
        <w:rPr>
          <w:rFonts w:hint="eastAsia" w:ascii="宋体" w:hAnsi="宋体"/>
          <w:color w:val="auto"/>
          <w:szCs w:val="21"/>
          <w:highlight w:val="none"/>
        </w:rPr>
      </w:pPr>
    </w:p>
    <w:p w14:paraId="1EE2B17C">
      <w:pPr>
        <w:pStyle w:val="2"/>
        <w:spacing w:after="0" w:line="360" w:lineRule="auto"/>
        <w:rPr>
          <w:rFonts w:hint="eastAsia" w:ascii="宋体" w:hAnsi="宋体"/>
          <w:color w:val="auto"/>
          <w:szCs w:val="21"/>
          <w:highlight w:val="none"/>
        </w:rPr>
      </w:pPr>
    </w:p>
    <w:p w14:paraId="5D3AE242">
      <w:pPr>
        <w:pStyle w:val="2"/>
        <w:spacing w:after="0" w:line="360" w:lineRule="auto"/>
        <w:rPr>
          <w:rFonts w:ascii="宋体" w:hAnsi="宋体"/>
          <w:color w:val="auto"/>
          <w:szCs w:val="21"/>
          <w:highlight w:val="none"/>
        </w:rPr>
      </w:pPr>
    </w:p>
    <w:p w14:paraId="3B86DD93">
      <w:pPr>
        <w:pStyle w:val="2"/>
        <w:spacing w:after="0" w:line="360" w:lineRule="auto"/>
        <w:rPr>
          <w:rFonts w:ascii="宋体" w:hAnsi="宋体"/>
          <w:color w:val="auto"/>
          <w:szCs w:val="21"/>
          <w:highlight w:val="none"/>
        </w:rPr>
      </w:pPr>
    </w:p>
    <w:p w14:paraId="06B10A5C">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0888A7EF">
      <w:pPr>
        <w:autoSpaceDE w:val="0"/>
        <w:autoSpaceDN w:val="0"/>
        <w:adjustRightInd w:val="0"/>
        <w:snapToGrid w:val="0"/>
        <w:spacing w:line="480" w:lineRule="auto"/>
        <w:jc w:val="left"/>
        <w:rPr>
          <w:rFonts w:ascii="宋体" w:hAnsi="宋体"/>
          <w:color w:val="auto"/>
          <w:kern w:val="0"/>
          <w:sz w:val="20"/>
          <w:szCs w:val="20"/>
          <w:highlight w:val="none"/>
        </w:rPr>
      </w:pPr>
    </w:p>
    <w:p w14:paraId="55E9CBB4">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3DFF41C9">
      <w:pPr>
        <w:autoSpaceDE w:val="0"/>
        <w:autoSpaceDN w:val="0"/>
        <w:adjustRightInd w:val="0"/>
        <w:snapToGrid w:val="0"/>
        <w:spacing w:line="360" w:lineRule="auto"/>
        <w:jc w:val="left"/>
        <w:rPr>
          <w:rFonts w:ascii="宋体" w:hAnsi="宋体"/>
          <w:color w:val="auto"/>
          <w:kern w:val="0"/>
          <w:highlight w:val="none"/>
        </w:rPr>
      </w:pPr>
    </w:p>
    <w:p w14:paraId="4D090214">
      <w:pPr>
        <w:autoSpaceDE w:val="0"/>
        <w:autoSpaceDN w:val="0"/>
        <w:adjustRightInd w:val="0"/>
        <w:snapToGrid w:val="0"/>
        <w:spacing w:line="360" w:lineRule="auto"/>
        <w:jc w:val="left"/>
        <w:rPr>
          <w:rFonts w:ascii="宋体" w:hAnsi="宋体"/>
          <w:color w:val="auto"/>
          <w:kern w:val="0"/>
          <w:highlight w:val="none"/>
        </w:rPr>
      </w:pPr>
    </w:p>
    <w:p w14:paraId="08D15BCB">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5C1D4B18">
      <w:pPr>
        <w:autoSpaceDE w:val="0"/>
        <w:autoSpaceDN w:val="0"/>
        <w:adjustRightInd w:val="0"/>
        <w:snapToGrid w:val="0"/>
        <w:spacing w:line="360" w:lineRule="auto"/>
        <w:jc w:val="left"/>
        <w:rPr>
          <w:rFonts w:ascii="宋体" w:hAnsi="宋体"/>
          <w:color w:val="auto"/>
          <w:kern w:val="0"/>
          <w:highlight w:val="none"/>
        </w:rPr>
      </w:pPr>
    </w:p>
    <w:p w14:paraId="68019AD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072261D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14:paraId="7E7ECCAD">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5DE567F2">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auto"/>
          <w:kern w:val="0"/>
          <w:szCs w:val="21"/>
          <w:highlight w:val="none"/>
        </w:rPr>
      </w:pPr>
      <w:r>
        <w:rPr>
          <w:rFonts w:ascii="宋体" w:hAnsi="宋体"/>
          <w:color w:val="auto"/>
          <w:kern w:val="0"/>
          <w:szCs w:val="21"/>
          <w:highlight w:val="none"/>
        </w:rPr>
        <w:t>代理人无转委托权。</w:t>
      </w:r>
    </w:p>
    <w:p w14:paraId="19AEDEA3">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auto"/>
          <w:kern w:val="0"/>
          <w:szCs w:val="21"/>
          <w:highlight w:val="none"/>
        </w:rPr>
      </w:pPr>
    </w:p>
    <w:p w14:paraId="32D7EDF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7805FEC">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4B917712">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6081B9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685341FB">
      <w:pPr>
        <w:tabs>
          <w:tab w:val="left" w:pos="6825"/>
        </w:tabs>
        <w:autoSpaceDE w:val="0"/>
        <w:autoSpaceDN w:val="0"/>
        <w:adjustRightInd w:val="0"/>
        <w:snapToGrid w:val="0"/>
        <w:spacing w:line="480" w:lineRule="auto"/>
        <w:ind w:firstLine="420" w:firstLineChars="200"/>
        <w:jc w:val="left"/>
        <w:rPr>
          <w:rFonts w:hint="eastAsia"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F771481">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596099E3">
      <w:pPr>
        <w:autoSpaceDE w:val="0"/>
        <w:autoSpaceDN w:val="0"/>
        <w:adjustRightInd w:val="0"/>
        <w:snapToGrid w:val="0"/>
        <w:spacing w:line="48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6EF3B03B">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附：法定代表人和委托代理人身份证明复印件（双面）</w:t>
      </w:r>
    </w:p>
    <w:p w14:paraId="4CDC4A17">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5DB19034">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8C5D97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2DF7EA15">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4A25581">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3C083991">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6E1D489">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5BFEB0CC">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5ADDB62E">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kern w:val="0"/>
          <w:szCs w:val="21"/>
          <w:highlight w:val="none"/>
        </w:rPr>
      </w:pPr>
    </w:p>
    <w:p w14:paraId="3E5C6347">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30203121">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2、法定代表人身份证明及授权委托书原件装入投标文件一并递交。另外须准备一份授权委托书原件在开标现场出具。</w:t>
      </w:r>
    </w:p>
    <w:p w14:paraId="5AB89C32">
      <w:pPr>
        <w:spacing w:line="360" w:lineRule="auto"/>
        <w:ind w:firstLine="420" w:firstLineChars="200"/>
        <w:jc w:val="left"/>
        <w:rPr>
          <w:rFonts w:hint="eastAsia" w:ascii="宋体" w:hAnsi="宋体" w:cs="MingLiUfalt"/>
          <w:kern w:val="0"/>
          <w:sz w:val="28"/>
          <w:szCs w:val="28"/>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bookmarkStart w:id="2225" w:name="_Toc287620819"/>
      <w:bookmarkStart w:id="2226" w:name="_Toc224103500"/>
      <w:bookmarkStart w:id="2227" w:name="_Toc287607872"/>
      <w:bookmarkStart w:id="2228" w:name="_Toc430530534"/>
      <w:bookmarkStart w:id="2229" w:name="_Toc23891"/>
    </w:p>
    <w:p w14:paraId="508644FC">
      <w:pPr>
        <w:pStyle w:val="4"/>
        <w:spacing w:line="360" w:lineRule="auto"/>
        <w:jc w:val="center"/>
        <w:rPr>
          <w:rFonts w:ascii="宋体" w:hAnsi="宋体"/>
          <w:b w:val="0"/>
          <w:bCs w:val="0"/>
          <w:color w:val="auto"/>
          <w:sz w:val="44"/>
          <w:szCs w:val="44"/>
          <w:highlight w:val="none"/>
        </w:rPr>
      </w:pPr>
      <w:bookmarkStart w:id="2230" w:name="_Toc28345"/>
      <w:r>
        <w:rPr>
          <w:rFonts w:hint="eastAsia" w:ascii="宋体" w:hAnsi="宋体"/>
          <w:b w:val="0"/>
          <w:bCs w:val="0"/>
          <w:color w:val="auto"/>
          <w:sz w:val="44"/>
          <w:szCs w:val="44"/>
          <w:highlight w:val="none"/>
          <w:lang w:eastAsia="zh-CN"/>
        </w:rPr>
        <w:t>二</w:t>
      </w:r>
      <w:r>
        <w:rPr>
          <w:rFonts w:hint="eastAsia" w:ascii="宋体" w:hAnsi="宋体"/>
          <w:b w:val="0"/>
          <w:bCs w:val="0"/>
          <w:color w:val="auto"/>
          <w:sz w:val="44"/>
          <w:szCs w:val="44"/>
          <w:highlight w:val="none"/>
        </w:rPr>
        <w:t>、经济部分</w:t>
      </w:r>
      <w:bookmarkEnd w:id="2225"/>
      <w:bookmarkEnd w:id="2226"/>
      <w:bookmarkEnd w:id="2227"/>
      <w:bookmarkEnd w:id="2228"/>
      <w:bookmarkEnd w:id="2229"/>
      <w:bookmarkEnd w:id="2230"/>
    </w:p>
    <w:p w14:paraId="5C37FA0A">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C848188">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18A7496B">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3C85D4C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45FC0D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57C122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365D2F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367265B">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08F2195A">
      <w:pPr>
        <w:autoSpaceDE w:val="0"/>
        <w:autoSpaceDN w:val="0"/>
        <w:adjustRightInd w:val="0"/>
        <w:snapToGrid w:val="0"/>
        <w:spacing w:line="360" w:lineRule="auto"/>
        <w:jc w:val="left"/>
        <w:rPr>
          <w:rFonts w:ascii="宋体" w:hAnsi="宋体"/>
          <w:color w:val="auto"/>
          <w:kern w:val="0"/>
          <w:sz w:val="16"/>
          <w:szCs w:val="16"/>
          <w:highlight w:val="none"/>
        </w:rPr>
      </w:pPr>
    </w:p>
    <w:p w14:paraId="77DEB9D8">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经济部分</w:t>
      </w:r>
    </w:p>
    <w:p w14:paraId="06499C0E">
      <w:pPr>
        <w:autoSpaceDE w:val="0"/>
        <w:autoSpaceDN w:val="0"/>
        <w:adjustRightInd w:val="0"/>
        <w:snapToGrid w:val="0"/>
        <w:spacing w:line="360" w:lineRule="auto"/>
        <w:jc w:val="left"/>
        <w:rPr>
          <w:rFonts w:ascii="宋体" w:hAnsi="宋体"/>
          <w:b/>
          <w:color w:val="auto"/>
          <w:kern w:val="0"/>
          <w:sz w:val="20"/>
          <w:szCs w:val="20"/>
          <w:highlight w:val="none"/>
        </w:rPr>
      </w:pPr>
    </w:p>
    <w:p w14:paraId="26A113E0">
      <w:pPr>
        <w:autoSpaceDE w:val="0"/>
        <w:autoSpaceDN w:val="0"/>
        <w:adjustRightInd w:val="0"/>
        <w:snapToGrid w:val="0"/>
        <w:spacing w:line="360" w:lineRule="auto"/>
        <w:jc w:val="left"/>
        <w:rPr>
          <w:rFonts w:ascii="宋体" w:hAnsi="宋体"/>
          <w:b/>
          <w:color w:val="auto"/>
          <w:kern w:val="0"/>
          <w:sz w:val="20"/>
          <w:szCs w:val="20"/>
          <w:highlight w:val="none"/>
        </w:rPr>
      </w:pPr>
    </w:p>
    <w:p w14:paraId="47B5A31C">
      <w:pPr>
        <w:autoSpaceDE w:val="0"/>
        <w:autoSpaceDN w:val="0"/>
        <w:adjustRightInd w:val="0"/>
        <w:snapToGrid w:val="0"/>
        <w:spacing w:line="360" w:lineRule="auto"/>
        <w:jc w:val="left"/>
        <w:rPr>
          <w:rFonts w:ascii="宋体" w:hAnsi="宋体"/>
          <w:b/>
          <w:color w:val="auto"/>
          <w:kern w:val="0"/>
          <w:sz w:val="20"/>
          <w:szCs w:val="20"/>
          <w:highlight w:val="none"/>
        </w:rPr>
      </w:pPr>
    </w:p>
    <w:p w14:paraId="5F9E191C">
      <w:pPr>
        <w:autoSpaceDE w:val="0"/>
        <w:autoSpaceDN w:val="0"/>
        <w:adjustRightInd w:val="0"/>
        <w:snapToGrid w:val="0"/>
        <w:spacing w:line="360" w:lineRule="auto"/>
        <w:jc w:val="left"/>
        <w:rPr>
          <w:rFonts w:ascii="宋体" w:hAnsi="宋体"/>
          <w:b/>
          <w:color w:val="auto"/>
          <w:kern w:val="0"/>
          <w:sz w:val="20"/>
          <w:szCs w:val="20"/>
          <w:highlight w:val="none"/>
        </w:rPr>
      </w:pPr>
    </w:p>
    <w:p w14:paraId="6A808F3B">
      <w:pPr>
        <w:autoSpaceDE w:val="0"/>
        <w:autoSpaceDN w:val="0"/>
        <w:adjustRightInd w:val="0"/>
        <w:snapToGrid w:val="0"/>
        <w:spacing w:line="360" w:lineRule="auto"/>
        <w:jc w:val="left"/>
        <w:rPr>
          <w:rFonts w:ascii="宋体" w:hAnsi="宋体"/>
          <w:b/>
          <w:color w:val="auto"/>
          <w:kern w:val="0"/>
          <w:sz w:val="20"/>
          <w:szCs w:val="20"/>
          <w:highlight w:val="none"/>
        </w:rPr>
      </w:pPr>
    </w:p>
    <w:p w14:paraId="04FBFE5E">
      <w:pPr>
        <w:autoSpaceDE w:val="0"/>
        <w:autoSpaceDN w:val="0"/>
        <w:adjustRightInd w:val="0"/>
        <w:snapToGrid w:val="0"/>
        <w:spacing w:line="360" w:lineRule="auto"/>
        <w:jc w:val="left"/>
        <w:rPr>
          <w:rFonts w:ascii="宋体" w:hAnsi="宋体"/>
          <w:b/>
          <w:color w:val="auto"/>
          <w:kern w:val="0"/>
          <w:sz w:val="20"/>
          <w:szCs w:val="20"/>
          <w:highlight w:val="none"/>
        </w:rPr>
      </w:pPr>
    </w:p>
    <w:p w14:paraId="59148049">
      <w:pPr>
        <w:autoSpaceDE w:val="0"/>
        <w:autoSpaceDN w:val="0"/>
        <w:adjustRightInd w:val="0"/>
        <w:snapToGrid w:val="0"/>
        <w:spacing w:line="360" w:lineRule="auto"/>
        <w:jc w:val="left"/>
        <w:rPr>
          <w:rFonts w:ascii="宋体" w:hAnsi="宋体"/>
          <w:b/>
          <w:color w:val="auto"/>
          <w:kern w:val="0"/>
          <w:sz w:val="20"/>
          <w:szCs w:val="20"/>
          <w:highlight w:val="none"/>
        </w:rPr>
      </w:pPr>
    </w:p>
    <w:p w14:paraId="4119732F">
      <w:pPr>
        <w:autoSpaceDE w:val="0"/>
        <w:autoSpaceDN w:val="0"/>
        <w:adjustRightInd w:val="0"/>
        <w:snapToGrid w:val="0"/>
        <w:spacing w:line="360" w:lineRule="auto"/>
        <w:jc w:val="left"/>
        <w:rPr>
          <w:rFonts w:ascii="宋体" w:hAnsi="宋体"/>
          <w:b/>
          <w:color w:val="auto"/>
          <w:kern w:val="0"/>
          <w:sz w:val="20"/>
          <w:szCs w:val="20"/>
          <w:highlight w:val="none"/>
        </w:rPr>
      </w:pPr>
    </w:p>
    <w:p w14:paraId="26895380">
      <w:pPr>
        <w:autoSpaceDE w:val="0"/>
        <w:autoSpaceDN w:val="0"/>
        <w:adjustRightInd w:val="0"/>
        <w:snapToGrid w:val="0"/>
        <w:spacing w:line="360" w:lineRule="auto"/>
        <w:jc w:val="left"/>
        <w:rPr>
          <w:rFonts w:ascii="宋体" w:hAnsi="宋体"/>
          <w:b/>
          <w:color w:val="auto"/>
          <w:kern w:val="0"/>
          <w:sz w:val="20"/>
          <w:szCs w:val="20"/>
          <w:highlight w:val="none"/>
        </w:rPr>
      </w:pPr>
    </w:p>
    <w:p w14:paraId="32EAA947">
      <w:pPr>
        <w:autoSpaceDE w:val="0"/>
        <w:autoSpaceDN w:val="0"/>
        <w:adjustRightInd w:val="0"/>
        <w:snapToGrid w:val="0"/>
        <w:spacing w:line="360" w:lineRule="auto"/>
        <w:jc w:val="left"/>
        <w:rPr>
          <w:rFonts w:ascii="宋体" w:hAnsi="宋体"/>
          <w:b/>
          <w:color w:val="auto"/>
          <w:kern w:val="0"/>
          <w:sz w:val="20"/>
          <w:szCs w:val="20"/>
          <w:highlight w:val="none"/>
        </w:rPr>
      </w:pPr>
    </w:p>
    <w:p w14:paraId="57D26C21">
      <w:pPr>
        <w:autoSpaceDE w:val="0"/>
        <w:autoSpaceDN w:val="0"/>
        <w:adjustRightInd w:val="0"/>
        <w:snapToGrid w:val="0"/>
        <w:spacing w:line="360" w:lineRule="auto"/>
        <w:jc w:val="left"/>
        <w:rPr>
          <w:rFonts w:ascii="宋体" w:hAnsi="宋体"/>
          <w:b/>
          <w:color w:val="auto"/>
          <w:kern w:val="0"/>
          <w:sz w:val="20"/>
          <w:szCs w:val="20"/>
          <w:highlight w:val="none"/>
        </w:rPr>
      </w:pPr>
    </w:p>
    <w:p w14:paraId="7BEF953A">
      <w:pPr>
        <w:autoSpaceDE w:val="0"/>
        <w:autoSpaceDN w:val="0"/>
        <w:adjustRightInd w:val="0"/>
        <w:snapToGrid w:val="0"/>
        <w:spacing w:line="360" w:lineRule="auto"/>
        <w:jc w:val="left"/>
        <w:rPr>
          <w:rFonts w:ascii="宋体" w:hAnsi="宋体"/>
          <w:b/>
          <w:color w:val="auto"/>
          <w:kern w:val="0"/>
          <w:sz w:val="20"/>
          <w:szCs w:val="20"/>
          <w:highlight w:val="none"/>
        </w:rPr>
      </w:pPr>
    </w:p>
    <w:p w14:paraId="4731340B">
      <w:pPr>
        <w:autoSpaceDE w:val="0"/>
        <w:autoSpaceDN w:val="0"/>
        <w:adjustRightInd w:val="0"/>
        <w:snapToGrid w:val="0"/>
        <w:spacing w:line="360" w:lineRule="auto"/>
        <w:jc w:val="left"/>
        <w:rPr>
          <w:rFonts w:ascii="宋体" w:hAnsi="宋体"/>
          <w:b/>
          <w:color w:val="auto"/>
          <w:kern w:val="0"/>
          <w:sz w:val="20"/>
          <w:szCs w:val="20"/>
          <w:highlight w:val="none"/>
        </w:rPr>
      </w:pPr>
    </w:p>
    <w:p w14:paraId="7DAAACB0">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E308B4E">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2498DABB">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07B90723">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7621ED81">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4AFA59F8">
      <w:pPr>
        <w:autoSpaceDE w:val="0"/>
        <w:autoSpaceDN w:val="0"/>
        <w:adjustRightInd w:val="0"/>
        <w:snapToGrid w:val="0"/>
        <w:spacing w:line="360" w:lineRule="auto"/>
        <w:jc w:val="left"/>
        <w:rPr>
          <w:rFonts w:ascii="宋体" w:hAnsi="宋体"/>
          <w:color w:val="auto"/>
          <w:kern w:val="0"/>
          <w:szCs w:val="21"/>
          <w:highlight w:val="none"/>
        </w:rPr>
      </w:pPr>
    </w:p>
    <w:p w14:paraId="0FEE23BE">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目录由投标人自行编制]</w:t>
      </w:r>
    </w:p>
    <w:p w14:paraId="7187228B">
      <w:pPr>
        <w:autoSpaceDE w:val="0"/>
        <w:autoSpaceDN w:val="0"/>
        <w:adjustRightInd w:val="0"/>
        <w:snapToGrid w:val="0"/>
        <w:spacing w:line="360" w:lineRule="auto"/>
        <w:jc w:val="left"/>
        <w:rPr>
          <w:rFonts w:ascii="宋体" w:hAnsi="宋体"/>
          <w:color w:val="auto"/>
          <w:w w:val="99"/>
          <w:kern w:val="0"/>
          <w:sz w:val="28"/>
          <w:szCs w:val="28"/>
          <w:highlight w:val="none"/>
        </w:rPr>
      </w:pPr>
    </w:p>
    <w:p w14:paraId="507FA458">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2231" w:name="_Toc430530535"/>
      <w:bookmarkStart w:id="2232" w:name="_Toc224103501"/>
      <w:bookmarkStart w:id="2233" w:name="_Toc277082648"/>
      <w:bookmarkStart w:id="2234" w:name="_Toc287620820"/>
      <w:bookmarkStart w:id="2235" w:name="_Toc287607873"/>
    </w:p>
    <w:p w14:paraId="20E9BDC0">
      <w:pPr>
        <w:pStyle w:val="5"/>
        <w:jc w:val="center"/>
        <w:rPr>
          <w:color w:val="auto"/>
          <w:highlight w:val="none"/>
        </w:rPr>
      </w:pPr>
      <w:bookmarkStart w:id="2236" w:name="_Toc28475"/>
      <w:bookmarkStart w:id="2237" w:name="_Toc15599"/>
      <w:r>
        <w:rPr>
          <w:rFonts w:hint="eastAsia"/>
          <w:color w:val="auto"/>
          <w:highlight w:val="none"/>
        </w:rPr>
        <w:t>（一）已标价工程量清单</w:t>
      </w:r>
      <w:bookmarkEnd w:id="2231"/>
      <w:bookmarkEnd w:id="2232"/>
      <w:bookmarkEnd w:id="2233"/>
      <w:bookmarkEnd w:id="2234"/>
      <w:bookmarkEnd w:id="2235"/>
      <w:bookmarkEnd w:id="2236"/>
      <w:bookmarkEnd w:id="2237"/>
    </w:p>
    <w:p w14:paraId="3E5ADD01">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359246B">
      <w:pPr>
        <w:autoSpaceDE w:val="0"/>
        <w:autoSpaceDN w:val="0"/>
        <w:adjustRightInd w:val="0"/>
        <w:snapToGrid w:val="0"/>
        <w:spacing w:line="360" w:lineRule="auto"/>
        <w:jc w:val="left"/>
        <w:rPr>
          <w:rFonts w:hint="eastAsia" w:ascii="宋体" w:hAnsi="宋体"/>
          <w:color w:val="auto"/>
          <w:sz w:val="36"/>
          <w:szCs w:val="36"/>
          <w:highlight w:val="none"/>
        </w:rPr>
      </w:pPr>
      <w:bookmarkStart w:id="2238" w:name="_Toc430530536"/>
      <w:bookmarkStart w:id="2239" w:name="_Toc287607874"/>
      <w:bookmarkStart w:id="2240" w:name="_Toc287620821"/>
      <w:bookmarkStart w:id="2241" w:name="_Toc224103502"/>
      <w:r>
        <w:rPr>
          <w:rFonts w:ascii="宋体" w:hAnsi="宋体"/>
          <w:color w:val="auto"/>
          <w:highlight w:val="none"/>
        </w:rPr>
        <w:br w:type="page"/>
      </w:r>
      <w:bookmarkEnd w:id="2238"/>
      <w:bookmarkEnd w:id="2239"/>
      <w:bookmarkEnd w:id="2240"/>
      <w:bookmarkEnd w:id="2241"/>
    </w:p>
    <w:p w14:paraId="18EE9BA3">
      <w:pPr>
        <w:pStyle w:val="4"/>
        <w:spacing w:line="360" w:lineRule="auto"/>
        <w:jc w:val="center"/>
        <w:rPr>
          <w:rFonts w:ascii="宋体" w:hAnsi="宋体"/>
          <w:b w:val="0"/>
          <w:bCs w:val="0"/>
          <w:color w:val="auto"/>
          <w:sz w:val="44"/>
          <w:szCs w:val="44"/>
          <w:highlight w:val="none"/>
        </w:rPr>
      </w:pPr>
      <w:bookmarkStart w:id="2242" w:name="_Toc277082656"/>
      <w:bookmarkStart w:id="2243" w:name="_Toc430530545"/>
      <w:bookmarkStart w:id="2244" w:name="_Toc287607882"/>
      <w:bookmarkStart w:id="2245" w:name="_Toc224103510"/>
      <w:bookmarkStart w:id="2246" w:name="_Toc287620829"/>
      <w:bookmarkStart w:id="2247" w:name="_Toc16126"/>
      <w:bookmarkStart w:id="2248" w:name="_Toc27141"/>
      <w:r>
        <w:rPr>
          <w:rFonts w:hint="eastAsia" w:ascii="宋体" w:hAnsi="宋体"/>
          <w:b w:val="0"/>
          <w:bCs w:val="0"/>
          <w:color w:val="auto"/>
          <w:sz w:val="44"/>
          <w:szCs w:val="44"/>
          <w:highlight w:val="none"/>
          <w:lang w:eastAsia="zh-CN"/>
        </w:rPr>
        <w:t>三</w:t>
      </w:r>
      <w:r>
        <w:rPr>
          <w:rFonts w:hint="eastAsia" w:ascii="宋体" w:hAnsi="宋体"/>
          <w:b w:val="0"/>
          <w:bCs w:val="0"/>
          <w:color w:val="auto"/>
          <w:sz w:val="44"/>
          <w:szCs w:val="44"/>
          <w:highlight w:val="none"/>
        </w:rPr>
        <w:t>、</w:t>
      </w:r>
      <w:bookmarkEnd w:id="2242"/>
      <w:bookmarkEnd w:id="2243"/>
      <w:bookmarkEnd w:id="2244"/>
      <w:bookmarkEnd w:id="2245"/>
      <w:bookmarkEnd w:id="2246"/>
      <w:r>
        <w:rPr>
          <w:rFonts w:hint="eastAsia" w:ascii="宋体" w:hAnsi="宋体"/>
          <w:b w:val="0"/>
          <w:bCs w:val="0"/>
          <w:color w:val="auto"/>
          <w:sz w:val="44"/>
          <w:szCs w:val="44"/>
          <w:highlight w:val="none"/>
        </w:rPr>
        <w:t>资格审查部分</w:t>
      </w:r>
      <w:bookmarkEnd w:id="2247"/>
      <w:bookmarkEnd w:id="2248"/>
    </w:p>
    <w:p w14:paraId="19099AB6">
      <w:pPr>
        <w:spacing w:line="360" w:lineRule="auto"/>
        <w:rPr>
          <w:rFonts w:ascii="宋体" w:hAnsi="宋体"/>
          <w:color w:val="auto"/>
          <w:sz w:val="32"/>
          <w:szCs w:val="32"/>
          <w:highlight w:val="none"/>
        </w:rPr>
      </w:pPr>
    </w:p>
    <w:p w14:paraId="3CB700FF">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02C7A79C">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4DDAEE81">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ADDEC91">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6EE8BA2C">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29468ECC">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62EE88B4">
      <w:pPr>
        <w:autoSpaceDE w:val="0"/>
        <w:autoSpaceDN w:val="0"/>
        <w:adjustRightInd w:val="0"/>
        <w:snapToGrid w:val="0"/>
        <w:spacing w:line="360" w:lineRule="auto"/>
        <w:jc w:val="left"/>
        <w:rPr>
          <w:rFonts w:ascii="宋体" w:hAnsi="宋体"/>
          <w:color w:val="auto"/>
          <w:kern w:val="0"/>
          <w:sz w:val="16"/>
          <w:szCs w:val="16"/>
          <w:highlight w:val="none"/>
        </w:rPr>
      </w:pPr>
    </w:p>
    <w:p w14:paraId="6C717AAF">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2CE417D2">
      <w:pPr>
        <w:autoSpaceDE w:val="0"/>
        <w:autoSpaceDN w:val="0"/>
        <w:adjustRightInd w:val="0"/>
        <w:snapToGrid w:val="0"/>
        <w:spacing w:line="360" w:lineRule="auto"/>
        <w:jc w:val="left"/>
        <w:rPr>
          <w:rFonts w:ascii="宋体" w:hAnsi="宋体" w:cs="MingLiU"/>
          <w:color w:val="auto"/>
          <w:kern w:val="0"/>
          <w:sz w:val="20"/>
          <w:szCs w:val="20"/>
          <w:highlight w:val="none"/>
        </w:rPr>
      </w:pPr>
    </w:p>
    <w:p w14:paraId="37B435F2">
      <w:pPr>
        <w:adjustRightInd w:val="0"/>
        <w:snapToGrid w:val="0"/>
        <w:spacing w:line="264" w:lineRule="auto"/>
        <w:rPr>
          <w:rFonts w:ascii="宋体" w:hAnsi="宋体"/>
          <w:color w:val="auto"/>
          <w:szCs w:val="21"/>
          <w:highlight w:val="none"/>
        </w:rPr>
      </w:pPr>
    </w:p>
    <w:p w14:paraId="6173C07E">
      <w:pPr>
        <w:autoSpaceDE w:val="0"/>
        <w:autoSpaceDN w:val="0"/>
        <w:adjustRightInd w:val="0"/>
        <w:snapToGrid w:val="0"/>
        <w:spacing w:line="360" w:lineRule="auto"/>
        <w:jc w:val="left"/>
        <w:rPr>
          <w:rFonts w:ascii="宋体" w:hAnsi="宋体" w:cs="MingLiU"/>
          <w:color w:val="auto"/>
          <w:kern w:val="0"/>
          <w:sz w:val="20"/>
          <w:szCs w:val="20"/>
          <w:highlight w:val="none"/>
        </w:rPr>
      </w:pPr>
    </w:p>
    <w:p w14:paraId="1F6C6F85">
      <w:pPr>
        <w:autoSpaceDE w:val="0"/>
        <w:autoSpaceDN w:val="0"/>
        <w:adjustRightInd w:val="0"/>
        <w:snapToGrid w:val="0"/>
        <w:spacing w:line="360" w:lineRule="auto"/>
        <w:jc w:val="left"/>
        <w:rPr>
          <w:rFonts w:ascii="宋体" w:hAnsi="宋体" w:cs="MingLiU"/>
          <w:color w:val="auto"/>
          <w:kern w:val="0"/>
          <w:sz w:val="20"/>
          <w:szCs w:val="20"/>
          <w:highlight w:val="none"/>
        </w:rPr>
      </w:pPr>
    </w:p>
    <w:p w14:paraId="722A68D5">
      <w:pPr>
        <w:autoSpaceDE w:val="0"/>
        <w:autoSpaceDN w:val="0"/>
        <w:adjustRightInd w:val="0"/>
        <w:snapToGrid w:val="0"/>
        <w:spacing w:line="360" w:lineRule="auto"/>
        <w:jc w:val="left"/>
        <w:rPr>
          <w:rFonts w:ascii="宋体" w:hAnsi="宋体" w:cs="MingLiU"/>
          <w:color w:val="auto"/>
          <w:kern w:val="0"/>
          <w:sz w:val="20"/>
          <w:szCs w:val="20"/>
          <w:highlight w:val="none"/>
        </w:rPr>
      </w:pPr>
    </w:p>
    <w:p w14:paraId="21ACF1C1">
      <w:pPr>
        <w:autoSpaceDE w:val="0"/>
        <w:autoSpaceDN w:val="0"/>
        <w:adjustRightInd w:val="0"/>
        <w:snapToGrid w:val="0"/>
        <w:spacing w:line="360" w:lineRule="auto"/>
        <w:jc w:val="left"/>
        <w:rPr>
          <w:rFonts w:ascii="宋体" w:hAnsi="宋体" w:cs="MingLiU"/>
          <w:color w:val="auto"/>
          <w:kern w:val="0"/>
          <w:sz w:val="20"/>
          <w:szCs w:val="20"/>
          <w:highlight w:val="none"/>
        </w:rPr>
      </w:pPr>
    </w:p>
    <w:p w14:paraId="1580D9EB">
      <w:pPr>
        <w:autoSpaceDE w:val="0"/>
        <w:autoSpaceDN w:val="0"/>
        <w:adjustRightInd w:val="0"/>
        <w:snapToGrid w:val="0"/>
        <w:spacing w:line="360" w:lineRule="auto"/>
        <w:jc w:val="left"/>
        <w:rPr>
          <w:rFonts w:ascii="宋体" w:hAnsi="宋体" w:cs="MingLiU"/>
          <w:color w:val="auto"/>
          <w:kern w:val="0"/>
          <w:sz w:val="20"/>
          <w:szCs w:val="20"/>
          <w:highlight w:val="none"/>
        </w:rPr>
      </w:pPr>
    </w:p>
    <w:p w14:paraId="67F01C74">
      <w:pPr>
        <w:autoSpaceDE w:val="0"/>
        <w:autoSpaceDN w:val="0"/>
        <w:adjustRightInd w:val="0"/>
        <w:snapToGrid w:val="0"/>
        <w:spacing w:line="360" w:lineRule="auto"/>
        <w:jc w:val="left"/>
        <w:rPr>
          <w:rFonts w:ascii="宋体" w:hAnsi="宋体" w:cs="MingLiU"/>
          <w:color w:val="auto"/>
          <w:kern w:val="0"/>
          <w:sz w:val="20"/>
          <w:szCs w:val="20"/>
          <w:highlight w:val="none"/>
        </w:rPr>
      </w:pPr>
    </w:p>
    <w:p w14:paraId="4B07A5CB">
      <w:pPr>
        <w:autoSpaceDE w:val="0"/>
        <w:autoSpaceDN w:val="0"/>
        <w:adjustRightInd w:val="0"/>
        <w:snapToGrid w:val="0"/>
        <w:spacing w:line="360" w:lineRule="auto"/>
        <w:jc w:val="left"/>
        <w:rPr>
          <w:rFonts w:ascii="宋体" w:hAnsi="宋体" w:cs="MingLiU"/>
          <w:color w:val="auto"/>
          <w:kern w:val="0"/>
          <w:sz w:val="20"/>
          <w:szCs w:val="20"/>
          <w:highlight w:val="none"/>
        </w:rPr>
      </w:pPr>
    </w:p>
    <w:p w14:paraId="3F95C972">
      <w:pPr>
        <w:autoSpaceDE w:val="0"/>
        <w:autoSpaceDN w:val="0"/>
        <w:adjustRightInd w:val="0"/>
        <w:snapToGrid w:val="0"/>
        <w:spacing w:line="360" w:lineRule="auto"/>
        <w:jc w:val="left"/>
        <w:rPr>
          <w:rFonts w:ascii="宋体" w:hAnsi="宋体" w:cs="MingLiU"/>
          <w:color w:val="auto"/>
          <w:kern w:val="0"/>
          <w:sz w:val="20"/>
          <w:szCs w:val="20"/>
          <w:highlight w:val="none"/>
        </w:rPr>
      </w:pPr>
    </w:p>
    <w:p w14:paraId="79073762">
      <w:pPr>
        <w:autoSpaceDE w:val="0"/>
        <w:autoSpaceDN w:val="0"/>
        <w:adjustRightInd w:val="0"/>
        <w:snapToGrid w:val="0"/>
        <w:spacing w:line="360" w:lineRule="auto"/>
        <w:jc w:val="left"/>
        <w:rPr>
          <w:rFonts w:ascii="宋体" w:hAnsi="宋体" w:cs="MingLiU"/>
          <w:color w:val="auto"/>
          <w:kern w:val="0"/>
          <w:sz w:val="20"/>
          <w:szCs w:val="20"/>
          <w:highlight w:val="none"/>
        </w:rPr>
      </w:pPr>
    </w:p>
    <w:p w14:paraId="054F784E">
      <w:pPr>
        <w:autoSpaceDE w:val="0"/>
        <w:autoSpaceDN w:val="0"/>
        <w:adjustRightInd w:val="0"/>
        <w:snapToGrid w:val="0"/>
        <w:spacing w:line="360" w:lineRule="auto"/>
        <w:jc w:val="left"/>
        <w:rPr>
          <w:rFonts w:ascii="宋体" w:hAnsi="宋体" w:cs="MingLiU"/>
          <w:color w:val="auto"/>
          <w:kern w:val="0"/>
          <w:sz w:val="20"/>
          <w:szCs w:val="20"/>
          <w:highlight w:val="none"/>
        </w:rPr>
      </w:pPr>
    </w:p>
    <w:p w14:paraId="2603175C">
      <w:pPr>
        <w:autoSpaceDE w:val="0"/>
        <w:autoSpaceDN w:val="0"/>
        <w:adjustRightInd w:val="0"/>
        <w:snapToGrid w:val="0"/>
        <w:spacing w:line="360" w:lineRule="auto"/>
        <w:jc w:val="left"/>
        <w:rPr>
          <w:rFonts w:ascii="宋体" w:hAnsi="宋体" w:cs="MingLiU"/>
          <w:color w:val="auto"/>
          <w:kern w:val="0"/>
          <w:sz w:val="20"/>
          <w:szCs w:val="20"/>
          <w:highlight w:val="none"/>
        </w:rPr>
      </w:pPr>
    </w:p>
    <w:p w14:paraId="68C27108">
      <w:pPr>
        <w:autoSpaceDE w:val="0"/>
        <w:autoSpaceDN w:val="0"/>
        <w:adjustRightInd w:val="0"/>
        <w:snapToGrid w:val="0"/>
        <w:spacing w:line="360" w:lineRule="auto"/>
        <w:jc w:val="left"/>
        <w:rPr>
          <w:rFonts w:ascii="宋体" w:hAnsi="宋体" w:cs="MingLiU"/>
          <w:color w:val="auto"/>
          <w:kern w:val="0"/>
          <w:sz w:val="20"/>
          <w:szCs w:val="20"/>
          <w:highlight w:val="none"/>
        </w:rPr>
      </w:pPr>
    </w:p>
    <w:p w14:paraId="29ED5A27">
      <w:pPr>
        <w:autoSpaceDE w:val="0"/>
        <w:autoSpaceDN w:val="0"/>
        <w:adjustRightInd w:val="0"/>
        <w:snapToGrid w:val="0"/>
        <w:spacing w:line="360" w:lineRule="auto"/>
        <w:jc w:val="left"/>
        <w:rPr>
          <w:rFonts w:ascii="宋体" w:hAnsi="宋体" w:cs="MingLiU"/>
          <w:color w:val="auto"/>
          <w:kern w:val="0"/>
          <w:sz w:val="20"/>
          <w:szCs w:val="20"/>
          <w:highlight w:val="none"/>
        </w:rPr>
      </w:pPr>
    </w:p>
    <w:p w14:paraId="256FDE65">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9CAC1EA">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78521157">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3E2CED07">
      <w:pPr>
        <w:autoSpaceDE w:val="0"/>
        <w:autoSpaceDN w:val="0"/>
        <w:adjustRightInd w:val="0"/>
        <w:snapToGrid w:val="0"/>
        <w:jc w:val="center"/>
        <w:rPr>
          <w:rFonts w:hint="eastAsia" w:ascii="宋体" w:hAnsi="宋体"/>
          <w:color w:val="auto"/>
          <w:kern w:val="0"/>
          <w:sz w:val="36"/>
          <w:szCs w:val="36"/>
          <w:highlight w:val="none"/>
        </w:rPr>
      </w:pPr>
    </w:p>
    <w:p w14:paraId="7275D3B7">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5B42A401">
      <w:pPr>
        <w:spacing w:line="360" w:lineRule="auto"/>
        <w:jc w:val="center"/>
        <w:rPr>
          <w:rFonts w:ascii="宋体" w:hAnsi="宋体"/>
          <w:b/>
          <w:color w:val="auto"/>
          <w:kern w:val="0"/>
          <w:sz w:val="32"/>
          <w:szCs w:val="32"/>
          <w:highlight w:val="none"/>
        </w:rPr>
      </w:pPr>
    </w:p>
    <w:p w14:paraId="5133F3FD">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39E938A6">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eastAsia="zh-CN"/>
        </w:rPr>
        <w:t>二</w:t>
      </w:r>
      <w:r>
        <w:rPr>
          <w:rFonts w:ascii="宋体" w:hAnsi="宋体"/>
          <w:color w:val="auto"/>
          <w:szCs w:val="21"/>
          <w:highlight w:val="none"/>
        </w:rPr>
        <w:t>）投标人基本情况表</w:t>
      </w:r>
    </w:p>
    <w:p w14:paraId="4F9E1610">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eastAsia="zh-CN"/>
        </w:rPr>
        <w:t>三</w:t>
      </w:r>
      <w:r>
        <w:rPr>
          <w:rFonts w:ascii="宋体" w:hAnsi="宋体"/>
          <w:color w:val="auto"/>
          <w:szCs w:val="21"/>
          <w:highlight w:val="none"/>
        </w:rPr>
        <w:t>）项目管理机构</w:t>
      </w:r>
    </w:p>
    <w:p w14:paraId="0FB78600">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eastAsia="zh-CN"/>
        </w:rPr>
        <w:t>四</w:t>
      </w:r>
      <w:r>
        <w:rPr>
          <w:rFonts w:ascii="宋体" w:hAnsi="宋体"/>
          <w:color w:val="auto"/>
          <w:szCs w:val="21"/>
          <w:highlight w:val="none"/>
        </w:rPr>
        <w:t>）</w:t>
      </w:r>
      <w:r>
        <w:rPr>
          <w:rFonts w:hint="eastAsia" w:ascii="宋体" w:hAnsi="宋体"/>
          <w:color w:val="auto"/>
          <w:szCs w:val="21"/>
          <w:highlight w:val="none"/>
        </w:rPr>
        <w:t>承诺</w:t>
      </w:r>
    </w:p>
    <w:p w14:paraId="02CBBDAC">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eastAsia="zh-CN"/>
        </w:rPr>
        <w:t>五</w:t>
      </w:r>
      <w:r>
        <w:rPr>
          <w:rFonts w:ascii="宋体" w:hAnsi="宋体"/>
          <w:color w:val="auto"/>
          <w:szCs w:val="21"/>
          <w:highlight w:val="none"/>
        </w:rPr>
        <w:t>）其他资料</w:t>
      </w:r>
    </w:p>
    <w:p w14:paraId="5ECD9E2C">
      <w:pPr>
        <w:spacing w:line="360" w:lineRule="auto"/>
        <w:jc w:val="center"/>
        <w:rPr>
          <w:rFonts w:ascii="宋体" w:hAnsi="宋体"/>
          <w:b/>
          <w:color w:val="auto"/>
          <w:kern w:val="0"/>
          <w:sz w:val="32"/>
          <w:szCs w:val="32"/>
          <w:highlight w:val="none"/>
        </w:rPr>
      </w:pPr>
    </w:p>
    <w:p w14:paraId="4573C811">
      <w:pPr>
        <w:spacing w:line="360" w:lineRule="auto"/>
        <w:jc w:val="center"/>
        <w:rPr>
          <w:rFonts w:ascii="宋体" w:hAnsi="宋体"/>
          <w:b/>
          <w:color w:val="auto"/>
          <w:kern w:val="0"/>
          <w:sz w:val="32"/>
          <w:szCs w:val="32"/>
          <w:highlight w:val="none"/>
        </w:rPr>
      </w:pPr>
    </w:p>
    <w:p w14:paraId="78079D80">
      <w:pPr>
        <w:pStyle w:val="5"/>
        <w:jc w:val="center"/>
        <w:rPr>
          <w:rFonts w:ascii="宋体" w:hAnsi="宋体"/>
          <w:snapToGrid w:val="0"/>
          <w:color w:val="auto"/>
          <w:kern w:val="0"/>
          <w:sz w:val="30"/>
          <w:szCs w:val="30"/>
          <w:highlight w:val="none"/>
        </w:rPr>
      </w:pPr>
      <w:r>
        <w:rPr>
          <w:rFonts w:ascii="宋体" w:hAnsi="宋体"/>
          <w:color w:val="auto"/>
          <w:highlight w:val="none"/>
        </w:rPr>
        <w:br w:type="page"/>
      </w:r>
      <w:bookmarkStart w:id="2249" w:name="_Toc5633"/>
      <w:bookmarkStart w:id="2250" w:name="_Toc21681"/>
      <w:bookmarkStart w:id="2251" w:name="_Toc430530546"/>
      <w:bookmarkStart w:id="2252" w:name="_Toc224103511"/>
      <w:bookmarkStart w:id="2253" w:name="_Toc277082657"/>
      <w:bookmarkStart w:id="2254" w:name="_Toc287620830"/>
      <w:bookmarkStart w:id="2255" w:name="_Toc287607883"/>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2249"/>
      <w:bookmarkEnd w:id="2250"/>
    </w:p>
    <w:p w14:paraId="397B4171">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4B93FC52">
      <w:pPr>
        <w:spacing w:line="480" w:lineRule="auto"/>
        <w:jc w:val="center"/>
        <w:rPr>
          <w:rFonts w:ascii="宋体" w:hAnsi="宋体"/>
          <w:color w:val="auto"/>
          <w:highlight w:val="none"/>
        </w:rPr>
      </w:pPr>
    </w:p>
    <w:p w14:paraId="209AC27D">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4680260">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EE20673">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78445E7">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A8EB6F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CBE9F8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6ED08CE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14:paraId="048FEF2A">
      <w:pPr>
        <w:tabs>
          <w:tab w:val="left" w:pos="3360"/>
        </w:tabs>
        <w:autoSpaceDE w:val="0"/>
        <w:autoSpaceDN w:val="0"/>
        <w:adjustRightInd w:val="0"/>
        <w:snapToGrid w:val="0"/>
        <w:spacing w:line="480" w:lineRule="auto"/>
        <w:ind w:firstLine="390" w:firstLineChars="186"/>
        <w:jc w:val="left"/>
        <w:rPr>
          <w:rFonts w:hint="eastAsia" w:ascii="宋体" w:hAnsi="宋体"/>
          <w:color w:val="auto"/>
          <w:kern w:val="0"/>
          <w:szCs w:val="21"/>
          <w:highlight w:val="none"/>
        </w:rPr>
      </w:pPr>
      <w:r>
        <w:rPr>
          <w:rFonts w:ascii="宋体" w:hAnsi="宋体"/>
          <w:color w:val="auto"/>
          <w:kern w:val="0"/>
          <w:szCs w:val="21"/>
          <w:highlight w:val="none"/>
        </w:rPr>
        <w:t>特此证明。</w:t>
      </w:r>
    </w:p>
    <w:p w14:paraId="4FD741EB">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附：法定代表人身份证明复印件（双面）</w:t>
      </w:r>
    </w:p>
    <w:p w14:paraId="2DF99F5A">
      <w:pPr>
        <w:autoSpaceDE w:val="0"/>
        <w:autoSpaceDN w:val="0"/>
        <w:adjustRightInd w:val="0"/>
        <w:snapToGrid w:val="0"/>
        <w:spacing w:line="360" w:lineRule="auto"/>
        <w:jc w:val="left"/>
        <w:rPr>
          <w:rFonts w:hint="eastAsia" w:ascii="宋体" w:hAnsi="宋体"/>
          <w:color w:val="auto"/>
          <w:szCs w:val="21"/>
          <w:highlight w:val="none"/>
        </w:rPr>
      </w:pPr>
    </w:p>
    <w:p w14:paraId="1060ACDD">
      <w:pPr>
        <w:pStyle w:val="2"/>
        <w:spacing w:after="0" w:line="360" w:lineRule="auto"/>
        <w:rPr>
          <w:rFonts w:hint="eastAsia" w:ascii="宋体" w:hAnsi="宋体"/>
          <w:color w:val="auto"/>
          <w:szCs w:val="21"/>
          <w:highlight w:val="none"/>
        </w:rPr>
      </w:pPr>
    </w:p>
    <w:p w14:paraId="38003FF9">
      <w:pPr>
        <w:pStyle w:val="2"/>
        <w:spacing w:after="0" w:line="360" w:lineRule="auto"/>
        <w:rPr>
          <w:rFonts w:hint="eastAsia" w:ascii="宋体" w:hAnsi="宋体"/>
          <w:color w:val="auto"/>
          <w:szCs w:val="21"/>
          <w:highlight w:val="none"/>
        </w:rPr>
      </w:pPr>
    </w:p>
    <w:p w14:paraId="3AB02FFF">
      <w:pPr>
        <w:pStyle w:val="2"/>
        <w:spacing w:after="0" w:line="360" w:lineRule="auto"/>
        <w:rPr>
          <w:rFonts w:hint="eastAsia" w:ascii="宋体" w:hAnsi="宋体"/>
          <w:color w:val="auto"/>
          <w:szCs w:val="21"/>
          <w:highlight w:val="none"/>
        </w:rPr>
      </w:pPr>
    </w:p>
    <w:p w14:paraId="1B45F689">
      <w:pPr>
        <w:pStyle w:val="2"/>
        <w:spacing w:after="0" w:line="360" w:lineRule="auto"/>
        <w:rPr>
          <w:rFonts w:hint="eastAsia" w:ascii="宋体" w:hAnsi="宋体"/>
          <w:color w:val="auto"/>
          <w:szCs w:val="21"/>
          <w:highlight w:val="none"/>
        </w:rPr>
      </w:pPr>
    </w:p>
    <w:p w14:paraId="1911A37C">
      <w:pPr>
        <w:pStyle w:val="2"/>
        <w:spacing w:after="0" w:line="360" w:lineRule="auto"/>
        <w:rPr>
          <w:rFonts w:ascii="宋体" w:hAnsi="宋体"/>
          <w:color w:val="auto"/>
          <w:szCs w:val="21"/>
          <w:highlight w:val="none"/>
        </w:rPr>
      </w:pPr>
    </w:p>
    <w:p w14:paraId="1D877115">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2B60AEBC">
      <w:pPr>
        <w:autoSpaceDE w:val="0"/>
        <w:autoSpaceDN w:val="0"/>
        <w:adjustRightInd w:val="0"/>
        <w:snapToGrid w:val="0"/>
        <w:spacing w:line="480" w:lineRule="auto"/>
        <w:jc w:val="left"/>
        <w:rPr>
          <w:rFonts w:ascii="宋体" w:hAnsi="宋体"/>
          <w:color w:val="auto"/>
          <w:kern w:val="0"/>
          <w:sz w:val="20"/>
          <w:szCs w:val="20"/>
          <w:highlight w:val="none"/>
        </w:rPr>
      </w:pPr>
    </w:p>
    <w:p w14:paraId="7E4EF684">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ED64400">
      <w:pPr>
        <w:autoSpaceDE w:val="0"/>
        <w:autoSpaceDN w:val="0"/>
        <w:adjustRightInd w:val="0"/>
        <w:snapToGrid w:val="0"/>
        <w:spacing w:line="360" w:lineRule="auto"/>
        <w:jc w:val="left"/>
        <w:rPr>
          <w:rFonts w:ascii="宋体" w:hAnsi="宋体"/>
          <w:color w:val="auto"/>
          <w:kern w:val="0"/>
          <w:highlight w:val="none"/>
        </w:rPr>
      </w:pPr>
    </w:p>
    <w:p w14:paraId="0ED787D6">
      <w:pPr>
        <w:autoSpaceDE w:val="0"/>
        <w:autoSpaceDN w:val="0"/>
        <w:adjustRightInd w:val="0"/>
        <w:snapToGrid w:val="0"/>
        <w:spacing w:line="360" w:lineRule="auto"/>
        <w:jc w:val="left"/>
        <w:rPr>
          <w:rFonts w:ascii="宋体" w:hAnsi="宋体"/>
          <w:color w:val="auto"/>
          <w:kern w:val="0"/>
          <w:highlight w:val="none"/>
        </w:rPr>
      </w:pPr>
    </w:p>
    <w:p w14:paraId="2B63FE83">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2251"/>
      <w:bookmarkEnd w:id="2252"/>
      <w:bookmarkEnd w:id="2253"/>
      <w:bookmarkEnd w:id="2254"/>
      <w:bookmarkEnd w:id="2255"/>
      <w:r>
        <w:rPr>
          <w:rFonts w:hint="eastAsia" w:ascii="宋体" w:hAnsi="宋体"/>
          <w:color w:val="auto"/>
          <w:kern w:val="0"/>
          <w:szCs w:val="21"/>
          <w:highlight w:val="none"/>
        </w:rPr>
        <w:t>。</w:t>
      </w:r>
    </w:p>
    <w:p w14:paraId="6E4A6AC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41850939">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14:paraId="0D0DF617">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54F69AC5">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auto"/>
          <w:kern w:val="0"/>
          <w:szCs w:val="21"/>
          <w:highlight w:val="none"/>
        </w:rPr>
      </w:pPr>
      <w:r>
        <w:rPr>
          <w:rFonts w:ascii="宋体" w:hAnsi="宋体"/>
          <w:color w:val="auto"/>
          <w:kern w:val="0"/>
          <w:szCs w:val="21"/>
          <w:highlight w:val="none"/>
        </w:rPr>
        <w:t>代理人无转委托权。</w:t>
      </w:r>
    </w:p>
    <w:p w14:paraId="30A1729F">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auto"/>
          <w:kern w:val="0"/>
          <w:szCs w:val="21"/>
          <w:highlight w:val="none"/>
        </w:rPr>
      </w:pPr>
    </w:p>
    <w:p w14:paraId="0087520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403F9A26">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016A40EA">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109B260">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565BA4C3">
      <w:pPr>
        <w:tabs>
          <w:tab w:val="left" w:pos="6825"/>
        </w:tabs>
        <w:autoSpaceDE w:val="0"/>
        <w:autoSpaceDN w:val="0"/>
        <w:adjustRightInd w:val="0"/>
        <w:snapToGrid w:val="0"/>
        <w:spacing w:line="480" w:lineRule="auto"/>
        <w:ind w:firstLine="420" w:firstLineChars="200"/>
        <w:jc w:val="left"/>
        <w:rPr>
          <w:rFonts w:hint="eastAsia"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F8B9F22">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9F6BC20">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0CEFA2C6">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附：法定代表人和委托代理人身份证明复印件（双面）</w:t>
      </w:r>
    </w:p>
    <w:p w14:paraId="1CEB90B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95D4B5C">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BEE57D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7F3DED8">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31A08E25">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9827F84">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68BDED0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74A592E">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kern w:val="0"/>
          <w:szCs w:val="21"/>
          <w:highlight w:val="none"/>
        </w:rPr>
      </w:pPr>
    </w:p>
    <w:p w14:paraId="4FEC0EEC">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247342F8">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2、法定代表人身份证明及授权委托书原件装入投标文件一并递交。另外须准备一份授权委托书原件在开标现场出具。</w:t>
      </w:r>
    </w:p>
    <w:p w14:paraId="6C828AEC">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31AAD1C9">
      <w:pPr>
        <w:pStyle w:val="5"/>
        <w:spacing w:before="0" w:after="0" w:line="240" w:lineRule="auto"/>
        <w:jc w:val="center"/>
        <w:rPr>
          <w:rFonts w:ascii="宋体" w:hAnsi="宋体"/>
          <w:color w:val="auto"/>
          <w:highlight w:val="none"/>
        </w:rPr>
      </w:pPr>
      <w:bookmarkStart w:id="2256" w:name="_Toc23076"/>
      <w:bookmarkStart w:id="2257" w:name="_Toc277082659"/>
      <w:bookmarkStart w:id="2258" w:name="_Toc287607887"/>
      <w:r>
        <w:rPr>
          <w:rFonts w:hint="eastAsia" w:ascii="宋体" w:hAnsi="宋体"/>
          <w:b w:val="0"/>
          <w:bCs w:val="0"/>
          <w:color w:val="auto"/>
          <w:highlight w:val="none"/>
        </w:rPr>
        <w:t>（</w:t>
      </w:r>
      <w:r>
        <w:rPr>
          <w:rFonts w:hint="eastAsia" w:ascii="宋体" w:hAnsi="宋体"/>
          <w:b w:val="0"/>
          <w:bCs w:val="0"/>
          <w:color w:val="auto"/>
          <w:highlight w:val="none"/>
          <w:lang w:eastAsia="zh-CN"/>
        </w:rPr>
        <w:t>二</w:t>
      </w:r>
      <w:r>
        <w:rPr>
          <w:rFonts w:hint="eastAsia" w:ascii="宋体" w:hAnsi="宋体"/>
          <w:b w:val="0"/>
          <w:bCs w:val="0"/>
          <w:color w:val="auto"/>
          <w:highlight w:val="none"/>
        </w:rPr>
        <w:t>）投标人基本情况表</w:t>
      </w:r>
      <w:bookmarkEnd w:id="2256"/>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8364D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0A1B095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投标人名称</w:t>
            </w:r>
          </w:p>
        </w:tc>
        <w:tc>
          <w:tcPr>
            <w:tcW w:w="7607" w:type="dxa"/>
            <w:gridSpan w:val="9"/>
            <w:noWrap w:val="0"/>
            <w:vAlign w:val="center"/>
          </w:tcPr>
          <w:p w14:paraId="69AE0D93">
            <w:pPr>
              <w:autoSpaceDE w:val="0"/>
              <w:autoSpaceDN w:val="0"/>
              <w:adjustRightInd w:val="0"/>
              <w:snapToGrid w:val="0"/>
              <w:jc w:val="center"/>
              <w:rPr>
                <w:rFonts w:ascii="宋体" w:hAnsi="宋体"/>
                <w:color w:val="auto"/>
                <w:kern w:val="0"/>
                <w:szCs w:val="21"/>
                <w:highlight w:val="none"/>
              </w:rPr>
            </w:pPr>
          </w:p>
        </w:tc>
      </w:tr>
      <w:tr w14:paraId="27015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4F42FD2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noWrap w:val="0"/>
            <w:vAlign w:val="center"/>
          </w:tcPr>
          <w:p w14:paraId="52B7B642">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495F70D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noWrap w:val="0"/>
            <w:vAlign w:val="center"/>
          </w:tcPr>
          <w:p w14:paraId="40F7285D">
            <w:pPr>
              <w:autoSpaceDE w:val="0"/>
              <w:autoSpaceDN w:val="0"/>
              <w:adjustRightInd w:val="0"/>
              <w:snapToGrid w:val="0"/>
              <w:jc w:val="center"/>
              <w:rPr>
                <w:rFonts w:ascii="宋体" w:hAnsi="宋体"/>
                <w:color w:val="auto"/>
                <w:kern w:val="0"/>
                <w:szCs w:val="21"/>
                <w:highlight w:val="none"/>
              </w:rPr>
            </w:pPr>
          </w:p>
        </w:tc>
      </w:tr>
      <w:tr w14:paraId="67A2D6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noWrap w:val="0"/>
            <w:vAlign w:val="center"/>
          </w:tcPr>
          <w:p w14:paraId="076C527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noWrap w:val="0"/>
            <w:vAlign w:val="center"/>
          </w:tcPr>
          <w:p w14:paraId="1DC9648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noWrap w:val="0"/>
            <w:vAlign w:val="center"/>
          </w:tcPr>
          <w:p w14:paraId="12C6840A">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38BE5F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noWrap w:val="0"/>
            <w:vAlign w:val="center"/>
          </w:tcPr>
          <w:p w14:paraId="4E43310A">
            <w:pPr>
              <w:autoSpaceDE w:val="0"/>
              <w:autoSpaceDN w:val="0"/>
              <w:adjustRightInd w:val="0"/>
              <w:snapToGrid w:val="0"/>
              <w:jc w:val="center"/>
              <w:rPr>
                <w:rFonts w:ascii="宋体" w:hAnsi="宋体"/>
                <w:color w:val="auto"/>
                <w:kern w:val="0"/>
                <w:szCs w:val="21"/>
                <w:highlight w:val="none"/>
              </w:rPr>
            </w:pPr>
          </w:p>
        </w:tc>
      </w:tr>
      <w:tr w14:paraId="3D0AF5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noWrap w:val="0"/>
            <w:vAlign w:val="center"/>
          </w:tcPr>
          <w:p w14:paraId="5957E8A0">
            <w:pPr>
              <w:autoSpaceDE w:val="0"/>
              <w:autoSpaceDN w:val="0"/>
              <w:adjustRightInd w:val="0"/>
              <w:snapToGrid w:val="0"/>
              <w:jc w:val="center"/>
              <w:rPr>
                <w:rFonts w:ascii="宋体" w:hAnsi="宋体"/>
                <w:color w:val="auto"/>
                <w:kern w:val="0"/>
                <w:szCs w:val="21"/>
                <w:highlight w:val="none"/>
              </w:rPr>
            </w:pPr>
          </w:p>
        </w:tc>
        <w:tc>
          <w:tcPr>
            <w:tcW w:w="967" w:type="dxa"/>
            <w:noWrap w:val="0"/>
            <w:vAlign w:val="center"/>
          </w:tcPr>
          <w:p w14:paraId="7321F85A">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noWrap w:val="0"/>
            <w:vAlign w:val="center"/>
          </w:tcPr>
          <w:p w14:paraId="14B7A246">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1EA8726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noWrap w:val="0"/>
            <w:vAlign w:val="center"/>
          </w:tcPr>
          <w:p w14:paraId="598A119A">
            <w:pPr>
              <w:autoSpaceDE w:val="0"/>
              <w:autoSpaceDN w:val="0"/>
              <w:adjustRightInd w:val="0"/>
              <w:snapToGrid w:val="0"/>
              <w:jc w:val="center"/>
              <w:rPr>
                <w:rFonts w:ascii="宋体" w:hAnsi="宋体"/>
                <w:color w:val="auto"/>
                <w:kern w:val="0"/>
                <w:szCs w:val="21"/>
                <w:highlight w:val="none"/>
              </w:rPr>
            </w:pPr>
          </w:p>
        </w:tc>
      </w:tr>
      <w:tr w14:paraId="7A40A0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59B2C4A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noWrap w:val="0"/>
            <w:vAlign w:val="center"/>
          </w:tcPr>
          <w:p w14:paraId="780C733B">
            <w:pPr>
              <w:autoSpaceDE w:val="0"/>
              <w:autoSpaceDN w:val="0"/>
              <w:adjustRightInd w:val="0"/>
              <w:snapToGrid w:val="0"/>
              <w:jc w:val="center"/>
              <w:rPr>
                <w:rFonts w:ascii="宋体" w:hAnsi="宋体"/>
                <w:color w:val="auto"/>
                <w:kern w:val="0"/>
                <w:szCs w:val="21"/>
                <w:highlight w:val="none"/>
              </w:rPr>
            </w:pPr>
          </w:p>
        </w:tc>
      </w:tr>
      <w:tr w14:paraId="780C2F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546BD9E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noWrap w:val="0"/>
            <w:vAlign w:val="center"/>
          </w:tcPr>
          <w:p w14:paraId="659BA1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268D04CD">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6A11425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420B00B7">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2BD439A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7CCAAC51">
            <w:pPr>
              <w:autoSpaceDE w:val="0"/>
              <w:autoSpaceDN w:val="0"/>
              <w:adjustRightInd w:val="0"/>
              <w:snapToGrid w:val="0"/>
              <w:jc w:val="center"/>
              <w:rPr>
                <w:rFonts w:ascii="宋体" w:hAnsi="宋体"/>
                <w:color w:val="auto"/>
                <w:kern w:val="0"/>
                <w:szCs w:val="21"/>
                <w:highlight w:val="none"/>
              </w:rPr>
            </w:pPr>
          </w:p>
        </w:tc>
      </w:tr>
      <w:tr w14:paraId="163305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78EF0AC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noWrap w:val="0"/>
            <w:vAlign w:val="center"/>
          </w:tcPr>
          <w:p w14:paraId="4D79A24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0264F436">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4BF8292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05330159">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4FD89A5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5A1177DA">
            <w:pPr>
              <w:autoSpaceDE w:val="0"/>
              <w:autoSpaceDN w:val="0"/>
              <w:adjustRightInd w:val="0"/>
              <w:snapToGrid w:val="0"/>
              <w:jc w:val="center"/>
              <w:rPr>
                <w:rFonts w:ascii="宋体" w:hAnsi="宋体"/>
                <w:color w:val="auto"/>
                <w:kern w:val="0"/>
                <w:szCs w:val="21"/>
                <w:highlight w:val="none"/>
              </w:rPr>
            </w:pPr>
          </w:p>
        </w:tc>
      </w:tr>
      <w:tr w14:paraId="281B04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29A2861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noWrap w:val="0"/>
            <w:vAlign w:val="center"/>
          </w:tcPr>
          <w:p w14:paraId="616F5C8E">
            <w:pPr>
              <w:autoSpaceDE w:val="0"/>
              <w:autoSpaceDN w:val="0"/>
              <w:adjustRightInd w:val="0"/>
              <w:snapToGrid w:val="0"/>
              <w:jc w:val="center"/>
              <w:rPr>
                <w:rFonts w:ascii="宋体" w:hAnsi="宋体"/>
                <w:color w:val="auto"/>
                <w:kern w:val="0"/>
                <w:szCs w:val="21"/>
                <w:highlight w:val="none"/>
              </w:rPr>
            </w:pPr>
          </w:p>
        </w:tc>
        <w:tc>
          <w:tcPr>
            <w:tcW w:w="5616" w:type="dxa"/>
            <w:gridSpan w:val="7"/>
            <w:noWrap w:val="0"/>
            <w:vAlign w:val="center"/>
          </w:tcPr>
          <w:p w14:paraId="367F522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2B5C76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227829F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noWrap w:val="0"/>
            <w:vAlign w:val="center"/>
          </w:tcPr>
          <w:p w14:paraId="2FFD28D1">
            <w:pPr>
              <w:autoSpaceDE w:val="0"/>
              <w:autoSpaceDN w:val="0"/>
              <w:adjustRightInd w:val="0"/>
              <w:snapToGrid w:val="0"/>
              <w:jc w:val="center"/>
              <w:rPr>
                <w:rFonts w:ascii="宋体" w:hAnsi="宋体"/>
                <w:color w:val="auto"/>
                <w:kern w:val="0"/>
                <w:szCs w:val="21"/>
                <w:highlight w:val="none"/>
              </w:rPr>
            </w:pPr>
          </w:p>
        </w:tc>
        <w:tc>
          <w:tcPr>
            <w:tcW w:w="904" w:type="dxa"/>
            <w:vMerge w:val="restart"/>
            <w:noWrap w:val="0"/>
            <w:vAlign w:val="center"/>
          </w:tcPr>
          <w:p w14:paraId="0946623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noWrap w:val="0"/>
            <w:vAlign w:val="center"/>
          </w:tcPr>
          <w:p w14:paraId="5A6DF86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noWrap w:val="0"/>
            <w:vAlign w:val="center"/>
          </w:tcPr>
          <w:p w14:paraId="74E2C9D0">
            <w:pPr>
              <w:autoSpaceDE w:val="0"/>
              <w:autoSpaceDN w:val="0"/>
              <w:adjustRightInd w:val="0"/>
              <w:snapToGrid w:val="0"/>
              <w:jc w:val="center"/>
              <w:rPr>
                <w:rFonts w:ascii="宋体" w:hAnsi="宋体"/>
                <w:color w:val="auto"/>
                <w:kern w:val="0"/>
                <w:szCs w:val="21"/>
                <w:highlight w:val="none"/>
              </w:rPr>
            </w:pPr>
          </w:p>
        </w:tc>
      </w:tr>
      <w:tr w14:paraId="7A4BFC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180295E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91" w:type="dxa"/>
            <w:gridSpan w:val="2"/>
            <w:noWrap w:val="0"/>
            <w:vAlign w:val="center"/>
          </w:tcPr>
          <w:p w14:paraId="2B8C19A0">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371BCF1A">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53B86C4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noWrap w:val="0"/>
            <w:vAlign w:val="center"/>
          </w:tcPr>
          <w:p w14:paraId="1987267C">
            <w:pPr>
              <w:autoSpaceDE w:val="0"/>
              <w:autoSpaceDN w:val="0"/>
              <w:adjustRightInd w:val="0"/>
              <w:snapToGrid w:val="0"/>
              <w:jc w:val="center"/>
              <w:rPr>
                <w:rFonts w:ascii="宋体" w:hAnsi="宋体"/>
                <w:color w:val="auto"/>
                <w:kern w:val="0"/>
                <w:szCs w:val="21"/>
                <w:highlight w:val="none"/>
              </w:rPr>
            </w:pPr>
          </w:p>
        </w:tc>
      </w:tr>
      <w:tr w14:paraId="36515F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5CDCCFC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noWrap w:val="0"/>
            <w:vAlign w:val="center"/>
          </w:tcPr>
          <w:p w14:paraId="71F8659F">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257F73C0">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3429CFE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noWrap w:val="0"/>
            <w:vAlign w:val="center"/>
          </w:tcPr>
          <w:p w14:paraId="54192F4B">
            <w:pPr>
              <w:autoSpaceDE w:val="0"/>
              <w:autoSpaceDN w:val="0"/>
              <w:adjustRightInd w:val="0"/>
              <w:snapToGrid w:val="0"/>
              <w:jc w:val="center"/>
              <w:rPr>
                <w:rFonts w:ascii="宋体" w:hAnsi="宋体"/>
                <w:color w:val="auto"/>
                <w:kern w:val="0"/>
                <w:szCs w:val="21"/>
                <w:highlight w:val="none"/>
              </w:rPr>
            </w:pPr>
          </w:p>
        </w:tc>
      </w:tr>
      <w:tr w14:paraId="600625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40CF2BE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noWrap w:val="0"/>
            <w:vAlign w:val="center"/>
          </w:tcPr>
          <w:p w14:paraId="2CAD8FB4">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180ECA6E">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74B82EE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noWrap w:val="0"/>
            <w:vAlign w:val="center"/>
          </w:tcPr>
          <w:p w14:paraId="3798ABA3">
            <w:pPr>
              <w:autoSpaceDE w:val="0"/>
              <w:autoSpaceDN w:val="0"/>
              <w:adjustRightInd w:val="0"/>
              <w:snapToGrid w:val="0"/>
              <w:jc w:val="center"/>
              <w:rPr>
                <w:rFonts w:ascii="宋体" w:hAnsi="宋体"/>
                <w:color w:val="auto"/>
                <w:kern w:val="0"/>
                <w:szCs w:val="21"/>
                <w:highlight w:val="none"/>
              </w:rPr>
            </w:pPr>
          </w:p>
        </w:tc>
      </w:tr>
      <w:tr w14:paraId="425667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4E7CD4D2">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noWrap w:val="0"/>
            <w:vAlign w:val="center"/>
          </w:tcPr>
          <w:p w14:paraId="58181820">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52A5B17C">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04511C76">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noWrap w:val="0"/>
            <w:vAlign w:val="center"/>
          </w:tcPr>
          <w:p w14:paraId="30BD6C9D">
            <w:pPr>
              <w:autoSpaceDE w:val="0"/>
              <w:autoSpaceDN w:val="0"/>
              <w:adjustRightInd w:val="0"/>
              <w:snapToGrid w:val="0"/>
              <w:jc w:val="center"/>
              <w:rPr>
                <w:rFonts w:ascii="宋体" w:hAnsi="宋体"/>
                <w:color w:val="auto"/>
                <w:kern w:val="0"/>
                <w:szCs w:val="21"/>
                <w:highlight w:val="none"/>
              </w:rPr>
            </w:pPr>
          </w:p>
        </w:tc>
      </w:tr>
      <w:tr w14:paraId="17F6B9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17D8B82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noWrap w:val="0"/>
            <w:vAlign w:val="center"/>
          </w:tcPr>
          <w:p w14:paraId="55B77AFD">
            <w:pPr>
              <w:autoSpaceDE w:val="0"/>
              <w:autoSpaceDN w:val="0"/>
              <w:adjustRightInd w:val="0"/>
              <w:snapToGrid w:val="0"/>
              <w:jc w:val="center"/>
              <w:rPr>
                <w:rFonts w:ascii="宋体" w:hAnsi="宋体"/>
                <w:color w:val="auto"/>
                <w:kern w:val="0"/>
                <w:szCs w:val="21"/>
                <w:highlight w:val="none"/>
              </w:rPr>
            </w:pPr>
          </w:p>
        </w:tc>
      </w:tr>
      <w:tr w14:paraId="484054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039A0B5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noWrap w:val="0"/>
            <w:vAlign w:val="center"/>
          </w:tcPr>
          <w:p w14:paraId="54507466">
            <w:pPr>
              <w:autoSpaceDE w:val="0"/>
              <w:autoSpaceDN w:val="0"/>
              <w:adjustRightInd w:val="0"/>
              <w:snapToGrid w:val="0"/>
              <w:jc w:val="center"/>
              <w:rPr>
                <w:rFonts w:ascii="宋体" w:hAnsi="宋体"/>
                <w:color w:val="auto"/>
                <w:kern w:val="0"/>
                <w:szCs w:val="21"/>
                <w:highlight w:val="none"/>
              </w:rPr>
            </w:pPr>
          </w:p>
        </w:tc>
      </w:tr>
    </w:tbl>
    <w:p w14:paraId="48B1C882">
      <w:pPr>
        <w:spacing w:line="360" w:lineRule="auto"/>
        <w:jc w:val="center"/>
        <w:rPr>
          <w:rFonts w:ascii="宋体" w:hAnsi="宋体"/>
          <w:color w:val="auto"/>
          <w:szCs w:val="21"/>
          <w:highlight w:val="none"/>
        </w:rPr>
      </w:pPr>
    </w:p>
    <w:p w14:paraId="793D1E9E">
      <w:pPr>
        <w:pStyle w:val="5"/>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2259" w:name="_Toc509218863"/>
      <w:bookmarkStart w:id="2260" w:name="_Toc534185840"/>
      <w:bookmarkStart w:id="2261" w:name="_Toc26515"/>
      <w:r>
        <w:rPr>
          <w:rFonts w:hint="eastAsia" w:ascii="宋体" w:hAnsi="宋体"/>
          <w:b w:val="0"/>
          <w:bCs w:val="0"/>
          <w:color w:val="auto"/>
          <w:highlight w:val="none"/>
        </w:rPr>
        <w:t>（</w:t>
      </w:r>
      <w:r>
        <w:rPr>
          <w:rFonts w:hint="eastAsia" w:ascii="宋体" w:hAnsi="宋体"/>
          <w:b w:val="0"/>
          <w:bCs w:val="0"/>
          <w:color w:val="auto"/>
          <w:highlight w:val="none"/>
          <w:lang w:eastAsia="zh-CN"/>
        </w:rPr>
        <w:t>三</w:t>
      </w:r>
      <w:r>
        <w:rPr>
          <w:rFonts w:hint="eastAsia" w:ascii="宋体" w:hAnsi="宋体"/>
          <w:b w:val="0"/>
          <w:bCs w:val="0"/>
          <w:color w:val="auto"/>
          <w:highlight w:val="none"/>
        </w:rPr>
        <w:t>）项目管理机构</w:t>
      </w:r>
      <w:bookmarkEnd w:id="2259"/>
      <w:bookmarkEnd w:id="2260"/>
      <w:bookmarkEnd w:id="2261"/>
    </w:p>
    <w:p w14:paraId="3C7B7C97">
      <w:pPr>
        <w:spacing w:line="360" w:lineRule="auto"/>
        <w:rPr>
          <w:rFonts w:ascii="宋体" w:hAnsi="宋体"/>
          <w:color w:val="auto"/>
          <w:highlight w:val="none"/>
        </w:rPr>
      </w:pPr>
    </w:p>
    <w:p w14:paraId="33C3C0D6">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29632F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noWrap w:val="0"/>
            <w:vAlign w:val="center"/>
          </w:tcPr>
          <w:p w14:paraId="3AF5092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noWrap w:val="0"/>
            <w:vAlign w:val="center"/>
          </w:tcPr>
          <w:p w14:paraId="3F8F628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noWrap w:val="0"/>
            <w:vAlign w:val="center"/>
          </w:tcPr>
          <w:p w14:paraId="70269AB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noWrap w:val="0"/>
            <w:vAlign w:val="center"/>
          </w:tcPr>
          <w:p w14:paraId="1FF06EE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noWrap w:val="0"/>
            <w:vAlign w:val="center"/>
          </w:tcPr>
          <w:p w14:paraId="537C5D3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4467B3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noWrap w:val="0"/>
            <w:vAlign w:val="top"/>
          </w:tcPr>
          <w:p w14:paraId="4F3CA166">
            <w:pPr>
              <w:autoSpaceDE w:val="0"/>
              <w:autoSpaceDN w:val="0"/>
              <w:adjustRightInd w:val="0"/>
              <w:snapToGrid w:val="0"/>
              <w:jc w:val="left"/>
              <w:rPr>
                <w:rFonts w:ascii="宋体" w:hAnsi="宋体"/>
                <w:color w:val="auto"/>
                <w:kern w:val="0"/>
                <w:szCs w:val="21"/>
                <w:highlight w:val="none"/>
              </w:rPr>
            </w:pPr>
          </w:p>
        </w:tc>
        <w:tc>
          <w:tcPr>
            <w:tcW w:w="734" w:type="dxa"/>
            <w:vMerge w:val="continue"/>
            <w:noWrap w:val="0"/>
            <w:vAlign w:val="top"/>
          </w:tcPr>
          <w:p w14:paraId="2125DFD4">
            <w:pPr>
              <w:autoSpaceDE w:val="0"/>
              <w:autoSpaceDN w:val="0"/>
              <w:adjustRightInd w:val="0"/>
              <w:snapToGrid w:val="0"/>
              <w:jc w:val="left"/>
              <w:rPr>
                <w:rFonts w:ascii="宋体" w:hAnsi="宋体"/>
                <w:color w:val="auto"/>
                <w:kern w:val="0"/>
                <w:szCs w:val="21"/>
                <w:highlight w:val="none"/>
              </w:rPr>
            </w:pPr>
          </w:p>
        </w:tc>
        <w:tc>
          <w:tcPr>
            <w:tcW w:w="776" w:type="dxa"/>
            <w:vMerge w:val="continue"/>
            <w:noWrap w:val="0"/>
            <w:vAlign w:val="top"/>
          </w:tcPr>
          <w:p w14:paraId="50021CFB">
            <w:pPr>
              <w:autoSpaceDE w:val="0"/>
              <w:autoSpaceDN w:val="0"/>
              <w:adjustRightInd w:val="0"/>
              <w:snapToGrid w:val="0"/>
              <w:jc w:val="left"/>
              <w:rPr>
                <w:rFonts w:ascii="宋体" w:hAnsi="宋体"/>
                <w:color w:val="auto"/>
                <w:kern w:val="0"/>
                <w:szCs w:val="21"/>
                <w:highlight w:val="none"/>
              </w:rPr>
            </w:pPr>
          </w:p>
        </w:tc>
        <w:tc>
          <w:tcPr>
            <w:tcW w:w="1167" w:type="dxa"/>
            <w:noWrap w:val="0"/>
            <w:vAlign w:val="center"/>
          </w:tcPr>
          <w:p w14:paraId="587B3CF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noWrap w:val="0"/>
            <w:vAlign w:val="center"/>
          </w:tcPr>
          <w:p w14:paraId="2C50F8F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noWrap w:val="0"/>
            <w:vAlign w:val="center"/>
          </w:tcPr>
          <w:p w14:paraId="43B042B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noWrap w:val="0"/>
            <w:vAlign w:val="center"/>
          </w:tcPr>
          <w:p w14:paraId="6B94E2B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noWrap w:val="0"/>
            <w:vAlign w:val="center"/>
          </w:tcPr>
          <w:p w14:paraId="0BEC1E3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noWrap w:val="0"/>
            <w:vAlign w:val="top"/>
          </w:tcPr>
          <w:p w14:paraId="5DE50652">
            <w:pPr>
              <w:autoSpaceDE w:val="0"/>
              <w:autoSpaceDN w:val="0"/>
              <w:adjustRightInd w:val="0"/>
              <w:snapToGrid w:val="0"/>
              <w:jc w:val="left"/>
              <w:rPr>
                <w:rFonts w:ascii="宋体" w:hAnsi="宋体"/>
                <w:color w:val="auto"/>
                <w:kern w:val="0"/>
                <w:szCs w:val="21"/>
                <w:highlight w:val="none"/>
              </w:rPr>
            </w:pPr>
          </w:p>
        </w:tc>
      </w:tr>
      <w:tr w14:paraId="25FA99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center"/>
          </w:tcPr>
          <w:p w14:paraId="4F780A3D">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noWrap w:val="0"/>
            <w:vAlign w:val="top"/>
          </w:tcPr>
          <w:p w14:paraId="10FE5C34">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33C14903">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7C1A78AB">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776B1261">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6B1DC15F">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38F3626A">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16828F9B">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65EBA26A">
            <w:pPr>
              <w:autoSpaceDE w:val="0"/>
              <w:autoSpaceDN w:val="0"/>
              <w:adjustRightInd w:val="0"/>
              <w:snapToGrid w:val="0"/>
              <w:jc w:val="left"/>
              <w:rPr>
                <w:rFonts w:ascii="宋体" w:hAnsi="宋体"/>
                <w:color w:val="auto"/>
                <w:kern w:val="0"/>
                <w:szCs w:val="21"/>
                <w:highlight w:val="none"/>
              </w:rPr>
            </w:pPr>
          </w:p>
        </w:tc>
      </w:tr>
      <w:tr w14:paraId="024594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noWrap w:val="0"/>
            <w:vAlign w:val="center"/>
          </w:tcPr>
          <w:p w14:paraId="6EE3858F">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noWrap w:val="0"/>
            <w:vAlign w:val="top"/>
          </w:tcPr>
          <w:p w14:paraId="11642909">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69BDC30C">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053CB175">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04A4C559">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7B7FF508">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3A9548A2">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0BCF132E">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357553D4">
            <w:pPr>
              <w:autoSpaceDE w:val="0"/>
              <w:autoSpaceDN w:val="0"/>
              <w:adjustRightInd w:val="0"/>
              <w:snapToGrid w:val="0"/>
              <w:jc w:val="left"/>
              <w:rPr>
                <w:rFonts w:ascii="宋体" w:hAnsi="宋体"/>
                <w:color w:val="auto"/>
                <w:kern w:val="0"/>
                <w:szCs w:val="21"/>
                <w:highlight w:val="none"/>
              </w:rPr>
            </w:pPr>
          </w:p>
        </w:tc>
      </w:tr>
      <w:tr w14:paraId="62302D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18BBBA97">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2E810219">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13F9648B">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3AD0FCCA">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705501B0">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5FF87AFB">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6BE2E548">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6FCA8EE3">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7070714B">
            <w:pPr>
              <w:autoSpaceDE w:val="0"/>
              <w:autoSpaceDN w:val="0"/>
              <w:adjustRightInd w:val="0"/>
              <w:snapToGrid w:val="0"/>
              <w:jc w:val="left"/>
              <w:rPr>
                <w:rFonts w:ascii="宋体" w:hAnsi="宋体"/>
                <w:color w:val="auto"/>
                <w:kern w:val="0"/>
                <w:szCs w:val="21"/>
                <w:highlight w:val="none"/>
              </w:rPr>
            </w:pPr>
          </w:p>
        </w:tc>
      </w:tr>
      <w:tr w14:paraId="4486C9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03978E2E">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57029E63">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643F9209">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1F4BE36D">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3064E566">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3F9C4AB1">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3FE7164E">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75E275A1">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29285F16">
            <w:pPr>
              <w:autoSpaceDE w:val="0"/>
              <w:autoSpaceDN w:val="0"/>
              <w:adjustRightInd w:val="0"/>
              <w:snapToGrid w:val="0"/>
              <w:jc w:val="left"/>
              <w:rPr>
                <w:rFonts w:ascii="宋体" w:hAnsi="宋体"/>
                <w:color w:val="auto"/>
                <w:kern w:val="0"/>
                <w:szCs w:val="21"/>
                <w:highlight w:val="none"/>
              </w:rPr>
            </w:pPr>
          </w:p>
        </w:tc>
      </w:tr>
      <w:tr w14:paraId="587CFA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0FF2ACAF">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5F6818CD">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03B21936">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5303B389">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2C058B4C">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3667CC17">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3D0D0628">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6B18A9F8">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3C1EFD96">
            <w:pPr>
              <w:autoSpaceDE w:val="0"/>
              <w:autoSpaceDN w:val="0"/>
              <w:adjustRightInd w:val="0"/>
              <w:snapToGrid w:val="0"/>
              <w:jc w:val="left"/>
              <w:rPr>
                <w:rFonts w:ascii="宋体" w:hAnsi="宋体"/>
                <w:color w:val="auto"/>
                <w:kern w:val="0"/>
                <w:szCs w:val="21"/>
                <w:highlight w:val="none"/>
              </w:rPr>
            </w:pPr>
          </w:p>
        </w:tc>
      </w:tr>
      <w:tr w14:paraId="44EE2A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61A0EDB6">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7B7B43D5">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154F511B">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683D81E9">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7F241878">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136E1E96">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641F0D82">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29270205">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0F00B331">
            <w:pPr>
              <w:autoSpaceDE w:val="0"/>
              <w:autoSpaceDN w:val="0"/>
              <w:adjustRightInd w:val="0"/>
              <w:snapToGrid w:val="0"/>
              <w:jc w:val="left"/>
              <w:rPr>
                <w:rFonts w:ascii="宋体" w:hAnsi="宋体"/>
                <w:color w:val="auto"/>
                <w:kern w:val="0"/>
                <w:szCs w:val="21"/>
                <w:highlight w:val="none"/>
              </w:rPr>
            </w:pPr>
          </w:p>
        </w:tc>
      </w:tr>
      <w:tr w14:paraId="0F0CB9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2F484435">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1DA845A9">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41BD5B1E">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543B8DD9">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5E14519F">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058B6FF9">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2AF437B1">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38B6536D">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0387CE1E">
            <w:pPr>
              <w:autoSpaceDE w:val="0"/>
              <w:autoSpaceDN w:val="0"/>
              <w:adjustRightInd w:val="0"/>
              <w:snapToGrid w:val="0"/>
              <w:jc w:val="left"/>
              <w:rPr>
                <w:rFonts w:ascii="宋体" w:hAnsi="宋体"/>
                <w:color w:val="auto"/>
                <w:kern w:val="0"/>
                <w:szCs w:val="21"/>
                <w:highlight w:val="none"/>
              </w:rPr>
            </w:pPr>
          </w:p>
        </w:tc>
      </w:tr>
      <w:tr w14:paraId="4523C9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4A016641">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074E9478">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0723A0E2">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16CA4799">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4AC14149">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07A57882">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0448316C">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18DCC978">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74B8420D">
            <w:pPr>
              <w:autoSpaceDE w:val="0"/>
              <w:autoSpaceDN w:val="0"/>
              <w:adjustRightInd w:val="0"/>
              <w:snapToGrid w:val="0"/>
              <w:jc w:val="left"/>
              <w:rPr>
                <w:rFonts w:ascii="宋体" w:hAnsi="宋体"/>
                <w:color w:val="auto"/>
                <w:kern w:val="0"/>
                <w:szCs w:val="21"/>
                <w:highlight w:val="none"/>
              </w:rPr>
            </w:pPr>
          </w:p>
        </w:tc>
      </w:tr>
      <w:tr w14:paraId="5A91DB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1F38568A">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03EB820D">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635E7314">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51909164">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28E98E02">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776B7EE4">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21D3B514">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0692D63B">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562D8091">
            <w:pPr>
              <w:autoSpaceDE w:val="0"/>
              <w:autoSpaceDN w:val="0"/>
              <w:adjustRightInd w:val="0"/>
              <w:snapToGrid w:val="0"/>
              <w:jc w:val="left"/>
              <w:rPr>
                <w:rFonts w:ascii="宋体" w:hAnsi="宋体"/>
                <w:color w:val="auto"/>
                <w:kern w:val="0"/>
                <w:szCs w:val="21"/>
                <w:highlight w:val="none"/>
              </w:rPr>
            </w:pPr>
          </w:p>
        </w:tc>
      </w:tr>
      <w:tr w14:paraId="147A11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29444D7C">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6FB14380">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291565C2">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57F57553">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2A9311A7">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7103F351">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733EB7AE">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5A3BD12E">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72771751">
            <w:pPr>
              <w:autoSpaceDE w:val="0"/>
              <w:autoSpaceDN w:val="0"/>
              <w:adjustRightInd w:val="0"/>
              <w:snapToGrid w:val="0"/>
              <w:jc w:val="left"/>
              <w:rPr>
                <w:rFonts w:ascii="宋体" w:hAnsi="宋体"/>
                <w:color w:val="auto"/>
                <w:kern w:val="0"/>
                <w:szCs w:val="21"/>
                <w:highlight w:val="none"/>
              </w:rPr>
            </w:pPr>
          </w:p>
        </w:tc>
      </w:tr>
      <w:tr w14:paraId="2FD516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43E57254">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1AC58412">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50C68880">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6EF5E2E5">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61D056F7">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4A002740">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5A206360">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0FA78D14">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1CCE000F">
            <w:pPr>
              <w:autoSpaceDE w:val="0"/>
              <w:autoSpaceDN w:val="0"/>
              <w:adjustRightInd w:val="0"/>
              <w:snapToGrid w:val="0"/>
              <w:jc w:val="left"/>
              <w:rPr>
                <w:rFonts w:ascii="宋体" w:hAnsi="宋体"/>
                <w:color w:val="auto"/>
                <w:kern w:val="0"/>
                <w:szCs w:val="21"/>
                <w:highlight w:val="none"/>
              </w:rPr>
            </w:pPr>
          </w:p>
        </w:tc>
      </w:tr>
      <w:tr w14:paraId="2D50A5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7F27E6A7">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26769080">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27AA4B42">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6EE46F63">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18EE7070">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701AACD1">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62A962EF">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06B8B415">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561DDA3C">
            <w:pPr>
              <w:autoSpaceDE w:val="0"/>
              <w:autoSpaceDN w:val="0"/>
              <w:adjustRightInd w:val="0"/>
              <w:snapToGrid w:val="0"/>
              <w:jc w:val="left"/>
              <w:rPr>
                <w:rFonts w:ascii="宋体" w:hAnsi="宋体"/>
                <w:color w:val="auto"/>
                <w:kern w:val="0"/>
                <w:szCs w:val="21"/>
                <w:highlight w:val="none"/>
              </w:rPr>
            </w:pPr>
          </w:p>
        </w:tc>
      </w:tr>
      <w:tr w14:paraId="3F9F3E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08D0C50F">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29F0561A">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587175EE">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0FE00D00">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3371AFAB">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082A1701">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7BA49CFB">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0FFFCB75">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153CA475">
            <w:pPr>
              <w:autoSpaceDE w:val="0"/>
              <w:autoSpaceDN w:val="0"/>
              <w:adjustRightInd w:val="0"/>
              <w:snapToGrid w:val="0"/>
              <w:jc w:val="left"/>
              <w:rPr>
                <w:rFonts w:ascii="宋体" w:hAnsi="宋体"/>
                <w:color w:val="auto"/>
                <w:kern w:val="0"/>
                <w:szCs w:val="21"/>
                <w:highlight w:val="none"/>
              </w:rPr>
            </w:pPr>
          </w:p>
        </w:tc>
      </w:tr>
      <w:tr w14:paraId="4D91E5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72536CA3">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5151BA30">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68026E01">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0D4B688A">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346D4DC1">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07D79E31">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59D164CB">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698D7AB7">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107E9034">
            <w:pPr>
              <w:autoSpaceDE w:val="0"/>
              <w:autoSpaceDN w:val="0"/>
              <w:adjustRightInd w:val="0"/>
              <w:snapToGrid w:val="0"/>
              <w:jc w:val="left"/>
              <w:rPr>
                <w:rFonts w:ascii="宋体" w:hAnsi="宋体"/>
                <w:color w:val="auto"/>
                <w:kern w:val="0"/>
                <w:szCs w:val="21"/>
                <w:highlight w:val="none"/>
              </w:rPr>
            </w:pPr>
          </w:p>
        </w:tc>
      </w:tr>
      <w:tr w14:paraId="5A77AF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67434AB9">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324A50E0">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4376EE69">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189C78C1">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57C03988">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53AF9382">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089A0303">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5CAB56FF">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400DC1F3">
            <w:pPr>
              <w:autoSpaceDE w:val="0"/>
              <w:autoSpaceDN w:val="0"/>
              <w:adjustRightInd w:val="0"/>
              <w:snapToGrid w:val="0"/>
              <w:jc w:val="left"/>
              <w:rPr>
                <w:rFonts w:ascii="宋体" w:hAnsi="宋体"/>
                <w:color w:val="auto"/>
                <w:kern w:val="0"/>
                <w:szCs w:val="21"/>
                <w:highlight w:val="none"/>
              </w:rPr>
            </w:pPr>
          </w:p>
        </w:tc>
      </w:tr>
      <w:tr w14:paraId="68810F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2610C76B">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478AE76A">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01F1E0A6">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33543A28">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7FF1B33E">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12F0C75E">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3BE2E35E">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27DD10B3">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046C0114">
            <w:pPr>
              <w:autoSpaceDE w:val="0"/>
              <w:autoSpaceDN w:val="0"/>
              <w:adjustRightInd w:val="0"/>
              <w:snapToGrid w:val="0"/>
              <w:jc w:val="left"/>
              <w:rPr>
                <w:rFonts w:ascii="宋体" w:hAnsi="宋体"/>
                <w:color w:val="auto"/>
                <w:kern w:val="0"/>
                <w:szCs w:val="21"/>
                <w:highlight w:val="none"/>
              </w:rPr>
            </w:pPr>
          </w:p>
        </w:tc>
      </w:tr>
      <w:tr w14:paraId="465A58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645284A4">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380A4C20">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22830BB4">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10ED776F">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7CE4F453">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642F8B87">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2BFF0D98">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3C0FFE9F">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06E96B49">
            <w:pPr>
              <w:autoSpaceDE w:val="0"/>
              <w:autoSpaceDN w:val="0"/>
              <w:adjustRightInd w:val="0"/>
              <w:snapToGrid w:val="0"/>
              <w:jc w:val="left"/>
              <w:rPr>
                <w:rFonts w:ascii="宋体" w:hAnsi="宋体"/>
                <w:color w:val="auto"/>
                <w:kern w:val="0"/>
                <w:szCs w:val="21"/>
                <w:highlight w:val="none"/>
              </w:rPr>
            </w:pPr>
          </w:p>
        </w:tc>
      </w:tr>
      <w:tr w14:paraId="19EA8D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noWrap w:val="0"/>
            <w:vAlign w:val="top"/>
          </w:tcPr>
          <w:p w14:paraId="59CB5F19">
            <w:pPr>
              <w:autoSpaceDE w:val="0"/>
              <w:autoSpaceDN w:val="0"/>
              <w:adjustRightInd w:val="0"/>
              <w:snapToGrid w:val="0"/>
              <w:jc w:val="left"/>
              <w:rPr>
                <w:rFonts w:ascii="宋体" w:hAnsi="宋体"/>
                <w:color w:val="auto"/>
                <w:kern w:val="0"/>
                <w:szCs w:val="21"/>
                <w:highlight w:val="none"/>
              </w:rPr>
            </w:pPr>
          </w:p>
        </w:tc>
        <w:tc>
          <w:tcPr>
            <w:tcW w:w="734" w:type="dxa"/>
            <w:noWrap w:val="0"/>
            <w:vAlign w:val="top"/>
          </w:tcPr>
          <w:p w14:paraId="2FF932D8">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7920A88B">
            <w:pPr>
              <w:autoSpaceDE w:val="0"/>
              <w:autoSpaceDN w:val="0"/>
              <w:adjustRightInd w:val="0"/>
              <w:snapToGrid w:val="0"/>
              <w:jc w:val="left"/>
              <w:rPr>
                <w:rFonts w:ascii="宋体" w:hAnsi="宋体"/>
                <w:color w:val="auto"/>
                <w:kern w:val="0"/>
                <w:szCs w:val="21"/>
                <w:highlight w:val="none"/>
              </w:rPr>
            </w:pPr>
          </w:p>
        </w:tc>
        <w:tc>
          <w:tcPr>
            <w:tcW w:w="1167" w:type="dxa"/>
            <w:noWrap w:val="0"/>
            <w:vAlign w:val="top"/>
          </w:tcPr>
          <w:p w14:paraId="27A33AC9">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4CA45E0D">
            <w:pPr>
              <w:autoSpaceDE w:val="0"/>
              <w:autoSpaceDN w:val="0"/>
              <w:adjustRightInd w:val="0"/>
              <w:snapToGrid w:val="0"/>
              <w:jc w:val="left"/>
              <w:rPr>
                <w:rFonts w:ascii="宋体" w:hAnsi="宋体"/>
                <w:color w:val="auto"/>
                <w:kern w:val="0"/>
                <w:szCs w:val="21"/>
                <w:highlight w:val="none"/>
              </w:rPr>
            </w:pPr>
          </w:p>
        </w:tc>
        <w:tc>
          <w:tcPr>
            <w:tcW w:w="778" w:type="dxa"/>
            <w:noWrap w:val="0"/>
            <w:vAlign w:val="top"/>
          </w:tcPr>
          <w:p w14:paraId="77BBDAC3">
            <w:pPr>
              <w:autoSpaceDE w:val="0"/>
              <w:autoSpaceDN w:val="0"/>
              <w:adjustRightInd w:val="0"/>
              <w:snapToGrid w:val="0"/>
              <w:jc w:val="left"/>
              <w:rPr>
                <w:rFonts w:ascii="宋体" w:hAnsi="宋体"/>
                <w:color w:val="auto"/>
                <w:kern w:val="0"/>
                <w:szCs w:val="21"/>
                <w:highlight w:val="none"/>
              </w:rPr>
            </w:pPr>
          </w:p>
        </w:tc>
        <w:tc>
          <w:tcPr>
            <w:tcW w:w="776" w:type="dxa"/>
            <w:noWrap w:val="0"/>
            <w:vAlign w:val="top"/>
          </w:tcPr>
          <w:p w14:paraId="24FBA1D7">
            <w:pPr>
              <w:autoSpaceDE w:val="0"/>
              <w:autoSpaceDN w:val="0"/>
              <w:adjustRightInd w:val="0"/>
              <w:snapToGrid w:val="0"/>
              <w:jc w:val="left"/>
              <w:rPr>
                <w:rFonts w:ascii="宋体" w:hAnsi="宋体"/>
                <w:color w:val="auto"/>
                <w:kern w:val="0"/>
                <w:szCs w:val="21"/>
                <w:highlight w:val="none"/>
              </w:rPr>
            </w:pPr>
          </w:p>
        </w:tc>
        <w:tc>
          <w:tcPr>
            <w:tcW w:w="2723" w:type="dxa"/>
            <w:noWrap w:val="0"/>
            <w:vAlign w:val="top"/>
          </w:tcPr>
          <w:p w14:paraId="4C084C6E">
            <w:pPr>
              <w:autoSpaceDE w:val="0"/>
              <w:autoSpaceDN w:val="0"/>
              <w:adjustRightInd w:val="0"/>
              <w:snapToGrid w:val="0"/>
              <w:jc w:val="left"/>
              <w:rPr>
                <w:rFonts w:ascii="宋体" w:hAnsi="宋体"/>
                <w:color w:val="auto"/>
                <w:kern w:val="0"/>
                <w:szCs w:val="21"/>
                <w:highlight w:val="none"/>
              </w:rPr>
            </w:pPr>
          </w:p>
        </w:tc>
        <w:tc>
          <w:tcPr>
            <w:tcW w:w="896" w:type="dxa"/>
            <w:noWrap w:val="0"/>
            <w:vAlign w:val="top"/>
          </w:tcPr>
          <w:p w14:paraId="6600224D">
            <w:pPr>
              <w:autoSpaceDE w:val="0"/>
              <w:autoSpaceDN w:val="0"/>
              <w:adjustRightInd w:val="0"/>
              <w:snapToGrid w:val="0"/>
              <w:jc w:val="left"/>
              <w:rPr>
                <w:rFonts w:ascii="宋体" w:hAnsi="宋体"/>
                <w:color w:val="auto"/>
                <w:kern w:val="0"/>
                <w:szCs w:val="21"/>
                <w:highlight w:val="none"/>
              </w:rPr>
            </w:pPr>
          </w:p>
        </w:tc>
      </w:tr>
    </w:tbl>
    <w:p w14:paraId="13C4036B">
      <w:pPr>
        <w:spacing w:line="20" w:lineRule="exact"/>
        <w:jc w:val="center"/>
        <w:rPr>
          <w:rFonts w:ascii="宋体" w:hAnsi="宋体"/>
          <w:color w:val="auto"/>
          <w:szCs w:val="21"/>
          <w:highlight w:val="none"/>
        </w:rPr>
      </w:pPr>
    </w:p>
    <w:p w14:paraId="46FE8995">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bookmarkEnd w:id="2257"/>
      <w:bookmarkEnd w:id="2258"/>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4C741D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14:paraId="01A6BCDA">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noWrap w:val="0"/>
            <w:vAlign w:val="center"/>
          </w:tcPr>
          <w:p w14:paraId="3FC4F19B">
            <w:pPr>
              <w:autoSpaceDE w:val="0"/>
              <w:autoSpaceDN w:val="0"/>
              <w:adjustRightInd w:val="0"/>
              <w:snapToGrid w:val="0"/>
              <w:jc w:val="center"/>
              <w:rPr>
                <w:rFonts w:ascii="宋体" w:hAnsi="宋体"/>
                <w:color w:val="auto"/>
                <w:kern w:val="0"/>
                <w:szCs w:val="21"/>
                <w:highlight w:val="none"/>
              </w:rPr>
            </w:pPr>
          </w:p>
        </w:tc>
        <w:tc>
          <w:tcPr>
            <w:tcW w:w="1020" w:type="dxa"/>
            <w:noWrap w:val="0"/>
            <w:vAlign w:val="center"/>
          </w:tcPr>
          <w:p w14:paraId="6FE0CED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noWrap w:val="0"/>
            <w:vAlign w:val="center"/>
          </w:tcPr>
          <w:p w14:paraId="31173FD3">
            <w:pPr>
              <w:autoSpaceDE w:val="0"/>
              <w:autoSpaceDN w:val="0"/>
              <w:adjustRightInd w:val="0"/>
              <w:snapToGrid w:val="0"/>
              <w:jc w:val="center"/>
              <w:rPr>
                <w:rFonts w:ascii="宋体" w:hAnsi="宋体"/>
                <w:color w:val="auto"/>
                <w:kern w:val="0"/>
                <w:szCs w:val="21"/>
                <w:highlight w:val="none"/>
              </w:rPr>
            </w:pPr>
          </w:p>
        </w:tc>
        <w:tc>
          <w:tcPr>
            <w:tcW w:w="2346" w:type="dxa"/>
            <w:gridSpan w:val="3"/>
            <w:noWrap w:val="0"/>
            <w:vAlign w:val="center"/>
          </w:tcPr>
          <w:p w14:paraId="6991423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noWrap w:val="0"/>
            <w:vAlign w:val="center"/>
          </w:tcPr>
          <w:p w14:paraId="66A34D17">
            <w:pPr>
              <w:autoSpaceDE w:val="0"/>
              <w:autoSpaceDN w:val="0"/>
              <w:adjustRightInd w:val="0"/>
              <w:snapToGrid w:val="0"/>
              <w:jc w:val="center"/>
              <w:rPr>
                <w:rFonts w:ascii="宋体" w:hAnsi="宋体"/>
                <w:color w:val="auto"/>
                <w:kern w:val="0"/>
                <w:szCs w:val="21"/>
                <w:highlight w:val="none"/>
              </w:rPr>
            </w:pPr>
          </w:p>
        </w:tc>
      </w:tr>
      <w:tr w14:paraId="5C3F55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14:paraId="54AE8F01">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noWrap w:val="0"/>
            <w:vAlign w:val="center"/>
          </w:tcPr>
          <w:p w14:paraId="4DC77DE2">
            <w:pPr>
              <w:autoSpaceDE w:val="0"/>
              <w:autoSpaceDN w:val="0"/>
              <w:adjustRightInd w:val="0"/>
              <w:snapToGrid w:val="0"/>
              <w:jc w:val="center"/>
              <w:rPr>
                <w:rFonts w:ascii="宋体" w:hAnsi="宋体"/>
                <w:color w:val="auto"/>
                <w:kern w:val="0"/>
                <w:szCs w:val="21"/>
                <w:highlight w:val="none"/>
              </w:rPr>
            </w:pPr>
          </w:p>
        </w:tc>
        <w:tc>
          <w:tcPr>
            <w:tcW w:w="1020" w:type="dxa"/>
            <w:noWrap w:val="0"/>
            <w:vAlign w:val="center"/>
          </w:tcPr>
          <w:p w14:paraId="5E20588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noWrap w:val="0"/>
            <w:vAlign w:val="center"/>
          </w:tcPr>
          <w:p w14:paraId="3C51D575">
            <w:pPr>
              <w:autoSpaceDE w:val="0"/>
              <w:autoSpaceDN w:val="0"/>
              <w:adjustRightInd w:val="0"/>
              <w:snapToGrid w:val="0"/>
              <w:jc w:val="center"/>
              <w:rPr>
                <w:rFonts w:ascii="宋体" w:hAnsi="宋体"/>
                <w:color w:val="auto"/>
                <w:kern w:val="0"/>
                <w:szCs w:val="21"/>
                <w:highlight w:val="none"/>
              </w:rPr>
            </w:pPr>
          </w:p>
        </w:tc>
        <w:tc>
          <w:tcPr>
            <w:tcW w:w="2346" w:type="dxa"/>
            <w:gridSpan w:val="3"/>
            <w:noWrap w:val="0"/>
            <w:vAlign w:val="center"/>
          </w:tcPr>
          <w:p w14:paraId="7A12FD8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noWrap w:val="0"/>
            <w:vAlign w:val="center"/>
          </w:tcPr>
          <w:p w14:paraId="0119597B">
            <w:pPr>
              <w:autoSpaceDE w:val="0"/>
              <w:autoSpaceDN w:val="0"/>
              <w:adjustRightInd w:val="0"/>
              <w:snapToGrid w:val="0"/>
              <w:jc w:val="center"/>
              <w:rPr>
                <w:rFonts w:ascii="宋体" w:hAnsi="宋体"/>
                <w:color w:val="auto"/>
                <w:kern w:val="0"/>
                <w:szCs w:val="21"/>
                <w:highlight w:val="none"/>
              </w:rPr>
            </w:pPr>
          </w:p>
        </w:tc>
      </w:tr>
      <w:tr w14:paraId="0B1EC2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14:paraId="52DBA57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noWrap w:val="0"/>
            <w:vAlign w:val="center"/>
          </w:tcPr>
          <w:p w14:paraId="2CA44F3E">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268EB9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noWrap w:val="0"/>
            <w:vAlign w:val="center"/>
          </w:tcPr>
          <w:p w14:paraId="5FBE757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10E3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536DB7FD">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noWrap w:val="0"/>
            <w:vAlign w:val="center"/>
          </w:tcPr>
          <w:p w14:paraId="5198CB8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noWrap w:val="0"/>
            <w:vAlign w:val="center"/>
          </w:tcPr>
          <w:p w14:paraId="746E86F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noWrap w:val="0"/>
            <w:vAlign w:val="center"/>
          </w:tcPr>
          <w:p w14:paraId="1F4FC88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50E7AC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73997A9B">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59DBC4AC">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38DBC927">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0388A958">
            <w:pPr>
              <w:autoSpaceDE w:val="0"/>
              <w:autoSpaceDN w:val="0"/>
              <w:adjustRightInd w:val="0"/>
              <w:snapToGrid w:val="0"/>
              <w:jc w:val="center"/>
              <w:rPr>
                <w:rFonts w:ascii="宋体" w:hAnsi="宋体"/>
                <w:color w:val="auto"/>
                <w:kern w:val="0"/>
                <w:szCs w:val="21"/>
                <w:highlight w:val="none"/>
              </w:rPr>
            </w:pPr>
          </w:p>
        </w:tc>
      </w:tr>
      <w:tr w14:paraId="208941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18962BF2">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02034936">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7A5044AC">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3382CCE8">
            <w:pPr>
              <w:autoSpaceDE w:val="0"/>
              <w:autoSpaceDN w:val="0"/>
              <w:adjustRightInd w:val="0"/>
              <w:snapToGrid w:val="0"/>
              <w:jc w:val="center"/>
              <w:rPr>
                <w:rFonts w:ascii="宋体" w:hAnsi="宋体"/>
                <w:color w:val="auto"/>
                <w:kern w:val="0"/>
                <w:szCs w:val="21"/>
                <w:highlight w:val="none"/>
              </w:rPr>
            </w:pPr>
          </w:p>
        </w:tc>
      </w:tr>
      <w:tr w14:paraId="6DD3BF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331EC256">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14FC1341">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377208F7">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56C1F20D">
            <w:pPr>
              <w:autoSpaceDE w:val="0"/>
              <w:autoSpaceDN w:val="0"/>
              <w:adjustRightInd w:val="0"/>
              <w:snapToGrid w:val="0"/>
              <w:jc w:val="center"/>
              <w:rPr>
                <w:rFonts w:ascii="宋体" w:hAnsi="宋体"/>
                <w:color w:val="auto"/>
                <w:kern w:val="0"/>
                <w:szCs w:val="21"/>
                <w:highlight w:val="none"/>
              </w:rPr>
            </w:pPr>
          </w:p>
        </w:tc>
      </w:tr>
      <w:tr w14:paraId="64B0F9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05A1044F">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05451F6C">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49C416DD">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17B14A3A">
            <w:pPr>
              <w:autoSpaceDE w:val="0"/>
              <w:autoSpaceDN w:val="0"/>
              <w:adjustRightInd w:val="0"/>
              <w:snapToGrid w:val="0"/>
              <w:jc w:val="center"/>
              <w:rPr>
                <w:rFonts w:ascii="宋体" w:hAnsi="宋体"/>
                <w:color w:val="auto"/>
                <w:kern w:val="0"/>
                <w:szCs w:val="21"/>
                <w:highlight w:val="none"/>
              </w:rPr>
            </w:pPr>
          </w:p>
        </w:tc>
      </w:tr>
      <w:tr w14:paraId="599E45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5281E544">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31D78129">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2941C3C3">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64CB9651">
            <w:pPr>
              <w:autoSpaceDE w:val="0"/>
              <w:autoSpaceDN w:val="0"/>
              <w:adjustRightInd w:val="0"/>
              <w:snapToGrid w:val="0"/>
              <w:jc w:val="center"/>
              <w:rPr>
                <w:rFonts w:ascii="宋体" w:hAnsi="宋体"/>
                <w:color w:val="auto"/>
                <w:kern w:val="0"/>
                <w:szCs w:val="21"/>
                <w:highlight w:val="none"/>
              </w:rPr>
            </w:pPr>
          </w:p>
        </w:tc>
      </w:tr>
      <w:tr w14:paraId="192C59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51722FFC">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30A56601">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2C53F268">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56932DFE">
            <w:pPr>
              <w:autoSpaceDE w:val="0"/>
              <w:autoSpaceDN w:val="0"/>
              <w:adjustRightInd w:val="0"/>
              <w:snapToGrid w:val="0"/>
              <w:jc w:val="center"/>
              <w:rPr>
                <w:rFonts w:ascii="宋体" w:hAnsi="宋体"/>
                <w:color w:val="auto"/>
                <w:kern w:val="0"/>
                <w:szCs w:val="21"/>
                <w:highlight w:val="none"/>
              </w:rPr>
            </w:pPr>
          </w:p>
        </w:tc>
      </w:tr>
      <w:tr w14:paraId="5F67C7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7081E15E">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393BE557">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56E298D0">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28B7C8A8">
            <w:pPr>
              <w:autoSpaceDE w:val="0"/>
              <w:autoSpaceDN w:val="0"/>
              <w:adjustRightInd w:val="0"/>
              <w:snapToGrid w:val="0"/>
              <w:jc w:val="center"/>
              <w:rPr>
                <w:rFonts w:ascii="宋体" w:hAnsi="宋体"/>
                <w:color w:val="auto"/>
                <w:kern w:val="0"/>
                <w:szCs w:val="21"/>
                <w:highlight w:val="none"/>
              </w:rPr>
            </w:pPr>
          </w:p>
        </w:tc>
      </w:tr>
      <w:tr w14:paraId="2D7F7E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061A170B">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3B831C0F">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5E3F55B2">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7FEFA426">
            <w:pPr>
              <w:autoSpaceDE w:val="0"/>
              <w:autoSpaceDN w:val="0"/>
              <w:adjustRightInd w:val="0"/>
              <w:snapToGrid w:val="0"/>
              <w:jc w:val="center"/>
              <w:rPr>
                <w:rFonts w:ascii="宋体" w:hAnsi="宋体"/>
                <w:color w:val="auto"/>
                <w:kern w:val="0"/>
                <w:szCs w:val="21"/>
                <w:highlight w:val="none"/>
              </w:rPr>
            </w:pPr>
          </w:p>
        </w:tc>
      </w:tr>
      <w:tr w14:paraId="50AF2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6BC4F15E">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35F8596C">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236E648A">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43B83AAE">
            <w:pPr>
              <w:autoSpaceDE w:val="0"/>
              <w:autoSpaceDN w:val="0"/>
              <w:adjustRightInd w:val="0"/>
              <w:snapToGrid w:val="0"/>
              <w:jc w:val="center"/>
              <w:rPr>
                <w:rFonts w:ascii="宋体" w:hAnsi="宋体"/>
                <w:color w:val="auto"/>
                <w:kern w:val="0"/>
                <w:szCs w:val="21"/>
                <w:highlight w:val="none"/>
              </w:rPr>
            </w:pPr>
          </w:p>
        </w:tc>
      </w:tr>
      <w:tr w14:paraId="192633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26249C8F">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17DF1D5E">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63AEFF4F">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6D89C12F">
            <w:pPr>
              <w:autoSpaceDE w:val="0"/>
              <w:autoSpaceDN w:val="0"/>
              <w:adjustRightInd w:val="0"/>
              <w:snapToGrid w:val="0"/>
              <w:jc w:val="center"/>
              <w:rPr>
                <w:rFonts w:ascii="宋体" w:hAnsi="宋体"/>
                <w:color w:val="auto"/>
                <w:kern w:val="0"/>
                <w:szCs w:val="21"/>
                <w:highlight w:val="none"/>
              </w:rPr>
            </w:pPr>
          </w:p>
        </w:tc>
      </w:tr>
      <w:tr w14:paraId="6FA833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7DAE7977">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002997CB">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4274AF89">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38ED893D">
            <w:pPr>
              <w:autoSpaceDE w:val="0"/>
              <w:autoSpaceDN w:val="0"/>
              <w:adjustRightInd w:val="0"/>
              <w:snapToGrid w:val="0"/>
              <w:jc w:val="center"/>
              <w:rPr>
                <w:rFonts w:ascii="宋体" w:hAnsi="宋体"/>
                <w:color w:val="auto"/>
                <w:kern w:val="0"/>
                <w:szCs w:val="21"/>
                <w:highlight w:val="none"/>
              </w:rPr>
            </w:pPr>
          </w:p>
        </w:tc>
      </w:tr>
      <w:tr w14:paraId="37AF36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60F8236C">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0D1BA924">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54F624B8">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159782F5">
            <w:pPr>
              <w:autoSpaceDE w:val="0"/>
              <w:autoSpaceDN w:val="0"/>
              <w:adjustRightInd w:val="0"/>
              <w:snapToGrid w:val="0"/>
              <w:jc w:val="center"/>
              <w:rPr>
                <w:rFonts w:ascii="宋体" w:hAnsi="宋体"/>
                <w:color w:val="auto"/>
                <w:kern w:val="0"/>
                <w:szCs w:val="21"/>
                <w:highlight w:val="none"/>
              </w:rPr>
            </w:pPr>
          </w:p>
        </w:tc>
      </w:tr>
      <w:tr w14:paraId="79174A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695B6040">
            <w:pPr>
              <w:autoSpaceDE w:val="0"/>
              <w:autoSpaceDN w:val="0"/>
              <w:adjustRightInd w:val="0"/>
              <w:snapToGrid w:val="0"/>
              <w:jc w:val="center"/>
              <w:rPr>
                <w:rFonts w:ascii="宋体" w:hAnsi="宋体"/>
                <w:color w:val="auto"/>
                <w:kern w:val="0"/>
                <w:szCs w:val="21"/>
                <w:highlight w:val="none"/>
              </w:rPr>
            </w:pPr>
          </w:p>
        </w:tc>
        <w:tc>
          <w:tcPr>
            <w:tcW w:w="3768" w:type="dxa"/>
            <w:gridSpan w:val="4"/>
            <w:noWrap w:val="0"/>
            <w:vAlign w:val="center"/>
          </w:tcPr>
          <w:p w14:paraId="07B9780F">
            <w:pPr>
              <w:autoSpaceDE w:val="0"/>
              <w:autoSpaceDN w:val="0"/>
              <w:adjustRightInd w:val="0"/>
              <w:snapToGrid w:val="0"/>
              <w:jc w:val="center"/>
              <w:rPr>
                <w:rFonts w:ascii="宋体" w:hAnsi="宋体"/>
                <w:color w:val="auto"/>
                <w:kern w:val="0"/>
                <w:szCs w:val="21"/>
                <w:highlight w:val="none"/>
              </w:rPr>
            </w:pPr>
          </w:p>
        </w:tc>
        <w:tc>
          <w:tcPr>
            <w:tcW w:w="1388" w:type="dxa"/>
            <w:noWrap w:val="0"/>
            <w:vAlign w:val="center"/>
          </w:tcPr>
          <w:p w14:paraId="17E7AF63">
            <w:pPr>
              <w:autoSpaceDE w:val="0"/>
              <w:autoSpaceDN w:val="0"/>
              <w:adjustRightInd w:val="0"/>
              <w:snapToGrid w:val="0"/>
              <w:jc w:val="center"/>
              <w:rPr>
                <w:rFonts w:ascii="宋体" w:hAnsi="宋体"/>
                <w:color w:val="auto"/>
                <w:kern w:val="0"/>
                <w:szCs w:val="21"/>
                <w:highlight w:val="none"/>
              </w:rPr>
            </w:pPr>
          </w:p>
        </w:tc>
        <w:tc>
          <w:tcPr>
            <w:tcW w:w="2706" w:type="dxa"/>
            <w:gridSpan w:val="2"/>
            <w:noWrap w:val="0"/>
            <w:vAlign w:val="center"/>
          </w:tcPr>
          <w:p w14:paraId="639F2F6B">
            <w:pPr>
              <w:autoSpaceDE w:val="0"/>
              <w:autoSpaceDN w:val="0"/>
              <w:adjustRightInd w:val="0"/>
              <w:snapToGrid w:val="0"/>
              <w:jc w:val="center"/>
              <w:rPr>
                <w:rFonts w:ascii="宋体" w:hAnsi="宋体"/>
                <w:color w:val="auto"/>
                <w:kern w:val="0"/>
                <w:szCs w:val="21"/>
                <w:highlight w:val="none"/>
              </w:rPr>
            </w:pPr>
          </w:p>
        </w:tc>
      </w:tr>
    </w:tbl>
    <w:p w14:paraId="35F54A23">
      <w:pPr>
        <w:spacing w:line="360" w:lineRule="auto"/>
        <w:rPr>
          <w:rFonts w:ascii="宋体" w:hAnsi="宋体"/>
          <w:color w:val="auto"/>
          <w:highlight w:val="none"/>
        </w:rPr>
      </w:pPr>
      <w:bookmarkStart w:id="2262" w:name="_Toc224103515"/>
    </w:p>
    <w:bookmarkEnd w:id="2262"/>
    <w:p w14:paraId="08E8CA02">
      <w:pPr>
        <w:pStyle w:val="5"/>
        <w:spacing w:before="0" w:line="360" w:lineRule="auto"/>
        <w:jc w:val="center"/>
        <w:rPr>
          <w:rFonts w:hint="eastAsia" w:ascii="宋体" w:hAnsi="宋体"/>
          <w:b w:val="0"/>
          <w:color w:val="auto"/>
          <w:highlight w:val="none"/>
        </w:rPr>
      </w:pPr>
      <w:bookmarkStart w:id="2263" w:name="_Toc287620839"/>
      <w:bookmarkStart w:id="2264" w:name="_Toc430530552"/>
      <w:bookmarkStart w:id="2265" w:name="_Toc277082663"/>
      <w:bookmarkStart w:id="2266" w:name="_Toc224103520"/>
      <w:bookmarkStart w:id="2267" w:name="_Toc287607893"/>
      <w:bookmarkStart w:id="2268" w:name="_Toc20895"/>
      <w:bookmarkStart w:id="2269" w:name="_Toc509218866"/>
      <w:bookmarkStart w:id="2270" w:name="_Toc534185843"/>
      <w:r>
        <w:rPr>
          <w:rFonts w:ascii="宋体" w:hAnsi="宋体"/>
          <w:b w:val="0"/>
          <w:color w:val="auto"/>
          <w:highlight w:val="none"/>
        </w:rPr>
        <w:t>（</w:t>
      </w:r>
      <w:r>
        <w:rPr>
          <w:rFonts w:hint="eastAsia" w:ascii="宋体" w:hAnsi="宋体"/>
          <w:b w:val="0"/>
          <w:color w:val="auto"/>
          <w:highlight w:val="none"/>
          <w:lang w:eastAsia="zh-CN"/>
        </w:rPr>
        <w:t>四</w:t>
      </w:r>
      <w:r>
        <w:rPr>
          <w:rFonts w:ascii="宋体" w:hAnsi="宋体"/>
          <w:b w:val="0"/>
          <w:color w:val="auto"/>
          <w:highlight w:val="none"/>
        </w:rPr>
        <w:t>）</w:t>
      </w:r>
      <w:bookmarkEnd w:id="2263"/>
      <w:bookmarkEnd w:id="2264"/>
      <w:bookmarkEnd w:id="2265"/>
      <w:bookmarkEnd w:id="2266"/>
      <w:bookmarkEnd w:id="2267"/>
      <w:r>
        <w:rPr>
          <w:rFonts w:hint="eastAsia" w:ascii="宋体" w:hAnsi="宋体"/>
          <w:b w:val="0"/>
          <w:color w:val="auto"/>
          <w:highlight w:val="none"/>
        </w:rPr>
        <w:t>承诺</w:t>
      </w:r>
      <w:bookmarkEnd w:id="2268"/>
    </w:p>
    <w:p w14:paraId="62EB6C0A">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人名称）</w:t>
      </w:r>
      <w:r>
        <w:rPr>
          <w:rFonts w:hint="eastAsia" w:ascii="宋体" w:hAnsi="宋体"/>
          <w:color w:val="auto"/>
          <w:szCs w:val="21"/>
          <w:highlight w:val="none"/>
        </w:rPr>
        <w:t>：</w:t>
      </w:r>
    </w:p>
    <w:p w14:paraId="17C145C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7F9F768B">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0BD8A773">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（1）被人民法院在“信用中国”网站（www.creditchina.gov.cn）列入失信被执行人名单且在被执行期内；</w:t>
      </w:r>
    </w:p>
    <w:p w14:paraId="5F8384D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（2）被列入《重庆市工程建设领域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投标信用管理暂行办法》规定的重点关注名单且记分达到12分且在记分有效期内；</w:t>
      </w:r>
    </w:p>
    <w:p w14:paraId="0CC6BAA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（3）被列入《重庆市工程建设领域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投标信用管理暂行办法》规定的黑名单且在记分有效期内；</w:t>
      </w:r>
    </w:p>
    <w:p w14:paraId="00441BD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0C73885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（5）被重庆市住房和城乡建设主管部门暂停在渝承揽新业务且在暂停期内。</w:t>
      </w:r>
    </w:p>
    <w:p w14:paraId="0F37078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公司拟派的项目经理中标后只能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auto"/>
          <w:szCs w:val="21"/>
          <w:highlight w:val="none"/>
          <w:lang w:eastAsia="zh-CN"/>
        </w:rPr>
        <w:t>比选</w:t>
      </w:r>
      <w:r>
        <w:rPr>
          <w:rFonts w:hint="eastAsia" w:ascii="宋体" w:hAnsi="宋体"/>
          <w:color w:val="auto"/>
          <w:szCs w:val="21"/>
          <w:highlight w:val="none"/>
        </w:rPr>
        <w:t>人造成损失的，我公司依法承担违约赔偿责任。</w:t>
      </w:r>
    </w:p>
    <w:p w14:paraId="21AFEEB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我公司拟派的项目经理未被我市住房和城乡建设主管部门暂停在渝承揽新业务，若被暂停且参加投标的投标将被否决；已取得中标候选人资格或中标资格的，</w:t>
      </w:r>
      <w:r>
        <w:rPr>
          <w:rFonts w:hint="eastAsia" w:ascii="宋体" w:hAnsi="宋体"/>
          <w:color w:val="auto"/>
          <w:szCs w:val="21"/>
          <w:highlight w:val="none"/>
          <w:lang w:eastAsia="zh-CN"/>
        </w:rPr>
        <w:t>比选</w:t>
      </w:r>
      <w:r>
        <w:rPr>
          <w:rFonts w:hint="eastAsia" w:ascii="宋体" w:hAnsi="宋体"/>
          <w:color w:val="auto"/>
          <w:szCs w:val="21"/>
          <w:highlight w:val="none"/>
        </w:rPr>
        <w:t>人有权取消其中标候选人资格或中标资格；给</w:t>
      </w:r>
      <w:r>
        <w:rPr>
          <w:rFonts w:hint="eastAsia" w:ascii="宋体" w:hAnsi="宋体"/>
          <w:color w:val="auto"/>
          <w:szCs w:val="21"/>
          <w:highlight w:val="none"/>
          <w:lang w:eastAsia="zh-CN"/>
        </w:rPr>
        <w:t>比选</w:t>
      </w:r>
      <w:r>
        <w:rPr>
          <w:rFonts w:hint="eastAsia" w:ascii="宋体" w:hAnsi="宋体"/>
          <w:color w:val="auto"/>
          <w:szCs w:val="21"/>
          <w:highlight w:val="none"/>
        </w:rPr>
        <w:t>人造成损失的，我公司依法承担违约赔偿责任。</w:t>
      </w:r>
    </w:p>
    <w:p w14:paraId="584D9905">
      <w:pPr>
        <w:numPr>
          <w:ilvl w:val="0"/>
          <w:numId w:val="4"/>
        </w:num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eastAsia="zh-CN"/>
        </w:rPr>
        <w:t>比选</w:t>
      </w:r>
      <w:r>
        <w:rPr>
          <w:rFonts w:hint="eastAsia" w:ascii="宋体" w:hAnsi="宋体"/>
          <w:color w:val="auto"/>
          <w:szCs w:val="21"/>
          <w:highlight w:val="none"/>
        </w:rPr>
        <w:t>人。相关岗位管理人员应持有建设行政主管部门要求的岗位证书，并提供我公司为其缴纳的养老保险证明材料。中标后不能满足该要求的，取消我公司中标资格，给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highlight w:val="none"/>
          <w:lang w:eastAsia="zh-CN"/>
        </w:rPr>
        <w:t>比选</w:t>
      </w:r>
      <w:r>
        <w:rPr>
          <w:rFonts w:hint="eastAsia" w:ascii="宋体" w:hAnsi="宋体"/>
          <w:color w:val="auto"/>
          <w:szCs w:val="21"/>
          <w:highlight w:val="none"/>
        </w:rPr>
        <w:t>人造成损失的，我公司依法承担违约赔偿责任。</w:t>
      </w:r>
    </w:p>
    <w:p w14:paraId="7A69C916">
      <w:pPr>
        <w:numPr>
          <w:ilvl w:val="0"/>
          <w:numId w:val="4"/>
        </w:num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w:t>
      </w:r>
      <w:r>
        <w:rPr>
          <w:rFonts w:hint="eastAsia" w:ascii="宋体" w:hAnsi="宋体"/>
          <w:color w:val="auto"/>
          <w:szCs w:val="21"/>
          <w:highlight w:val="none"/>
          <w:lang w:eastAsia="zh-CN"/>
        </w:rPr>
        <w:t>比选</w:t>
      </w:r>
      <w:r>
        <w:rPr>
          <w:rFonts w:hint="eastAsia" w:ascii="宋体" w:hAnsi="宋体"/>
          <w:color w:val="auto"/>
          <w:szCs w:val="21"/>
          <w:highlight w:val="none"/>
        </w:rPr>
        <w:t>文件中规定工程量清单不允许修改的内容不得修改，每项工程量清单综合单价报价不得高于对应工程量清单综合单价最高限价。你公司可在合同签订前对我公司已标价工程量清单进行清标。若发现我公司的工程量清单综合单价报价超过</w:t>
      </w:r>
      <w:r>
        <w:rPr>
          <w:rFonts w:hint="eastAsia" w:ascii="宋体" w:hAnsi="宋体"/>
          <w:color w:val="auto"/>
          <w:szCs w:val="21"/>
          <w:highlight w:val="none"/>
          <w:lang w:eastAsia="zh-CN"/>
        </w:rPr>
        <w:t>比选</w:t>
      </w:r>
      <w:r>
        <w:rPr>
          <w:rFonts w:hint="eastAsia" w:ascii="宋体" w:hAnsi="宋体"/>
          <w:color w:val="auto"/>
          <w:szCs w:val="21"/>
          <w:highlight w:val="none"/>
        </w:rPr>
        <w:t>时给出的工程量清单综合单价最高限价的，在工程结算时你公司以发出的工程量清单综合单价最高限价为基础，按照我公司的中标总报价与本工程的总价最高限价的下浮比例进行同比例下调，我公司无条件接受，否则按我公司违约处理。</w:t>
      </w:r>
    </w:p>
    <w:p w14:paraId="5D3EA88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w:t>
      </w:r>
      <w:r>
        <w:rPr>
          <w:rFonts w:hint="eastAsia" w:ascii="宋体" w:hAnsi="宋体"/>
          <w:color w:val="auto"/>
          <w:szCs w:val="21"/>
          <w:highlight w:val="none"/>
          <w:lang w:eastAsia="zh-CN"/>
        </w:rPr>
        <w:t>比选</w:t>
      </w:r>
      <w:r>
        <w:rPr>
          <w:rFonts w:hint="eastAsia" w:ascii="宋体" w:hAnsi="宋体"/>
          <w:color w:val="auto"/>
          <w:szCs w:val="21"/>
          <w:highlight w:val="none"/>
        </w:rPr>
        <w:t>人在合同签订前均有权对我司提供的资料（如业绩截图信息等相关证明材料）进行核实，若发现弄虚作假，取消中标资格，并按相关法律法规报</w:t>
      </w:r>
      <w:r>
        <w:rPr>
          <w:rFonts w:hint="eastAsia" w:ascii="宋体" w:hAnsi="宋体"/>
          <w:color w:val="auto"/>
          <w:szCs w:val="21"/>
          <w:highlight w:val="none"/>
          <w:lang w:eastAsia="zh-CN"/>
        </w:rPr>
        <w:t>比选</w:t>
      </w:r>
      <w:r>
        <w:rPr>
          <w:rFonts w:hint="eastAsia" w:ascii="宋体" w:hAnsi="宋体"/>
          <w:color w:val="auto"/>
          <w:szCs w:val="21"/>
          <w:highlight w:val="none"/>
        </w:rPr>
        <w:t>投标监督部门处理，投标保证金不予退还，我司自愿承担因此造成的相关责任并赔偿相应损失。</w:t>
      </w:r>
    </w:p>
    <w:p w14:paraId="68BADB6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6、我公司的投标文件符合第四章 合同条款及格式规定，投标文件中没有</w:t>
      </w:r>
      <w:r>
        <w:rPr>
          <w:rFonts w:hint="eastAsia" w:ascii="宋体" w:hAnsi="宋体"/>
          <w:color w:val="auto"/>
          <w:szCs w:val="21"/>
          <w:highlight w:val="none"/>
          <w:lang w:eastAsia="zh-CN"/>
        </w:rPr>
        <w:t>比选</w:t>
      </w:r>
      <w:r>
        <w:rPr>
          <w:rFonts w:hint="eastAsia" w:ascii="宋体" w:hAnsi="宋体"/>
          <w:color w:val="auto"/>
          <w:szCs w:val="21"/>
          <w:highlight w:val="none"/>
        </w:rPr>
        <w:t>人不能接受的条件。</w:t>
      </w:r>
    </w:p>
    <w:p w14:paraId="0377D298">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7、我公司的投标文件符合第七章 技术标准和要求（如有）。</w:t>
      </w:r>
    </w:p>
    <w:p w14:paraId="5E19036F">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2269"/>
    <w:bookmarkEnd w:id="2270"/>
    <w:p w14:paraId="2C71FA32">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885259D">
      <w:pPr>
        <w:tabs>
          <w:tab w:val="left" w:pos="6300"/>
        </w:tabs>
        <w:autoSpaceDE w:val="0"/>
        <w:autoSpaceDN w:val="0"/>
        <w:adjustRightInd w:val="0"/>
        <w:snapToGri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14335DA8">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0D54956C">
      <w:pPr>
        <w:tabs>
          <w:tab w:val="left" w:pos="6300"/>
        </w:tabs>
        <w:autoSpaceDE w:val="0"/>
        <w:autoSpaceDN w:val="0"/>
        <w:adjustRightInd w:val="0"/>
        <w:snapToGrid w:val="0"/>
        <w:ind w:firstLine="420" w:firstLineChars="200"/>
        <w:jc w:val="right"/>
        <w:rPr>
          <w:rFonts w:hint="eastAsia"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64D682F4">
      <w:pPr>
        <w:rPr>
          <w:rFonts w:hint="eastAsia"/>
          <w:color w:val="auto"/>
          <w:highlight w:val="none"/>
        </w:rPr>
      </w:pPr>
      <w:r>
        <w:rPr>
          <w:color w:val="auto"/>
          <w:highlight w:val="none"/>
        </w:rPr>
        <w:br w:type="page"/>
      </w:r>
    </w:p>
    <w:p w14:paraId="40B9F8F6">
      <w:pPr>
        <w:pStyle w:val="5"/>
        <w:spacing w:before="0" w:line="360" w:lineRule="auto"/>
        <w:jc w:val="center"/>
        <w:rPr>
          <w:rFonts w:hint="eastAsia" w:ascii="宋体" w:hAnsi="宋体"/>
          <w:b w:val="0"/>
          <w:color w:val="auto"/>
          <w:highlight w:val="none"/>
        </w:rPr>
      </w:pPr>
      <w:bookmarkStart w:id="2271" w:name="_Toc22876"/>
      <w:r>
        <w:rPr>
          <w:rFonts w:hint="eastAsia" w:ascii="宋体" w:hAnsi="宋体"/>
          <w:b w:val="0"/>
          <w:color w:val="auto"/>
          <w:highlight w:val="none"/>
        </w:rPr>
        <w:t>（</w:t>
      </w:r>
      <w:r>
        <w:rPr>
          <w:rFonts w:hint="eastAsia" w:ascii="宋体" w:hAnsi="宋体"/>
          <w:b w:val="0"/>
          <w:color w:val="auto"/>
          <w:highlight w:val="none"/>
          <w:lang w:eastAsia="zh-CN"/>
        </w:rPr>
        <w:t>五</w:t>
      </w:r>
      <w:r>
        <w:rPr>
          <w:rFonts w:hint="eastAsia" w:ascii="宋体" w:hAnsi="宋体"/>
          <w:b w:val="0"/>
          <w:color w:val="auto"/>
          <w:highlight w:val="none"/>
        </w:rPr>
        <w:t>）其他资料</w:t>
      </w:r>
      <w:bookmarkEnd w:id="2271"/>
    </w:p>
    <w:p w14:paraId="7CFC7812">
      <w:pPr>
        <w:rPr>
          <w:color w:val="auto"/>
          <w:highlight w:val="none"/>
        </w:rPr>
      </w:pPr>
    </w:p>
    <w:bookmarkEnd w:id="614"/>
    <w:bookmarkEnd w:id="615"/>
    <w:bookmarkEnd w:id="616"/>
    <w:p w14:paraId="498E8308">
      <w:pPr>
        <w:spacing w:line="360" w:lineRule="auto"/>
        <w:ind w:firstLine="420" w:firstLineChars="200"/>
        <w:rPr>
          <w:rFonts w:hint="default" w:ascii="Times New Roman" w:hAnsi="Times New Roman" w:cs="Times New Roman"/>
          <w:color w:val="auto"/>
          <w:highlight w:val="none"/>
          <w:lang w:val="en-US" w:eastAsia="zh-CN"/>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script"/>
    <w:pitch w:val="default"/>
    <w:sig w:usb0="00000001" w:usb1="08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 w:name="Microsoft Sans Serif">
    <w:panose1 w:val="020B0604020202020204"/>
    <w:charset w:val="00"/>
    <w:family w:val="swiss"/>
    <w:pitch w:val="default"/>
    <w:sig w:usb0="E1002AFF" w:usb1="C0000002" w:usb2="00000008" w:usb3="00000000" w:csb0="200101FF" w:csb1="2028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DF3A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BB5A">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5252367">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8E62">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4BDDF">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04B1C501">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B886DDB">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E86">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F5959"/>
    <w:multiLevelType w:val="singleLevel"/>
    <w:tmpl w:val="802F5959"/>
    <w:lvl w:ilvl="0" w:tentative="0">
      <w:start w:val="1"/>
      <w:numFmt w:val="decimal"/>
      <w:suff w:val="space"/>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5F471D00"/>
    <w:multiLevelType w:val="singleLevel"/>
    <w:tmpl w:val="5F471D00"/>
    <w:lvl w:ilvl="0" w:tentative="0">
      <w:start w:val="3"/>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NDFlMWU1NmQ5ZDY4Yjc0ZmJkOTAyN2U0OWM2YWM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0717"/>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2F1A4A"/>
    <w:rsid w:val="02D3433D"/>
    <w:rsid w:val="02E7478A"/>
    <w:rsid w:val="03C545D6"/>
    <w:rsid w:val="05AB059E"/>
    <w:rsid w:val="05DC71B6"/>
    <w:rsid w:val="05E916E9"/>
    <w:rsid w:val="06665122"/>
    <w:rsid w:val="06C64491"/>
    <w:rsid w:val="06E90A95"/>
    <w:rsid w:val="077305E3"/>
    <w:rsid w:val="07AF01DA"/>
    <w:rsid w:val="0B5731D6"/>
    <w:rsid w:val="0C3E42BE"/>
    <w:rsid w:val="0C9462EB"/>
    <w:rsid w:val="0D4806BF"/>
    <w:rsid w:val="0D79273A"/>
    <w:rsid w:val="0E024D74"/>
    <w:rsid w:val="101360D3"/>
    <w:rsid w:val="102B5AE8"/>
    <w:rsid w:val="103F3D25"/>
    <w:rsid w:val="10611A0A"/>
    <w:rsid w:val="118D0978"/>
    <w:rsid w:val="127D1147"/>
    <w:rsid w:val="12B4053A"/>
    <w:rsid w:val="14B015F9"/>
    <w:rsid w:val="152F2422"/>
    <w:rsid w:val="16276641"/>
    <w:rsid w:val="191C073A"/>
    <w:rsid w:val="19752B94"/>
    <w:rsid w:val="1B14663F"/>
    <w:rsid w:val="1D2B025F"/>
    <w:rsid w:val="1DD063A3"/>
    <w:rsid w:val="1F125176"/>
    <w:rsid w:val="250F1D01"/>
    <w:rsid w:val="25DE6BC9"/>
    <w:rsid w:val="25F25669"/>
    <w:rsid w:val="267A1220"/>
    <w:rsid w:val="271F7DFA"/>
    <w:rsid w:val="2805374C"/>
    <w:rsid w:val="28054429"/>
    <w:rsid w:val="28B40BDF"/>
    <w:rsid w:val="291D7223"/>
    <w:rsid w:val="29890AAD"/>
    <w:rsid w:val="2BD902EC"/>
    <w:rsid w:val="2DBA5E00"/>
    <w:rsid w:val="2EBB165A"/>
    <w:rsid w:val="2F5C624A"/>
    <w:rsid w:val="30B1408E"/>
    <w:rsid w:val="30F90C45"/>
    <w:rsid w:val="31F4722E"/>
    <w:rsid w:val="326B02E2"/>
    <w:rsid w:val="32BA571C"/>
    <w:rsid w:val="35884039"/>
    <w:rsid w:val="35DB1C68"/>
    <w:rsid w:val="36F4767F"/>
    <w:rsid w:val="378418A7"/>
    <w:rsid w:val="37D816D9"/>
    <w:rsid w:val="383C102E"/>
    <w:rsid w:val="39347E68"/>
    <w:rsid w:val="39B230ED"/>
    <w:rsid w:val="3A310809"/>
    <w:rsid w:val="3AC705C2"/>
    <w:rsid w:val="3B3339E2"/>
    <w:rsid w:val="3CD53485"/>
    <w:rsid w:val="3D382963"/>
    <w:rsid w:val="3D9011BD"/>
    <w:rsid w:val="3E895FE7"/>
    <w:rsid w:val="3ED95EA9"/>
    <w:rsid w:val="3FE2521F"/>
    <w:rsid w:val="40071972"/>
    <w:rsid w:val="404557F9"/>
    <w:rsid w:val="40A362BD"/>
    <w:rsid w:val="40D309FB"/>
    <w:rsid w:val="418D198F"/>
    <w:rsid w:val="41900311"/>
    <w:rsid w:val="41D71CA1"/>
    <w:rsid w:val="4233454F"/>
    <w:rsid w:val="42A77BCB"/>
    <w:rsid w:val="43527DA5"/>
    <w:rsid w:val="43CE2BC0"/>
    <w:rsid w:val="447923B8"/>
    <w:rsid w:val="45AE2544"/>
    <w:rsid w:val="48826C2D"/>
    <w:rsid w:val="48ED19BA"/>
    <w:rsid w:val="491F3754"/>
    <w:rsid w:val="4A114733"/>
    <w:rsid w:val="4AF83480"/>
    <w:rsid w:val="4B85051F"/>
    <w:rsid w:val="4B945182"/>
    <w:rsid w:val="4BD42F98"/>
    <w:rsid w:val="4C806421"/>
    <w:rsid w:val="4CA0475B"/>
    <w:rsid w:val="4E774DAA"/>
    <w:rsid w:val="4FB76013"/>
    <w:rsid w:val="508F7864"/>
    <w:rsid w:val="50EB36A6"/>
    <w:rsid w:val="520E35E5"/>
    <w:rsid w:val="521576BE"/>
    <w:rsid w:val="531A57AD"/>
    <w:rsid w:val="54511B46"/>
    <w:rsid w:val="546B6E19"/>
    <w:rsid w:val="5485514F"/>
    <w:rsid w:val="548D558B"/>
    <w:rsid w:val="549A6C2B"/>
    <w:rsid w:val="55C53EA6"/>
    <w:rsid w:val="57F37D6B"/>
    <w:rsid w:val="590C29FE"/>
    <w:rsid w:val="59A537CB"/>
    <w:rsid w:val="59F26FCA"/>
    <w:rsid w:val="5AB01767"/>
    <w:rsid w:val="5AB348BC"/>
    <w:rsid w:val="5B650D9F"/>
    <w:rsid w:val="5D4D387D"/>
    <w:rsid w:val="5DE578AE"/>
    <w:rsid w:val="5E9B0631"/>
    <w:rsid w:val="5F021711"/>
    <w:rsid w:val="5F144DEA"/>
    <w:rsid w:val="610A2AA1"/>
    <w:rsid w:val="619A4235"/>
    <w:rsid w:val="61A77079"/>
    <w:rsid w:val="636D523E"/>
    <w:rsid w:val="640D6C70"/>
    <w:rsid w:val="644215E4"/>
    <w:rsid w:val="65454382"/>
    <w:rsid w:val="655D7FBE"/>
    <w:rsid w:val="65FF1E91"/>
    <w:rsid w:val="661E3BA4"/>
    <w:rsid w:val="67BC14B8"/>
    <w:rsid w:val="680B61C2"/>
    <w:rsid w:val="68A1181E"/>
    <w:rsid w:val="68BB4E93"/>
    <w:rsid w:val="69166546"/>
    <w:rsid w:val="69DE154E"/>
    <w:rsid w:val="6A37236F"/>
    <w:rsid w:val="6AE21A74"/>
    <w:rsid w:val="6B0A29F3"/>
    <w:rsid w:val="6B57195A"/>
    <w:rsid w:val="6B8320C0"/>
    <w:rsid w:val="6CC92D08"/>
    <w:rsid w:val="6E071562"/>
    <w:rsid w:val="6E2C5B53"/>
    <w:rsid w:val="6E6E5684"/>
    <w:rsid w:val="6F083740"/>
    <w:rsid w:val="70571C32"/>
    <w:rsid w:val="70C31D6B"/>
    <w:rsid w:val="710C5E92"/>
    <w:rsid w:val="71904B0C"/>
    <w:rsid w:val="739C2A85"/>
    <w:rsid w:val="73C34407"/>
    <w:rsid w:val="73CC3051"/>
    <w:rsid w:val="74533F62"/>
    <w:rsid w:val="74891E24"/>
    <w:rsid w:val="76235240"/>
    <w:rsid w:val="763A1F57"/>
    <w:rsid w:val="776F0CF3"/>
    <w:rsid w:val="78A23C0D"/>
    <w:rsid w:val="78DB67FF"/>
    <w:rsid w:val="7A735C17"/>
    <w:rsid w:val="7CF312BE"/>
    <w:rsid w:val="7CFB23A6"/>
    <w:rsid w:val="7F227C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194"/>
    <w:autoRedefine/>
    <w:qFormat/>
    <w:uiPriority w:val="0"/>
    <w:pPr>
      <w:keepNext/>
      <w:keepLines/>
      <w:spacing w:before="260" w:beforeLines="0" w:after="260" w:afterLines="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link w:val="179"/>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paragraph" w:styleId="7">
    <w:name w:val="heading 5"/>
    <w:basedOn w:val="1"/>
    <w:next w:val="1"/>
    <w:link w:val="292"/>
    <w:autoRedefine/>
    <w:qFormat/>
    <w:uiPriority w:val="0"/>
    <w:pPr>
      <w:widowControl/>
      <w:spacing w:before="100" w:beforeLines="0" w:beforeAutospacing="1" w:after="100" w:afterLines="0" w:afterAutospacing="1"/>
      <w:jc w:val="left"/>
      <w:outlineLvl w:val="4"/>
    </w:pPr>
    <w:rPr>
      <w:rFonts w:ascii="宋体" w:hAnsi="宋体" w:cs="宋体"/>
      <w:b/>
      <w:bCs/>
      <w:kern w:val="0"/>
      <w:sz w:val="20"/>
      <w:szCs w:val="20"/>
    </w:rPr>
  </w:style>
  <w:style w:type="paragraph" w:styleId="8">
    <w:name w:val="heading 6"/>
    <w:basedOn w:val="9"/>
    <w:next w:val="1"/>
    <w:link w:val="195"/>
    <w:autoRedefine/>
    <w:qFormat/>
    <w:uiPriority w:val="0"/>
    <w:pPr>
      <w:keepNext/>
      <w:keepLines/>
      <w:ind w:firstLine="200" w:firstLineChars="200"/>
      <w:outlineLvl w:val="5"/>
    </w:pPr>
    <w:rPr>
      <w:rFonts w:hAnsi="Arial"/>
    </w:rPr>
  </w:style>
  <w:style w:type="paragraph" w:styleId="10">
    <w:name w:val="heading 7"/>
    <w:basedOn w:val="1"/>
    <w:next w:val="1"/>
    <w:link w:val="272"/>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autoRedefine/>
    <w:semiHidden/>
    <w:qFormat/>
    <w:uiPriority w:val="0"/>
  </w:style>
  <w:style w:type="table" w:default="1" w:styleId="45">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link w:val="214"/>
    <w:autoRedefine/>
    <w:qFormat/>
    <w:uiPriority w:val="0"/>
    <w:pPr>
      <w:spacing w:after="120" w:afterLines="0"/>
    </w:p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4"/>
    <w:autoRedefine/>
    <w:qFormat/>
    <w:uiPriority w:val="0"/>
    <w:pPr>
      <w:shd w:val="clear" w:color="auto" w:fill="000080"/>
    </w:pPr>
  </w:style>
  <w:style w:type="paragraph" w:styleId="16">
    <w:name w:val="annotation text"/>
    <w:basedOn w:val="1"/>
    <w:link w:val="289"/>
    <w:autoRedefine/>
    <w:qFormat/>
    <w:uiPriority w:val="99"/>
    <w:pPr>
      <w:jc w:val="left"/>
    </w:pPr>
  </w:style>
  <w:style w:type="paragraph" w:styleId="17">
    <w:name w:val="Body Text 3"/>
    <w:basedOn w:val="1"/>
    <w:link w:val="308"/>
    <w:autoRedefine/>
    <w:qFormat/>
    <w:uiPriority w:val="0"/>
    <w:pPr>
      <w:spacing w:after="120" w:afterLines="0"/>
    </w:pPr>
    <w:rPr>
      <w:sz w:val="16"/>
      <w:szCs w:val="16"/>
    </w:rPr>
  </w:style>
  <w:style w:type="paragraph" w:styleId="18">
    <w:name w:val="Body Text Indent"/>
    <w:basedOn w:val="1"/>
    <w:link w:val="269"/>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7"/>
    <w:autoRedefine/>
    <w:qFormat/>
    <w:uiPriority w:val="0"/>
    <w:pPr>
      <w:ind w:left="100" w:leftChars="2500"/>
    </w:pPr>
  </w:style>
  <w:style w:type="paragraph" w:styleId="26">
    <w:name w:val="Body Text Indent 2"/>
    <w:basedOn w:val="1"/>
    <w:link w:val="271"/>
    <w:autoRedefine/>
    <w:qFormat/>
    <w:uiPriority w:val="0"/>
    <w:pPr>
      <w:widowControl/>
      <w:spacing w:line="480" w:lineRule="auto"/>
      <w:ind w:firstLine="560"/>
      <w:jc w:val="left"/>
    </w:pPr>
    <w:rPr>
      <w:kern w:val="0"/>
      <w:sz w:val="28"/>
    </w:rPr>
  </w:style>
  <w:style w:type="paragraph" w:styleId="27">
    <w:name w:val="endnote text"/>
    <w:basedOn w:val="1"/>
    <w:link w:val="181"/>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8"/>
    <w:autoRedefine/>
    <w:qFormat/>
    <w:uiPriority w:val="0"/>
    <w:rPr>
      <w:sz w:val="18"/>
      <w:szCs w:val="18"/>
    </w:rPr>
  </w:style>
  <w:style w:type="paragraph" w:styleId="29">
    <w:name w:val="footer"/>
    <w:basedOn w:val="1"/>
    <w:link w:val="196"/>
    <w:autoRedefine/>
    <w:qFormat/>
    <w:uiPriority w:val="0"/>
    <w:pPr>
      <w:tabs>
        <w:tab w:val="center" w:pos="4153"/>
        <w:tab w:val="right" w:pos="8306"/>
      </w:tabs>
      <w:snapToGrid w:val="0"/>
      <w:jc w:val="left"/>
    </w:pPr>
    <w:rPr>
      <w:sz w:val="18"/>
      <w:szCs w:val="18"/>
    </w:rPr>
  </w:style>
  <w:style w:type="paragraph" w:styleId="30">
    <w:name w:val="header"/>
    <w:basedOn w:val="1"/>
    <w:link w:val="236"/>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autoRedefine/>
    <w:qFormat/>
    <w:uiPriority w:val="0"/>
    <w:pPr>
      <w:widowControl/>
      <w:jc w:val="center"/>
    </w:pPr>
    <w:rPr>
      <w:kern w:val="0"/>
      <w:sz w:val="20"/>
      <w:u w:val="single"/>
      <w:lang w:eastAsia="en-US"/>
    </w:rPr>
  </w:style>
  <w:style w:type="paragraph" w:styleId="34">
    <w:name w:val="footnote text"/>
    <w:basedOn w:val="1"/>
    <w:link w:val="216"/>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8"/>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4"/>
    <w:autoRedefine/>
    <w:qFormat/>
    <w:uiPriority w:val="0"/>
    <w:rPr>
      <w:i/>
      <w:iCs/>
      <w:sz w:val="26"/>
    </w:rPr>
  </w:style>
  <w:style w:type="paragraph" w:styleId="40">
    <w:name w:val="HTML Preformatted"/>
    <w:basedOn w:val="1"/>
    <w:link w:val="169"/>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unhideWhenUsed/>
    <w:qFormat/>
    <w:uiPriority w:val="0"/>
    <w:pPr>
      <w:widowControl/>
      <w:spacing w:before="100" w:beforeLines="0" w:beforeAutospacing="1" w:after="100" w:afterLines="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1"/>
    <w:autoRedefine/>
    <w:qFormat/>
    <w:uiPriority w:val="0"/>
    <w:pPr>
      <w:widowControl/>
      <w:jc w:val="center"/>
    </w:pPr>
    <w:rPr>
      <w:kern w:val="0"/>
      <w:sz w:val="20"/>
      <w:u w:val="single"/>
      <w:lang w:eastAsia="en-US"/>
    </w:rPr>
  </w:style>
  <w:style w:type="paragraph" w:styleId="44">
    <w:name w:val="annotation subject"/>
    <w:basedOn w:val="16"/>
    <w:next w:val="16"/>
    <w:link w:val="263"/>
    <w:autoRedefine/>
    <w:qFormat/>
    <w:uiPriority w:val="0"/>
    <w:rPr>
      <w:b/>
      <w:bCs/>
    </w:rPr>
  </w:style>
  <w:style w:type="table" w:styleId="46">
    <w:name w:val="Table Grid"/>
    <w:basedOn w:val="45"/>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autoRedefine/>
    <w:qFormat/>
    <w:uiPriority w:val="0"/>
    <w:rPr>
      <w:b/>
      <w:bCs/>
    </w:rPr>
  </w:style>
  <w:style w:type="character" w:styleId="49">
    <w:name w:val="endnote reference"/>
    <w:autoRedefine/>
    <w:qFormat/>
    <w:uiPriority w:val="0"/>
    <w:rPr>
      <w:vertAlign w:val="superscript"/>
    </w:rPr>
  </w:style>
  <w:style w:type="character" w:styleId="50">
    <w:name w:val="page number"/>
    <w:basedOn w:val="47"/>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57">
    <w:name w:val="rr"/>
    <w:basedOn w:val="1"/>
    <w:autoRedefine/>
    <w:qFormat/>
    <w:uiPriority w:val="0"/>
    <w:pPr>
      <w:widowControl/>
      <w:spacing w:before="100" w:beforeLines="0" w:beforeAutospacing="1" w:after="100" w:afterLines="0" w:afterAutospacing="1"/>
      <w:jc w:val="left"/>
    </w:pPr>
    <w:rPr>
      <w:rFonts w:hint="eastAsia" w:ascii="宋体" w:hAnsi="宋体"/>
      <w:kern w:val="0"/>
      <w:szCs w:val="21"/>
    </w:rPr>
  </w:style>
  <w:style w:type="paragraph" w:customStyle="1" w:styleId="58">
    <w:name w:val="_Style 101"/>
    <w:basedOn w:val="1"/>
    <w:autoRedefine/>
    <w:qFormat/>
    <w:uiPriority w:val="99"/>
    <w:pPr>
      <w:ind w:firstLine="420" w:firstLineChars="200"/>
    </w:pPr>
    <w:rPr>
      <w:sz w:val="28"/>
      <w:szCs w:val="28"/>
    </w:rPr>
  </w:style>
  <w:style w:type="paragraph" w:customStyle="1" w:styleId="59">
    <w:name w:val="表格标题"/>
    <w:basedOn w:val="60"/>
    <w:autoRedefine/>
    <w:qFormat/>
    <w:uiPriority w:val="0"/>
  </w:style>
  <w:style w:type="paragraph" w:customStyle="1" w:styleId="60">
    <w:name w:val="表格内容"/>
    <w:basedOn w:val="1"/>
    <w:autoRedefine/>
    <w:qFormat/>
    <w:uiPriority w:val="0"/>
    <w:pPr>
      <w:suppressLineNumbers/>
      <w:suppressAutoHyphens/>
    </w:pPr>
  </w:style>
  <w:style w:type="paragraph" w:customStyle="1" w:styleId="61">
    <w:name w:val="l-2"/>
    <w:basedOn w:val="1"/>
    <w:autoRedefine/>
    <w:qFormat/>
    <w:uiPriority w:val="0"/>
    <w:pPr>
      <w:widowControl/>
      <w:spacing w:before="100" w:beforeLines="0" w:beforeAutospacing="1" w:after="100" w:afterLines="0" w:afterAutospacing="1"/>
      <w:jc w:val="left"/>
    </w:pPr>
    <w:rPr>
      <w:rFonts w:ascii="宋体" w:hAnsi="宋体" w:cs="宋体"/>
      <w:b/>
      <w:bCs/>
      <w:color w:val="000000"/>
      <w:kern w:val="0"/>
      <w:sz w:val="13"/>
      <w:szCs w:val="13"/>
    </w:rPr>
  </w:style>
  <w:style w:type="paragraph" w:customStyle="1" w:styleId="6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autoRedefine/>
    <w:qFormat/>
    <w:uiPriority w:val="0"/>
    <w:pPr>
      <w:widowControl/>
      <w:spacing w:before="100" w:beforeLines="0" w:beforeAutospacing="1" w:after="100" w:afterLines="0" w:afterAutospacing="1"/>
      <w:jc w:val="left"/>
    </w:pPr>
    <w:rPr>
      <w:rFonts w:ascii="ˎ̥" w:hAnsi="ˎ̥" w:cs="宋体"/>
      <w:kern w:val="0"/>
      <w:sz w:val="24"/>
    </w:rPr>
  </w:style>
  <w:style w:type="paragraph" w:customStyle="1" w:styleId="64">
    <w:name w:val="标准样式1"/>
    <w:basedOn w:val="1"/>
    <w:autoRedefine/>
    <w:qFormat/>
    <w:uiPriority w:val="0"/>
    <w:pPr>
      <w:spacing w:line="600" w:lineRule="exact"/>
      <w:ind w:firstLine="567"/>
    </w:pPr>
    <w:rPr>
      <w:rFonts w:ascii="Calibri" w:hAnsi="Calibri"/>
      <w:sz w:val="28"/>
    </w:rPr>
  </w:style>
  <w:style w:type="paragraph" w:customStyle="1" w:styleId="65">
    <w:name w:val="列出段落11"/>
    <w:basedOn w:val="1"/>
    <w:autoRedefine/>
    <w:qFormat/>
    <w:uiPriority w:val="0"/>
    <w:pPr>
      <w:ind w:firstLine="420" w:firstLineChars="200"/>
    </w:pPr>
    <w:rPr>
      <w:sz w:val="28"/>
      <w:szCs w:val="28"/>
    </w:rPr>
  </w:style>
  <w:style w:type="paragraph" w:customStyle="1" w:styleId="66">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autoRedefine/>
    <w:qFormat/>
    <w:uiPriority w:val="0"/>
  </w:style>
  <w:style w:type="paragraph" w:customStyle="1" w:styleId="68">
    <w:name w:val="WW-表格内容"/>
    <w:basedOn w:val="1"/>
    <w:autoRedefine/>
    <w:qFormat/>
    <w:uiPriority w:val="0"/>
    <w:pPr>
      <w:suppressLineNumbers/>
      <w:suppressAutoHyphens/>
    </w:pPr>
  </w:style>
  <w:style w:type="paragraph" w:customStyle="1" w:styleId="69">
    <w:name w:val="引用2"/>
    <w:basedOn w:val="1"/>
    <w:next w:val="1"/>
    <w:link w:val="300"/>
    <w:autoRedefine/>
    <w:qFormat/>
    <w:uiPriority w:val="0"/>
    <w:rPr>
      <w:i/>
      <w:iCs/>
      <w:color w:val="000000"/>
    </w:rPr>
  </w:style>
  <w:style w:type="paragraph" w:customStyle="1" w:styleId="70">
    <w:name w:val="Char Char Char Char Char Char Char Char Char Char"/>
    <w:basedOn w:val="15"/>
    <w:autoRedefine/>
    <w:qFormat/>
    <w:uiPriority w:val="0"/>
    <w:pPr>
      <w:spacing w:line="360" w:lineRule="auto"/>
      <w:ind w:firstLine="200" w:firstLineChars="200"/>
    </w:pPr>
    <w:rPr>
      <w:rFonts w:ascii="Tahoma" w:hAnsi="Tahoma" w:eastAsia="宋体" w:cs="Times New Roman"/>
      <w:sz w:val="24"/>
    </w:rPr>
  </w:style>
  <w:style w:type="paragraph" w:customStyle="1" w:styleId="7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5"/>
    <w:autoRedefine/>
    <w:qFormat/>
    <w:uiPriority w:val="0"/>
    <w:pPr>
      <w:spacing w:line="360" w:lineRule="auto"/>
      <w:ind w:firstLine="200" w:firstLineChars="200"/>
    </w:pPr>
    <w:rPr>
      <w:rFonts w:ascii="Tahoma" w:hAnsi="Tahoma" w:eastAsia="宋体" w:cs="Times New Roman"/>
      <w:sz w:val="24"/>
    </w:rPr>
  </w:style>
  <w:style w:type="paragraph" w:customStyle="1" w:styleId="73">
    <w:name w:val="style12"/>
    <w:basedOn w:val="1"/>
    <w:autoRedefine/>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74">
    <w:name w:val="g2"/>
    <w:basedOn w:val="1"/>
    <w:autoRedefine/>
    <w:qFormat/>
    <w:uiPriority w:val="0"/>
    <w:pPr>
      <w:widowControl/>
      <w:spacing w:before="100" w:beforeLines="0" w:beforeAutospacing="1" w:after="100" w:afterLines="0" w:afterAutospacing="1"/>
      <w:jc w:val="left"/>
    </w:pPr>
    <w:rPr>
      <w:rFonts w:ascii="仿宋_GB2312" w:hAnsi="宋体" w:eastAsia="仿宋_GB2312" w:cs="宋体"/>
      <w:kern w:val="0"/>
      <w:sz w:val="17"/>
      <w:szCs w:val="17"/>
    </w:rPr>
  </w:style>
  <w:style w:type="paragraph" w:customStyle="1" w:styleId="75">
    <w:name w:val="p16"/>
    <w:basedOn w:val="1"/>
    <w:autoRedefine/>
    <w:qFormat/>
    <w:uiPriority w:val="0"/>
    <w:pPr>
      <w:widowControl/>
    </w:pPr>
    <w:rPr>
      <w:rFonts w:ascii="Calibri" w:hAnsi="Calibri" w:cs="宋体"/>
      <w:kern w:val="0"/>
      <w:szCs w:val="21"/>
    </w:rPr>
  </w:style>
  <w:style w:type="paragraph" w:customStyle="1" w:styleId="76">
    <w:name w:val="列出段落1"/>
    <w:basedOn w:val="1"/>
    <w:autoRedefine/>
    <w:qFormat/>
    <w:uiPriority w:val="0"/>
    <w:pPr>
      <w:ind w:firstLine="420" w:firstLineChars="200"/>
    </w:pPr>
    <w:rPr>
      <w:sz w:val="28"/>
      <w:szCs w:val="28"/>
    </w:rPr>
  </w:style>
  <w:style w:type="paragraph" w:customStyle="1" w:styleId="77">
    <w:name w:val="样式1"/>
    <w:basedOn w:val="1"/>
    <w:next w:val="6"/>
    <w:autoRedefine/>
    <w:qFormat/>
    <w:uiPriority w:val="0"/>
    <w:pPr>
      <w:spacing w:line="360" w:lineRule="auto"/>
      <w:ind w:firstLine="420" w:firstLineChars="200"/>
    </w:pPr>
    <w:rPr>
      <w:rFonts w:ascii="宋体" w:hAnsi="宋体"/>
      <w:szCs w:val="21"/>
    </w:rPr>
  </w:style>
  <w:style w:type="paragraph" w:customStyle="1" w:styleId="78">
    <w:name w:val="ly"/>
    <w:basedOn w:val="1"/>
    <w:autoRedefine/>
    <w:qFormat/>
    <w:uiPriority w:val="0"/>
    <w:pPr>
      <w:widowControl/>
      <w:spacing w:before="30" w:beforeLines="0"/>
      <w:jc w:val="right"/>
    </w:pPr>
    <w:rPr>
      <w:rFonts w:ascii="方正书宋简体" w:hAnsi="宋体" w:eastAsia="方正书宋简体"/>
      <w:color w:val="000000"/>
      <w:kern w:val="0"/>
      <w:szCs w:val="21"/>
    </w:rPr>
  </w:style>
  <w:style w:type="paragraph" w:customStyle="1" w:styleId="79">
    <w:name w:val="Char9 Char Char Char Char Char Char"/>
    <w:basedOn w:val="15"/>
    <w:autoRedefine/>
    <w:qFormat/>
    <w:uiPriority w:val="0"/>
    <w:pPr>
      <w:spacing w:line="360" w:lineRule="auto"/>
      <w:ind w:firstLine="200" w:firstLineChars="200"/>
    </w:pPr>
    <w:rPr>
      <w:rFonts w:ascii="Tahoma" w:hAnsi="Tahoma" w:eastAsia="宋体" w:cs="Times New Roman"/>
      <w:sz w:val="24"/>
    </w:rPr>
  </w:style>
  <w:style w:type="paragraph" w:customStyle="1" w:styleId="80">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autoRedefine/>
    <w:qFormat/>
    <w:uiPriority w:val="29"/>
    <w:rPr>
      <w:i/>
      <w:iCs/>
      <w:color w:val="000000"/>
      <w:szCs w:val="20"/>
    </w:rPr>
  </w:style>
  <w:style w:type="paragraph" w:customStyle="1" w:styleId="82">
    <w:name w:val="表格文字"/>
    <w:basedOn w:val="1"/>
    <w:autoRedefine/>
    <w:qFormat/>
    <w:uiPriority w:val="0"/>
    <w:pPr>
      <w:adjustRightInd w:val="0"/>
      <w:spacing w:line="420" w:lineRule="atLeast"/>
      <w:jc w:val="left"/>
      <w:textAlignment w:val="baseline"/>
    </w:pPr>
    <w:rPr>
      <w:kern w:val="0"/>
      <w:szCs w:val="20"/>
    </w:rPr>
  </w:style>
  <w:style w:type="paragraph" w:customStyle="1" w:styleId="83">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autoRedefine/>
    <w:qFormat/>
    <w:uiPriority w:val="0"/>
    <w:pPr>
      <w:spacing w:line="360" w:lineRule="auto"/>
      <w:ind w:firstLine="200" w:firstLineChars="200"/>
    </w:pPr>
    <w:rPr>
      <w:rFonts w:ascii="宋体" w:hAnsi="Calibri"/>
      <w:sz w:val="24"/>
    </w:rPr>
  </w:style>
  <w:style w:type="paragraph" w:customStyle="1" w:styleId="87">
    <w:name w:val="标题4"/>
    <w:basedOn w:val="4"/>
    <w:next w:val="20"/>
    <w:link w:val="243"/>
    <w:autoRedefine/>
    <w:qFormat/>
    <w:uiPriority w:val="0"/>
    <w:pPr>
      <w:spacing w:line="413" w:lineRule="auto"/>
    </w:pPr>
    <w:rPr>
      <w:rFonts w:ascii="Arial" w:hAnsi="Arial"/>
      <w:kern w:val="0"/>
      <w:sz w:val="24"/>
    </w:rPr>
  </w:style>
  <w:style w:type="paragraph" w:customStyle="1" w:styleId="88">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90">
    <w:name w:val="title"/>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9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94">
    <w:name w:val="zz"/>
    <w:basedOn w:val="1"/>
    <w:autoRedefine/>
    <w:qFormat/>
    <w:uiPriority w:val="0"/>
    <w:pPr>
      <w:widowControl/>
      <w:spacing w:before="30" w:beforeLines="0"/>
      <w:jc w:val="right"/>
    </w:pPr>
    <w:rPr>
      <w:rFonts w:ascii="方正书宋简体" w:hAnsi="宋体" w:eastAsia="方正书宋简体"/>
      <w:color w:val="000000"/>
      <w:kern w:val="0"/>
      <w:szCs w:val="21"/>
    </w:rPr>
  </w:style>
  <w:style w:type="paragraph" w:customStyle="1" w:styleId="95">
    <w:name w:val="1 Char"/>
    <w:basedOn w:val="1"/>
    <w:autoRedefine/>
    <w:qFormat/>
    <w:uiPriority w:val="0"/>
    <w:pPr>
      <w:widowControl/>
      <w:spacing w:after="160" w:line="240" w:lineRule="exact"/>
      <w:jc w:val="left"/>
    </w:pPr>
    <w:rPr>
      <w:rFonts w:ascii="Calibri" w:hAnsi="Calibri"/>
      <w:szCs w:val="20"/>
    </w:rPr>
  </w:style>
  <w:style w:type="paragraph" w:customStyle="1" w:styleId="96">
    <w:name w:val="g11"/>
    <w:basedOn w:val="1"/>
    <w:autoRedefine/>
    <w:qFormat/>
    <w:uiPriority w:val="0"/>
    <w:pPr>
      <w:widowControl/>
      <w:spacing w:before="100" w:beforeLines="0" w:beforeAutospacing="1" w:after="100" w:afterLines="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autoRedefine/>
    <w:qFormat/>
    <w:uiPriority w:val="0"/>
    <w:pPr>
      <w:widowControl/>
      <w:spacing w:after="120" w:afterLines="0"/>
    </w:pPr>
    <w:rPr>
      <w:kern w:val="0"/>
      <w:szCs w:val="21"/>
    </w:rPr>
  </w:style>
  <w:style w:type="paragraph" w:customStyle="1" w:styleId="10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autoRedefine/>
    <w:qFormat/>
    <w:uiPriority w:val="0"/>
    <w:pPr>
      <w:spacing w:line="360" w:lineRule="auto"/>
      <w:ind w:firstLine="200" w:firstLineChars="200"/>
    </w:pPr>
    <w:rPr>
      <w:rFonts w:ascii="Tahoma" w:hAnsi="Tahoma" w:eastAsia="宋体" w:cs="Times New Roman"/>
      <w:sz w:val="24"/>
    </w:rPr>
  </w:style>
  <w:style w:type="paragraph" w:customStyle="1" w:styleId="102">
    <w:name w:val="_Style 124"/>
    <w:basedOn w:val="1"/>
    <w:next w:val="1"/>
    <w:link w:val="197"/>
    <w:autoRedefine/>
    <w:qFormat/>
    <w:uiPriority w:val="0"/>
    <w:rPr>
      <w:i/>
      <w:iCs/>
      <w:color w:val="000000"/>
      <w:szCs w:val="22"/>
    </w:rPr>
  </w:style>
  <w:style w:type="paragraph" w:customStyle="1" w:styleId="103">
    <w:name w:val="zw"/>
    <w:basedOn w:val="1"/>
    <w:autoRedefine/>
    <w:qFormat/>
    <w:uiPriority w:val="0"/>
    <w:pPr>
      <w:widowControl/>
      <w:spacing w:before="30" w:beforeLines="0"/>
      <w:ind w:left="100" w:right="100"/>
    </w:pPr>
    <w:rPr>
      <w:rFonts w:ascii="方正书宋简体" w:hAnsi="宋体" w:eastAsia="方正书宋简体"/>
      <w:color w:val="000000"/>
      <w:kern w:val="0"/>
      <w:szCs w:val="21"/>
    </w:rPr>
  </w:style>
  <w:style w:type="paragraph" w:customStyle="1" w:styleId="10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autoRedefine/>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07">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autoRedefine/>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autoRedefine/>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autoRedefine/>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autoRedefine/>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15">
    <w:name w:val="intel1"/>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6">
    <w:name w:val="标题5"/>
    <w:basedOn w:val="5"/>
    <w:link w:val="165"/>
    <w:autoRedefine/>
    <w:qFormat/>
    <w:uiPriority w:val="0"/>
    <w:pPr>
      <w:spacing w:line="413" w:lineRule="auto"/>
    </w:pPr>
    <w:rPr>
      <w:rFonts w:ascii="Arial" w:hAnsi="Arial"/>
      <w:kern w:val="0"/>
      <w:sz w:val="24"/>
    </w:rPr>
  </w:style>
  <w:style w:type="paragraph" w:customStyle="1" w:styleId="117">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autoRedefine/>
    <w:qFormat/>
    <w:uiPriority w:val="0"/>
    <w:pPr>
      <w:pBdr>
        <w:bottom w:val="single" w:color="4F81BD" w:sz="4" w:space="4"/>
      </w:pBdr>
      <w:spacing w:before="200" w:beforeLines="0" w:after="280" w:afterLines="0"/>
      <w:ind w:left="936" w:right="936"/>
    </w:pPr>
    <w:rPr>
      <w:b/>
      <w:bCs/>
      <w:i/>
      <w:iCs/>
      <w:color w:val="4F81BD"/>
      <w:szCs w:val="22"/>
    </w:rPr>
  </w:style>
  <w:style w:type="paragraph" w:customStyle="1" w:styleId="119">
    <w:name w:val="_Style 128"/>
    <w:basedOn w:val="3"/>
    <w:next w:val="1"/>
    <w:autoRedefine/>
    <w:qFormat/>
    <w:uiPriority w:val="39"/>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20">
    <w:name w:val="Char2"/>
    <w:basedOn w:val="1"/>
    <w:autoRedefine/>
    <w:qFormat/>
    <w:uiPriority w:val="0"/>
    <w:rPr>
      <w:rFonts w:ascii="Calibri" w:hAnsi="Calibri"/>
    </w:rPr>
  </w:style>
  <w:style w:type="paragraph" w:customStyle="1" w:styleId="121">
    <w:name w:val="_Style 87"/>
    <w:basedOn w:val="1"/>
    <w:autoRedefine/>
    <w:qFormat/>
    <w:uiPriority w:val="99"/>
    <w:pPr>
      <w:ind w:firstLine="420" w:firstLineChars="200"/>
    </w:pPr>
    <w:rPr>
      <w:rFonts w:ascii="Calibri" w:hAnsi="Calibri"/>
      <w:sz w:val="28"/>
      <w:szCs w:val="28"/>
    </w:rPr>
  </w:style>
  <w:style w:type="paragraph" w:customStyle="1" w:styleId="122">
    <w:name w:val="自定样式1"/>
    <w:basedOn w:val="1"/>
    <w:autoRedefine/>
    <w:qFormat/>
    <w:uiPriority w:val="0"/>
    <w:pPr>
      <w:suppressAutoHyphens/>
      <w:jc w:val="center"/>
    </w:pPr>
    <w:rPr>
      <w:rFonts w:ascii="宋体" w:hAnsi="宋体"/>
      <w:color w:val="000000"/>
      <w:sz w:val="18"/>
    </w:rPr>
  </w:style>
  <w:style w:type="paragraph" w:customStyle="1" w:styleId="123">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autoRedefine/>
    <w:qFormat/>
    <w:uiPriority w:val="0"/>
  </w:style>
  <w:style w:type="paragraph" w:customStyle="1" w:styleId="125">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autoRedefine/>
    <w:qFormat/>
    <w:uiPriority w:val="34"/>
    <w:pPr>
      <w:ind w:firstLine="420" w:firstLineChars="200"/>
    </w:pPr>
    <w:rPr>
      <w:rFonts w:ascii="Calibri" w:hAnsi="Calibri"/>
    </w:rPr>
  </w:style>
  <w:style w:type="paragraph" w:customStyle="1" w:styleId="127">
    <w:name w:val="明显引用11"/>
    <w:basedOn w:val="1"/>
    <w:next w:val="1"/>
    <w:autoRedefine/>
    <w:qFormat/>
    <w:uiPriority w:val="30"/>
    <w:pPr>
      <w:pBdr>
        <w:bottom w:val="single" w:color="4F81BD" w:sz="4" w:space="4"/>
      </w:pBdr>
      <w:spacing w:before="200" w:after="280"/>
      <w:ind w:left="936" w:right="936"/>
    </w:pPr>
    <w:rPr>
      <w:rFonts w:ascii="Calibri" w:hAnsi="Calibri" w:eastAsia="宋体" w:cs="Times New Roman"/>
      <w:b/>
      <w:bCs/>
      <w:i/>
      <w:iCs/>
      <w:color w:val="4F81BD"/>
      <w:szCs w:val="22"/>
    </w:rPr>
  </w:style>
  <w:style w:type="paragraph" w:customStyle="1" w:styleId="128">
    <w:name w:val="表体"/>
    <w:basedOn w:val="1"/>
    <w:next w:val="1"/>
    <w:autoRedefine/>
    <w:qFormat/>
    <w:uiPriority w:val="0"/>
    <w:pPr>
      <w:spacing w:line="0" w:lineRule="atLeast"/>
    </w:pPr>
    <w:rPr>
      <w:rFonts w:ascii="Calibri" w:hAnsi="Calibri"/>
      <w:b/>
      <w:snapToGrid w:val="0"/>
      <w:szCs w:val="20"/>
    </w:rPr>
  </w:style>
  <w:style w:type="paragraph" w:customStyle="1" w:styleId="129">
    <w:name w:val="rw"/>
    <w:basedOn w:val="1"/>
    <w:autoRedefine/>
    <w:qFormat/>
    <w:uiPriority w:val="0"/>
    <w:pPr>
      <w:widowControl/>
      <w:spacing w:before="30" w:beforeLines="0"/>
      <w:ind w:left="100" w:right="100"/>
      <w:jc w:val="right"/>
    </w:pPr>
    <w:rPr>
      <w:rFonts w:ascii="方正仿宋简体" w:hAnsi="宋体" w:eastAsia="方正仿宋简体"/>
      <w:color w:val="000000"/>
      <w:kern w:val="0"/>
      <w:szCs w:val="21"/>
    </w:rPr>
  </w:style>
  <w:style w:type="paragraph" w:customStyle="1" w:styleId="130">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cs="Times New Roman"/>
      <w:sz w:val="18"/>
      <w:szCs w:val="20"/>
    </w:rPr>
  </w:style>
  <w:style w:type="paragraph" w:customStyle="1" w:styleId="132">
    <w:name w:val=" Char"/>
    <w:basedOn w:val="1"/>
    <w:autoRedefine/>
    <w:qFormat/>
    <w:uiPriority w:val="0"/>
  </w:style>
  <w:style w:type="paragraph" w:customStyle="1" w:styleId="133">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autoRedefine/>
    <w:qFormat/>
    <w:uiPriority w:val="0"/>
    <w:pPr>
      <w:spacing w:before="0" w:beforeLines="0" w:after="0" w:afterLines="0" w:line="400" w:lineRule="exact"/>
    </w:pPr>
    <w:rPr>
      <w:rFonts w:eastAsia="黑体" w:cs="宋体"/>
      <w:b w:val="0"/>
      <w:bCs w:val="0"/>
      <w:sz w:val="24"/>
      <w:szCs w:val="20"/>
    </w:rPr>
  </w:style>
  <w:style w:type="paragraph" w:customStyle="1" w:styleId="135">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autoRedefine/>
    <w:qFormat/>
    <w:uiPriority w:val="0"/>
  </w:style>
  <w:style w:type="paragraph" w:customStyle="1" w:styleId="137">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autoRedefine/>
    <w:qFormat/>
    <w:uiPriority w:val="0"/>
    <w:pPr>
      <w:widowControl/>
      <w:spacing w:before="30" w:beforeLines="0"/>
      <w:jc w:val="center"/>
    </w:pPr>
    <w:rPr>
      <w:rFonts w:ascii="方正小标宋简体" w:hAnsi="宋体" w:eastAsia="方正小标宋简体"/>
      <w:color w:val="000000"/>
      <w:kern w:val="0"/>
      <w:sz w:val="44"/>
      <w:szCs w:val="44"/>
    </w:rPr>
  </w:style>
  <w:style w:type="paragraph" w:customStyle="1" w:styleId="1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autoRedefine/>
    <w:qFormat/>
    <w:uiPriority w:val="99"/>
    <w:rPr>
      <w:kern w:val="2"/>
      <w:sz w:val="21"/>
      <w:szCs w:val="24"/>
    </w:rPr>
  </w:style>
  <w:style w:type="character" w:customStyle="1" w:styleId="143">
    <w:name w:val="尾注文本 Char1"/>
    <w:autoRedefine/>
    <w:qFormat/>
    <w:uiPriority w:val="0"/>
    <w:rPr>
      <w:rFonts w:ascii="Arial" w:hAnsi="Arial" w:cs="Arial"/>
      <w:szCs w:val="24"/>
      <w:lang w:eastAsia="en-US"/>
    </w:rPr>
  </w:style>
  <w:style w:type="character" w:customStyle="1" w:styleId="144">
    <w:name w:val="脚注文本 Char"/>
    <w:autoRedefine/>
    <w:qFormat/>
    <w:uiPriority w:val="0"/>
    <w:rPr>
      <w:rFonts w:ascii="Arial" w:hAnsi="Arial" w:eastAsia="宋体" w:cs="Arial"/>
      <w:sz w:val="18"/>
      <w:szCs w:val="18"/>
      <w:lang w:eastAsia="en-US"/>
    </w:rPr>
  </w:style>
  <w:style w:type="character" w:customStyle="1" w:styleId="145">
    <w:name w:val="Char Char17"/>
    <w:autoRedefine/>
    <w:qFormat/>
    <w:uiPriority w:val="0"/>
    <w:rPr>
      <w:kern w:val="2"/>
      <w:sz w:val="26"/>
      <w:szCs w:val="24"/>
    </w:rPr>
  </w:style>
  <w:style w:type="character" w:customStyle="1" w:styleId="146">
    <w:name w:val="副标题 Char1"/>
    <w:autoRedefine/>
    <w:qFormat/>
    <w:uiPriority w:val="0"/>
    <w:rPr>
      <w:szCs w:val="24"/>
      <w:u w:val="single"/>
      <w:lang w:eastAsia="en-US"/>
    </w:rPr>
  </w:style>
  <w:style w:type="character" w:customStyle="1" w:styleId="147">
    <w:name w:val="标题 Char1"/>
    <w:autoRedefine/>
    <w:qFormat/>
    <w:uiPriority w:val="10"/>
    <w:rPr>
      <w:szCs w:val="24"/>
      <w:u w:val="single"/>
      <w:lang w:eastAsia="en-US"/>
    </w:rPr>
  </w:style>
  <w:style w:type="character" w:customStyle="1" w:styleId="148">
    <w:name w:val="Char Char24"/>
    <w:autoRedefine/>
    <w:qFormat/>
    <w:uiPriority w:val="0"/>
    <w:rPr>
      <w:b/>
      <w:bCs/>
      <w:kern w:val="44"/>
      <w:sz w:val="44"/>
      <w:szCs w:val="44"/>
    </w:rPr>
  </w:style>
  <w:style w:type="character" w:customStyle="1" w:styleId="149">
    <w:name w:val="批注主题 Char"/>
    <w:autoRedefine/>
    <w:qFormat/>
    <w:uiPriority w:val="0"/>
    <w:rPr>
      <w:rFonts w:ascii="宋体" w:hAnsi="宋体" w:eastAsia="宋体"/>
      <w:kern w:val="2"/>
      <w:sz w:val="24"/>
      <w:szCs w:val="28"/>
      <w:lang w:val="en-US" w:eastAsia="zh-CN" w:bidi="ar-SA"/>
    </w:rPr>
  </w:style>
  <w:style w:type="character" w:customStyle="1" w:styleId="150">
    <w:name w:val="引用 Char1"/>
    <w:link w:val="81"/>
    <w:autoRedefine/>
    <w:qFormat/>
    <w:uiPriority w:val="29"/>
    <w:rPr>
      <w:i/>
      <w:iCs/>
      <w:color w:val="000000"/>
      <w:kern w:val="2"/>
      <w:sz w:val="21"/>
    </w:rPr>
  </w:style>
  <w:style w:type="character" w:customStyle="1" w:styleId="151">
    <w:name w:val="Char Char23"/>
    <w:autoRedefine/>
    <w:qFormat/>
    <w:uiPriority w:val="0"/>
    <w:rPr>
      <w:rFonts w:ascii="Cambria" w:hAnsi="Cambria" w:eastAsia="宋体" w:cs="Times New Roman"/>
      <w:b/>
      <w:bCs/>
      <w:kern w:val="2"/>
      <w:sz w:val="32"/>
      <w:szCs w:val="32"/>
    </w:rPr>
  </w:style>
  <w:style w:type="character" w:customStyle="1" w:styleId="152">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3">
    <w:name w:val="标题 9 Char1"/>
    <w:autoRedefine/>
    <w:qFormat/>
    <w:uiPriority w:val="0"/>
    <w:rPr>
      <w:rFonts w:ascii="Times New Roman" w:hAnsi="Times New Roman" w:eastAsia="仿宋_GB2312" w:cs="Times New Roman"/>
      <w:sz w:val="30"/>
      <w:szCs w:val="20"/>
    </w:rPr>
  </w:style>
  <w:style w:type="character" w:customStyle="1" w:styleId="154">
    <w:name w:val="正文文本 Char1"/>
    <w:autoRedefine/>
    <w:qFormat/>
    <w:uiPriority w:val="0"/>
    <w:rPr>
      <w:kern w:val="2"/>
      <w:sz w:val="21"/>
      <w:szCs w:val="22"/>
    </w:rPr>
  </w:style>
  <w:style w:type="character" w:customStyle="1" w:styleId="155">
    <w:name w:val="引用 Char2"/>
    <w:autoRedefine/>
    <w:qFormat/>
    <w:uiPriority w:val="99"/>
    <w:rPr>
      <w:i/>
      <w:iCs/>
      <w:color w:val="000000"/>
      <w:kern w:val="2"/>
      <w:sz w:val="21"/>
      <w:szCs w:val="24"/>
    </w:rPr>
  </w:style>
  <w:style w:type="character" w:customStyle="1" w:styleId="156">
    <w:name w:val="正文文本 Char3"/>
    <w:autoRedefine/>
    <w:semiHidden/>
    <w:qFormat/>
    <w:uiPriority w:val="99"/>
    <w:rPr>
      <w:rFonts w:ascii="Calibri" w:hAnsi="Calibri" w:eastAsia="宋体" w:cs="Times New Roman"/>
      <w:szCs w:val="24"/>
    </w:rPr>
  </w:style>
  <w:style w:type="character" w:customStyle="1" w:styleId="157">
    <w:name w:val="日期 Char4"/>
    <w:link w:val="25"/>
    <w:autoRedefine/>
    <w:qFormat/>
    <w:uiPriority w:val="0"/>
    <w:rPr>
      <w:rFonts w:eastAsia="宋体"/>
      <w:kern w:val="2"/>
      <w:sz w:val="21"/>
      <w:szCs w:val="24"/>
      <w:lang w:val="en-US" w:eastAsia="zh-CN" w:bidi="ar-SA"/>
    </w:rPr>
  </w:style>
  <w:style w:type="character" w:customStyle="1" w:styleId="158">
    <w:name w:val="标题 2 Char"/>
    <w:autoRedefine/>
    <w:qFormat/>
    <w:uiPriority w:val="0"/>
    <w:rPr>
      <w:rFonts w:ascii="仿宋_GB2312" w:hAnsi="Calibri" w:eastAsia="仿宋_GB2312" w:cs="Times New Roman"/>
      <w:b/>
      <w:spacing w:val="1"/>
      <w:w w:val="99"/>
      <w:kern w:val="0"/>
      <w:sz w:val="28"/>
      <w:szCs w:val="32"/>
    </w:rPr>
  </w:style>
  <w:style w:type="character" w:customStyle="1" w:styleId="159">
    <w:name w:val="标题 7 Char"/>
    <w:autoRedefine/>
    <w:qFormat/>
    <w:uiPriority w:val="0"/>
    <w:rPr>
      <w:rFonts w:ascii="Calibri" w:hAnsi="Calibri" w:eastAsia="宋体" w:cs="Times New Roman"/>
      <w:b/>
      <w:bCs/>
      <w:sz w:val="24"/>
      <w:szCs w:val="24"/>
    </w:rPr>
  </w:style>
  <w:style w:type="character" w:customStyle="1" w:styleId="160">
    <w:name w:val="批注框文本 Char1"/>
    <w:autoRedefine/>
    <w:qFormat/>
    <w:uiPriority w:val="0"/>
    <w:rPr>
      <w:kern w:val="2"/>
      <w:sz w:val="18"/>
      <w:szCs w:val="18"/>
    </w:rPr>
  </w:style>
  <w:style w:type="character" w:customStyle="1" w:styleId="161">
    <w:name w:val="日期 Char1"/>
    <w:autoRedefine/>
    <w:qFormat/>
    <w:uiPriority w:val="0"/>
    <w:rPr>
      <w:kern w:val="2"/>
      <w:sz w:val="21"/>
      <w:szCs w:val="22"/>
    </w:rPr>
  </w:style>
  <w:style w:type="character" w:customStyle="1" w:styleId="162">
    <w:name w:val="_Style 171"/>
    <w:autoRedefine/>
    <w:qFormat/>
    <w:uiPriority w:val="0"/>
    <w:rPr>
      <w:b/>
      <w:bCs/>
      <w:i/>
      <w:iCs/>
      <w:color w:val="4F81BD"/>
    </w:rPr>
  </w:style>
  <w:style w:type="character" w:customStyle="1" w:styleId="163">
    <w:name w:val="Char Char22"/>
    <w:autoRedefine/>
    <w:qFormat/>
    <w:uiPriority w:val="0"/>
    <w:rPr>
      <w:b/>
      <w:bCs/>
      <w:kern w:val="2"/>
      <w:sz w:val="32"/>
      <w:szCs w:val="32"/>
    </w:rPr>
  </w:style>
  <w:style w:type="character" w:customStyle="1" w:styleId="164">
    <w:name w:val="标题 6 Char1"/>
    <w:autoRedefine/>
    <w:qFormat/>
    <w:uiPriority w:val="0"/>
    <w:rPr>
      <w:rFonts w:ascii="Times New Roman" w:hAnsi="Arial" w:eastAsia="仿宋_GB2312" w:cs="Times New Roman"/>
      <w:sz w:val="30"/>
      <w:szCs w:val="20"/>
    </w:rPr>
  </w:style>
  <w:style w:type="character" w:customStyle="1" w:styleId="165">
    <w:name w:val="标题5 Char Char"/>
    <w:link w:val="116"/>
    <w:autoRedefine/>
    <w:qFormat/>
    <w:uiPriority w:val="0"/>
    <w:rPr>
      <w:rFonts w:ascii="Arial" w:hAnsi="Arial"/>
      <w:b/>
      <w:bCs/>
      <w:sz w:val="24"/>
      <w:szCs w:val="32"/>
      <w:lang w:bidi="ar-SA"/>
    </w:rPr>
  </w:style>
  <w:style w:type="character" w:customStyle="1" w:styleId="166">
    <w:name w:val="正文文本缩进 Char1"/>
    <w:autoRedefine/>
    <w:qFormat/>
    <w:uiPriority w:val="0"/>
    <w:rPr>
      <w:kern w:val="2"/>
      <w:sz w:val="21"/>
      <w:szCs w:val="24"/>
    </w:rPr>
  </w:style>
  <w:style w:type="character" w:customStyle="1" w:styleId="167">
    <w:name w:val="标题 4 Char1"/>
    <w:autoRedefine/>
    <w:qFormat/>
    <w:uiPriority w:val="0"/>
    <w:rPr>
      <w:rFonts w:ascii="宋体" w:hAnsi="宋体" w:eastAsia="宋体" w:cs="宋体"/>
      <w:b/>
      <w:bCs/>
      <w:sz w:val="24"/>
      <w:szCs w:val="24"/>
    </w:rPr>
  </w:style>
  <w:style w:type="character" w:customStyle="1" w:styleId="168">
    <w:name w:val="尾注文本 Char"/>
    <w:autoRedefine/>
    <w:qFormat/>
    <w:uiPriority w:val="0"/>
    <w:rPr>
      <w:kern w:val="2"/>
      <w:sz w:val="21"/>
      <w:szCs w:val="24"/>
    </w:rPr>
  </w:style>
  <w:style w:type="character" w:customStyle="1" w:styleId="169">
    <w:name w:val="HTML 预设格式 Char3"/>
    <w:link w:val="40"/>
    <w:autoRedefine/>
    <w:qFormat/>
    <w:uiPriority w:val="0"/>
    <w:rPr>
      <w:rFonts w:ascii="宋体" w:hAnsi="宋体" w:eastAsia="宋体" w:cs="宋体"/>
      <w:color w:val="000000"/>
      <w:sz w:val="24"/>
      <w:szCs w:val="24"/>
      <w:lang w:val="en-US" w:eastAsia="zh-CN" w:bidi="ar-SA"/>
    </w:rPr>
  </w:style>
  <w:style w:type="character" w:customStyle="1" w:styleId="170">
    <w:name w:val="尾注文本 Char2"/>
    <w:autoRedefine/>
    <w:semiHidden/>
    <w:qFormat/>
    <w:uiPriority w:val="99"/>
    <w:rPr>
      <w:rFonts w:ascii="Calibri" w:hAnsi="Calibri" w:eastAsia="宋体" w:cs="Times New Roman"/>
      <w:szCs w:val="24"/>
    </w:rPr>
  </w:style>
  <w:style w:type="character" w:customStyle="1" w:styleId="171">
    <w:name w:val="明显强调1"/>
    <w:autoRedefine/>
    <w:qFormat/>
    <w:uiPriority w:val="0"/>
    <w:rPr>
      <w:b/>
      <w:bCs/>
      <w:i/>
      <w:iCs/>
      <w:color w:val="4F81BD"/>
    </w:rPr>
  </w:style>
  <w:style w:type="character" w:customStyle="1" w:styleId="172">
    <w:name w:val="正文文本 Char"/>
    <w:autoRedefine/>
    <w:qFormat/>
    <w:uiPriority w:val="0"/>
    <w:rPr>
      <w:sz w:val="26"/>
      <w:szCs w:val="24"/>
    </w:rPr>
  </w:style>
  <w:style w:type="character" w:customStyle="1" w:styleId="173">
    <w:name w:val="脚注文本 Char2"/>
    <w:autoRedefine/>
    <w:semiHidden/>
    <w:qFormat/>
    <w:uiPriority w:val="99"/>
    <w:rPr>
      <w:rFonts w:ascii="Calibri" w:hAnsi="Calibri" w:eastAsia="宋体" w:cs="Times New Roman"/>
      <w:sz w:val="18"/>
      <w:szCs w:val="18"/>
    </w:rPr>
  </w:style>
  <w:style w:type="character" w:customStyle="1" w:styleId="174">
    <w:name w:val="正文文本 2 Char1"/>
    <w:autoRedefine/>
    <w:semiHidden/>
    <w:qFormat/>
    <w:uiPriority w:val="99"/>
    <w:rPr>
      <w:rFonts w:ascii="Calibri" w:hAnsi="Calibri" w:eastAsia="宋体" w:cs="Times New Roman"/>
      <w:szCs w:val="24"/>
    </w:rPr>
  </w:style>
  <w:style w:type="character" w:customStyle="1" w:styleId="175">
    <w:name w:val="_Style 248"/>
    <w:autoRedefine/>
    <w:qFormat/>
    <w:uiPriority w:val="0"/>
    <w:rPr>
      <w:b/>
      <w:bCs/>
      <w:smallCaps/>
      <w:spacing w:val="5"/>
    </w:rPr>
  </w:style>
  <w:style w:type="character" w:customStyle="1" w:styleId="176">
    <w:name w:val="明显引用 Char3"/>
    <w:autoRedefine/>
    <w:qFormat/>
    <w:uiPriority w:val="30"/>
    <w:rPr>
      <w:rFonts w:ascii="Calibri" w:hAnsi="Calibri" w:eastAsia="宋体" w:cs="Times New Roman"/>
      <w:b/>
      <w:bCs/>
      <w:i/>
      <w:iCs/>
      <w:color w:val="4F81BD"/>
      <w:szCs w:val="24"/>
    </w:rPr>
  </w:style>
  <w:style w:type="character" w:customStyle="1" w:styleId="177">
    <w:name w:val="_Style 254"/>
    <w:autoRedefine/>
    <w:qFormat/>
    <w:uiPriority w:val="0"/>
    <w:rPr>
      <w:b/>
      <w:bCs/>
      <w:smallCaps/>
      <w:color w:val="C0504D"/>
      <w:spacing w:val="5"/>
      <w:u w:val="single"/>
    </w:rPr>
  </w:style>
  <w:style w:type="character" w:customStyle="1" w:styleId="178">
    <w:name w:val="正文文本缩进 Char2"/>
    <w:autoRedefine/>
    <w:semiHidden/>
    <w:qFormat/>
    <w:uiPriority w:val="99"/>
    <w:rPr>
      <w:rFonts w:ascii="Calibri" w:hAnsi="Calibri" w:eastAsia="宋体" w:cs="Times New Roman"/>
      <w:szCs w:val="24"/>
    </w:rPr>
  </w:style>
  <w:style w:type="character" w:customStyle="1" w:styleId="179">
    <w:name w:val="标题 4 Char2"/>
    <w:link w:val="6"/>
    <w:autoRedefine/>
    <w:qFormat/>
    <w:uiPriority w:val="0"/>
    <w:rPr>
      <w:rFonts w:ascii="宋体" w:hAnsi="宋体" w:eastAsia="宋体" w:cs="宋体"/>
      <w:b/>
      <w:bCs/>
      <w:sz w:val="24"/>
      <w:szCs w:val="24"/>
      <w:lang w:val="en-US" w:eastAsia="zh-CN" w:bidi="ar-SA"/>
    </w:rPr>
  </w:style>
  <w:style w:type="character" w:customStyle="1" w:styleId="180">
    <w:name w:val="正文文本缩进 3 Char"/>
    <w:autoRedefine/>
    <w:qFormat/>
    <w:uiPriority w:val="0"/>
    <w:rPr>
      <w:kern w:val="2"/>
      <w:sz w:val="16"/>
      <w:szCs w:val="16"/>
    </w:rPr>
  </w:style>
  <w:style w:type="character" w:customStyle="1" w:styleId="181">
    <w:name w:val="尾注文本 Char3"/>
    <w:link w:val="27"/>
    <w:autoRedefine/>
    <w:qFormat/>
    <w:uiPriority w:val="0"/>
    <w:rPr>
      <w:rFonts w:ascii="Arial" w:hAnsi="Arial" w:eastAsia="宋体" w:cs="Arial"/>
      <w:szCs w:val="24"/>
      <w:lang w:val="en-US" w:eastAsia="en-US" w:bidi="ar-SA"/>
    </w:rPr>
  </w:style>
  <w:style w:type="character" w:customStyle="1" w:styleId="182">
    <w:name w:val="引用 Char3"/>
    <w:autoRedefine/>
    <w:qFormat/>
    <w:uiPriority w:val="29"/>
    <w:rPr>
      <w:rFonts w:ascii="Calibri" w:hAnsi="Calibri" w:eastAsia="宋体" w:cs="Times New Roman"/>
      <w:i/>
      <w:iCs/>
      <w:color w:val="000000"/>
      <w:szCs w:val="24"/>
    </w:rPr>
  </w:style>
  <w:style w:type="character" w:customStyle="1" w:styleId="183">
    <w:name w:val="Char Char32"/>
    <w:autoRedefine/>
    <w:qFormat/>
    <w:uiPriority w:val="0"/>
    <w:rPr>
      <w:rFonts w:ascii="仿宋_GB2312" w:eastAsia="仿宋_GB2312" w:cs="MingLiU"/>
      <w:b/>
      <w:spacing w:val="1"/>
      <w:w w:val="99"/>
      <w:sz w:val="28"/>
      <w:szCs w:val="32"/>
    </w:rPr>
  </w:style>
  <w:style w:type="character" w:customStyle="1" w:styleId="184">
    <w:name w:val="日期 Char"/>
    <w:autoRedefine/>
    <w:qFormat/>
    <w:uiPriority w:val="0"/>
    <w:rPr>
      <w:rFonts w:eastAsia="宋体"/>
      <w:szCs w:val="24"/>
    </w:rPr>
  </w:style>
  <w:style w:type="character" w:customStyle="1" w:styleId="185">
    <w:name w:val="页脚 Char"/>
    <w:autoRedefine/>
    <w:qFormat/>
    <w:uiPriority w:val="0"/>
    <w:rPr>
      <w:sz w:val="18"/>
      <w:szCs w:val="18"/>
    </w:rPr>
  </w:style>
  <w:style w:type="character" w:customStyle="1" w:styleId="186">
    <w:name w:val="style121"/>
    <w:autoRedefine/>
    <w:qFormat/>
    <w:uiPriority w:val="0"/>
    <w:rPr>
      <w:rFonts w:hint="eastAsia" w:ascii="宋体" w:hAnsi="宋体" w:eastAsia="宋体"/>
      <w:sz w:val="18"/>
      <w:szCs w:val="18"/>
    </w:rPr>
  </w:style>
  <w:style w:type="character" w:customStyle="1" w:styleId="187">
    <w:name w:val="ss16"/>
    <w:autoRedefine/>
    <w:qFormat/>
    <w:uiPriority w:val="0"/>
    <w:rPr>
      <w:rFonts w:hint="eastAsia" w:ascii="宋体" w:hAnsi="宋体" w:eastAsia="宋体"/>
      <w:color w:val="000000"/>
      <w:sz w:val="9"/>
      <w:szCs w:val="9"/>
    </w:rPr>
  </w:style>
  <w:style w:type="character" w:customStyle="1" w:styleId="188">
    <w:name w:val="textcontents"/>
    <w:autoRedefine/>
    <w:qFormat/>
    <w:uiPriority w:val="0"/>
    <w:rPr>
      <w:rFonts w:cs="Times New Roman"/>
    </w:rPr>
  </w:style>
  <w:style w:type="character" w:customStyle="1" w:styleId="189">
    <w:name w:val="14t1"/>
    <w:autoRedefine/>
    <w:qFormat/>
    <w:uiPriority w:val="0"/>
    <w:rPr>
      <w:rFonts w:hint="eastAsia" w:ascii="宋体" w:hAnsi="宋体" w:eastAsia="宋体"/>
      <w:sz w:val="11"/>
      <w:szCs w:val="11"/>
    </w:rPr>
  </w:style>
  <w:style w:type="character" w:customStyle="1" w:styleId="190">
    <w:name w:val="不明显参考1"/>
    <w:autoRedefine/>
    <w:qFormat/>
    <w:uiPriority w:val="0"/>
    <w:rPr>
      <w:smallCaps/>
      <w:color w:val="C0504D"/>
      <w:u w:val="single"/>
    </w:rPr>
  </w:style>
  <w:style w:type="character" w:customStyle="1" w:styleId="191">
    <w:name w:val="unnamed1"/>
    <w:basedOn w:val="47"/>
    <w:autoRedefine/>
    <w:qFormat/>
    <w:uiPriority w:val="0"/>
  </w:style>
  <w:style w:type="character" w:customStyle="1" w:styleId="192">
    <w:name w:val="批注主题 Char3"/>
    <w:autoRedefine/>
    <w:semiHidden/>
    <w:qFormat/>
    <w:uiPriority w:val="99"/>
    <w:rPr>
      <w:rFonts w:ascii="Calibri" w:hAnsi="Calibri" w:eastAsia="宋体" w:cs="Times New Roman"/>
      <w:b/>
      <w:bCs/>
      <w:szCs w:val="24"/>
    </w:rPr>
  </w:style>
  <w:style w:type="character" w:customStyle="1" w:styleId="193">
    <w:name w:val="标题 3 Char2"/>
    <w:link w:val="5"/>
    <w:autoRedefine/>
    <w:qFormat/>
    <w:uiPriority w:val="0"/>
    <w:rPr>
      <w:rFonts w:eastAsia="宋体"/>
      <w:b/>
      <w:bCs/>
      <w:kern w:val="2"/>
      <w:sz w:val="32"/>
      <w:szCs w:val="32"/>
      <w:lang w:val="en-US" w:eastAsia="zh-CN" w:bidi="ar-SA"/>
    </w:rPr>
  </w:style>
  <w:style w:type="character" w:customStyle="1" w:styleId="194">
    <w:name w:val="标题 2 Char2"/>
    <w:link w:val="4"/>
    <w:autoRedefine/>
    <w:qFormat/>
    <w:uiPriority w:val="0"/>
    <w:rPr>
      <w:rFonts w:ascii="Cambria" w:hAnsi="Cambria" w:eastAsia="宋体"/>
      <w:b/>
      <w:bCs/>
      <w:kern w:val="2"/>
      <w:sz w:val="32"/>
      <w:szCs w:val="32"/>
      <w:lang w:val="en-US" w:eastAsia="zh-CN" w:bidi="ar-SA"/>
    </w:rPr>
  </w:style>
  <w:style w:type="character" w:customStyle="1" w:styleId="195">
    <w:name w:val="标题 6 Char2"/>
    <w:link w:val="8"/>
    <w:autoRedefine/>
    <w:qFormat/>
    <w:uiPriority w:val="0"/>
    <w:rPr>
      <w:rFonts w:hAnsi="Arial" w:eastAsia="仿宋_GB2312"/>
      <w:sz w:val="30"/>
      <w:lang w:val="en-US" w:eastAsia="zh-CN" w:bidi="ar-SA"/>
    </w:rPr>
  </w:style>
  <w:style w:type="character" w:customStyle="1" w:styleId="196">
    <w:name w:val="页脚 Char2"/>
    <w:link w:val="29"/>
    <w:autoRedefine/>
    <w:qFormat/>
    <w:uiPriority w:val="0"/>
    <w:rPr>
      <w:rFonts w:eastAsia="宋体"/>
      <w:kern w:val="2"/>
      <w:sz w:val="18"/>
      <w:szCs w:val="18"/>
      <w:lang w:val="en-US" w:eastAsia="zh-CN" w:bidi="ar-SA"/>
    </w:rPr>
  </w:style>
  <w:style w:type="character" w:customStyle="1" w:styleId="197">
    <w:name w:val="引用 Char4"/>
    <w:link w:val="102"/>
    <w:autoRedefine/>
    <w:qFormat/>
    <w:uiPriority w:val="0"/>
    <w:rPr>
      <w:i/>
      <w:iCs/>
      <w:color w:val="000000"/>
      <w:kern w:val="2"/>
      <w:sz w:val="21"/>
      <w:szCs w:val="22"/>
      <w:lang w:bidi="ar-SA"/>
    </w:rPr>
  </w:style>
  <w:style w:type="character" w:customStyle="1" w:styleId="198">
    <w:name w:val="标题 9 Char2"/>
    <w:link w:val="12"/>
    <w:autoRedefine/>
    <w:qFormat/>
    <w:uiPriority w:val="0"/>
    <w:rPr>
      <w:rFonts w:eastAsia="仿宋_GB2312"/>
      <w:sz w:val="30"/>
      <w:lang w:val="en-US" w:eastAsia="zh-CN" w:bidi="ar-SA"/>
    </w:rPr>
  </w:style>
  <w:style w:type="character" w:customStyle="1" w:styleId="199">
    <w:name w:val="标题 3 Char"/>
    <w:autoRedefine/>
    <w:qFormat/>
    <w:uiPriority w:val="0"/>
    <w:rPr>
      <w:rFonts w:ascii="仿宋_GB2312" w:hAnsi="Calibri" w:eastAsia="仿宋_GB2312" w:cs="Times New Roman"/>
      <w:b/>
      <w:kern w:val="0"/>
      <w:sz w:val="24"/>
      <w:szCs w:val="28"/>
    </w:rPr>
  </w:style>
  <w:style w:type="character" w:customStyle="1" w:styleId="200">
    <w:name w:val="批注文字 Char2"/>
    <w:autoRedefine/>
    <w:qFormat/>
    <w:uiPriority w:val="0"/>
    <w:rPr>
      <w:rFonts w:ascii="Calibri" w:hAnsi="Calibri" w:eastAsia="宋体" w:cs="Times New Roman"/>
      <w:szCs w:val="24"/>
    </w:rPr>
  </w:style>
  <w:style w:type="character" w:customStyle="1" w:styleId="201">
    <w:name w:val="normaltext1"/>
    <w:autoRedefine/>
    <w:qFormat/>
    <w:uiPriority w:val="0"/>
    <w:rPr>
      <w:rFonts w:hint="default" w:ascii="ˎ̥" w:hAnsi="ˎ̥"/>
      <w:sz w:val="9"/>
      <w:szCs w:val="9"/>
    </w:rPr>
  </w:style>
  <w:style w:type="character" w:customStyle="1" w:styleId="202">
    <w:name w:val="ca-141"/>
    <w:autoRedefine/>
    <w:qFormat/>
    <w:uiPriority w:val="0"/>
    <w:rPr>
      <w:rFonts w:hint="eastAsia" w:ascii="仿宋_GB2312" w:eastAsia="仿宋_GB2312"/>
      <w:sz w:val="21"/>
      <w:szCs w:val="21"/>
    </w:rPr>
  </w:style>
  <w:style w:type="character" w:customStyle="1" w:styleId="203">
    <w:name w:val="main_tdbg_7601"/>
    <w:autoRedefine/>
    <w:qFormat/>
    <w:uiPriority w:val="0"/>
    <w:rPr>
      <w:sz w:val="14"/>
      <w:szCs w:val="14"/>
    </w:rPr>
  </w:style>
  <w:style w:type="character" w:customStyle="1" w:styleId="204">
    <w:name w:val="文档结构图 Char4"/>
    <w:link w:val="15"/>
    <w:autoRedefine/>
    <w:qFormat/>
    <w:uiPriority w:val="0"/>
    <w:rPr>
      <w:rFonts w:eastAsia="宋体"/>
      <w:kern w:val="2"/>
      <w:sz w:val="21"/>
      <w:szCs w:val="24"/>
      <w:lang w:val="en-US" w:eastAsia="zh-CN" w:bidi="ar-SA"/>
    </w:rPr>
  </w:style>
  <w:style w:type="character" w:customStyle="1" w:styleId="205">
    <w:name w:val="批注框文本 Char3"/>
    <w:autoRedefine/>
    <w:semiHidden/>
    <w:qFormat/>
    <w:uiPriority w:val="99"/>
    <w:rPr>
      <w:rFonts w:ascii="Calibri" w:hAnsi="Calibri" w:eastAsia="宋体" w:cs="Times New Roman"/>
      <w:sz w:val="18"/>
      <w:szCs w:val="18"/>
    </w:rPr>
  </w:style>
  <w:style w:type="character" w:customStyle="1" w:styleId="206">
    <w:name w:val="Char Char9"/>
    <w:autoRedefine/>
    <w:qFormat/>
    <w:locked/>
    <w:uiPriority w:val="0"/>
    <w:rPr>
      <w:rFonts w:ascii="仿宋_GB2312" w:eastAsia="仿宋_GB2312" w:cs="MingLiU"/>
      <w:b/>
      <w:sz w:val="24"/>
      <w:szCs w:val="28"/>
      <w:lang w:val="en-US" w:eastAsia="zh-CN" w:bidi="ar-SA"/>
    </w:rPr>
  </w:style>
  <w:style w:type="character" w:customStyle="1" w:styleId="207">
    <w:name w:val="title11"/>
    <w:autoRedefine/>
    <w:qFormat/>
    <w:uiPriority w:val="0"/>
    <w:rPr>
      <w:b/>
      <w:bCs/>
      <w:color w:val="FFFFFF"/>
      <w:sz w:val="11"/>
      <w:szCs w:val="11"/>
    </w:rPr>
  </w:style>
  <w:style w:type="character" w:customStyle="1" w:styleId="208">
    <w:name w:val="批注框文本 Char4"/>
    <w:link w:val="28"/>
    <w:autoRedefine/>
    <w:qFormat/>
    <w:uiPriority w:val="0"/>
    <w:rPr>
      <w:rFonts w:eastAsia="宋体"/>
      <w:kern w:val="2"/>
      <w:sz w:val="18"/>
      <w:szCs w:val="18"/>
      <w:lang w:val="en-US" w:eastAsia="zh-CN" w:bidi="ar-SA"/>
    </w:rPr>
  </w:style>
  <w:style w:type="character" w:customStyle="1" w:styleId="209">
    <w:name w:val="标题 8 Char1"/>
    <w:autoRedefine/>
    <w:qFormat/>
    <w:uiPriority w:val="0"/>
    <w:rPr>
      <w:rFonts w:ascii="Times New Roman" w:hAnsi="Arial" w:eastAsia="仿宋_GB2312" w:cs="Times New Roman"/>
      <w:sz w:val="30"/>
      <w:szCs w:val="20"/>
    </w:rPr>
  </w:style>
  <w:style w:type="character" w:customStyle="1" w:styleId="210">
    <w:name w:val="标题 Char2"/>
    <w:autoRedefine/>
    <w:qFormat/>
    <w:uiPriority w:val="10"/>
    <w:rPr>
      <w:rFonts w:ascii="Cambria" w:hAnsi="Cambria" w:eastAsia="宋体" w:cs="Times New Roman"/>
      <w:b/>
      <w:bCs/>
      <w:sz w:val="32"/>
      <w:szCs w:val="32"/>
    </w:rPr>
  </w:style>
  <w:style w:type="character" w:customStyle="1" w:styleId="211">
    <w:name w:val="标题 Char3"/>
    <w:link w:val="43"/>
    <w:autoRedefine/>
    <w:qFormat/>
    <w:uiPriority w:val="0"/>
    <w:rPr>
      <w:rFonts w:eastAsia="宋体"/>
      <w:szCs w:val="24"/>
      <w:u w:val="single"/>
      <w:lang w:val="en-US" w:eastAsia="en-US" w:bidi="ar-SA"/>
    </w:rPr>
  </w:style>
  <w:style w:type="character" w:customStyle="1" w:styleId="212">
    <w:name w:val="批注主题 Char1"/>
    <w:autoRedefine/>
    <w:qFormat/>
    <w:uiPriority w:val="0"/>
    <w:rPr>
      <w:b/>
      <w:bCs/>
      <w:kern w:val="2"/>
      <w:sz w:val="21"/>
      <w:szCs w:val="22"/>
    </w:rPr>
  </w:style>
  <w:style w:type="character" w:customStyle="1" w:styleId="213">
    <w:name w:val="副标题 Char"/>
    <w:autoRedefine/>
    <w:qFormat/>
    <w:uiPriority w:val="0"/>
    <w:rPr>
      <w:rFonts w:ascii="Cambria" w:hAnsi="Cambria" w:eastAsia="宋体" w:cs="Times New Roman"/>
      <w:b/>
      <w:bCs/>
      <w:kern w:val="28"/>
      <w:sz w:val="32"/>
      <w:szCs w:val="32"/>
    </w:rPr>
  </w:style>
  <w:style w:type="character" w:customStyle="1" w:styleId="214">
    <w:name w:val="正文文本 Char4"/>
    <w:link w:val="2"/>
    <w:autoRedefine/>
    <w:qFormat/>
    <w:uiPriority w:val="0"/>
    <w:rPr>
      <w:rFonts w:eastAsia="宋体"/>
      <w:kern w:val="2"/>
      <w:sz w:val="21"/>
      <w:szCs w:val="24"/>
      <w:lang w:val="en-US" w:eastAsia="zh-CN" w:bidi="ar-SA"/>
    </w:rPr>
  </w:style>
  <w:style w:type="character" w:customStyle="1" w:styleId="215">
    <w:name w:val="纯文本 Char1"/>
    <w:autoRedefine/>
    <w:qFormat/>
    <w:uiPriority w:val="0"/>
    <w:rPr>
      <w:rFonts w:ascii="宋体" w:hAnsi="Courier New" w:cs="Courier New"/>
      <w:kern w:val="2"/>
      <w:sz w:val="21"/>
      <w:szCs w:val="21"/>
    </w:rPr>
  </w:style>
  <w:style w:type="character" w:customStyle="1" w:styleId="216">
    <w:name w:val="脚注文本 Char3"/>
    <w:link w:val="34"/>
    <w:autoRedefine/>
    <w:qFormat/>
    <w:uiPriority w:val="0"/>
    <w:rPr>
      <w:rFonts w:ascii="Arial" w:hAnsi="Arial" w:eastAsia="宋体" w:cs="Arial"/>
      <w:sz w:val="18"/>
      <w:szCs w:val="18"/>
      <w:lang w:val="en-US" w:eastAsia="en-US" w:bidi="ar-SA"/>
    </w:rPr>
  </w:style>
  <w:style w:type="character" w:customStyle="1" w:styleId="217">
    <w:name w:val="标题 2 Char1"/>
    <w:autoRedefine/>
    <w:qFormat/>
    <w:uiPriority w:val="0"/>
    <w:rPr>
      <w:rFonts w:ascii="Cambria" w:hAnsi="Cambria" w:eastAsia="宋体" w:cs="Times New Roman"/>
      <w:b/>
      <w:bCs/>
      <w:kern w:val="2"/>
      <w:sz w:val="32"/>
      <w:szCs w:val="32"/>
    </w:rPr>
  </w:style>
  <w:style w:type="character" w:customStyle="1" w:styleId="218">
    <w:name w:val="脚注文本 Char1"/>
    <w:autoRedefine/>
    <w:qFormat/>
    <w:uiPriority w:val="0"/>
    <w:rPr>
      <w:rFonts w:ascii="Arial" w:hAnsi="Arial" w:cs="Arial"/>
      <w:sz w:val="18"/>
      <w:szCs w:val="18"/>
      <w:lang w:eastAsia="en-US"/>
    </w:rPr>
  </w:style>
  <w:style w:type="character" w:customStyle="1" w:styleId="219">
    <w:name w:val="HTML 预设格式 Char2"/>
    <w:autoRedefine/>
    <w:semiHidden/>
    <w:qFormat/>
    <w:uiPriority w:val="99"/>
    <w:rPr>
      <w:rFonts w:ascii="Courier New" w:hAnsi="Courier New" w:eastAsia="宋体" w:cs="Courier New"/>
      <w:sz w:val="20"/>
      <w:szCs w:val="20"/>
    </w:rPr>
  </w:style>
  <w:style w:type="character" w:customStyle="1" w:styleId="220">
    <w:name w:val="标题 8 Char"/>
    <w:autoRedefine/>
    <w:qFormat/>
    <w:uiPriority w:val="0"/>
    <w:rPr>
      <w:rFonts w:ascii="Arial" w:hAnsi="Arial" w:eastAsia="黑体" w:cs="Times New Roman"/>
      <w:sz w:val="24"/>
      <w:szCs w:val="24"/>
    </w:rPr>
  </w:style>
  <w:style w:type="character" w:customStyle="1" w:styleId="221">
    <w:name w:val="s3"/>
    <w:autoRedefine/>
    <w:qFormat/>
    <w:uiPriority w:val="0"/>
  </w:style>
  <w:style w:type="character" w:customStyle="1" w:styleId="222">
    <w:name w:val="标题 4 Char"/>
    <w:autoRedefine/>
    <w:qFormat/>
    <w:uiPriority w:val="0"/>
    <w:rPr>
      <w:rFonts w:ascii="仿宋_GB2312" w:hAnsi="Calibri" w:eastAsia="仿宋_GB2312" w:cs="Times New Roman"/>
      <w:b/>
      <w:kern w:val="0"/>
      <w:sz w:val="24"/>
      <w:szCs w:val="28"/>
    </w:rPr>
  </w:style>
  <w:style w:type="character" w:customStyle="1" w:styleId="223">
    <w:name w:val="正文文本缩进 2 Char"/>
    <w:autoRedefine/>
    <w:qFormat/>
    <w:uiPriority w:val="0"/>
    <w:rPr>
      <w:kern w:val="2"/>
      <w:sz w:val="21"/>
      <w:szCs w:val="24"/>
    </w:rPr>
  </w:style>
  <w:style w:type="character" w:customStyle="1" w:styleId="224">
    <w:name w:val="style21"/>
    <w:autoRedefine/>
    <w:qFormat/>
    <w:uiPriority w:val="0"/>
    <w:rPr>
      <w:b/>
      <w:bCs/>
      <w:sz w:val="28"/>
      <w:szCs w:val="28"/>
    </w:rPr>
  </w:style>
  <w:style w:type="character" w:customStyle="1" w:styleId="225">
    <w:name w:val="正文文本缩进 2 Char2"/>
    <w:autoRedefine/>
    <w:semiHidden/>
    <w:qFormat/>
    <w:uiPriority w:val="99"/>
    <w:rPr>
      <w:rFonts w:ascii="Calibri" w:hAnsi="Calibri" w:eastAsia="宋体" w:cs="Times New Roman"/>
      <w:szCs w:val="24"/>
    </w:rPr>
  </w:style>
  <w:style w:type="character" w:customStyle="1" w:styleId="226">
    <w:name w:val="ht1"/>
    <w:autoRedefine/>
    <w:qFormat/>
    <w:uiPriority w:val="0"/>
    <w:rPr>
      <w:rFonts w:ascii="黑体" w:eastAsia="黑体"/>
      <w:b/>
      <w:bCs/>
    </w:rPr>
  </w:style>
  <w:style w:type="character" w:customStyle="1" w:styleId="227">
    <w:name w:val="文档结构图 Char3"/>
    <w:autoRedefine/>
    <w:semiHidden/>
    <w:qFormat/>
    <w:uiPriority w:val="99"/>
    <w:rPr>
      <w:rFonts w:ascii="宋体" w:hAnsi="Calibri" w:eastAsia="宋体" w:cs="Times New Roman"/>
      <w:sz w:val="18"/>
      <w:szCs w:val="18"/>
    </w:rPr>
  </w:style>
  <w:style w:type="character" w:customStyle="1" w:styleId="228">
    <w:name w:val="书籍标题1"/>
    <w:autoRedefine/>
    <w:qFormat/>
    <w:uiPriority w:val="0"/>
    <w:rPr>
      <w:b/>
      <w:bCs/>
      <w:smallCaps/>
      <w:spacing w:val="5"/>
    </w:rPr>
  </w:style>
  <w:style w:type="character" w:customStyle="1" w:styleId="229">
    <w:name w:val="标题 7 Char1"/>
    <w:autoRedefine/>
    <w:qFormat/>
    <w:uiPriority w:val="0"/>
    <w:rPr>
      <w:rFonts w:ascii="Times New Roman" w:hAnsi="Times New Roman" w:eastAsia="仿宋_GB2312" w:cs="Times New Roman"/>
      <w:sz w:val="30"/>
      <w:szCs w:val="20"/>
    </w:rPr>
  </w:style>
  <w:style w:type="character" w:customStyle="1" w:styleId="230">
    <w:name w:val="明显引用 Char2"/>
    <w:autoRedefine/>
    <w:qFormat/>
    <w:uiPriority w:val="99"/>
    <w:rPr>
      <w:b/>
      <w:bCs/>
      <w:i/>
      <w:iCs/>
      <w:color w:val="4F81BD"/>
      <w:kern w:val="2"/>
      <w:sz w:val="21"/>
      <w:szCs w:val="24"/>
    </w:rPr>
  </w:style>
  <w:style w:type="character" w:customStyle="1" w:styleId="231">
    <w:name w:val="不明显强调1"/>
    <w:autoRedefine/>
    <w:qFormat/>
    <w:uiPriority w:val="0"/>
    <w:rPr>
      <w:i/>
      <w:iCs/>
      <w:color w:val="808080"/>
    </w:rPr>
  </w:style>
  <w:style w:type="character" w:customStyle="1" w:styleId="232">
    <w:name w:val="普通文字 Char Char2"/>
    <w:autoRedefine/>
    <w:qFormat/>
    <w:uiPriority w:val="0"/>
    <w:rPr>
      <w:rFonts w:ascii="宋体" w:hAnsi="Courier New"/>
      <w:kern w:val="2"/>
      <w:sz w:val="28"/>
      <w:szCs w:val="28"/>
    </w:rPr>
  </w:style>
  <w:style w:type="character" w:customStyle="1" w:styleId="233">
    <w:name w:val="标题 6 Char"/>
    <w:autoRedefine/>
    <w:qFormat/>
    <w:uiPriority w:val="0"/>
    <w:rPr>
      <w:rFonts w:ascii="Arial" w:hAnsi="Arial" w:eastAsia="黑体" w:cs="Times New Roman"/>
      <w:b/>
      <w:bCs/>
      <w:sz w:val="24"/>
      <w:szCs w:val="24"/>
    </w:rPr>
  </w:style>
  <w:style w:type="character" w:customStyle="1" w:styleId="234">
    <w:name w:val="l1"/>
    <w:basedOn w:val="47"/>
    <w:autoRedefine/>
    <w:qFormat/>
    <w:uiPriority w:val="0"/>
  </w:style>
  <w:style w:type="character" w:customStyle="1" w:styleId="235">
    <w:name w:val="未处理的提及"/>
    <w:autoRedefine/>
    <w:unhideWhenUsed/>
    <w:qFormat/>
    <w:uiPriority w:val="99"/>
    <w:rPr>
      <w:color w:val="808080"/>
      <w:shd w:val="clear" w:color="auto" w:fill="E6E6E6"/>
    </w:rPr>
  </w:style>
  <w:style w:type="character" w:customStyle="1" w:styleId="236">
    <w:name w:val="页眉 Char2"/>
    <w:link w:val="30"/>
    <w:autoRedefine/>
    <w:qFormat/>
    <w:uiPriority w:val="0"/>
    <w:rPr>
      <w:rFonts w:eastAsia="宋体"/>
      <w:kern w:val="2"/>
      <w:sz w:val="18"/>
      <w:szCs w:val="18"/>
      <w:lang w:val="en-US" w:eastAsia="zh-CN" w:bidi="ar-SA"/>
    </w:rPr>
  </w:style>
  <w:style w:type="character" w:customStyle="1" w:styleId="237">
    <w:name w:val="Char Char35"/>
    <w:autoRedefine/>
    <w:qFormat/>
    <w:uiPriority w:val="0"/>
    <w:rPr>
      <w:rFonts w:ascii="仿宋_GB2312" w:eastAsia="仿宋_GB2312" w:cs="MingLiU"/>
      <w:b/>
      <w:sz w:val="24"/>
      <w:szCs w:val="28"/>
    </w:rPr>
  </w:style>
  <w:style w:type="character" w:customStyle="1" w:styleId="238">
    <w:name w:val="Char Char11"/>
    <w:autoRedefine/>
    <w:qFormat/>
    <w:locked/>
    <w:uiPriority w:val="0"/>
    <w:rPr>
      <w:rFonts w:eastAsia="黑体"/>
      <w:kern w:val="2"/>
      <w:sz w:val="44"/>
      <w:szCs w:val="44"/>
      <w:lang w:val="en-US" w:eastAsia="zh-CN" w:bidi="ar-SA"/>
    </w:rPr>
  </w:style>
  <w:style w:type="character" w:customStyle="1" w:styleId="239">
    <w:name w:val="style31"/>
    <w:autoRedefine/>
    <w:qFormat/>
    <w:uiPriority w:val="0"/>
    <w:rPr>
      <w:sz w:val="10"/>
      <w:szCs w:val="10"/>
    </w:rPr>
  </w:style>
  <w:style w:type="character" w:customStyle="1" w:styleId="240">
    <w:name w:val="0d1471"/>
    <w:autoRedefine/>
    <w:qFormat/>
    <w:uiPriority w:val="0"/>
    <w:rPr>
      <w:color w:val="000000"/>
      <w:sz w:val="11"/>
      <w:szCs w:val="11"/>
      <w:u w:val="none"/>
    </w:rPr>
  </w:style>
  <w:style w:type="character" w:customStyle="1" w:styleId="241">
    <w:name w:val="标题 9 Char"/>
    <w:autoRedefine/>
    <w:qFormat/>
    <w:uiPriority w:val="0"/>
    <w:rPr>
      <w:rFonts w:ascii="Arial" w:hAnsi="Arial" w:eastAsia="黑体" w:cs="Times New Roman"/>
      <w:szCs w:val="21"/>
    </w:rPr>
  </w:style>
  <w:style w:type="character" w:customStyle="1" w:styleId="242">
    <w:name w:val="标题 3 Char1"/>
    <w:autoRedefine/>
    <w:qFormat/>
    <w:uiPriority w:val="0"/>
    <w:rPr>
      <w:rFonts w:ascii="Times New Roman" w:hAnsi="Times New Roman" w:eastAsia="宋体" w:cs="Times New Roman"/>
      <w:b/>
      <w:bCs/>
      <w:kern w:val="2"/>
      <w:sz w:val="32"/>
      <w:szCs w:val="32"/>
    </w:rPr>
  </w:style>
  <w:style w:type="character" w:customStyle="1" w:styleId="243">
    <w:name w:val="标题4 Char Char"/>
    <w:link w:val="87"/>
    <w:autoRedefine/>
    <w:qFormat/>
    <w:uiPriority w:val="0"/>
    <w:rPr>
      <w:rFonts w:ascii="Arial" w:hAnsi="Arial"/>
      <w:b/>
      <w:bCs/>
      <w:sz w:val="24"/>
      <w:szCs w:val="32"/>
      <w:lang w:bidi="ar-SA"/>
    </w:rPr>
  </w:style>
  <w:style w:type="character" w:customStyle="1" w:styleId="244">
    <w:name w:val="标题 5 Char1"/>
    <w:autoRedefine/>
    <w:qFormat/>
    <w:uiPriority w:val="0"/>
    <w:rPr>
      <w:rFonts w:ascii="宋体" w:hAnsi="宋体" w:eastAsia="宋体" w:cs="宋体"/>
      <w:b/>
      <w:bCs/>
      <w:sz w:val="20"/>
      <w:szCs w:val="20"/>
    </w:rPr>
  </w:style>
  <w:style w:type="character" w:customStyle="1" w:styleId="245">
    <w:name w:val="正文文本缩进 3 Char1"/>
    <w:autoRedefine/>
    <w:qFormat/>
    <w:uiPriority w:val="0"/>
    <w:rPr>
      <w:rFonts w:ascii="宋体" w:hAnsi="宋体"/>
      <w:kern w:val="2"/>
      <w:sz w:val="28"/>
      <w:szCs w:val="28"/>
    </w:rPr>
  </w:style>
  <w:style w:type="character" w:customStyle="1" w:styleId="246">
    <w:name w:val="Char Char33"/>
    <w:autoRedefine/>
    <w:qFormat/>
    <w:uiPriority w:val="0"/>
    <w:rPr>
      <w:rFonts w:ascii="仿宋_GB2312" w:eastAsia="仿宋_GB2312" w:cs="MingLiU"/>
      <w:b/>
      <w:sz w:val="24"/>
      <w:szCs w:val="28"/>
    </w:rPr>
  </w:style>
  <w:style w:type="character" w:customStyle="1" w:styleId="247">
    <w:name w:val="批注文字 Char1"/>
    <w:autoRedefine/>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autoRedefine/>
    <w:qFormat/>
    <w:uiPriority w:val="0"/>
    <w:rPr>
      <w:sz w:val="18"/>
      <w:szCs w:val="18"/>
    </w:rPr>
  </w:style>
  <w:style w:type="character" w:customStyle="1" w:styleId="250">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1">
    <w:name w:val="color_red1"/>
    <w:autoRedefine/>
    <w:qFormat/>
    <w:uiPriority w:val="0"/>
    <w:rPr>
      <w:color w:val="FA0004"/>
    </w:rPr>
  </w:style>
  <w:style w:type="character" w:customStyle="1" w:styleId="252">
    <w:name w:val="批注主题 Char2"/>
    <w:autoRedefine/>
    <w:qFormat/>
    <w:uiPriority w:val="99"/>
    <w:rPr>
      <w:b/>
      <w:bCs/>
      <w:kern w:val="2"/>
      <w:sz w:val="21"/>
      <w:szCs w:val="24"/>
    </w:rPr>
  </w:style>
  <w:style w:type="character" w:customStyle="1" w:styleId="253">
    <w:name w:val="Char Char34"/>
    <w:autoRedefine/>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7"/>
    <w:qFormat/>
    <w:uiPriority w:val="0"/>
  </w:style>
  <w:style w:type="character" w:customStyle="1" w:styleId="256">
    <w:name w:val="正文文本 3 Char"/>
    <w:autoRedefine/>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autoRedefine/>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autoRedefine/>
    <w:qFormat/>
    <w:uiPriority w:val="99"/>
    <w:rPr>
      <w:kern w:val="2"/>
      <w:sz w:val="21"/>
      <w:szCs w:val="24"/>
    </w:rPr>
  </w:style>
  <w:style w:type="character" w:customStyle="1" w:styleId="262">
    <w:name w:val="HTML 预设格式 Char"/>
    <w:autoRedefine/>
    <w:qFormat/>
    <w:uiPriority w:val="0"/>
    <w:rPr>
      <w:rFonts w:ascii="宋体" w:hAnsi="宋体" w:eastAsia="宋体" w:cs="宋体"/>
      <w:color w:val="000000"/>
      <w:sz w:val="24"/>
      <w:szCs w:val="24"/>
    </w:rPr>
  </w:style>
  <w:style w:type="character" w:customStyle="1" w:styleId="263">
    <w:name w:val="批注主题 Char4"/>
    <w:link w:val="44"/>
    <w:autoRedefine/>
    <w:qFormat/>
    <w:uiPriority w:val="0"/>
    <w:rPr>
      <w:rFonts w:eastAsia="宋体"/>
      <w:b/>
      <w:bCs/>
      <w:kern w:val="2"/>
      <w:sz w:val="21"/>
      <w:szCs w:val="24"/>
      <w:lang w:val="en-US" w:eastAsia="zh-CN" w:bidi="ar-SA"/>
    </w:rPr>
  </w:style>
  <w:style w:type="character" w:customStyle="1" w:styleId="264">
    <w:name w:val="正文文本 2 Char"/>
    <w:link w:val="39"/>
    <w:autoRedefine/>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Char2"/>
    <w:link w:val="11"/>
    <w:autoRedefine/>
    <w:qFormat/>
    <w:uiPriority w:val="0"/>
    <w:rPr>
      <w:rFonts w:hAnsi="Arial" w:eastAsia="仿宋_GB2312"/>
      <w:sz w:val="30"/>
      <w:lang w:val="en-US" w:eastAsia="zh-CN" w:bidi="ar-SA"/>
    </w:rPr>
  </w:style>
  <w:style w:type="character" w:customStyle="1" w:styleId="268">
    <w:name w:val="正文文本缩进 3 Char3"/>
    <w:link w:val="36"/>
    <w:autoRedefine/>
    <w:qFormat/>
    <w:uiPriority w:val="0"/>
    <w:rPr>
      <w:rFonts w:ascii="宋体" w:hAnsi="宋体" w:eastAsia="宋体"/>
      <w:kern w:val="2"/>
      <w:sz w:val="28"/>
      <w:szCs w:val="28"/>
      <w:lang w:val="en-US" w:eastAsia="zh-CN" w:bidi="ar-SA"/>
    </w:rPr>
  </w:style>
  <w:style w:type="character" w:customStyle="1" w:styleId="269">
    <w:name w:val="正文文本缩进 Char3"/>
    <w:link w:val="18"/>
    <w:autoRedefine/>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Char3"/>
    <w:link w:val="26"/>
    <w:autoRedefine/>
    <w:qFormat/>
    <w:uiPriority w:val="0"/>
    <w:rPr>
      <w:rFonts w:eastAsia="宋体"/>
      <w:sz w:val="28"/>
      <w:szCs w:val="24"/>
      <w:lang w:val="en-US" w:eastAsia="zh-CN" w:bidi="ar-SA"/>
    </w:rPr>
  </w:style>
  <w:style w:type="character" w:customStyle="1" w:styleId="272">
    <w:name w:val="标题 7 Char2"/>
    <w:link w:val="10"/>
    <w:autoRedefine/>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autoRedefine/>
    <w:qFormat/>
    <w:uiPriority w:val="0"/>
    <w:rPr>
      <w:sz w:val="28"/>
      <w:szCs w:val="24"/>
    </w:rPr>
  </w:style>
  <w:style w:type="character" w:customStyle="1" w:styleId="275">
    <w:name w:val="Char Char21"/>
    <w:autoRedefine/>
    <w:qFormat/>
    <w:uiPriority w:val="0"/>
    <w:rPr>
      <w:rFonts w:ascii="宋体" w:hAnsi="宋体" w:cs="宋体"/>
      <w:b/>
      <w:bCs/>
      <w:sz w:val="24"/>
      <w:szCs w:val="24"/>
    </w:rPr>
  </w:style>
  <w:style w:type="character" w:customStyle="1" w:styleId="276">
    <w:name w:val="文档结构图 Char1"/>
    <w:autoRedefine/>
    <w:qFormat/>
    <w:uiPriority w:val="0"/>
    <w:rPr>
      <w:rFonts w:ascii="宋体"/>
      <w:kern w:val="2"/>
      <w:sz w:val="18"/>
      <w:szCs w:val="18"/>
    </w:rPr>
  </w:style>
  <w:style w:type="character" w:customStyle="1" w:styleId="277">
    <w:name w:val="标题 Char"/>
    <w:autoRedefine/>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autoRedefine/>
    <w:qFormat/>
    <w:uiPriority w:val="0"/>
    <w:rPr>
      <w:rFonts w:eastAsia="黑体"/>
      <w:kern w:val="2"/>
      <w:sz w:val="44"/>
      <w:szCs w:val="44"/>
      <w:lang w:val="en-US" w:eastAsia="zh-CN" w:bidi="ar-SA"/>
    </w:rPr>
  </w:style>
  <w:style w:type="character" w:customStyle="1" w:styleId="280">
    <w:name w:val="明显参考1"/>
    <w:autoRedefine/>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autoRedefine/>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autoRedefine/>
    <w:qFormat/>
    <w:uiPriority w:val="0"/>
    <w:rPr>
      <w:rFonts w:ascii="宋体" w:hAnsi="Courier New"/>
      <w:sz w:val="28"/>
      <w:szCs w:val="28"/>
    </w:rPr>
  </w:style>
  <w:style w:type="character" w:customStyle="1" w:styleId="286">
    <w:name w:val="纯文本 Char2"/>
    <w:autoRedefine/>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Char3"/>
    <w:link w:val="16"/>
    <w:qFormat/>
    <w:uiPriority w:val="99"/>
    <w:rPr>
      <w:rFonts w:eastAsia="宋体"/>
      <w:kern w:val="2"/>
      <w:sz w:val="21"/>
      <w:szCs w:val="24"/>
      <w:lang w:val="en-US" w:eastAsia="zh-CN" w:bidi="ar-SA"/>
    </w:rPr>
  </w:style>
  <w:style w:type="character" w:customStyle="1" w:styleId="290">
    <w:name w:val="批注文字 Char Char"/>
    <w:autoRedefine/>
    <w:qFormat/>
    <w:uiPriority w:val="0"/>
    <w:rPr>
      <w:rFonts w:ascii="宋体" w:hAnsi="Times New Roman" w:eastAsia="宋体" w:cs="Times New Roman"/>
      <w:sz w:val="28"/>
      <w:szCs w:val="20"/>
    </w:rPr>
  </w:style>
  <w:style w:type="character" w:customStyle="1" w:styleId="291">
    <w:name w:val="标题 1 Char1"/>
    <w:autoRedefine/>
    <w:qFormat/>
    <w:uiPriority w:val="0"/>
    <w:rPr>
      <w:rFonts w:ascii="Times New Roman" w:hAnsi="Times New Roman" w:eastAsia="宋体" w:cs="Times New Roman"/>
      <w:b/>
      <w:bCs/>
      <w:kern w:val="44"/>
      <w:sz w:val="44"/>
      <w:szCs w:val="44"/>
    </w:rPr>
  </w:style>
  <w:style w:type="character" w:customStyle="1" w:styleId="292">
    <w:name w:val="标题 5 Char2"/>
    <w:link w:val="7"/>
    <w:autoRedefine/>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Char2"/>
    <w:link w:val="3"/>
    <w:qFormat/>
    <w:uiPriority w:val="0"/>
    <w:rPr>
      <w:rFonts w:eastAsia="宋体"/>
      <w:b/>
      <w:bCs/>
      <w:kern w:val="44"/>
      <w:sz w:val="44"/>
      <w:szCs w:val="44"/>
      <w:lang w:val="en-US" w:eastAsia="zh-CN" w:bidi="ar-SA"/>
    </w:rPr>
  </w:style>
  <w:style w:type="character" w:customStyle="1" w:styleId="295">
    <w:name w:val="intel3"/>
    <w:basedOn w:val="47"/>
    <w:autoRedefine/>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autoRedefine/>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autoRedefine/>
    <w:qFormat/>
    <w:uiPriority w:val="0"/>
    <w:rPr>
      <w:rFonts w:ascii="宋体" w:hAnsi="宋体" w:cs="宋体"/>
      <w:color w:val="000000"/>
      <w:sz w:val="24"/>
      <w:szCs w:val="24"/>
    </w:rPr>
  </w:style>
  <w:style w:type="character" w:customStyle="1" w:styleId="300">
    <w:name w:val="引用 Char"/>
    <w:link w:val="69"/>
    <w:qFormat/>
    <w:uiPriority w:val="0"/>
    <w:rPr>
      <w:rFonts w:ascii="Times New Roman" w:hAnsi="Times New Roman" w:eastAsia="宋体" w:cs="Times New Roman"/>
      <w:i/>
      <w:iCs/>
      <w:color w:val="000000"/>
      <w:kern w:val="2"/>
      <w:sz w:val="21"/>
      <w:szCs w:val="24"/>
    </w:rPr>
  </w:style>
  <w:style w:type="character" w:customStyle="1" w:styleId="301">
    <w:name w:val="副标题 Char3"/>
    <w:link w:val="33"/>
    <w:autoRedefine/>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autoRedefine/>
    <w:semiHidden/>
    <w:qFormat/>
    <w:uiPriority w:val="99"/>
    <w:rPr>
      <w:rFonts w:ascii="Calibri" w:hAnsi="Calibri" w:eastAsia="宋体" w:cs="Times New Roman"/>
      <w:szCs w:val="24"/>
    </w:rPr>
  </w:style>
  <w:style w:type="character" w:customStyle="1" w:styleId="304">
    <w:name w:val="纯文本 Char3"/>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autoRedefine/>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Char3"/>
    <w:link w:val="17"/>
    <w:autoRedefine/>
    <w:qFormat/>
    <w:uiPriority w:val="0"/>
    <w:rPr>
      <w:rFonts w:eastAsia="宋体"/>
      <w:kern w:val="2"/>
      <w:sz w:val="16"/>
      <w:szCs w:val="16"/>
      <w:lang w:val="en-US" w:eastAsia="zh-CN" w:bidi="ar-SA"/>
    </w:rPr>
  </w:style>
  <w:style w:type="character" w:customStyle="1" w:styleId="309">
    <w:name w:val="普通文字 Char Char1"/>
    <w:autoRedefine/>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autoRedefine/>
    <w:qFormat/>
    <w:uiPriority w:val="0"/>
    <w:rPr>
      <w:b/>
      <w:bCs/>
      <w:sz w:val="32"/>
      <w:szCs w:val="32"/>
    </w:rPr>
  </w:style>
  <w:style w:type="paragraph" w:customStyle="1" w:styleId="3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193</Pages>
  <Words>7886</Words>
  <Characters>8633</Characters>
  <Lines>1308</Lines>
  <Paragraphs>368</Paragraphs>
  <TotalTime>0</TotalTime>
  <ScaleCrop>false</ScaleCrop>
  <LinksUpToDate>false</LinksUpToDate>
  <CharactersWithSpaces>9138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2019-12-29T13:15:00Z</dcterms:created>
  <dc:creator>USER</dc:creator>
  <cp:lastModifiedBy>Canlocody•Wenson</cp:lastModifiedBy>
  <cp:lastPrinted>2026-03-26T01:01:00Z</cp:lastPrinted>
  <dcterms:modified xsi:type="dcterms:W3CDTF">2026-03-27T01:40:39Z</dcterms:modified>
  <dc:title>第一卷</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85F93950DA164EA6B0D295696BB8299F_13</vt:lpwstr>
  </property>
  <property fmtid="{D5CDD505-2E9C-101B-9397-08002B2CF9AE}" pid="4" name="KSOTemplateDocerSaveRecord">
    <vt:lpwstr>eyJoZGlkIjoiZmNlOTBhZWNkZmE3NjQ2Mzc4NzI4ZmJjNzI5MjA4OTMiLCJ1c2VySWQiOiI0MjQ3MTk3NTcifQ==</vt:lpwstr>
  </property>
</Properties>
</file>