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C2DB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0"/>
          <w:sz w:val="44"/>
          <w:szCs w:val="44"/>
        </w:rPr>
      </w:pPr>
    </w:p>
    <w:p w14:paraId="6A93D84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0"/>
          <w:sz w:val="44"/>
          <w:szCs w:val="44"/>
        </w:rPr>
      </w:pPr>
      <w:r>
        <w:rPr>
          <w:rFonts w:hint="default" w:ascii="Times New Roman" w:hAnsi="Times New Roman" w:eastAsia="方正小标宋_GBK" w:cs="Times New Roman"/>
          <w:color w:val="auto"/>
          <w:spacing w:val="0"/>
          <w:sz w:val="44"/>
          <w:szCs w:val="44"/>
        </w:rPr>
        <w:t>重庆市铜梁区人民政府工作报告</w:t>
      </w:r>
    </w:p>
    <w:p w14:paraId="10F0446E">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pacing w:val="0"/>
          <w:sz w:val="32"/>
          <w:szCs w:val="32"/>
        </w:rPr>
      </w:pPr>
    </w:p>
    <w:p w14:paraId="1528EF1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auto"/>
          <w:spacing w:val="0"/>
          <w:sz w:val="32"/>
          <w:szCs w:val="32"/>
        </w:rPr>
      </w:pPr>
      <w:r>
        <w:rPr>
          <w:rFonts w:hint="default" w:ascii="Times New Roman" w:hAnsi="Times New Roman" w:eastAsia="宋体" w:cs="Times New Roman"/>
          <w:color w:val="auto"/>
          <w:spacing w:val="0"/>
          <w:sz w:val="32"/>
          <w:szCs w:val="32"/>
        </w:rPr>
        <w:t>——202</w:t>
      </w:r>
      <w:r>
        <w:rPr>
          <w:rFonts w:hint="default" w:ascii="Times New Roman" w:hAnsi="Times New Roman" w:eastAsia="宋体" w:cs="Times New Roman"/>
          <w:color w:val="auto"/>
          <w:spacing w:val="0"/>
          <w:sz w:val="32"/>
          <w:szCs w:val="32"/>
          <w:lang w:val="en-US" w:eastAsia="zh-CN"/>
        </w:rPr>
        <w:t>6</w:t>
      </w:r>
      <w:r>
        <w:rPr>
          <w:rFonts w:hint="default" w:ascii="Times New Roman" w:hAnsi="Times New Roman" w:eastAsia="宋体" w:cs="Times New Roman"/>
          <w:color w:val="auto"/>
          <w:spacing w:val="0"/>
          <w:sz w:val="32"/>
          <w:szCs w:val="32"/>
        </w:rPr>
        <w:t>年1月</w:t>
      </w:r>
      <w:r>
        <w:rPr>
          <w:rFonts w:hint="default" w:ascii="Times New Roman" w:hAnsi="Times New Roman" w:eastAsia="宋体" w:cs="Times New Roman"/>
          <w:color w:val="auto"/>
          <w:spacing w:val="0"/>
          <w:sz w:val="32"/>
          <w:szCs w:val="32"/>
          <w:lang w:val="en-US" w:eastAsia="zh-CN"/>
        </w:rPr>
        <w:t>21</w:t>
      </w:r>
      <w:r>
        <w:rPr>
          <w:rFonts w:hint="default" w:ascii="Times New Roman" w:hAnsi="Times New Roman" w:eastAsia="宋体" w:cs="Times New Roman"/>
          <w:color w:val="auto"/>
          <w:spacing w:val="0"/>
          <w:sz w:val="32"/>
          <w:szCs w:val="32"/>
        </w:rPr>
        <w:t>日在重庆市铜梁区第十八届人民代表大会</w:t>
      </w:r>
    </w:p>
    <w:p w14:paraId="233BDF5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color w:val="auto"/>
          <w:spacing w:val="0"/>
          <w:sz w:val="32"/>
          <w:szCs w:val="32"/>
        </w:rPr>
      </w:pPr>
      <w:r>
        <w:rPr>
          <w:rFonts w:hint="default" w:ascii="Times New Roman" w:hAnsi="Times New Roman" w:eastAsia="宋体" w:cs="Times New Roman"/>
          <w:color w:val="auto"/>
          <w:spacing w:val="0"/>
          <w:sz w:val="32"/>
          <w:szCs w:val="32"/>
        </w:rPr>
        <w:t>第</w:t>
      </w:r>
      <w:r>
        <w:rPr>
          <w:rFonts w:hint="default" w:ascii="Times New Roman" w:hAnsi="Times New Roman" w:eastAsia="宋体" w:cs="Times New Roman"/>
          <w:color w:val="auto"/>
          <w:spacing w:val="0"/>
          <w:sz w:val="32"/>
          <w:szCs w:val="32"/>
          <w:lang w:val="en-US" w:eastAsia="zh-CN"/>
        </w:rPr>
        <w:t>十</w:t>
      </w:r>
      <w:r>
        <w:rPr>
          <w:rFonts w:hint="default" w:ascii="Times New Roman" w:hAnsi="Times New Roman" w:eastAsia="宋体" w:cs="Times New Roman"/>
          <w:color w:val="auto"/>
          <w:spacing w:val="0"/>
          <w:sz w:val="32"/>
          <w:szCs w:val="32"/>
        </w:rPr>
        <w:t>次会议上</w:t>
      </w:r>
    </w:p>
    <w:p w14:paraId="76B212C3">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pacing w:val="0"/>
          <w:sz w:val="32"/>
          <w:szCs w:val="32"/>
        </w:rPr>
      </w:pPr>
    </w:p>
    <w:p w14:paraId="57E556C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楷体_GBK" w:cs="Times New Roman"/>
          <w:color w:val="auto"/>
          <w:spacing w:val="0"/>
          <w:sz w:val="32"/>
          <w:szCs w:val="32"/>
          <w:lang w:eastAsia="zh-CN"/>
        </w:rPr>
      </w:pPr>
      <w:r>
        <w:rPr>
          <w:rFonts w:hint="default" w:ascii="Times New Roman" w:hAnsi="Times New Roman" w:eastAsia="方正楷体_GBK" w:cs="Times New Roman"/>
          <w:color w:val="auto"/>
          <w:spacing w:val="0"/>
          <w:sz w:val="32"/>
          <w:szCs w:val="32"/>
        </w:rPr>
        <w:t xml:space="preserve">重庆市铜梁区人民政府区长  </w:t>
      </w:r>
      <w:r>
        <w:rPr>
          <w:rFonts w:hint="default" w:ascii="Times New Roman" w:hAnsi="Times New Roman" w:eastAsia="方正楷体_GBK" w:cs="Times New Roman"/>
          <w:color w:val="auto"/>
          <w:spacing w:val="0"/>
          <w:sz w:val="32"/>
          <w:szCs w:val="32"/>
          <w:lang w:eastAsia="zh-CN"/>
        </w:rPr>
        <w:t>皮</w:t>
      </w:r>
      <w:r>
        <w:rPr>
          <w:rFonts w:hint="default" w:ascii="Times New Roman" w:hAnsi="Times New Roman" w:eastAsia="方正楷体_GBK" w:cs="Times New Roman"/>
          <w:color w:val="auto"/>
          <w:spacing w:val="0"/>
          <w:sz w:val="32"/>
          <w:szCs w:val="32"/>
          <w:lang w:val="en-US" w:eastAsia="zh-CN"/>
        </w:rPr>
        <w:t xml:space="preserve">  </w:t>
      </w:r>
      <w:r>
        <w:rPr>
          <w:rFonts w:hint="default" w:ascii="Times New Roman" w:hAnsi="Times New Roman" w:eastAsia="方正楷体_GBK" w:cs="Times New Roman"/>
          <w:color w:val="auto"/>
          <w:spacing w:val="0"/>
          <w:sz w:val="32"/>
          <w:szCs w:val="32"/>
          <w:lang w:eastAsia="zh-CN"/>
        </w:rPr>
        <w:t>涛</w:t>
      </w:r>
    </w:p>
    <w:p w14:paraId="17B7F3D5">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pacing w:val="0"/>
          <w:sz w:val="32"/>
          <w:szCs w:val="32"/>
        </w:rPr>
      </w:pPr>
    </w:p>
    <w:p w14:paraId="13E1450F">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各位代表：</w:t>
      </w:r>
    </w:p>
    <w:p w14:paraId="1FCB21F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现在，我代表区人民政府向大会报告工作，请予审议，并请区政协委员和其他列席人员提出意见。</w:t>
      </w:r>
    </w:p>
    <w:p w14:paraId="6D6CE81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eastAsia="zh-CN"/>
        </w:rPr>
        <w:t>一、“十四五”时期和</w:t>
      </w:r>
      <w:r>
        <w:rPr>
          <w:rFonts w:hint="default" w:ascii="Times New Roman" w:hAnsi="Times New Roman" w:eastAsia="方正黑体_GBK" w:cs="Times New Roman"/>
          <w:color w:val="auto"/>
          <w:spacing w:val="0"/>
          <w:sz w:val="32"/>
          <w:szCs w:val="32"/>
          <w:lang w:val="en-US" w:eastAsia="zh-CN"/>
        </w:rPr>
        <w:t>2025年工作回顾</w:t>
      </w:r>
    </w:p>
    <w:p w14:paraId="28B3380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十四五</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时期</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是铜梁发展史上</w:t>
      </w:r>
      <w:r>
        <w:rPr>
          <w:rFonts w:hint="default" w:ascii="Times New Roman" w:hAnsi="Times New Roman" w:eastAsia="方正仿宋_GBK" w:cs="Times New Roman"/>
          <w:color w:val="auto"/>
          <w:spacing w:val="0"/>
          <w:sz w:val="32"/>
          <w:szCs w:val="32"/>
          <w:lang w:eastAsia="zh-CN"/>
        </w:rPr>
        <w:t>具有重要意义</w:t>
      </w:r>
      <w:r>
        <w:rPr>
          <w:rFonts w:hint="default" w:ascii="Times New Roman" w:hAnsi="Times New Roman" w:eastAsia="方正仿宋_GBK" w:cs="Times New Roman"/>
          <w:color w:val="auto"/>
          <w:spacing w:val="0"/>
          <w:sz w:val="32"/>
          <w:szCs w:val="32"/>
        </w:rPr>
        <w:t>的五年。习近平总书记亲临重庆视察并发表重要讲话，赋予重庆打造新时代西部大开发重要战略支点、内陆开放综合枢纽“两大定位”，要求重庆在推进新时代西部大开发中发挥支撑作用、在推进共建“一带一路”中发挥带动作用、在推进长江经济带绿色发展中发挥示范作用上展现更大作为，为现代化新重庆建设标定了时代坐标、注入了强大动力</w:t>
      </w:r>
      <w:r>
        <w:rPr>
          <w:rFonts w:hint="default" w:ascii="Times New Roman" w:hAnsi="Times New Roman" w:eastAsia="方正仿宋_GBK" w:cs="Times New Roman"/>
          <w:color w:val="auto"/>
          <w:spacing w:val="0"/>
          <w:sz w:val="32"/>
          <w:szCs w:val="32"/>
          <w:lang w:eastAsia="zh-CN"/>
        </w:rPr>
        <w:t>，为铜梁经济社会发展提供了根本遵循、指明了</w:t>
      </w:r>
      <w:r>
        <w:rPr>
          <w:rFonts w:hint="default" w:ascii="Times New Roman" w:hAnsi="Times New Roman" w:eastAsia="方正仿宋_GBK" w:cs="Times New Roman"/>
          <w:color w:val="auto"/>
          <w:spacing w:val="0"/>
          <w:sz w:val="32"/>
          <w:szCs w:val="32"/>
          <w:lang w:val="en-US" w:eastAsia="zh-CN"/>
        </w:rPr>
        <w:t>前进方向</w:t>
      </w:r>
      <w:r>
        <w:rPr>
          <w:rFonts w:hint="default" w:ascii="Times New Roman" w:hAnsi="Times New Roman" w:eastAsia="方正仿宋_GBK" w:cs="Times New Roman"/>
          <w:color w:val="auto"/>
          <w:spacing w:val="0"/>
          <w:sz w:val="32"/>
          <w:szCs w:val="32"/>
        </w:rPr>
        <w:t>。</w:t>
      </w:r>
    </w:p>
    <w:p w14:paraId="64AD09D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黑体_GBK" w:cs="Times New Roman"/>
          <w:color w:val="auto"/>
          <w:spacing w:val="0"/>
          <w:sz w:val="32"/>
          <w:szCs w:val="32"/>
          <w:lang w:val="en-US" w:eastAsia="zh-CN"/>
        </w:rPr>
        <w:t>这五年，历程极不平凡，奋斗极为不易</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面对错综复杂形势和多重超预期因素冲击影响，</w:t>
      </w:r>
      <w:r>
        <w:rPr>
          <w:rFonts w:hint="default" w:ascii="Times New Roman" w:hAnsi="Times New Roman" w:eastAsia="方正仿宋_GBK" w:cs="Times New Roman"/>
          <w:color w:val="auto"/>
          <w:spacing w:val="0"/>
          <w:sz w:val="32"/>
          <w:szCs w:val="32"/>
          <w:lang w:val="en-US" w:eastAsia="zh-CN"/>
        </w:rPr>
        <w:t>全区上下</w:t>
      </w:r>
      <w:r>
        <w:rPr>
          <w:rFonts w:hint="default" w:ascii="Times New Roman" w:hAnsi="Times New Roman" w:eastAsia="方正仿宋_GBK" w:cs="Times New Roman"/>
          <w:color w:val="auto"/>
          <w:spacing w:val="0"/>
          <w:sz w:val="32"/>
          <w:szCs w:val="32"/>
        </w:rPr>
        <w:t>坚持以习近平新时代中国特色社会主义思想为指导，深入贯彻落实习近平总书记</w:t>
      </w:r>
      <w:r>
        <w:rPr>
          <w:rFonts w:hint="default" w:ascii="Times New Roman" w:hAnsi="Times New Roman" w:eastAsia="方正仿宋_GBK" w:cs="Times New Roman"/>
          <w:color w:val="auto"/>
          <w:spacing w:val="0"/>
          <w:sz w:val="32"/>
          <w:szCs w:val="32"/>
          <w:lang w:eastAsia="zh-CN"/>
        </w:rPr>
        <w:t>视察</w:t>
      </w:r>
      <w:r>
        <w:rPr>
          <w:rFonts w:hint="default" w:ascii="Times New Roman" w:hAnsi="Times New Roman" w:eastAsia="方正仿宋_GBK" w:cs="Times New Roman"/>
          <w:color w:val="auto"/>
          <w:spacing w:val="0"/>
          <w:sz w:val="32"/>
          <w:szCs w:val="32"/>
        </w:rPr>
        <w:t>重庆</w:t>
      </w:r>
      <w:r>
        <w:rPr>
          <w:rFonts w:hint="default" w:ascii="Times New Roman" w:hAnsi="Times New Roman" w:eastAsia="方正仿宋_GBK" w:cs="Times New Roman"/>
          <w:color w:val="auto"/>
          <w:spacing w:val="0"/>
          <w:sz w:val="32"/>
          <w:szCs w:val="32"/>
          <w:lang w:eastAsia="zh-CN"/>
        </w:rPr>
        <w:t>重要讲话</w:t>
      </w:r>
      <w:r>
        <w:rPr>
          <w:rFonts w:hint="default" w:ascii="Times New Roman" w:hAnsi="Times New Roman" w:eastAsia="方正仿宋_GBK" w:cs="Times New Roman"/>
          <w:color w:val="auto"/>
          <w:spacing w:val="0"/>
          <w:sz w:val="32"/>
          <w:szCs w:val="32"/>
        </w:rPr>
        <w:t>重要指示</w:t>
      </w:r>
      <w:r>
        <w:rPr>
          <w:rFonts w:hint="default" w:ascii="Times New Roman" w:hAnsi="Times New Roman" w:eastAsia="方正仿宋_GBK" w:cs="Times New Roman"/>
          <w:color w:val="auto"/>
          <w:spacing w:val="0"/>
          <w:sz w:val="32"/>
          <w:szCs w:val="32"/>
          <w:lang w:eastAsia="zh-CN"/>
        </w:rPr>
        <w:t>精神</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val="en-US" w:eastAsia="zh-CN"/>
        </w:rPr>
        <w:t>按照</w:t>
      </w:r>
      <w:r>
        <w:rPr>
          <w:rFonts w:hint="default" w:ascii="Times New Roman" w:hAnsi="Times New Roman" w:eastAsia="方正仿宋_GBK" w:cs="Times New Roman"/>
          <w:color w:val="auto"/>
          <w:spacing w:val="0"/>
          <w:sz w:val="32"/>
          <w:szCs w:val="32"/>
        </w:rPr>
        <w:t>党中央决策部署</w:t>
      </w:r>
      <w:r>
        <w:rPr>
          <w:rFonts w:hint="default" w:ascii="Times New Roman" w:hAnsi="Times New Roman" w:eastAsia="方正仿宋_GBK" w:cs="Times New Roman"/>
          <w:color w:val="auto"/>
          <w:spacing w:val="0"/>
          <w:sz w:val="32"/>
          <w:szCs w:val="32"/>
          <w:lang w:eastAsia="zh-CN"/>
        </w:rPr>
        <w:t>和</w:t>
      </w:r>
      <w:r>
        <w:rPr>
          <w:rFonts w:hint="default" w:ascii="Times New Roman" w:hAnsi="Times New Roman" w:eastAsia="方正仿宋_GBK" w:cs="Times New Roman"/>
          <w:color w:val="auto"/>
          <w:spacing w:val="0"/>
          <w:sz w:val="32"/>
          <w:szCs w:val="32"/>
        </w:rPr>
        <w:t>市委</w:t>
      </w:r>
      <w:r>
        <w:rPr>
          <w:rFonts w:hint="default" w:ascii="Times New Roman" w:hAnsi="Times New Roman" w:eastAsia="方正仿宋_GBK" w:cs="Times New Roman"/>
          <w:color w:val="auto"/>
          <w:spacing w:val="0"/>
          <w:sz w:val="32"/>
          <w:szCs w:val="32"/>
          <w:lang w:eastAsia="zh-CN"/>
        </w:rPr>
        <w:t>、市政府</w:t>
      </w:r>
      <w:r>
        <w:rPr>
          <w:rFonts w:hint="default" w:ascii="Times New Roman" w:hAnsi="Times New Roman" w:eastAsia="方正仿宋_GBK" w:cs="Times New Roman"/>
          <w:color w:val="auto"/>
          <w:spacing w:val="0"/>
          <w:sz w:val="32"/>
          <w:szCs w:val="32"/>
          <w:lang w:val="en-US" w:eastAsia="zh-CN"/>
        </w:rPr>
        <w:t>工作要求</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val="en-US" w:eastAsia="zh-CN"/>
        </w:rPr>
        <w:t>在区委的坚强领导下，在区人大、区政协的监督支持下，</w:t>
      </w:r>
      <w:r>
        <w:rPr>
          <w:rFonts w:hint="default" w:ascii="Times New Roman" w:hAnsi="Times New Roman" w:eastAsia="方正仿宋_GBK" w:cs="Times New Roman"/>
          <w:color w:val="auto"/>
          <w:spacing w:val="0"/>
          <w:sz w:val="32"/>
          <w:szCs w:val="32"/>
        </w:rPr>
        <w:t>聚焦服务重庆做实“两大定位”、发挥“三个作用”，</w:t>
      </w:r>
      <w:r>
        <w:rPr>
          <w:rFonts w:hint="default" w:ascii="Times New Roman" w:hAnsi="Times New Roman" w:eastAsia="方正仿宋_GBK" w:cs="Times New Roman"/>
          <w:color w:val="auto"/>
          <w:spacing w:val="0"/>
          <w:sz w:val="32"/>
          <w:szCs w:val="32"/>
          <w:lang w:eastAsia="zh-CN"/>
        </w:rPr>
        <w:t>统筹发展和安全</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eastAsia="zh-CN"/>
        </w:rPr>
        <w:t>全力</w:t>
      </w:r>
      <w:r>
        <w:rPr>
          <w:rFonts w:hint="default" w:ascii="Times New Roman" w:hAnsi="Times New Roman" w:eastAsia="方正仿宋_GBK" w:cs="Times New Roman"/>
          <w:color w:val="auto"/>
          <w:spacing w:val="0"/>
          <w:sz w:val="32"/>
          <w:szCs w:val="32"/>
        </w:rPr>
        <w:t>推动高质量发展</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创造高品质生活</w:t>
      </w:r>
      <w:r>
        <w:rPr>
          <w:rFonts w:hint="default" w:ascii="Times New Roman" w:hAnsi="Times New Roman" w:eastAsia="方正仿宋_GBK" w:cs="Times New Roman"/>
          <w:color w:val="auto"/>
          <w:spacing w:val="0"/>
          <w:sz w:val="32"/>
          <w:szCs w:val="32"/>
          <w:lang w:eastAsia="zh-CN"/>
        </w:rPr>
        <w:t>、实现高效能治理，砥砺前行、开拓创新，“</w:t>
      </w:r>
      <w:r>
        <w:rPr>
          <w:rFonts w:hint="default" w:ascii="Times New Roman" w:hAnsi="Times New Roman" w:eastAsia="方正仿宋_GBK" w:cs="Times New Roman"/>
          <w:color w:val="auto"/>
          <w:spacing w:val="0"/>
          <w:sz w:val="32"/>
          <w:szCs w:val="32"/>
        </w:rPr>
        <w:t>十四五</w:t>
      </w:r>
      <w:r>
        <w:rPr>
          <w:rFonts w:hint="default" w:ascii="Times New Roman" w:hAnsi="Times New Roman" w:eastAsia="方正仿宋_GBK" w:cs="Times New Roman"/>
          <w:color w:val="auto"/>
          <w:spacing w:val="0"/>
          <w:sz w:val="32"/>
          <w:szCs w:val="32"/>
          <w:lang w:eastAsia="zh-CN"/>
        </w:rPr>
        <w:t>”实现圆满收官，为铜梁现代化建设奠定坚实基础。</w:t>
      </w:r>
    </w:p>
    <w:p w14:paraId="18D22D2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eastAsia" w:ascii="方正楷体_GBK" w:hAnsi="方正楷体_GBK" w:eastAsia="方正楷体_GBK" w:cs="方正楷体_GBK"/>
          <w:color w:val="auto"/>
          <w:spacing w:val="0"/>
          <w:sz w:val="32"/>
          <w:szCs w:val="32"/>
        </w:rPr>
        <w:t>（一）</w:t>
      </w:r>
      <w:r>
        <w:rPr>
          <w:rFonts w:hint="eastAsia" w:ascii="方正楷体_GBK" w:hAnsi="方正楷体_GBK" w:eastAsia="方正楷体_GBK" w:cs="方正楷体_GBK"/>
          <w:color w:val="auto"/>
          <w:spacing w:val="0"/>
          <w:sz w:val="32"/>
          <w:szCs w:val="32"/>
          <w:lang w:eastAsia="zh-CN"/>
        </w:rPr>
        <w:t>全区</w:t>
      </w:r>
      <w:r>
        <w:rPr>
          <w:rFonts w:hint="eastAsia" w:ascii="方正楷体_GBK" w:hAnsi="方正楷体_GBK" w:eastAsia="方正楷体_GBK" w:cs="方正楷体_GBK"/>
          <w:color w:val="auto"/>
          <w:spacing w:val="0"/>
          <w:sz w:val="32"/>
          <w:szCs w:val="32"/>
        </w:rPr>
        <w:t>综合实力</w:t>
      </w:r>
      <w:r>
        <w:rPr>
          <w:rFonts w:hint="eastAsia" w:ascii="方正楷体_GBK" w:hAnsi="方正楷体_GBK" w:eastAsia="方正楷体_GBK" w:cs="方正楷体_GBK"/>
          <w:color w:val="auto"/>
          <w:spacing w:val="0"/>
          <w:sz w:val="32"/>
          <w:szCs w:val="32"/>
          <w:lang w:eastAsia="zh-CN"/>
        </w:rPr>
        <w:t>有效</w:t>
      </w:r>
      <w:r>
        <w:rPr>
          <w:rFonts w:hint="eastAsia" w:ascii="方正楷体_GBK" w:hAnsi="方正楷体_GBK" w:eastAsia="方正楷体_GBK" w:cs="方正楷体_GBK"/>
          <w:color w:val="auto"/>
          <w:spacing w:val="0"/>
          <w:sz w:val="32"/>
          <w:szCs w:val="32"/>
        </w:rPr>
        <w:t>提升</w:t>
      </w:r>
      <w:r>
        <w:rPr>
          <w:rFonts w:hint="default" w:ascii="Times New Roman" w:hAnsi="Times New Roman" w:eastAsia="方正仿宋_GBK" w:cs="Times New Roman"/>
          <w:color w:val="auto"/>
          <w:spacing w:val="0"/>
          <w:sz w:val="32"/>
          <w:szCs w:val="32"/>
          <w:lang w:val="en-US" w:eastAsia="zh-CN"/>
        </w:rPr>
        <w:t>。地区生产总值年均增长4.</w:t>
      </w:r>
      <w:r>
        <w:rPr>
          <w:rFonts w:hint="eastAsia" w:ascii="Times New Roman" w:hAnsi="Times New Roman" w:eastAsia="方正仿宋_GBK" w:cs="Times New Roman"/>
          <w:color w:val="auto"/>
          <w:spacing w:val="0"/>
          <w:sz w:val="32"/>
          <w:szCs w:val="32"/>
          <w:lang w:val="en-US" w:eastAsia="zh-CN"/>
        </w:rPr>
        <w:t>4</w:t>
      </w:r>
      <w:r>
        <w:rPr>
          <w:rFonts w:hint="default" w:ascii="Times New Roman" w:hAnsi="Times New Roman" w:eastAsia="方正仿宋_GBK" w:cs="Times New Roman"/>
          <w:color w:val="auto"/>
          <w:spacing w:val="0"/>
          <w:sz w:val="32"/>
          <w:szCs w:val="32"/>
          <w:lang w:val="en-US" w:eastAsia="zh-CN"/>
        </w:rPr>
        <w:t>%，人均地区生产总值达11.</w:t>
      </w:r>
      <w:r>
        <w:rPr>
          <w:rFonts w:hint="eastAsia" w:ascii="Times New Roman" w:hAnsi="Times New Roman" w:eastAsia="方正仿宋_GBK" w:cs="Times New Roman"/>
          <w:color w:val="auto"/>
          <w:spacing w:val="0"/>
          <w:sz w:val="32"/>
          <w:szCs w:val="32"/>
          <w:lang w:val="en-US" w:eastAsia="zh-CN"/>
        </w:rPr>
        <w:t>3</w:t>
      </w:r>
      <w:r>
        <w:rPr>
          <w:rFonts w:hint="default" w:ascii="Times New Roman" w:hAnsi="Times New Roman" w:eastAsia="方正仿宋_GBK" w:cs="Times New Roman"/>
          <w:color w:val="auto"/>
          <w:spacing w:val="0"/>
          <w:sz w:val="32"/>
          <w:szCs w:val="32"/>
          <w:lang w:val="en-US" w:eastAsia="zh-CN"/>
        </w:rPr>
        <w:t>万元、较2020年增长</w:t>
      </w:r>
      <w:r>
        <w:rPr>
          <w:rFonts w:hint="eastAsia" w:ascii="Times New Roman" w:hAnsi="Times New Roman" w:eastAsia="方正仿宋_GBK" w:cs="Times New Roman"/>
          <w:color w:val="auto"/>
          <w:spacing w:val="0"/>
          <w:sz w:val="32"/>
          <w:szCs w:val="32"/>
          <w:lang w:val="en-US" w:eastAsia="zh-CN"/>
        </w:rPr>
        <w:t>23.9</w:t>
      </w:r>
      <w:r>
        <w:rPr>
          <w:rFonts w:hint="default" w:ascii="Times New Roman" w:hAnsi="Times New Roman" w:eastAsia="方正仿宋_GBK" w:cs="Times New Roman"/>
          <w:color w:val="auto"/>
          <w:spacing w:val="0"/>
          <w:sz w:val="32"/>
          <w:szCs w:val="32"/>
          <w:lang w:val="en-US" w:eastAsia="zh-CN"/>
        </w:rPr>
        <w:t>%。规上工业增加值年均增长3.</w:t>
      </w:r>
      <w:r>
        <w:rPr>
          <w:rFonts w:hint="eastAsia" w:ascii="Times New Roman" w:hAnsi="Times New Roman" w:eastAsia="方正仿宋_GBK" w:cs="Times New Roman"/>
          <w:color w:val="auto"/>
          <w:spacing w:val="0"/>
          <w:sz w:val="32"/>
          <w:szCs w:val="32"/>
          <w:lang w:val="en-US" w:eastAsia="zh-CN"/>
        </w:rPr>
        <w:t>6</w:t>
      </w:r>
      <w:r>
        <w:rPr>
          <w:rFonts w:hint="default" w:ascii="Times New Roman" w:hAnsi="Times New Roman" w:eastAsia="方正仿宋_GBK" w:cs="Times New Roman"/>
          <w:color w:val="auto"/>
          <w:spacing w:val="0"/>
          <w:sz w:val="32"/>
          <w:szCs w:val="32"/>
          <w:lang w:val="en-US" w:eastAsia="zh-CN"/>
        </w:rPr>
        <w:t>%，服务业增加值增速较2020年提高</w:t>
      </w:r>
      <w:r>
        <w:rPr>
          <w:rFonts w:hint="eastAsia" w:ascii="Times New Roman" w:hAnsi="Times New Roman" w:eastAsia="方正仿宋_GBK" w:cs="Times New Roman"/>
          <w:color w:val="auto"/>
          <w:spacing w:val="0"/>
          <w:sz w:val="32"/>
          <w:szCs w:val="32"/>
          <w:lang w:val="en-US" w:eastAsia="zh-CN"/>
        </w:rPr>
        <w:t>1.9</w:t>
      </w:r>
      <w:r>
        <w:rPr>
          <w:rFonts w:hint="default" w:ascii="Times New Roman" w:hAnsi="Times New Roman" w:eastAsia="方正仿宋_GBK" w:cs="Times New Roman"/>
          <w:color w:val="auto"/>
          <w:spacing w:val="0"/>
          <w:sz w:val="32"/>
          <w:szCs w:val="32"/>
          <w:lang w:val="en-US" w:eastAsia="zh-CN"/>
        </w:rPr>
        <w:t>个百分点。固定资产投资、社会消费品零售总额、进出口总值年均增长8.</w:t>
      </w:r>
      <w:r>
        <w:rPr>
          <w:rFonts w:hint="eastAsia" w:ascii="Times New Roman" w:hAnsi="Times New Roman" w:eastAsia="方正仿宋_GBK" w:cs="Times New Roman"/>
          <w:color w:val="auto"/>
          <w:spacing w:val="0"/>
          <w:sz w:val="32"/>
          <w:szCs w:val="32"/>
          <w:lang w:val="en-US" w:eastAsia="zh-CN"/>
        </w:rPr>
        <w:t>5</w:t>
      </w:r>
      <w:r>
        <w:rPr>
          <w:rFonts w:hint="default" w:ascii="Times New Roman" w:hAnsi="Times New Roman" w:eastAsia="方正仿宋_GBK" w:cs="Times New Roman"/>
          <w:color w:val="auto"/>
          <w:spacing w:val="0"/>
          <w:sz w:val="32"/>
          <w:szCs w:val="32"/>
          <w:lang w:val="en-US" w:eastAsia="zh-CN"/>
        </w:rPr>
        <w:t>%、8.</w:t>
      </w:r>
      <w:r>
        <w:rPr>
          <w:rFonts w:hint="eastAsia" w:ascii="Times New Roman" w:hAnsi="Times New Roman" w:eastAsia="方正仿宋_GBK" w:cs="Times New Roman"/>
          <w:color w:val="auto"/>
          <w:spacing w:val="0"/>
          <w:sz w:val="32"/>
          <w:szCs w:val="32"/>
          <w:lang w:val="en-US" w:eastAsia="zh-CN"/>
        </w:rPr>
        <w:t>4</w:t>
      </w:r>
      <w:r>
        <w:rPr>
          <w:rFonts w:hint="default" w:ascii="Times New Roman" w:hAnsi="Times New Roman" w:eastAsia="方正仿宋_GBK"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9</w:t>
      </w:r>
      <w:r>
        <w:rPr>
          <w:rFonts w:hint="default" w:ascii="Times New Roman" w:hAnsi="Times New Roman" w:eastAsia="方正仿宋_GBK" w:cs="Times New Roman"/>
          <w:color w:val="auto"/>
          <w:spacing w:val="0"/>
          <w:sz w:val="32"/>
          <w:szCs w:val="32"/>
          <w:lang w:val="en-US" w:eastAsia="zh-CN"/>
        </w:rPr>
        <w:t>%。一般公共预算收入年均增长9.2%，工业税收年均增长22.4%。铜梁已成为重庆工业大区、制造强区，在成渝地区双城经济圈建设中的作用发挥更加凸显。</w:t>
      </w:r>
    </w:p>
    <w:p w14:paraId="06D2245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highlight w:val="none"/>
          <w:lang w:val="en-US" w:eastAsia="zh-CN"/>
        </w:rPr>
      </w:pPr>
      <w:r>
        <w:rPr>
          <w:rFonts w:hint="default" w:ascii="方正楷体_GBK" w:hAnsi="方正楷体_GBK" w:eastAsia="方正楷体_GBK" w:cs="方正楷体_GBK"/>
          <w:color w:val="auto"/>
          <w:spacing w:val="0"/>
          <w:sz w:val="32"/>
          <w:szCs w:val="32"/>
          <w:highlight w:val="none"/>
        </w:rPr>
        <w:t>（二）产业发展质量和体量</w:t>
      </w:r>
      <w:r>
        <w:rPr>
          <w:rFonts w:hint="default" w:ascii="方正楷体_GBK" w:hAnsi="方正楷体_GBK" w:eastAsia="方正楷体_GBK" w:cs="方正楷体_GBK"/>
          <w:color w:val="auto"/>
          <w:spacing w:val="0"/>
          <w:sz w:val="32"/>
          <w:szCs w:val="32"/>
          <w:highlight w:val="none"/>
          <w:lang w:eastAsia="zh-CN"/>
        </w:rPr>
        <w:t>有效</w:t>
      </w:r>
      <w:r>
        <w:rPr>
          <w:rFonts w:hint="default" w:ascii="方正楷体_GBK" w:hAnsi="方正楷体_GBK" w:eastAsia="方正楷体_GBK" w:cs="方正楷体_GBK"/>
          <w:color w:val="auto"/>
          <w:spacing w:val="0"/>
          <w:sz w:val="32"/>
          <w:szCs w:val="32"/>
          <w:highlight w:val="none"/>
        </w:rPr>
        <w:t>提升</w:t>
      </w:r>
      <w:r>
        <w:rPr>
          <w:rFonts w:hint="default" w:ascii="Times New Roman" w:hAnsi="Times New Roman" w:eastAsia="方正仿宋_GBK" w:cs="Times New Roman"/>
          <w:color w:val="auto"/>
          <w:spacing w:val="0"/>
          <w:sz w:val="32"/>
          <w:szCs w:val="32"/>
          <w:highlight w:val="none"/>
          <w:lang w:val="en-US" w:eastAsia="zh-CN"/>
        </w:rPr>
        <w:t>。三次产业结构比为</w:t>
      </w:r>
      <w:r>
        <w:rPr>
          <w:rFonts w:hint="eastAsia" w:ascii="Times New Roman" w:hAnsi="Times New Roman" w:eastAsia="方正仿宋_GBK" w:cs="Times New Roman"/>
          <w:color w:val="auto"/>
          <w:spacing w:val="0"/>
          <w:sz w:val="32"/>
          <w:szCs w:val="32"/>
          <w:highlight w:val="none"/>
          <w:lang w:val="en-US" w:eastAsia="zh-CN"/>
        </w:rPr>
        <w:t>9.2</w:t>
      </w:r>
      <w:r>
        <w:rPr>
          <w:rFonts w:hint="default" w:ascii="Times New Roman" w:hAnsi="Times New Roman" w:eastAsia="方正仿宋_GBK" w:cs="Times New Roman"/>
          <w:color w:val="auto"/>
          <w:spacing w:val="0"/>
          <w:sz w:val="32"/>
          <w:szCs w:val="32"/>
          <w:highlight w:val="none"/>
          <w:lang w:val="en-US" w:eastAsia="zh-CN"/>
        </w:rPr>
        <w:t>:4</w:t>
      </w:r>
      <w:r>
        <w:rPr>
          <w:rFonts w:hint="eastAsia" w:ascii="Times New Roman" w:hAnsi="Times New Roman" w:eastAsia="方正仿宋_GBK" w:cs="Times New Roman"/>
          <w:color w:val="auto"/>
          <w:spacing w:val="0"/>
          <w:sz w:val="32"/>
          <w:szCs w:val="32"/>
          <w:highlight w:val="none"/>
          <w:lang w:val="en-US" w:eastAsia="zh-CN"/>
        </w:rPr>
        <w:t>8.2</w:t>
      </w:r>
      <w:r>
        <w:rPr>
          <w:rFonts w:hint="default" w:ascii="Times New Roman" w:hAnsi="Times New Roman" w:eastAsia="方正仿宋_GBK" w:cs="Times New Roman"/>
          <w:color w:val="auto"/>
          <w:spacing w:val="0"/>
          <w:sz w:val="32"/>
          <w:szCs w:val="32"/>
          <w:highlight w:val="none"/>
          <w:lang w:val="en-US" w:eastAsia="zh-CN"/>
        </w:rPr>
        <w:t>:</w:t>
      </w:r>
      <w:r>
        <w:rPr>
          <w:rFonts w:hint="default" w:ascii="Times New Roman" w:hAnsi="Times New Roman" w:eastAsia="方正仿宋_GBK" w:cs="Times New Roman"/>
          <w:color w:val="auto"/>
          <w:spacing w:val="0"/>
          <w:sz w:val="32"/>
          <w:szCs w:val="32"/>
          <w:lang w:val="en-US" w:eastAsia="zh-CN"/>
        </w:rPr>
        <w:t>42.</w:t>
      </w:r>
      <w:r>
        <w:rPr>
          <w:rFonts w:hint="eastAsia" w:ascii="Times New Roman" w:hAnsi="Times New Roman" w:eastAsia="方正仿宋_GBK" w:cs="Times New Roman"/>
          <w:color w:val="auto"/>
          <w:spacing w:val="0"/>
          <w:sz w:val="32"/>
          <w:szCs w:val="32"/>
          <w:lang w:val="en-US" w:eastAsia="zh-CN"/>
        </w:rPr>
        <w:t>6</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highlight w:val="none"/>
          <w:lang w:val="en-US" w:eastAsia="zh-CN"/>
        </w:rPr>
        <w:t>现代</w:t>
      </w:r>
      <w:r>
        <w:rPr>
          <w:rFonts w:hint="default" w:ascii="Times New Roman" w:hAnsi="Times New Roman" w:eastAsia="方正仿宋_GBK" w:cs="Times New Roman"/>
          <w:b/>
          <w:bCs/>
          <w:color w:val="auto"/>
          <w:spacing w:val="0"/>
          <w:sz w:val="32"/>
          <w:szCs w:val="32"/>
          <w:highlight w:val="none"/>
          <w:lang w:eastAsia="zh-CN"/>
        </w:rPr>
        <w:t>制造业能级跃升</w:t>
      </w:r>
      <w:r>
        <w:rPr>
          <w:rFonts w:hint="default" w:ascii="Times New Roman" w:hAnsi="Times New Roman" w:eastAsia="方正仿宋_GBK" w:cs="Times New Roman"/>
          <w:b w:val="0"/>
          <w:bCs w:val="0"/>
          <w:color w:val="auto"/>
          <w:spacing w:val="0"/>
          <w:sz w:val="32"/>
          <w:szCs w:val="32"/>
          <w:highlight w:val="none"/>
          <w:lang w:val="en-US" w:eastAsia="zh-CN"/>
        </w:rPr>
        <w:t>。</w:t>
      </w:r>
      <w:r>
        <w:rPr>
          <w:rFonts w:hint="default" w:ascii="Times New Roman" w:hAnsi="Times New Roman" w:eastAsia="方正仿宋_GBK" w:cs="Times New Roman"/>
          <w:color w:val="auto"/>
          <w:spacing w:val="0"/>
          <w:sz w:val="32"/>
          <w:szCs w:val="32"/>
          <w:highlight w:val="none"/>
          <w:lang w:val="en-US" w:eastAsia="zh-CN"/>
        </w:rPr>
        <w:t>新</w:t>
      </w:r>
      <w:r>
        <w:rPr>
          <w:rFonts w:hint="default" w:ascii="Times New Roman" w:hAnsi="Times New Roman" w:eastAsia="方正仿宋_GBK" w:cs="Times New Roman"/>
          <w:color w:val="auto"/>
          <w:spacing w:val="0"/>
          <w:sz w:val="32"/>
          <w:szCs w:val="32"/>
          <w:highlight w:val="none"/>
          <w:lang w:eastAsia="zh-CN"/>
        </w:rPr>
        <w:t>型储能产业</w:t>
      </w:r>
      <w:r>
        <w:rPr>
          <w:rFonts w:hint="default" w:ascii="Times New Roman" w:hAnsi="Times New Roman" w:eastAsia="方正仿宋_GBK" w:cs="Times New Roman"/>
          <w:color w:val="auto"/>
          <w:spacing w:val="0"/>
          <w:sz w:val="32"/>
          <w:szCs w:val="32"/>
          <w:highlight w:val="none"/>
          <w:lang w:val="en-US" w:eastAsia="zh-CN"/>
        </w:rPr>
        <w:t>“从无到有”</w:t>
      </w:r>
      <w:r>
        <w:rPr>
          <w:rFonts w:hint="default" w:ascii="Times New Roman" w:hAnsi="Times New Roman" w:eastAsia="方正仿宋_GBK" w:cs="Times New Roman"/>
          <w:color w:val="auto"/>
          <w:spacing w:val="0"/>
          <w:sz w:val="32"/>
          <w:szCs w:val="32"/>
          <w:highlight w:val="none"/>
          <w:lang w:eastAsia="zh-CN"/>
        </w:rPr>
        <w:t>，获评国家级中小企业特色产业集群，</w:t>
      </w:r>
      <w:r>
        <w:rPr>
          <w:rFonts w:hint="default" w:ascii="Times New Roman" w:hAnsi="Times New Roman" w:eastAsia="方正仿宋_GBK" w:cs="Times New Roman"/>
          <w:color w:val="auto"/>
          <w:spacing w:val="0"/>
          <w:sz w:val="32"/>
          <w:szCs w:val="32"/>
          <w:highlight w:val="none"/>
          <w:lang w:val="en-US" w:eastAsia="zh-CN"/>
        </w:rPr>
        <w:t>规模达1</w:t>
      </w:r>
      <w:r>
        <w:rPr>
          <w:rFonts w:hint="eastAsia" w:ascii="Times New Roman" w:hAnsi="Times New Roman" w:eastAsia="方正仿宋_GBK" w:cs="Times New Roman"/>
          <w:color w:val="auto"/>
          <w:spacing w:val="0"/>
          <w:sz w:val="32"/>
          <w:szCs w:val="32"/>
          <w:highlight w:val="none"/>
          <w:lang w:val="en-US" w:eastAsia="zh-CN"/>
        </w:rPr>
        <w:t>6</w:t>
      </w:r>
      <w:r>
        <w:rPr>
          <w:rFonts w:hint="default" w:ascii="Times New Roman" w:hAnsi="Times New Roman" w:eastAsia="方正仿宋_GBK" w:cs="Times New Roman"/>
          <w:color w:val="auto"/>
          <w:spacing w:val="0"/>
          <w:sz w:val="32"/>
          <w:szCs w:val="32"/>
          <w:highlight w:val="none"/>
          <w:lang w:val="en-US" w:eastAsia="zh-CN"/>
        </w:rPr>
        <w:t>0亿元，重庆海辰储能电池出货量川渝第一。</w:t>
      </w:r>
      <w:r>
        <w:rPr>
          <w:rFonts w:hint="default" w:ascii="Times New Roman" w:hAnsi="Times New Roman" w:eastAsia="方正仿宋_GBK" w:cs="Times New Roman"/>
          <w:color w:val="auto"/>
          <w:spacing w:val="0"/>
          <w:sz w:val="32"/>
          <w:szCs w:val="32"/>
          <w:highlight w:val="none"/>
          <w:lang w:eastAsia="zh-CN"/>
        </w:rPr>
        <w:t>智联电动车产业快速壮大，</w:t>
      </w:r>
      <w:r>
        <w:rPr>
          <w:rFonts w:hint="default" w:ascii="Times New Roman" w:hAnsi="Times New Roman" w:eastAsia="方正仿宋_GBK" w:cs="Times New Roman"/>
          <w:color w:val="auto"/>
          <w:spacing w:val="0"/>
          <w:sz w:val="32"/>
          <w:szCs w:val="32"/>
          <w:highlight w:val="none"/>
          <w:lang w:val="en-US" w:eastAsia="zh-CN"/>
        </w:rPr>
        <w:t>本地配套率超80%，重庆爱玛销售量占全国电动车销量的10%。汽车零部件产业加快转型，80%的企业服务新能源汽车，产品</w:t>
      </w:r>
      <w:r>
        <w:rPr>
          <w:rFonts w:hint="default" w:ascii="Times New Roman" w:hAnsi="Times New Roman" w:eastAsia="方正仿宋_GBK" w:cs="Times New Roman"/>
          <w:color w:val="auto"/>
          <w:spacing w:val="0"/>
          <w:sz w:val="32"/>
          <w:szCs w:val="32"/>
          <w:highlight w:val="none"/>
          <w:lang w:eastAsia="zh-CN"/>
        </w:rPr>
        <w:t>覆盖100余个品类，配套</w:t>
      </w:r>
      <w:r>
        <w:rPr>
          <w:rFonts w:hint="default" w:ascii="Times New Roman" w:hAnsi="Times New Roman" w:eastAsia="方正仿宋_GBK" w:cs="Times New Roman"/>
          <w:color w:val="auto"/>
          <w:spacing w:val="0"/>
          <w:sz w:val="32"/>
          <w:szCs w:val="32"/>
          <w:highlight w:val="none"/>
          <w:lang w:val="en-US" w:eastAsia="zh-CN"/>
        </w:rPr>
        <w:t>46个汽车</w:t>
      </w:r>
      <w:r>
        <w:rPr>
          <w:rFonts w:hint="default" w:ascii="Times New Roman" w:hAnsi="Times New Roman" w:eastAsia="方正仿宋_GBK" w:cs="Times New Roman"/>
          <w:color w:val="auto"/>
          <w:spacing w:val="0"/>
          <w:sz w:val="32"/>
          <w:szCs w:val="32"/>
          <w:highlight w:val="none"/>
          <w:lang w:eastAsia="zh-CN"/>
        </w:rPr>
        <w:t>品牌</w:t>
      </w:r>
      <w:r>
        <w:rPr>
          <w:rFonts w:hint="default" w:ascii="Times New Roman" w:hAnsi="Times New Roman" w:eastAsia="方正仿宋_GBK" w:cs="Times New Roman"/>
          <w:color w:val="auto"/>
          <w:spacing w:val="0"/>
          <w:sz w:val="32"/>
          <w:szCs w:val="32"/>
          <w:highlight w:val="none"/>
          <w:lang w:val="en-US" w:eastAsia="zh-CN"/>
        </w:rPr>
        <w:t>、200余个车型。</w:t>
      </w:r>
      <w:r>
        <w:rPr>
          <w:rFonts w:hint="default" w:ascii="Times New Roman" w:hAnsi="Times New Roman" w:eastAsia="方正仿宋_GBK" w:cs="Times New Roman"/>
          <w:b/>
          <w:bCs/>
          <w:color w:val="auto"/>
          <w:spacing w:val="0"/>
          <w:sz w:val="32"/>
          <w:szCs w:val="32"/>
          <w:highlight w:val="none"/>
          <w:lang w:val="en-US" w:eastAsia="zh-CN"/>
        </w:rPr>
        <w:t>特色农业提质增效</w:t>
      </w:r>
      <w:r>
        <w:rPr>
          <w:rFonts w:hint="default" w:ascii="Times New Roman" w:hAnsi="Times New Roman" w:eastAsia="方正仿宋_GBK" w:cs="Times New Roman"/>
          <w:color w:val="auto"/>
          <w:spacing w:val="0"/>
          <w:sz w:val="32"/>
          <w:szCs w:val="32"/>
          <w:highlight w:val="none"/>
          <w:lang w:val="en-US" w:eastAsia="zh-CN"/>
        </w:rPr>
        <w:t>。设施蔬菜基地规模跃居全市第三，铜梁黑鸡、铜梁白兔等特色品牌持续擦亮，肉兔养殖基地西南地区单体规模最大。</w:t>
      </w:r>
      <w:r>
        <w:rPr>
          <w:rFonts w:hint="default" w:ascii="Times New Roman" w:hAnsi="Times New Roman" w:eastAsia="方正仿宋_GBK" w:cs="Times New Roman"/>
          <w:b/>
          <w:bCs/>
          <w:color w:val="auto"/>
          <w:spacing w:val="0"/>
          <w:sz w:val="32"/>
          <w:szCs w:val="32"/>
          <w:highlight w:val="none"/>
          <w:lang w:val="en-US" w:eastAsia="zh-CN"/>
        </w:rPr>
        <w:t>现代服务业扩容升级</w:t>
      </w:r>
      <w:r>
        <w:rPr>
          <w:rFonts w:hint="default" w:ascii="Times New Roman" w:hAnsi="Times New Roman" w:eastAsia="方正仿宋_GBK" w:cs="Times New Roman"/>
          <w:color w:val="auto"/>
          <w:spacing w:val="0"/>
          <w:sz w:val="32"/>
          <w:szCs w:val="32"/>
          <w:highlight w:val="none"/>
          <w:lang w:val="en-US" w:eastAsia="zh-CN"/>
        </w:rPr>
        <w:t>。龙城天街成为渝西地区最大的商业综合体，城区商业设施达236万平方米，一批国内外知名品牌入驻铜梁，全区商贸主体达到4.7万户，较2020年增长27%，带动新增就业1.6万余人。</w:t>
      </w:r>
    </w:p>
    <w:p w14:paraId="500D9AC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eastAsia="zh-CN"/>
        </w:rPr>
      </w:pPr>
      <w:r>
        <w:rPr>
          <w:rFonts w:hint="eastAsia" w:ascii="方正楷体_GBK" w:hAnsi="方正楷体_GBK" w:eastAsia="方正楷体_GBK" w:cs="方正楷体_GBK"/>
          <w:color w:val="auto"/>
          <w:spacing w:val="0"/>
          <w:sz w:val="32"/>
          <w:szCs w:val="32"/>
        </w:rPr>
        <w:t>（三）高质量发展动力活力</w:t>
      </w:r>
      <w:r>
        <w:rPr>
          <w:rFonts w:hint="eastAsia" w:ascii="方正楷体_GBK" w:hAnsi="方正楷体_GBK" w:eastAsia="方正楷体_GBK" w:cs="方正楷体_GBK"/>
          <w:color w:val="auto"/>
          <w:spacing w:val="0"/>
          <w:sz w:val="32"/>
          <w:szCs w:val="32"/>
          <w:lang w:eastAsia="zh-CN"/>
        </w:rPr>
        <w:t>有效</w:t>
      </w:r>
      <w:r>
        <w:rPr>
          <w:rFonts w:hint="eastAsia" w:ascii="方正楷体_GBK" w:hAnsi="方正楷体_GBK" w:eastAsia="方正楷体_GBK" w:cs="方正楷体_GBK"/>
          <w:color w:val="auto"/>
          <w:spacing w:val="0"/>
          <w:sz w:val="32"/>
          <w:szCs w:val="32"/>
        </w:rPr>
        <w:t>提升</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lang w:val="en-US" w:eastAsia="zh-CN"/>
        </w:rPr>
        <w:t>改革攻坚重点突破</w:t>
      </w:r>
      <w:r>
        <w:rPr>
          <w:rFonts w:hint="default" w:ascii="Times New Roman" w:hAnsi="Times New Roman" w:eastAsia="方正仿宋_GBK" w:cs="Times New Roman"/>
          <w:color w:val="auto"/>
          <w:spacing w:val="0"/>
          <w:sz w:val="32"/>
          <w:szCs w:val="32"/>
          <w:lang w:val="en-US" w:eastAsia="zh-CN"/>
        </w:rPr>
        <w:t>。数字重庆赋能城市治理深入推进，城市运行更加快捷高效，社会服务更加惠民利企，“一件事一次办”达</w:t>
      </w:r>
      <w:r>
        <w:rPr>
          <w:rFonts w:hint="eastAsia" w:ascii="Times New Roman" w:hAnsi="Times New Roman" w:eastAsia="方正仿宋_GBK" w:cs="Times New Roman"/>
          <w:color w:val="auto"/>
          <w:spacing w:val="0"/>
          <w:sz w:val="32"/>
          <w:szCs w:val="32"/>
          <w:lang w:val="en-US" w:eastAsia="zh-CN"/>
        </w:rPr>
        <w:t>6</w:t>
      </w:r>
      <w:r>
        <w:rPr>
          <w:rFonts w:hint="default" w:ascii="Times New Roman" w:hAnsi="Times New Roman" w:eastAsia="方正仿宋_GBK" w:cs="Times New Roman"/>
          <w:color w:val="auto"/>
          <w:spacing w:val="0"/>
          <w:sz w:val="32"/>
          <w:szCs w:val="32"/>
          <w:lang w:val="en-US" w:eastAsia="zh-CN"/>
        </w:rPr>
        <w:t>.3万件。“三攻坚一盘活”改革取得重大进展，国企实现战略性重组和专业化整合。</w:t>
      </w:r>
      <w:r>
        <w:rPr>
          <w:rFonts w:hint="default" w:ascii="Times New Roman" w:hAnsi="Times New Roman" w:eastAsia="方正仿宋_GBK" w:cs="Times New Roman"/>
          <w:b/>
          <w:bCs/>
          <w:color w:val="auto"/>
          <w:spacing w:val="0"/>
          <w:sz w:val="32"/>
          <w:szCs w:val="32"/>
          <w:lang w:val="en-US" w:eastAsia="zh-CN"/>
        </w:rPr>
        <w:t>对外开放加速扩大</w:t>
      </w:r>
      <w:r>
        <w:rPr>
          <w:rFonts w:hint="default" w:ascii="Times New Roman" w:hAnsi="Times New Roman" w:eastAsia="方正仿宋_GBK" w:cs="Times New Roman"/>
          <w:color w:val="auto"/>
          <w:spacing w:val="0"/>
          <w:sz w:val="32"/>
          <w:szCs w:val="32"/>
          <w:lang w:val="en-US" w:eastAsia="zh-CN"/>
        </w:rPr>
        <w:t>。新增高速公路3条60公里，改造国省道33.9公里，新建“四好农村路”285公里，公路网密度全市第三</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轨道璧铜线开通运行，成渝中线高铁铜梁段加快建设。中国（重庆）自贸区联动创新区成功创建，贸易往来拓展至113个国家和地区，经</w:t>
      </w:r>
      <w:r>
        <w:rPr>
          <w:rFonts w:hint="default" w:ascii="Times New Roman" w:hAnsi="Times New Roman" w:eastAsia="方正仿宋_GBK" w:cs="Times New Roman"/>
          <w:color w:val="auto"/>
          <w:spacing w:val="0"/>
          <w:sz w:val="32"/>
          <w:szCs w:val="32"/>
        </w:rPr>
        <w:t>西部陆海新通道货运量年均增</w:t>
      </w:r>
      <w:r>
        <w:rPr>
          <w:rFonts w:hint="default" w:ascii="Times New Roman" w:hAnsi="Times New Roman" w:eastAsia="方正仿宋_GBK" w:cs="Times New Roman"/>
          <w:color w:val="auto"/>
          <w:spacing w:val="0"/>
          <w:sz w:val="32"/>
          <w:szCs w:val="32"/>
          <w:lang w:eastAsia="zh-CN"/>
        </w:rPr>
        <w:t>长</w:t>
      </w:r>
      <w:r>
        <w:rPr>
          <w:rFonts w:hint="default" w:ascii="Times New Roman" w:hAnsi="Times New Roman" w:eastAsia="方正仿宋_GBK" w:cs="Times New Roman"/>
          <w:color w:val="auto"/>
          <w:spacing w:val="0"/>
          <w:sz w:val="32"/>
          <w:szCs w:val="32"/>
        </w:rPr>
        <w:t>25.3%</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lang w:val="en-US" w:eastAsia="zh-CN"/>
        </w:rPr>
        <w:t>创新能力持续提升</w:t>
      </w:r>
      <w:r>
        <w:rPr>
          <w:rFonts w:hint="default" w:ascii="Times New Roman" w:hAnsi="Times New Roman" w:eastAsia="方正仿宋_GBK" w:cs="Times New Roman"/>
          <w:color w:val="auto"/>
          <w:spacing w:val="0"/>
          <w:sz w:val="32"/>
          <w:szCs w:val="32"/>
          <w:lang w:val="en-US" w:eastAsia="zh-CN"/>
        </w:rPr>
        <w:t>。科技型企业、高新技术企业分别达到1744家、295家，是2020年的3倍。重庆市重点实验室、技术创新中心、科技进步奖等市级重点平台和重大奖项均实现零突破，技术合同交易额增长58倍，科技创新综合指数由2020年全市第17位提升至第12位。</w:t>
      </w:r>
    </w:p>
    <w:p w14:paraId="1AB4F90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eastAsia="zh-CN"/>
        </w:rPr>
      </w:pPr>
      <w:r>
        <w:rPr>
          <w:rFonts w:hint="default" w:ascii="方正楷体_GBK" w:hAnsi="方正楷体_GBK" w:eastAsia="方正楷体_GBK" w:cs="方正楷体_GBK"/>
          <w:color w:val="auto"/>
          <w:spacing w:val="0"/>
          <w:sz w:val="32"/>
          <w:szCs w:val="32"/>
          <w:lang w:val="en-US" w:eastAsia="zh-CN"/>
        </w:rPr>
        <w:t>（四）</w:t>
      </w:r>
      <w:r>
        <w:rPr>
          <w:rFonts w:hint="default" w:ascii="方正楷体_GBK" w:hAnsi="方正楷体_GBK" w:eastAsia="方正楷体_GBK" w:cs="方正楷体_GBK"/>
          <w:color w:val="auto"/>
          <w:spacing w:val="0"/>
          <w:sz w:val="32"/>
          <w:szCs w:val="32"/>
        </w:rPr>
        <w:t>城市形象和影响力</w:t>
      </w:r>
      <w:r>
        <w:rPr>
          <w:rFonts w:hint="default" w:ascii="方正楷体_GBK" w:hAnsi="方正楷体_GBK" w:eastAsia="方正楷体_GBK" w:cs="方正楷体_GBK"/>
          <w:color w:val="auto"/>
          <w:spacing w:val="0"/>
          <w:sz w:val="32"/>
          <w:szCs w:val="32"/>
          <w:lang w:eastAsia="zh-CN"/>
        </w:rPr>
        <w:t>有效</w:t>
      </w:r>
      <w:r>
        <w:rPr>
          <w:rFonts w:hint="default" w:ascii="方正楷体_GBK" w:hAnsi="方正楷体_GBK" w:eastAsia="方正楷体_GBK" w:cs="方正楷体_GBK"/>
          <w:color w:val="auto"/>
          <w:spacing w:val="0"/>
          <w:sz w:val="32"/>
          <w:szCs w:val="32"/>
        </w:rPr>
        <w:t>提升</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b/>
          <w:bCs/>
          <w:color w:val="auto"/>
          <w:spacing w:val="0"/>
          <w:sz w:val="32"/>
          <w:szCs w:val="32"/>
          <w:lang w:val="en-US" w:eastAsia="zh-CN"/>
        </w:rPr>
        <w:t>硬实力更加坚实</w:t>
      </w:r>
      <w:r>
        <w:rPr>
          <w:rFonts w:hint="default" w:ascii="Times New Roman" w:hAnsi="Times New Roman" w:eastAsia="方正仿宋_GBK" w:cs="Times New Roman"/>
          <w:color w:val="auto"/>
          <w:spacing w:val="0"/>
          <w:sz w:val="32"/>
          <w:szCs w:val="32"/>
          <w:lang w:val="en-US" w:eastAsia="zh-CN"/>
        </w:rPr>
        <w:t>。城市建成区拓展至40平方公里，</w:t>
      </w:r>
      <w:r>
        <w:rPr>
          <w:rFonts w:hint="eastAsia" w:ascii="Times New Roman" w:hAnsi="Times New Roman" w:eastAsia="方正仿宋_GBK" w:cs="Times New Roman"/>
          <w:color w:val="auto"/>
          <w:spacing w:val="0"/>
          <w:sz w:val="32"/>
          <w:szCs w:val="32"/>
          <w:lang w:val="en-US" w:eastAsia="zh-CN"/>
        </w:rPr>
        <w:t>预计</w:t>
      </w:r>
      <w:r>
        <w:rPr>
          <w:rFonts w:hint="default" w:ascii="Times New Roman" w:hAnsi="Times New Roman" w:eastAsia="方正仿宋_GBK" w:cs="Times New Roman"/>
          <w:color w:val="auto"/>
          <w:spacing w:val="0"/>
          <w:sz w:val="32"/>
          <w:szCs w:val="32"/>
          <w:u w:val="none"/>
          <w:lang w:val="en-US" w:eastAsia="zh-CN"/>
        </w:rPr>
        <w:t>常住人口城镇化率提高至66.</w:t>
      </w:r>
      <w:r>
        <w:rPr>
          <w:rFonts w:hint="eastAsia" w:ascii="Times New Roman" w:hAnsi="Times New Roman" w:eastAsia="方正仿宋_GBK" w:cs="Times New Roman"/>
          <w:color w:val="auto"/>
          <w:spacing w:val="0"/>
          <w:sz w:val="32"/>
          <w:szCs w:val="32"/>
          <w:u w:val="none"/>
          <w:lang w:val="en-US" w:eastAsia="zh-CN"/>
        </w:rPr>
        <w:t>4</w:t>
      </w:r>
      <w:r>
        <w:rPr>
          <w:rFonts w:hint="default" w:ascii="Times New Roman" w:hAnsi="Times New Roman" w:eastAsia="方正仿宋_GBK" w:cs="Times New Roman"/>
          <w:color w:val="auto"/>
          <w:spacing w:val="0"/>
          <w:sz w:val="32"/>
          <w:szCs w:val="32"/>
          <w:u w:val="none"/>
          <w:lang w:val="en-US" w:eastAsia="zh-CN"/>
        </w:rPr>
        <w:t>%。</w:t>
      </w:r>
      <w:r>
        <w:rPr>
          <w:rFonts w:hint="default" w:ascii="Times New Roman" w:hAnsi="Times New Roman" w:eastAsia="方正仿宋_GBK" w:cs="Times New Roman"/>
          <w:color w:val="auto"/>
          <w:spacing w:val="0"/>
          <w:sz w:val="32"/>
          <w:szCs w:val="32"/>
          <w:lang w:val="en-US" w:eastAsia="zh-CN"/>
        </w:rPr>
        <w:t>新建城市道路26条，打通断头路10条，“七横九纵”城市路网基本成型。高品质住宅开发、老旧小区改造、绿地公园建设、城市管网优化扮靓城市空间。环境户户美、公路组组通、路灯村村亮绘就巴渝和美乡村新画卷。铜梁天蓝、地绿、水清，人居环境更加优美。</w:t>
      </w:r>
      <w:r>
        <w:rPr>
          <w:rFonts w:hint="default" w:ascii="Times New Roman" w:hAnsi="Times New Roman" w:eastAsia="方正仿宋_GBK" w:cs="Times New Roman"/>
          <w:b/>
          <w:bCs/>
          <w:color w:val="auto"/>
          <w:spacing w:val="0"/>
          <w:sz w:val="32"/>
          <w:szCs w:val="32"/>
          <w:lang w:val="en-US" w:eastAsia="zh-CN"/>
        </w:rPr>
        <w:t>软实力持续增强</w:t>
      </w:r>
      <w:r>
        <w:rPr>
          <w:rFonts w:hint="default" w:ascii="Times New Roman" w:hAnsi="Times New Roman" w:eastAsia="方正仿宋_GBK" w:cs="Times New Roman"/>
          <w:color w:val="auto"/>
          <w:spacing w:val="0"/>
          <w:sz w:val="32"/>
          <w:szCs w:val="32"/>
          <w:lang w:val="en-US" w:eastAsia="zh-CN"/>
        </w:rPr>
        <w:t>。入选全国文明城区提名城区，连续8年获得国家卫生区荣誉称号。获评中国气候宜居城市、全国乡村治理体系建设示范区、全国村庄清洁行动先进区。成功创建全国第三批社会信用体系建设示范区，涌现出陈淑梅、匡安亮等一批全国诚信之星、中国好人。</w:t>
      </w:r>
      <w:r>
        <w:rPr>
          <w:rFonts w:hint="default" w:ascii="Times New Roman" w:hAnsi="Times New Roman" w:eastAsia="方正仿宋_GBK" w:cs="Times New Roman"/>
          <w:b/>
          <w:bCs/>
          <w:color w:val="auto"/>
          <w:spacing w:val="0"/>
          <w:sz w:val="32"/>
          <w:szCs w:val="32"/>
          <w:lang w:val="en-US" w:eastAsia="zh-CN"/>
        </w:rPr>
        <w:t>影响力日益扩大</w:t>
      </w:r>
      <w:r>
        <w:rPr>
          <w:rFonts w:hint="default" w:ascii="Times New Roman" w:hAnsi="Times New Roman" w:eastAsia="方正仿宋_GBK" w:cs="Times New Roman"/>
          <w:color w:val="auto"/>
          <w:spacing w:val="0"/>
          <w:sz w:val="32"/>
          <w:szCs w:val="32"/>
          <w:lang w:val="en-US" w:eastAsia="zh-CN"/>
        </w:rPr>
        <w:t>。铜梁龙足球队代表重庆成功冲超，新媒体影响力超110亿人次。铜梁龙舞连续2年登上央视春晚，“龙乡元素”绽放神州大地。与英国、巴西、南非等19个国家和地区开展合作交流，国际影响力持续提升。</w:t>
      </w:r>
    </w:p>
    <w:p w14:paraId="63EEB80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eastAsia="zh-CN"/>
        </w:rPr>
      </w:pPr>
      <w:r>
        <w:rPr>
          <w:rFonts w:hint="default" w:ascii="方正楷体_GBK" w:hAnsi="方正楷体_GBK" w:eastAsia="方正楷体_GBK" w:cs="方正楷体_GBK"/>
          <w:color w:val="auto"/>
          <w:spacing w:val="0"/>
          <w:sz w:val="32"/>
          <w:szCs w:val="32"/>
        </w:rPr>
        <w:t>（五）人民群众生活品质</w:t>
      </w:r>
      <w:r>
        <w:rPr>
          <w:rFonts w:hint="default" w:ascii="方正楷体_GBK" w:hAnsi="方正楷体_GBK" w:eastAsia="方正楷体_GBK" w:cs="方正楷体_GBK"/>
          <w:color w:val="auto"/>
          <w:spacing w:val="0"/>
          <w:sz w:val="32"/>
          <w:szCs w:val="32"/>
          <w:lang w:eastAsia="zh-CN"/>
        </w:rPr>
        <w:t>有效</w:t>
      </w:r>
      <w:r>
        <w:rPr>
          <w:rFonts w:hint="default" w:ascii="方正楷体_GBK" w:hAnsi="方正楷体_GBK" w:eastAsia="方正楷体_GBK" w:cs="方正楷体_GBK"/>
          <w:color w:val="auto"/>
          <w:spacing w:val="0"/>
          <w:sz w:val="32"/>
          <w:szCs w:val="32"/>
        </w:rPr>
        <w:t>提升</w:t>
      </w:r>
      <w:r>
        <w:rPr>
          <w:rFonts w:hint="default" w:ascii="Times New Roman" w:hAnsi="Times New Roman" w:eastAsia="方正仿宋_GBK" w:cs="Times New Roman"/>
          <w:color w:val="auto"/>
          <w:spacing w:val="0"/>
          <w:sz w:val="32"/>
          <w:szCs w:val="32"/>
          <w:lang w:val="en-US" w:eastAsia="zh-CN"/>
        </w:rPr>
        <w:t>。持续</w:t>
      </w:r>
      <w:r>
        <w:rPr>
          <w:rFonts w:hint="default" w:ascii="Times New Roman" w:hAnsi="Times New Roman" w:eastAsia="方正仿宋_GBK" w:cs="Times New Roman"/>
          <w:color w:val="auto"/>
          <w:spacing w:val="0"/>
          <w:sz w:val="32"/>
          <w:szCs w:val="32"/>
          <w:lang w:eastAsia="zh-CN"/>
        </w:rPr>
        <w:t>办好民生实事</w:t>
      </w:r>
      <w:r>
        <w:rPr>
          <w:rFonts w:hint="default" w:ascii="Times New Roman" w:hAnsi="Times New Roman" w:eastAsia="方正仿宋_GBK" w:cs="Times New Roman"/>
          <w:color w:val="auto"/>
          <w:spacing w:val="0"/>
          <w:sz w:val="32"/>
          <w:szCs w:val="32"/>
          <w:lang w:val="en-US" w:eastAsia="zh-CN"/>
        </w:rPr>
        <w:t>110件，</w:t>
      </w:r>
      <w:r>
        <w:rPr>
          <w:rFonts w:hint="default" w:ascii="Times New Roman" w:hAnsi="Times New Roman" w:eastAsia="方正仿宋_GBK" w:cs="Times New Roman"/>
          <w:color w:val="auto"/>
          <w:spacing w:val="0"/>
          <w:sz w:val="32"/>
          <w:szCs w:val="32"/>
          <w:lang w:eastAsia="zh-CN"/>
        </w:rPr>
        <w:t>一般公共预算民生支出占比</w:t>
      </w:r>
      <w:r>
        <w:rPr>
          <w:rFonts w:hint="default" w:ascii="Times New Roman" w:hAnsi="Times New Roman" w:eastAsia="方正仿宋_GBK" w:cs="Times New Roman"/>
          <w:color w:val="auto"/>
          <w:spacing w:val="0"/>
          <w:sz w:val="32"/>
          <w:szCs w:val="32"/>
          <w:lang w:val="en-US" w:eastAsia="zh-CN"/>
        </w:rPr>
        <w:t>保持</w:t>
      </w:r>
      <w:r>
        <w:rPr>
          <w:rFonts w:hint="default" w:ascii="Times New Roman" w:hAnsi="Times New Roman" w:eastAsia="方正仿宋_GBK" w:cs="Times New Roman"/>
          <w:color w:val="auto"/>
          <w:spacing w:val="0"/>
          <w:sz w:val="32"/>
          <w:szCs w:val="32"/>
          <w:lang w:eastAsia="zh-CN"/>
        </w:rPr>
        <w:t>在</w:t>
      </w:r>
      <w:r>
        <w:rPr>
          <w:rFonts w:hint="default" w:ascii="Times New Roman" w:hAnsi="Times New Roman" w:eastAsia="方正仿宋_GBK" w:cs="Times New Roman"/>
          <w:color w:val="auto"/>
          <w:spacing w:val="0"/>
          <w:sz w:val="32"/>
          <w:szCs w:val="32"/>
          <w:lang w:val="en-US" w:eastAsia="zh-CN"/>
        </w:rPr>
        <w:t>80</w:t>
      </w:r>
      <w:r>
        <w:rPr>
          <w:rFonts w:hint="default"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val="en-US" w:eastAsia="zh-CN"/>
        </w:rPr>
        <w:t>以上</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b/>
          <w:bCs/>
          <w:color w:val="auto"/>
          <w:spacing w:val="0"/>
          <w:sz w:val="32"/>
          <w:szCs w:val="32"/>
          <w:lang w:val="en-US" w:eastAsia="zh-CN"/>
        </w:rPr>
        <w:t>民生</w:t>
      </w:r>
      <w:r>
        <w:rPr>
          <w:rFonts w:hint="default" w:ascii="Times New Roman" w:hAnsi="Times New Roman" w:eastAsia="方正仿宋_GBK" w:cs="Times New Roman"/>
          <w:b/>
          <w:bCs/>
          <w:color w:val="auto"/>
          <w:spacing w:val="0"/>
          <w:sz w:val="32"/>
          <w:szCs w:val="32"/>
          <w:lang w:eastAsia="zh-CN"/>
        </w:rPr>
        <w:t>保障更加有力</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城镇新增就业达</w:t>
      </w:r>
      <w:r>
        <w:rPr>
          <w:rFonts w:hint="default" w:ascii="Times New Roman" w:hAnsi="Times New Roman" w:eastAsia="方正仿宋_GBK" w:cs="Times New Roman"/>
          <w:color w:val="auto"/>
          <w:spacing w:val="0"/>
          <w:sz w:val="32"/>
          <w:szCs w:val="32"/>
          <w:lang w:val="en-US" w:eastAsia="zh-CN"/>
        </w:rPr>
        <w:t>7.24</w:t>
      </w:r>
      <w:r>
        <w:rPr>
          <w:rFonts w:hint="default" w:ascii="Times New Roman" w:hAnsi="Times New Roman" w:eastAsia="方正仿宋_GBK" w:cs="Times New Roman"/>
          <w:color w:val="auto"/>
          <w:spacing w:val="0"/>
          <w:sz w:val="32"/>
          <w:szCs w:val="32"/>
          <w:lang w:eastAsia="zh-CN"/>
        </w:rPr>
        <w:t>万人，全体居民人均可支配收入较</w:t>
      </w:r>
      <w:r>
        <w:rPr>
          <w:rFonts w:hint="default" w:ascii="Times New Roman" w:hAnsi="Times New Roman" w:eastAsia="方正仿宋_GBK" w:cs="Times New Roman"/>
          <w:color w:val="auto"/>
          <w:spacing w:val="0"/>
          <w:sz w:val="32"/>
          <w:szCs w:val="32"/>
          <w:lang w:val="en-US" w:eastAsia="zh-CN"/>
        </w:rPr>
        <w:t>2020年</w:t>
      </w:r>
      <w:r>
        <w:rPr>
          <w:rFonts w:hint="default" w:ascii="Times New Roman" w:hAnsi="Times New Roman" w:eastAsia="方正仿宋_GBK" w:cs="Times New Roman"/>
          <w:color w:val="auto"/>
          <w:spacing w:val="0"/>
          <w:sz w:val="32"/>
          <w:szCs w:val="32"/>
          <w:lang w:eastAsia="zh-CN"/>
        </w:rPr>
        <w:t>增</w:t>
      </w:r>
      <w:r>
        <w:rPr>
          <w:rFonts w:hint="default" w:ascii="Times New Roman" w:hAnsi="Times New Roman" w:eastAsia="方正仿宋_GBK" w:cs="Times New Roman"/>
          <w:color w:val="auto"/>
          <w:spacing w:val="0"/>
          <w:sz w:val="32"/>
          <w:szCs w:val="32"/>
          <w:lang w:val="en-US" w:eastAsia="zh-CN"/>
        </w:rPr>
        <w:t>长34%，城</w:t>
      </w:r>
      <w:r>
        <w:rPr>
          <w:rFonts w:hint="default" w:ascii="Times New Roman" w:hAnsi="Times New Roman" w:eastAsia="方正仿宋_GBK" w:cs="Times New Roman"/>
          <w:color w:val="auto"/>
          <w:spacing w:val="0"/>
          <w:sz w:val="32"/>
          <w:szCs w:val="32"/>
          <w:lang w:eastAsia="zh-CN"/>
        </w:rPr>
        <w:t>乡低保救助标准逐年递增，“一老一小”服务体系日益完善，人均预期寿命提高至80.02岁。</w:t>
      </w:r>
      <w:r>
        <w:rPr>
          <w:rFonts w:hint="default" w:ascii="Times New Roman" w:hAnsi="Times New Roman" w:eastAsia="方正仿宋_GBK" w:cs="Times New Roman"/>
          <w:b/>
          <w:bCs/>
          <w:color w:val="auto"/>
          <w:spacing w:val="0"/>
          <w:sz w:val="32"/>
          <w:szCs w:val="32"/>
          <w:lang w:eastAsia="zh-CN"/>
        </w:rPr>
        <w:t>社会事业</w:t>
      </w:r>
      <w:r>
        <w:rPr>
          <w:rFonts w:hint="default" w:ascii="Times New Roman" w:hAnsi="Times New Roman" w:eastAsia="方正仿宋_GBK" w:cs="Times New Roman"/>
          <w:b/>
          <w:bCs/>
          <w:color w:val="auto"/>
          <w:spacing w:val="0"/>
          <w:sz w:val="32"/>
          <w:szCs w:val="32"/>
          <w:lang w:val="en-US" w:eastAsia="zh-CN"/>
        </w:rPr>
        <w:t>不断进步</w:t>
      </w:r>
      <w:r>
        <w:rPr>
          <w:rFonts w:hint="default" w:ascii="Times New Roman" w:hAnsi="Times New Roman" w:eastAsia="方正仿宋_GBK" w:cs="Times New Roman"/>
          <w:color w:val="auto"/>
          <w:spacing w:val="0"/>
          <w:sz w:val="32"/>
          <w:szCs w:val="32"/>
          <w:lang w:val="en-US" w:eastAsia="zh-CN"/>
        </w:rPr>
        <w:t>。教育质量持续提升，</w:t>
      </w:r>
      <w:r>
        <w:rPr>
          <w:rFonts w:hint="default" w:ascii="Times New Roman" w:hAnsi="Times New Roman" w:eastAsia="方正仿宋_GBK" w:cs="Times New Roman"/>
          <w:color w:val="auto"/>
          <w:spacing w:val="0"/>
          <w:sz w:val="32"/>
          <w:szCs w:val="32"/>
          <w:lang w:eastAsia="zh-CN"/>
        </w:rPr>
        <w:t>新建改建</w:t>
      </w:r>
      <w:r>
        <w:rPr>
          <w:rFonts w:hint="default" w:ascii="Times New Roman" w:hAnsi="Times New Roman" w:eastAsia="方正仿宋_GBK" w:cs="Times New Roman"/>
          <w:color w:val="auto"/>
          <w:spacing w:val="0"/>
          <w:sz w:val="32"/>
          <w:szCs w:val="32"/>
          <w:lang w:val="en-US" w:eastAsia="zh-CN"/>
        </w:rPr>
        <w:t>金砂、白龙等</w:t>
      </w:r>
      <w:r>
        <w:rPr>
          <w:rFonts w:hint="default" w:ascii="Times New Roman" w:hAnsi="Times New Roman" w:eastAsia="方正仿宋_GBK" w:cs="Times New Roman"/>
          <w:color w:val="auto"/>
          <w:spacing w:val="0"/>
          <w:sz w:val="32"/>
          <w:szCs w:val="32"/>
          <w:lang w:eastAsia="zh-CN"/>
        </w:rPr>
        <w:t>中小学</w:t>
      </w:r>
      <w:r>
        <w:rPr>
          <w:rFonts w:hint="default" w:ascii="Times New Roman" w:hAnsi="Times New Roman" w:eastAsia="方正仿宋_GBK" w:cs="Times New Roman"/>
          <w:color w:val="auto"/>
          <w:spacing w:val="0"/>
          <w:sz w:val="32"/>
          <w:szCs w:val="32"/>
          <w:lang w:val="en-US" w:eastAsia="zh-CN"/>
        </w:rPr>
        <w:t>9</w:t>
      </w:r>
      <w:r>
        <w:rPr>
          <w:rFonts w:hint="default" w:ascii="Times New Roman" w:hAnsi="Times New Roman" w:eastAsia="方正仿宋_GBK" w:cs="Times New Roman"/>
          <w:color w:val="auto"/>
          <w:spacing w:val="0"/>
          <w:sz w:val="32"/>
          <w:szCs w:val="32"/>
          <w:lang w:eastAsia="zh-CN"/>
        </w:rPr>
        <w:t>所，新增</w:t>
      </w:r>
      <w:r>
        <w:rPr>
          <w:rFonts w:hint="default" w:ascii="Times New Roman" w:hAnsi="Times New Roman" w:eastAsia="方正仿宋_GBK" w:cs="Times New Roman"/>
          <w:color w:val="auto"/>
          <w:spacing w:val="0"/>
          <w:sz w:val="32"/>
          <w:szCs w:val="32"/>
          <w:lang w:val="en-US" w:eastAsia="zh-CN"/>
        </w:rPr>
        <w:t>学位4320个，大班额现象有效缓解。人民医院</w:t>
      </w:r>
      <w:r>
        <w:rPr>
          <w:rFonts w:hint="default" w:ascii="Times New Roman" w:hAnsi="Times New Roman" w:eastAsia="方正仿宋_GBK" w:cs="Times New Roman"/>
          <w:color w:val="auto"/>
          <w:spacing w:val="0"/>
          <w:sz w:val="32"/>
          <w:szCs w:val="32"/>
          <w:lang w:eastAsia="zh-CN"/>
        </w:rPr>
        <w:t>成功创建“三甲”综合医院</w:t>
      </w:r>
      <w:r>
        <w:rPr>
          <w:rFonts w:hint="default" w:ascii="Times New Roman" w:hAnsi="Times New Roman" w:eastAsia="方正仿宋_GBK" w:cs="Times New Roman"/>
          <w:color w:val="auto"/>
          <w:spacing w:val="0"/>
          <w:sz w:val="32"/>
          <w:szCs w:val="32"/>
          <w:lang w:val="en-US" w:eastAsia="zh-CN"/>
        </w:rPr>
        <w:t>，居民健康素养水平较2020年提升7.42个百分点</w:t>
      </w:r>
      <w:r>
        <w:rPr>
          <w:rFonts w:hint="default" w:ascii="Times New Roman" w:hAnsi="Times New Roman" w:eastAsia="方正仿宋_GBK" w:cs="Times New Roman"/>
          <w:color w:val="auto"/>
          <w:spacing w:val="0"/>
          <w:sz w:val="32"/>
          <w:szCs w:val="32"/>
          <w:lang w:eastAsia="zh-CN"/>
        </w:rPr>
        <w:t>。医保住院报销比例较</w:t>
      </w:r>
      <w:r>
        <w:rPr>
          <w:rFonts w:hint="default" w:ascii="Times New Roman" w:hAnsi="Times New Roman" w:eastAsia="方正仿宋_GBK" w:cs="Times New Roman"/>
          <w:color w:val="auto"/>
          <w:spacing w:val="0"/>
          <w:sz w:val="32"/>
          <w:szCs w:val="32"/>
          <w:lang w:val="en-US" w:eastAsia="zh-CN"/>
        </w:rPr>
        <w:t>2020年提高9个百分点。</w:t>
      </w:r>
      <w:r>
        <w:rPr>
          <w:rFonts w:hint="default" w:ascii="Times New Roman" w:hAnsi="Times New Roman" w:eastAsia="方正仿宋_GBK" w:cs="Times New Roman"/>
          <w:color w:val="auto"/>
          <w:spacing w:val="0"/>
          <w:sz w:val="32"/>
          <w:szCs w:val="32"/>
          <w:lang w:eastAsia="zh-CN"/>
        </w:rPr>
        <w:t>公共文化设施面积增长1</w:t>
      </w:r>
      <w:r>
        <w:rPr>
          <w:rFonts w:hint="default" w:ascii="Times New Roman" w:hAnsi="Times New Roman" w:eastAsia="方正仿宋_GBK" w:cs="Times New Roman"/>
          <w:color w:val="auto"/>
          <w:spacing w:val="0"/>
          <w:sz w:val="32"/>
          <w:szCs w:val="32"/>
          <w:lang w:val="en-US" w:eastAsia="zh-CN"/>
        </w:rPr>
        <w:t>5.4</w:t>
      </w:r>
      <w:r>
        <w:rPr>
          <w:rFonts w:hint="default" w:ascii="Times New Roman" w:hAnsi="Times New Roman" w:eastAsia="方正仿宋_GBK" w:cs="Times New Roman"/>
          <w:color w:val="auto"/>
          <w:spacing w:val="0"/>
          <w:sz w:val="32"/>
          <w:szCs w:val="32"/>
          <w:lang w:eastAsia="zh-CN"/>
        </w:rPr>
        <w:t>%，城区5分钟健身圈、行政村体育健身工程覆盖率达100%。</w:t>
      </w:r>
      <w:r>
        <w:rPr>
          <w:rFonts w:hint="default" w:ascii="Times New Roman" w:hAnsi="Times New Roman" w:eastAsia="方正仿宋_GBK" w:cs="Times New Roman"/>
          <w:b/>
          <w:bCs/>
          <w:color w:val="auto"/>
          <w:spacing w:val="0"/>
          <w:sz w:val="32"/>
          <w:szCs w:val="32"/>
          <w:lang w:val="en-US" w:eastAsia="zh-CN"/>
        </w:rPr>
        <w:t>和谐平安</w:t>
      </w:r>
      <w:r>
        <w:rPr>
          <w:rFonts w:hint="default" w:ascii="Times New Roman" w:hAnsi="Times New Roman" w:eastAsia="方正仿宋_GBK" w:cs="Times New Roman"/>
          <w:b/>
          <w:bCs/>
          <w:color w:val="auto"/>
          <w:spacing w:val="0"/>
          <w:sz w:val="32"/>
          <w:szCs w:val="32"/>
          <w:lang w:eastAsia="zh-CN"/>
        </w:rPr>
        <w:t>更</w:t>
      </w:r>
      <w:r>
        <w:rPr>
          <w:rFonts w:hint="default" w:ascii="Times New Roman" w:hAnsi="Times New Roman" w:eastAsia="方正仿宋_GBK" w:cs="Times New Roman"/>
          <w:b/>
          <w:bCs/>
          <w:color w:val="auto"/>
          <w:spacing w:val="0"/>
          <w:sz w:val="32"/>
          <w:szCs w:val="32"/>
          <w:lang w:val="en-US" w:eastAsia="zh-CN"/>
        </w:rPr>
        <w:t>有质感</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区镇两级治理中心协同实战能力显著提升，社会公共安全、应急管理和防灾减灾体系更加健全，</w:t>
      </w:r>
      <w:r>
        <w:rPr>
          <w:rFonts w:hint="default" w:ascii="Times New Roman" w:hAnsi="Times New Roman" w:eastAsia="方正仿宋_GBK" w:cs="Times New Roman"/>
          <w:color w:val="auto"/>
          <w:spacing w:val="0"/>
          <w:sz w:val="32"/>
          <w:szCs w:val="32"/>
          <w:lang w:val="en-US" w:eastAsia="zh-CN"/>
        </w:rPr>
        <w:t>刑事案件数量、安全生产事故逐年下降，</w:t>
      </w:r>
      <w:r>
        <w:rPr>
          <w:rFonts w:hint="default" w:ascii="Times New Roman" w:hAnsi="Times New Roman" w:eastAsia="方正仿宋_GBK" w:cs="Times New Roman"/>
          <w:color w:val="auto"/>
          <w:spacing w:val="0"/>
          <w:sz w:val="32"/>
          <w:szCs w:val="32"/>
          <w:lang w:eastAsia="zh-CN"/>
        </w:rPr>
        <w:t>群众安全感指数保持在98%以上。</w:t>
      </w:r>
    </w:p>
    <w:p w14:paraId="6E5AA41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各位代表！</w:t>
      </w:r>
      <w:r>
        <w:rPr>
          <w:rFonts w:hint="default" w:ascii="Times New Roman" w:hAnsi="Times New Roman" w:eastAsia="方正黑体_GBK" w:cs="Times New Roman"/>
          <w:color w:val="auto"/>
          <w:spacing w:val="0"/>
          <w:sz w:val="32"/>
          <w:szCs w:val="32"/>
          <w:lang w:eastAsia="zh-CN"/>
        </w:rPr>
        <w:t>刚刚过去的2025年，是砥砺奋斗、拼搏进取的一年</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全区上下</w:t>
      </w:r>
      <w:r>
        <w:rPr>
          <w:rFonts w:hint="default" w:ascii="Times New Roman" w:hAnsi="Times New Roman" w:eastAsia="方正仿宋_GBK" w:cs="Times New Roman"/>
          <w:color w:val="auto"/>
          <w:spacing w:val="0"/>
          <w:sz w:val="32"/>
          <w:szCs w:val="32"/>
          <w:lang w:val="en-US" w:eastAsia="zh-CN"/>
        </w:rPr>
        <w:t>牢记习近平总书记殷殷嘱托，坚决落实市委“六区一高地”建设部署要求，坚持稳进增效、改革创新、除险固安、强企富民工作导向，面对多重困难，全力以赴拼经济、抓发展、防风险、惠民生，</w:t>
      </w:r>
      <w:r>
        <w:rPr>
          <w:rFonts w:hint="default" w:ascii="Times New Roman" w:hAnsi="Times New Roman" w:eastAsia="方正仿宋_GBK" w:cs="Times New Roman"/>
          <w:color w:val="auto"/>
          <w:spacing w:val="0"/>
          <w:sz w:val="32"/>
          <w:szCs w:val="32"/>
        </w:rPr>
        <w:t>以奋起直追的拼搏劲头迎难而上，发展态势持续向</w:t>
      </w:r>
      <w:r>
        <w:rPr>
          <w:rFonts w:hint="default" w:ascii="Times New Roman" w:hAnsi="Times New Roman" w:eastAsia="方正仿宋_GBK" w:cs="Times New Roman"/>
          <w:color w:val="auto"/>
          <w:spacing w:val="0"/>
          <w:sz w:val="32"/>
          <w:szCs w:val="32"/>
          <w:lang w:val="en-US" w:eastAsia="zh-CN"/>
        </w:rPr>
        <w:t>优</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eastAsia="zh-CN"/>
        </w:rPr>
        <w:t>经济运行逐季向好，</w:t>
      </w:r>
      <w:r>
        <w:rPr>
          <w:rFonts w:hint="default" w:ascii="Times New Roman" w:hAnsi="Times New Roman" w:eastAsia="方正仿宋_GBK" w:cs="Times New Roman"/>
          <w:color w:val="auto"/>
          <w:spacing w:val="0"/>
          <w:sz w:val="32"/>
          <w:szCs w:val="32"/>
        </w:rPr>
        <w:t>各类风险稳定可控。</w:t>
      </w:r>
      <w:r>
        <w:rPr>
          <w:rFonts w:hint="default" w:ascii="Times New Roman" w:hAnsi="Times New Roman" w:eastAsia="方正仿宋_GBK" w:cs="Times New Roman"/>
          <w:color w:val="auto"/>
          <w:spacing w:val="0"/>
          <w:sz w:val="32"/>
          <w:szCs w:val="32"/>
          <w:lang w:val="en-US" w:eastAsia="zh-CN"/>
        </w:rPr>
        <w:t>全年地区生产总值增长3.</w:t>
      </w:r>
      <w:r>
        <w:rPr>
          <w:rFonts w:hint="eastAsia" w:ascii="Times New Roman" w:hAnsi="Times New Roman" w:eastAsia="方正仿宋_GBK" w:cs="Times New Roman"/>
          <w:color w:val="auto"/>
          <w:spacing w:val="0"/>
          <w:sz w:val="32"/>
          <w:szCs w:val="32"/>
          <w:lang w:val="en-US" w:eastAsia="zh-CN"/>
        </w:rPr>
        <w:t>2</w:t>
      </w:r>
      <w:r>
        <w:rPr>
          <w:rFonts w:hint="default" w:ascii="Times New Roman" w:hAnsi="Times New Roman" w:eastAsia="方正仿宋_GBK" w:cs="Times New Roman"/>
          <w:color w:val="auto"/>
          <w:spacing w:val="0"/>
          <w:sz w:val="32"/>
          <w:szCs w:val="32"/>
          <w:lang w:val="en-US" w:eastAsia="zh-CN"/>
        </w:rPr>
        <w:t>%，规上工业增加值增长6</w:t>
      </w:r>
      <w:r>
        <w:rPr>
          <w:rFonts w:hint="eastAsia" w:ascii="Times New Roman" w:hAnsi="Times New Roman" w:eastAsia="方正仿宋_GBK" w:cs="Times New Roman"/>
          <w:color w:val="auto"/>
          <w:spacing w:val="0"/>
          <w:sz w:val="32"/>
          <w:szCs w:val="32"/>
          <w:lang w:val="en-US" w:eastAsia="zh-CN"/>
        </w:rPr>
        <w:t>.4</w:t>
      </w:r>
      <w:r>
        <w:rPr>
          <w:rFonts w:hint="default" w:ascii="Times New Roman" w:hAnsi="Times New Roman" w:eastAsia="方正仿宋_GBK" w:cs="Times New Roman"/>
          <w:color w:val="auto"/>
          <w:spacing w:val="0"/>
          <w:sz w:val="32"/>
          <w:szCs w:val="32"/>
          <w:lang w:val="en-US" w:eastAsia="zh-CN"/>
        </w:rPr>
        <w:t>%，固定资产投资、社会消费品零售总额、进出口总值分别增长</w:t>
      </w:r>
      <w:r>
        <w:rPr>
          <w:rFonts w:hint="eastAsia" w:ascii="Times New Roman" w:hAnsi="Times New Roman" w:eastAsia="方正仿宋_GBK" w:cs="Times New Roman"/>
          <w:color w:val="auto"/>
          <w:spacing w:val="0"/>
          <w:sz w:val="32"/>
          <w:szCs w:val="32"/>
          <w:lang w:val="en-US" w:eastAsia="zh-CN"/>
        </w:rPr>
        <w:t>4.9</w:t>
      </w:r>
      <w:r>
        <w:rPr>
          <w:rFonts w:hint="default" w:ascii="Times New Roman" w:hAnsi="Times New Roman" w:eastAsia="方正仿宋_GBK" w:cs="Times New Roman"/>
          <w:color w:val="auto"/>
          <w:spacing w:val="0"/>
          <w:sz w:val="32"/>
          <w:szCs w:val="32"/>
          <w:lang w:val="en-US" w:eastAsia="zh-CN"/>
        </w:rPr>
        <w:t>%、3.</w:t>
      </w:r>
      <w:r>
        <w:rPr>
          <w:rFonts w:hint="eastAsia" w:ascii="Times New Roman" w:hAnsi="Times New Roman" w:eastAsia="方正仿宋_GBK" w:cs="Times New Roman"/>
          <w:color w:val="auto"/>
          <w:spacing w:val="0"/>
          <w:sz w:val="32"/>
          <w:szCs w:val="32"/>
          <w:lang w:val="en-US" w:eastAsia="zh-CN"/>
        </w:rPr>
        <w:t>1</w:t>
      </w:r>
      <w:r>
        <w:rPr>
          <w:rFonts w:hint="default" w:ascii="Times New Roman" w:hAnsi="Times New Roman" w:eastAsia="方正仿宋_GBK" w:cs="Times New Roman"/>
          <w:color w:val="auto"/>
          <w:spacing w:val="0"/>
          <w:sz w:val="32"/>
          <w:szCs w:val="32"/>
          <w:lang w:val="en-US" w:eastAsia="zh-CN"/>
        </w:rPr>
        <w:t>%、26.1%，一般公共预算收入增长7%，全体居民人均可支配收入增长</w:t>
      </w:r>
      <w:r>
        <w:rPr>
          <w:rFonts w:hint="eastAsia" w:ascii="Times New Roman" w:hAnsi="Times New Roman" w:eastAsia="方正仿宋_GBK" w:cs="Times New Roman"/>
          <w:color w:val="auto"/>
          <w:spacing w:val="0"/>
          <w:sz w:val="32"/>
          <w:szCs w:val="32"/>
          <w:lang w:val="en-US" w:eastAsia="zh-CN"/>
        </w:rPr>
        <w:t>4.8</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工业用电、用气、用水量分别增长</w:t>
      </w:r>
      <w:r>
        <w:rPr>
          <w:rFonts w:hint="default" w:ascii="Times New Roman" w:hAnsi="Times New Roman" w:eastAsia="方正仿宋_GBK" w:cs="Times New Roman"/>
          <w:color w:val="auto"/>
          <w:spacing w:val="0"/>
          <w:sz w:val="32"/>
          <w:szCs w:val="32"/>
          <w:lang w:val="en-US" w:eastAsia="zh-CN"/>
        </w:rPr>
        <w:t>19.1</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val="en-US" w:eastAsia="zh-CN"/>
        </w:rPr>
        <w:t>18.8</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val="en-US" w:eastAsia="zh-CN"/>
        </w:rPr>
        <w:t>34.1</w:t>
      </w:r>
      <w:r>
        <w:rPr>
          <w:rFonts w:hint="default" w:ascii="Times New Roman" w:hAnsi="Times New Roman" w:eastAsia="方正仿宋_GBK" w:cs="Times New Roman"/>
          <w:color w:val="auto"/>
          <w:spacing w:val="0"/>
          <w:sz w:val="32"/>
          <w:szCs w:val="32"/>
        </w:rPr>
        <w:t>%，工业企业应纳税销售额增长</w:t>
      </w:r>
      <w:r>
        <w:rPr>
          <w:rFonts w:hint="default" w:ascii="Times New Roman" w:hAnsi="Times New Roman" w:eastAsia="方正仿宋_GBK" w:cs="Times New Roman"/>
          <w:color w:val="auto"/>
          <w:spacing w:val="0"/>
          <w:sz w:val="32"/>
          <w:szCs w:val="32"/>
          <w:lang w:val="en-US" w:eastAsia="zh-CN"/>
        </w:rPr>
        <w:t>24</w:t>
      </w:r>
      <w:r>
        <w:rPr>
          <w:rFonts w:hint="default" w:ascii="Times New Roman" w:hAnsi="Times New Roman" w:eastAsia="方正仿宋_GBK" w:cs="Times New Roman"/>
          <w:color w:val="auto"/>
          <w:spacing w:val="0"/>
          <w:sz w:val="32"/>
          <w:szCs w:val="32"/>
        </w:rPr>
        <w:t>%，工业税收增长34.3%</w:t>
      </w:r>
      <w:r>
        <w:rPr>
          <w:rFonts w:hint="default" w:ascii="Times New Roman" w:hAnsi="Times New Roman" w:eastAsia="方正仿宋_GBK" w:cs="Times New Roman"/>
          <w:color w:val="auto"/>
          <w:spacing w:val="0"/>
          <w:sz w:val="32"/>
          <w:szCs w:val="32"/>
          <w:lang w:eastAsia="zh-CN"/>
        </w:rPr>
        <w:t>。</w:t>
      </w:r>
    </w:p>
    <w:p w14:paraId="4756827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一年来，主要抓了八个方面工作。</w:t>
      </w:r>
    </w:p>
    <w:p w14:paraId="7B8B2AC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eastAsia="zh-CN"/>
        </w:rPr>
      </w:pPr>
      <w:r>
        <w:rPr>
          <w:rFonts w:hint="default" w:ascii="方正楷体_GBK" w:hAnsi="方正楷体_GBK" w:eastAsia="方正楷体_GBK" w:cs="方正楷体_GBK"/>
          <w:color w:val="auto"/>
          <w:spacing w:val="0"/>
          <w:sz w:val="32"/>
          <w:szCs w:val="32"/>
          <w:lang w:eastAsia="zh-CN"/>
        </w:rPr>
        <w:t>（一）全力以赴抓招商谋创新优服务，现代制造业加速集群成势</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lang w:eastAsia="zh-CN"/>
        </w:rPr>
        <w:t>招商引资量质齐升</w:t>
      </w:r>
      <w:r>
        <w:rPr>
          <w:rFonts w:hint="default" w:ascii="Times New Roman" w:hAnsi="Times New Roman" w:eastAsia="方正仿宋_GBK" w:cs="Times New Roman"/>
          <w:color w:val="auto"/>
          <w:spacing w:val="0"/>
          <w:sz w:val="32"/>
          <w:szCs w:val="32"/>
          <w:lang w:val="en-US" w:eastAsia="zh-CN"/>
        </w:rPr>
        <w:t>。围绕主导产业、优势产业和未来产业，</w:t>
      </w:r>
      <w:r>
        <w:rPr>
          <w:rFonts w:hint="default" w:ascii="Times New Roman" w:hAnsi="Times New Roman" w:eastAsia="方正仿宋_GBK" w:cs="Times New Roman"/>
          <w:color w:val="auto"/>
          <w:spacing w:val="0"/>
          <w:sz w:val="32"/>
          <w:szCs w:val="32"/>
          <w:lang w:eastAsia="zh-CN"/>
        </w:rPr>
        <w:t>组建</w:t>
      </w:r>
      <w:r>
        <w:rPr>
          <w:rFonts w:hint="default" w:ascii="Times New Roman" w:hAnsi="Times New Roman" w:eastAsia="方正仿宋_GBK" w:cs="Times New Roman"/>
          <w:color w:val="auto"/>
          <w:spacing w:val="0"/>
          <w:sz w:val="32"/>
          <w:szCs w:val="32"/>
          <w:lang w:val="en-US" w:eastAsia="zh-CN"/>
        </w:rPr>
        <w:t>7个产业链专班精准招商</w:t>
      </w:r>
      <w:r>
        <w:rPr>
          <w:rFonts w:hint="default" w:ascii="Times New Roman" w:hAnsi="Times New Roman" w:eastAsia="方正仿宋_GBK" w:cs="Times New Roman"/>
          <w:color w:val="auto"/>
          <w:spacing w:val="0"/>
          <w:sz w:val="32"/>
          <w:szCs w:val="32"/>
          <w:lang w:eastAsia="zh-CN"/>
        </w:rPr>
        <w:t>，迭代升级“1+X+N”政策体系，</w:t>
      </w:r>
      <w:r>
        <w:rPr>
          <w:rFonts w:hint="default" w:ascii="Times New Roman" w:hAnsi="Times New Roman" w:eastAsia="方正仿宋_GBK" w:cs="Times New Roman"/>
          <w:color w:val="auto"/>
          <w:spacing w:val="0"/>
          <w:sz w:val="32"/>
          <w:szCs w:val="32"/>
          <w:lang w:val="en-US" w:eastAsia="zh-CN"/>
        </w:rPr>
        <w:t>成功举办首届铜商大会</w:t>
      </w:r>
      <w:r>
        <w:rPr>
          <w:rFonts w:hint="default" w:ascii="Times New Roman" w:hAnsi="Times New Roman" w:eastAsia="方正仿宋_GBK" w:cs="Times New Roman"/>
          <w:color w:val="auto"/>
          <w:spacing w:val="0"/>
          <w:sz w:val="32"/>
          <w:szCs w:val="32"/>
          <w:lang w:eastAsia="zh-CN"/>
        </w:rPr>
        <w:t>。全年签约项目</w:t>
      </w:r>
      <w:r>
        <w:rPr>
          <w:rFonts w:hint="default" w:ascii="Times New Roman" w:hAnsi="Times New Roman" w:eastAsia="方正仿宋_GBK" w:cs="Times New Roman"/>
          <w:color w:val="auto"/>
          <w:spacing w:val="0"/>
          <w:sz w:val="32"/>
          <w:szCs w:val="32"/>
          <w:lang w:val="en-US" w:eastAsia="zh-CN"/>
        </w:rPr>
        <w:t>102</w:t>
      </w:r>
      <w:r>
        <w:rPr>
          <w:rFonts w:hint="default" w:ascii="Times New Roman" w:hAnsi="Times New Roman" w:eastAsia="方正仿宋_GBK" w:cs="Times New Roman"/>
          <w:color w:val="auto"/>
          <w:spacing w:val="0"/>
          <w:sz w:val="32"/>
          <w:szCs w:val="32"/>
          <w:lang w:eastAsia="zh-CN"/>
        </w:rPr>
        <w:t>个，</w:t>
      </w:r>
      <w:r>
        <w:rPr>
          <w:rFonts w:hint="default" w:ascii="Times New Roman" w:hAnsi="Times New Roman" w:eastAsia="方正仿宋_GBK" w:cs="Times New Roman"/>
          <w:color w:val="auto"/>
          <w:spacing w:val="0"/>
          <w:sz w:val="32"/>
          <w:szCs w:val="32"/>
          <w:lang w:val="en-US" w:eastAsia="zh-CN"/>
        </w:rPr>
        <w:t>协议引资423.5亿元、增长30.7%，其中50亿元以上项目3个、10—50亿元项目6个。签约项目开工79个，开工率达77.5%。</w:t>
      </w:r>
      <w:r>
        <w:rPr>
          <w:rFonts w:hint="default" w:ascii="Times New Roman" w:hAnsi="Times New Roman" w:eastAsia="方正仿宋_GBK" w:cs="Times New Roman"/>
          <w:color w:val="auto"/>
          <w:spacing w:val="0"/>
          <w:sz w:val="32"/>
          <w:szCs w:val="32"/>
          <w:lang w:eastAsia="zh-CN"/>
        </w:rPr>
        <w:t>重庆海辰长时储能项目</w:t>
      </w:r>
      <w:r>
        <w:rPr>
          <w:rFonts w:hint="default" w:ascii="Times New Roman" w:hAnsi="Times New Roman" w:eastAsia="方正仿宋_GBK" w:cs="Times New Roman"/>
          <w:color w:val="auto"/>
          <w:spacing w:val="0"/>
          <w:sz w:val="32"/>
          <w:szCs w:val="32"/>
          <w:lang w:val="en-US" w:eastAsia="zh-CN"/>
        </w:rPr>
        <w:t>开工建设，</w:t>
      </w:r>
      <w:r>
        <w:rPr>
          <w:rFonts w:hint="default" w:ascii="Times New Roman" w:hAnsi="Times New Roman" w:eastAsia="方正仿宋_GBK" w:cs="Times New Roman"/>
          <w:color w:val="auto"/>
          <w:spacing w:val="0"/>
          <w:sz w:val="32"/>
          <w:szCs w:val="32"/>
          <w:lang w:eastAsia="zh-CN"/>
        </w:rPr>
        <w:t>储能电池出货量</w:t>
      </w:r>
      <w:r>
        <w:rPr>
          <w:rFonts w:hint="default" w:ascii="Times New Roman" w:hAnsi="Times New Roman" w:eastAsia="方正仿宋_GBK" w:cs="Times New Roman"/>
          <w:color w:val="auto"/>
          <w:spacing w:val="0"/>
          <w:sz w:val="32"/>
          <w:szCs w:val="32"/>
          <w:lang w:val="en-US" w:eastAsia="zh-CN"/>
        </w:rPr>
        <w:t>超35GWh，</w:t>
      </w:r>
      <w:r>
        <w:rPr>
          <w:rFonts w:hint="default" w:ascii="Times New Roman" w:hAnsi="Times New Roman" w:eastAsia="方正仿宋_GBK" w:cs="Times New Roman"/>
          <w:color w:val="auto"/>
          <w:spacing w:val="0"/>
          <w:sz w:val="32"/>
          <w:szCs w:val="32"/>
          <w:lang w:eastAsia="zh-CN"/>
        </w:rPr>
        <w:t>全球占比从2024年4%提升至</w:t>
      </w:r>
      <w:r>
        <w:rPr>
          <w:rFonts w:hint="eastAsia" w:ascii="Times New Roman" w:hAnsi="Times New Roman" w:eastAsia="方正仿宋_GBK" w:cs="Times New Roman"/>
          <w:color w:val="auto"/>
          <w:spacing w:val="0"/>
          <w:sz w:val="32"/>
          <w:szCs w:val="32"/>
          <w:lang w:val="en-US" w:eastAsia="zh-CN"/>
        </w:rPr>
        <w:t>6.14</w:t>
      </w:r>
      <w:r>
        <w:rPr>
          <w:rFonts w:hint="default" w:ascii="Times New Roman" w:hAnsi="Times New Roman" w:eastAsia="方正仿宋_GBK" w:cs="Times New Roman"/>
          <w:color w:val="auto"/>
          <w:spacing w:val="0"/>
          <w:sz w:val="32"/>
          <w:szCs w:val="32"/>
          <w:lang w:eastAsia="zh-CN"/>
        </w:rPr>
        <w:t>%，产值突破100亿元</w:t>
      </w:r>
      <w:r>
        <w:rPr>
          <w:rFonts w:hint="default" w:ascii="Times New Roman" w:hAnsi="Times New Roman" w:eastAsia="方正仿宋_GBK" w:cs="Times New Roman"/>
          <w:color w:val="auto"/>
          <w:spacing w:val="0"/>
          <w:sz w:val="32"/>
          <w:szCs w:val="32"/>
          <w:lang w:val="en-US" w:eastAsia="zh-CN"/>
        </w:rPr>
        <w:t>，成为重庆新型储能产业的龙头企业。重庆爱玛年产量突破150万辆、增长50%，</w:t>
      </w:r>
      <w:r>
        <w:rPr>
          <w:rFonts w:hint="eastAsia" w:ascii="Times New Roman" w:hAnsi="Times New Roman" w:eastAsia="方正仿宋_GBK" w:cs="Times New Roman"/>
          <w:color w:val="auto"/>
          <w:spacing w:val="0"/>
          <w:sz w:val="32"/>
          <w:szCs w:val="32"/>
          <w:u w:val="none"/>
          <w:lang w:val="en-US" w:eastAsia="zh-CN"/>
        </w:rPr>
        <w:t>爱玛</w:t>
      </w:r>
      <w:r>
        <w:rPr>
          <w:rFonts w:hint="default" w:ascii="Times New Roman" w:hAnsi="Times New Roman" w:eastAsia="方正仿宋_GBK" w:cs="Times New Roman"/>
          <w:color w:val="auto"/>
          <w:spacing w:val="0"/>
          <w:sz w:val="32"/>
          <w:szCs w:val="32"/>
          <w:u w:val="none"/>
          <w:lang w:val="en-US" w:eastAsia="zh-CN"/>
        </w:rPr>
        <w:t>西南研发中心正式投用，</w:t>
      </w:r>
      <w:r>
        <w:rPr>
          <w:rFonts w:hint="default" w:ascii="Times New Roman" w:hAnsi="Times New Roman" w:eastAsia="方正仿宋_GBK" w:cs="Times New Roman"/>
          <w:color w:val="auto"/>
          <w:spacing w:val="0"/>
          <w:sz w:val="32"/>
          <w:szCs w:val="32"/>
          <w:lang w:val="en-US" w:eastAsia="zh-CN"/>
        </w:rPr>
        <w:t>入驻研发人员超100人。智联电动车集群新入驻企业13家，成为西部最大的绿色智联电动车产业园、西南最大的电动摩托车生产基地，获评市级中小企业特色产业集群</w:t>
      </w:r>
      <w:r>
        <w:rPr>
          <w:rFonts w:hint="default" w:ascii="Times New Roman" w:hAnsi="Times New Roman" w:eastAsia="方正仿宋_GBK" w:cs="Times New Roman"/>
          <w:color w:val="auto"/>
          <w:spacing w:val="0"/>
          <w:sz w:val="32"/>
          <w:szCs w:val="32"/>
          <w:lang w:eastAsia="zh-CN"/>
        </w:rPr>
        <w:t>。智能网联新能源汽车零部件集聚区</w:t>
      </w:r>
      <w:r>
        <w:rPr>
          <w:rFonts w:hint="default" w:ascii="Times New Roman" w:hAnsi="Times New Roman" w:eastAsia="方正仿宋_GBK" w:cs="Times New Roman"/>
          <w:color w:val="auto"/>
          <w:spacing w:val="0"/>
          <w:sz w:val="32"/>
          <w:szCs w:val="32"/>
          <w:lang w:val="en-US" w:eastAsia="zh-CN"/>
        </w:rPr>
        <w:t>启动</w:t>
      </w:r>
      <w:r>
        <w:rPr>
          <w:rFonts w:hint="default" w:ascii="Times New Roman" w:hAnsi="Times New Roman" w:eastAsia="方正仿宋_GBK" w:cs="Times New Roman"/>
          <w:color w:val="auto"/>
          <w:spacing w:val="0"/>
          <w:sz w:val="32"/>
          <w:szCs w:val="32"/>
          <w:lang w:eastAsia="zh-CN"/>
        </w:rPr>
        <w:t>建设，品高、茂茂等</w:t>
      </w:r>
      <w:r>
        <w:rPr>
          <w:rFonts w:hint="default" w:ascii="Times New Roman" w:hAnsi="Times New Roman" w:eastAsia="方正仿宋_GBK" w:cs="Times New Roman"/>
          <w:color w:val="auto"/>
          <w:spacing w:val="0"/>
          <w:sz w:val="32"/>
          <w:szCs w:val="32"/>
          <w:lang w:val="en-US" w:eastAsia="zh-CN"/>
        </w:rPr>
        <w:t>12家企业拿地扩产，</w:t>
      </w:r>
      <w:r>
        <w:rPr>
          <w:rFonts w:hint="default" w:ascii="Times New Roman" w:hAnsi="Times New Roman" w:eastAsia="方正仿宋_GBK" w:cs="Times New Roman"/>
          <w:color w:val="auto"/>
          <w:spacing w:val="0"/>
          <w:sz w:val="32"/>
          <w:szCs w:val="32"/>
          <w:u w:val="none"/>
          <w:lang w:eastAsia="zh-CN"/>
        </w:rPr>
        <w:t>三友未来、君卓汽车在铜梁设立拟上市总部，税收均突破</w:t>
      </w:r>
      <w:r>
        <w:rPr>
          <w:rFonts w:hint="default" w:ascii="Times New Roman" w:hAnsi="Times New Roman" w:eastAsia="方正仿宋_GBK" w:cs="Times New Roman"/>
          <w:color w:val="auto"/>
          <w:spacing w:val="0"/>
          <w:sz w:val="32"/>
          <w:szCs w:val="32"/>
          <w:u w:val="none"/>
          <w:lang w:val="en-US" w:eastAsia="zh-CN"/>
        </w:rPr>
        <w:t>1</w:t>
      </w:r>
      <w:r>
        <w:rPr>
          <w:rFonts w:hint="default" w:ascii="Times New Roman" w:hAnsi="Times New Roman" w:eastAsia="方正仿宋_GBK" w:cs="Times New Roman"/>
          <w:color w:val="auto"/>
          <w:spacing w:val="0"/>
          <w:sz w:val="32"/>
          <w:szCs w:val="32"/>
          <w:u w:val="none"/>
          <w:lang w:eastAsia="zh-CN"/>
        </w:rPr>
        <w:t>亿元大关。</w:t>
      </w:r>
      <w:r>
        <w:rPr>
          <w:rFonts w:hint="default" w:ascii="Times New Roman" w:hAnsi="Times New Roman" w:eastAsia="方正仿宋_GBK" w:cs="Times New Roman"/>
          <w:color w:val="auto"/>
          <w:spacing w:val="0"/>
          <w:sz w:val="32"/>
          <w:szCs w:val="32"/>
          <w:lang w:eastAsia="zh-CN"/>
        </w:rPr>
        <w:t>两大主导产业实现产值</w:t>
      </w:r>
      <w:r>
        <w:rPr>
          <w:rFonts w:hint="default" w:ascii="Times New Roman" w:hAnsi="Times New Roman" w:eastAsia="方正仿宋_GBK" w:cs="Times New Roman"/>
          <w:color w:val="auto"/>
          <w:spacing w:val="0"/>
          <w:sz w:val="32"/>
          <w:szCs w:val="32"/>
          <w:lang w:val="en-US" w:eastAsia="zh-CN"/>
        </w:rPr>
        <w:t>32</w:t>
      </w:r>
      <w:r>
        <w:rPr>
          <w:rFonts w:hint="eastAsia" w:ascii="Times New Roman" w:hAnsi="Times New Roman" w:eastAsia="方正仿宋_GBK" w:cs="Times New Roman"/>
          <w:color w:val="auto"/>
          <w:spacing w:val="0"/>
          <w:sz w:val="32"/>
          <w:szCs w:val="32"/>
          <w:lang w:val="en-US" w:eastAsia="zh-CN"/>
        </w:rPr>
        <w:t>3</w:t>
      </w:r>
      <w:r>
        <w:rPr>
          <w:rFonts w:hint="default" w:ascii="Times New Roman" w:hAnsi="Times New Roman" w:eastAsia="方正仿宋_GBK" w:cs="Times New Roman"/>
          <w:color w:val="auto"/>
          <w:spacing w:val="0"/>
          <w:sz w:val="32"/>
          <w:szCs w:val="32"/>
          <w:lang w:eastAsia="zh-CN"/>
        </w:rPr>
        <w:t>亿元、增长</w:t>
      </w:r>
      <w:r>
        <w:rPr>
          <w:rFonts w:hint="default" w:ascii="Times New Roman" w:hAnsi="Times New Roman" w:eastAsia="方正仿宋_GBK" w:cs="Times New Roman"/>
          <w:color w:val="auto"/>
          <w:spacing w:val="0"/>
          <w:sz w:val="32"/>
          <w:szCs w:val="32"/>
          <w:lang w:val="en-US" w:eastAsia="zh-CN"/>
        </w:rPr>
        <w:t>26</w:t>
      </w:r>
      <w:r>
        <w:rPr>
          <w:rFonts w:hint="default" w:ascii="Times New Roman" w:hAnsi="Times New Roman" w:eastAsia="方正仿宋_GBK" w:cs="Times New Roman"/>
          <w:color w:val="auto"/>
          <w:spacing w:val="0"/>
          <w:sz w:val="32"/>
          <w:szCs w:val="32"/>
          <w:lang w:eastAsia="zh-CN"/>
        </w:rPr>
        <w:t>%。天鹅到家、闪送科技等独角兽企业区域总部落户铜梁</w:t>
      </w:r>
      <w:r>
        <w:rPr>
          <w:rFonts w:hint="default" w:ascii="Times New Roman" w:hAnsi="Times New Roman" w:eastAsia="方正仿宋_GBK" w:cs="Times New Roman"/>
          <w:color w:val="auto"/>
          <w:spacing w:val="0"/>
          <w:sz w:val="32"/>
          <w:szCs w:val="32"/>
          <w:lang w:val="en-US" w:eastAsia="zh-CN"/>
        </w:rPr>
        <w:t>，4A级物流企业实现零突破，</w:t>
      </w:r>
      <w:r>
        <w:rPr>
          <w:rFonts w:hint="default" w:ascii="Times New Roman" w:hAnsi="Times New Roman" w:eastAsia="方正仿宋_GBK" w:cs="Times New Roman"/>
          <w:color w:val="auto"/>
          <w:spacing w:val="0"/>
          <w:sz w:val="32"/>
          <w:szCs w:val="32"/>
          <w:lang w:eastAsia="zh-CN"/>
        </w:rPr>
        <w:t>生产性服务业集聚区新入驻</w:t>
      </w:r>
      <w:r>
        <w:rPr>
          <w:rFonts w:hint="default" w:ascii="Times New Roman" w:hAnsi="Times New Roman" w:eastAsia="方正仿宋_GBK" w:cs="Times New Roman"/>
          <w:color w:val="auto"/>
          <w:spacing w:val="0"/>
          <w:sz w:val="32"/>
          <w:szCs w:val="32"/>
          <w:lang w:val="en-US" w:eastAsia="zh-CN"/>
        </w:rPr>
        <w:t>企业39家，当年营收超14</w:t>
      </w:r>
      <w:r>
        <w:rPr>
          <w:rFonts w:hint="default" w:ascii="Times New Roman" w:hAnsi="Times New Roman" w:eastAsia="方正仿宋_GBK" w:cs="Times New Roman"/>
          <w:color w:val="auto"/>
          <w:spacing w:val="0"/>
          <w:sz w:val="32"/>
          <w:szCs w:val="32"/>
          <w:lang w:eastAsia="zh-CN"/>
        </w:rPr>
        <w:t>亿元。</w:t>
      </w:r>
      <w:r>
        <w:rPr>
          <w:rFonts w:hint="default" w:ascii="Times New Roman" w:hAnsi="Times New Roman" w:eastAsia="方正仿宋_GBK" w:cs="Times New Roman"/>
          <w:b/>
          <w:bCs/>
          <w:color w:val="auto"/>
          <w:spacing w:val="0"/>
          <w:sz w:val="32"/>
          <w:szCs w:val="32"/>
          <w:lang w:eastAsia="zh-CN"/>
        </w:rPr>
        <w:t>科创能力明显增强</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铜梁高新区升创国家高新区跻身国家部委推荐名单，</w:t>
      </w:r>
      <w:r>
        <w:rPr>
          <w:rFonts w:hint="default" w:ascii="Times New Roman" w:hAnsi="Times New Roman" w:eastAsia="方正仿宋_GBK" w:cs="Times New Roman"/>
          <w:color w:val="auto"/>
          <w:spacing w:val="0"/>
          <w:sz w:val="32"/>
          <w:szCs w:val="32"/>
          <w:lang w:val="en-US" w:eastAsia="zh-CN"/>
        </w:rPr>
        <w:t>国家级科技型企业孵化器创建进入“决赛圈”，</w:t>
      </w:r>
      <w:r>
        <w:rPr>
          <w:rFonts w:hint="default" w:ascii="Times New Roman" w:hAnsi="Times New Roman" w:eastAsia="方正仿宋_GBK" w:cs="Times New Roman"/>
          <w:color w:val="auto"/>
          <w:spacing w:val="0"/>
          <w:sz w:val="32"/>
          <w:szCs w:val="32"/>
          <w:lang w:eastAsia="zh-CN"/>
        </w:rPr>
        <w:t>新增市级创新平台15个。新培育专精特新企业37家、累计达</w:t>
      </w:r>
      <w:r>
        <w:rPr>
          <w:rFonts w:hint="default" w:ascii="Times New Roman" w:hAnsi="Times New Roman" w:eastAsia="方正仿宋_GBK" w:cs="Times New Roman"/>
          <w:color w:val="auto"/>
          <w:spacing w:val="0"/>
          <w:sz w:val="32"/>
          <w:szCs w:val="32"/>
          <w:lang w:val="en-US" w:eastAsia="zh-CN"/>
        </w:rPr>
        <w:t>209家，</w:t>
      </w:r>
      <w:r>
        <w:rPr>
          <w:rFonts w:hint="default" w:ascii="Times New Roman" w:hAnsi="Times New Roman" w:eastAsia="方正仿宋_GBK" w:cs="Times New Roman"/>
          <w:color w:val="auto"/>
          <w:spacing w:val="0"/>
          <w:sz w:val="32"/>
          <w:szCs w:val="32"/>
          <w:lang w:eastAsia="zh-CN"/>
        </w:rPr>
        <w:t>重庆海辰获评全球首座储能电池“灯塔工厂”。</w:t>
      </w:r>
      <w:r>
        <w:rPr>
          <w:rFonts w:hint="default" w:ascii="Times New Roman" w:hAnsi="Times New Roman" w:eastAsia="方正仿宋_GBK" w:cs="Times New Roman"/>
          <w:color w:val="auto"/>
          <w:spacing w:val="0"/>
          <w:sz w:val="32"/>
          <w:szCs w:val="32"/>
          <w:lang w:val="en-US" w:eastAsia="zh-CN"/>
        </w:rPr>
        <w:t>市级科技项目数量增长7倍，1175Ah长时储能电池、5微米</w:t>
      </w:r>
      <w:r>
        <w:rPr>
          <w:rFonts w:hint="default" w:ascii="Times New Roman" w:hAnsi="Times New Roman" w:eastAsia="方正仿宋_GBK" w:cs="Times New Roman"/>
          <w:color w:val="auto"/>
          <w:spacing w:val="0"/>
          <w:sz w:val="32"/>
          <w:szCs w:val="32"/>
          <w:lang w:eastAsia="zh-CN"/>
        </w:rPr>
        <w:t>基膜等产品全国领先。</w:t>
      </w:r>
      <w:r>
        <w:rPr>
          <w:rFonts w:hint="default" w:ascii="Times New Roman" w:hAnsi="Times New Roman" w:eastAsia="方正仿宋_GBK" w:cs="Times New Roman"/>
          <w:color w:val="auto"/>
          <w:spacing w:val="0"/>
          <w:sz w:val="32"/>
          <w:szCs w:val="32"/>
          <w:highlight w:val="none"/>
          <w:lang w:val="en-US" w:eastAsia="zh-CN"/>
        </w:rPr>
        <w:t>智能化、绿色化转型加快，</w:t>
      </w:r>
      <w:r>
        <w:rPr>
          <w:rFonts w:hint="default" w:ascii="Times New Roman" w:hAnsi="Times New Roman" w:eastAsia="方正仿宋_GBK" w:cs="Times New Roman"/>
          <w:color w:val="auto"/>
          <w:spacing w:val="0"/>
          <w:sz w:val="32"/>
          <w:szCs w:val="32"/>
          <w:lang w:val="en-US" w:eastAsia="zh-CN"/>
        </w:rPr>
        <w:t>技改投入增长</w:t>
      </w:r>
      <w:r>
        <w:rPr>
          <w:rFonts w:hint="eastAsia" w:ascii="Times New Roman" w:hAnsi="Times New Roman" w:eastAsia="方正仿宋_GBK" w:cs="Times New Roman"/>
          <w:color w:val="auto"/>
          <w:spacing w:val="0"/>
          <w:sz w:val="32"/>
          <w:szCs w:val="32"/>
          <w:lang w:val="en-US" w:eastAsia="zh-CN"/>
        </w:rPr>
        <w:t>100.2</w:t>
      </w:r>
      <w:r>
        <w:rPr>
          <w:rFonts w:hint="default" w:ascii="Times New Roman" w:hAnsi="Times New Roman" w:eastAsia="方正仿宋_GBK" w:cs="Times New Roman"/>
          <w:color w:val="auto"/>
          <w:spacing w:val="0"/>
          <w:sz w:val="32"/>
          <w:szCs w:val="32"/>
          <w:lang w:val="en-US" w:eastAsia="zh-CN"/>
        </w:rPr>
        <w:t>%，新增智能工厂6家、绿色工厂5家</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b/>
          <w:bCs/>
          <w:color w:val="auto"/>
          <w:spacing w:val="0"/>
          <w:sz w:val="32"/>
          <w:szCs w:val="32"/>
          <w:lang w:eastAsia="zh-CN"/>
        </w:rPr>
        <w:t>营商环境持续优化</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区级领导“三服务”“四联系”</w:t>
      </w:r>
      <w:r>
        <w:rPr>
          <w:rFonts w:hint="default" w:ascii="Times New Roman" w:hAnsi="Times New Roman" w:eastAsia="方正仿宋_GBK" w:cs="Times New Roman"/>
          <w:color w:val="auto"/>
          <w:spacing w:val="0"/>
          <w:sz w:val="32"/>
          <w:szCs w:val="32"/>
          <w:lang w:val="en-US" w:eastAsia="zh-CN"/>
        </w:rPr>
        <w:t>常态</w:t>
      </w:r>
      <w:r>
        <w:rPr>
          <w:rFonts w:hint="default" w:ascii="Times New Roman" w:hAnsi="Times New Roman" w:eastAsia="方正仿宋_GBK" w:cs="Times New Roman"/>
          <w:color w:val="auto"/>
          <w:spacing w:val="0"/>
          <w:sz w:val="32"/>
          <w:szCs w:val="32"/>
          <w:lang w:eastAsia="zh-CN"/>
        </w:rPr>
        <w:t>开展，全力帮助企业找订单、找资源、找政策、找资金，组织</w:t>
      </w:r>
      <w:r>
        <w:rPr>
          <w:rFonts w:hint="default" w:ascii="Times New Roman" w:hAnsi="Times New Roman" w:eastAsia="方正仿宋_GBK" w:cs="Times New Roman"/>
          <w:color w:val="auto"/>
          <w:spacing w:val="0"/>
          <w:sz w:val="32"/>
          <w:szCs w:val="32"/>
          <w:lang w:val="en-US" w:eastAsia="zh-CN"/>
        </w:rPr>
        <w:t>67</w:t>
      </w:r>
      <w:r>
        <w:rPr>
          <w:rFonts w:hint="default" w:ascii="Times New Roman" w:hAnsi="Times New Roman" w:eastAsia="方正仿宋_GBK" w:cs="Times New Roman"/>
          <w:color w:val="auto"/>
          <w:spacing w:val="0"/>
          <w:sz w:val="32"/>
          <w:szCs w:val="32"/>
          <w:lang w:eastAsia="zh-CN"/>
        </w:rPr>
        <w:t>家企业参加技术展、对接会，争取订单</w:t>
      </w:r>
      <w:r>
        <w:rPr>
          <w:rFonts w:hint="default" w:ascii="Times New Roman" w:hAnsi="Times New Roman" w:eastAsia="方正仿宋_GBK" w:cs="Times New Roman"/>
          <w:color w:val="auto"/>
          <w:spacing w:val="0"/>
          <w:sz w:val="32"/>
          <w:szCs w:val="32"/>
          <w:lang w:val="en-US" w:eastAsia="zh-CN"/>
        </w:rPr>
        <w:t>4</w:t>
      </w:r>
      <w:r>
        <w:rPr>
          <w:rFonts w:hint="default" w:ascii="Times New Roman" w:hAnsi="Times New Roman" w:eastAsia="方正仿宋_GBK" w:cs="Times New Roman"/>
          <w:color w:val="auto"/>
          <w:spacing w:val="0"/>
          <w:sz w:val="32"/>
          <w:szCs w:val="32"/>
          <w:lang w:eastAsia="zh-CN"/>
        </w:rPr>
        <w:t>亿元。开展委办局长“走流程、接热线、讲政策”活动，推动“拿地即开工、竣工即验收、交房即交证”改革</w:t>
      </w:r>
      <w:r>
        <w:rPr>
          <w:rFonts w:hint="default" w:ascii="Times New Roman" w:hAnsi="Times New Roman" w:eastAsia="方正仿宋_GBK" w:cs="Times New Roman"/>
          <w:color w:val="auto"/>
          <w:spacing w:val="0"/>
          <w:sz w:val="32"/>
          <w:szCs w:val="32"/>
          <w:lang w:val="en-US" w:eastAsia="zh-CN"/>
        </w:rPr>
        <w:t>，企业办事审批时间压缩80%、综合成本下降45%</w:t>
      </w:r>
      <w:r>
        <w:rPr>
          <w:rFonts w:hint="default" w:ascii="Times New Roman" w:hAnsi="Times New Roman" w:eastAsia="方正仿宋_GBK" w:cs="Times New Roman"/>
          <w:color w:val="auto"/>
          <w:spacing w:val="0"/>
          <w:sz w:val="32"/>
          <w:szCs w:val="32"/>
          <w:lang w:eastAsia="zh-CN"/>
        </w:rPr>
        <w:t>。推行“入企排队</w:t>
      </w:r>
      <w:r>
        <w:rPr>
          <w:rFonts w:hint="eastAsia" w:ascii="方正仿宋_GBK" w:hAnsi="方正仿宋_GBK" w:eastAsia="方正仿宋_GBK" w:cs="方正仿宋_GBK"/>
          <w:color w:val="auto"/>
          <w:spacing w:val="0"/>
          <w:sz w:val="32"/>
          <w:szCs w:val="32"/>
          <w:lang w:eastAsia="zh-CN"/>
        </w:rPr>
        <w:t>·</w:t>
      </w:r>
      <w:r>
        <w:rPr>
          <w:rFonts w:hint="default" w:ascii="Times New Roman" w:hAnsi="Times New Roman" w:eastAsia="方正仿宋_GBK" w:cs="Times New Roman"/>
          <w:color w:val="auto"/>
          <w:spacing w:val="0"/>
          <w:sz w:val="32"/>
          <w:szCs w:val="32"/>
          <w:lang w:eastAsia="zh-CN"/>
        </w:rPr>
        <w:t>服务预约”，</w:t>
      </w:r>
      <w:r>
        <w:rPr>
          <w:rFonts w:hint="default" w:ascii="Times New Roman" w:hAnsi="Times New Roman" w:eastAsia="方正仿宋_GBK" w:cs="Times New Roman"/>
          <w:color w:val="auto"/>
          <w:spacing w:val="0"/>
          <w:sz w:val="32"/>
          <w:szCs w:val="32"/>
          <w:lang w:val="en-US" w:eastAsia="zh-CN"/>
        </w:rPr>
        <w:t>入企</w:t>
      </w:r>
      <w:r>
        <w:rPr>
          <w:rFonts w:hint="default" w:ascii="Times New Roman" w:hAnsi="Times New Roman" w:eastAsia="方正仿宋_GBK" w:cs="Times New Roman"/>
          <w:color w:val="auto"/>
          <w:spacing w:val="0"/>
          <w:sz w:val="32"/>
          <w:szCs w:val="32"/>
          <w:lang w:eastAsia="zh-CN"/>
        </w:rPr>
        <w:t>频次下降62%。</w:t>
      </w:r>
      <w:r>
        <w:rPr>
          <w:rFonts w:hint="default" w:ascii="Times New Roman" w:hAnsi="Times New Roman" w:eastAsia="方正仿宋_GBK" w:cs="Times New Roman"/>
          <w:color w:val="auto"/>
          <w:spacing w:val="0"/>
          <w:sz w:val="32"/>
          <w:szCs w:val="32"/>
          <w:lang w:val="en-US" w:eastAsia="zh-CN"/>
        </w:rPr>
        <w:t>亲商重商氛围更加浓厚，</w:t>
      </w:r>
      <w:r>
        <w:rPr>
          <w:rFonts w:hint="default" w:ascii="Times New Roman" w:hAnsi="Times New Roman" w:eastAsia="方正仿宋_GBK" w:cs="Times New Roman"/>
          <w:color w:val="auto"/>
          <w:spacing w:val="0"/>
          <w:sz w:val="32"/>
          <w:szCs w:val="32"/>
          <w:lang w:eastAsia="zh-CN"/>
        </w:rPr>
        <w:t>企业家“坐前排、享C位”成为常态，“有求必应、无事不扰”营商环境成为社会共识。</w:t>
      </w:r>
    </w:p>
    <w:p w14:paraId="01E8C54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eastAsia="zh-CN"/>
        </w:rPr>
      </w:pPr>
      <w:r>
        <w:rPr>
          <w:rFonts w:hint="default" w:ascii="方正楷体_GBK" w:hAnsi="方正楷体_GBK" w:eastAsia="方正楷体_GBK" w:cs="方正楷体_GBK"/>
          <w:color w:val="auto"/>
          <w:spacing w:val="0"/>
          <w:sz w:val="32"/>
          <w:szCs w:val="32"/>
          <w:lang w:eastAsia="zh-CN"/>
        </w:rPr>
        <w:t>（二）全力以赴扩投资促消费拓贸易，经济增长支撑更加坚实</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lang w:eastAsia="zh-CN"/>
        </w:rPr>
        <w:t>项目投资</w:t>
      </w:r>
      <w:r>
        <w:rPr>
          <w:rFonts w:hint="default" w:ascii="Times New Roman" w:hAnsi="Times New Roman" w:eastAsia="方正仿宋_GBK" w:cs="Times New Roman"/>
          <w:b/>
          <w:bCs/>
          <w:color w:val="auto"/>
          <w:spacing w:val="0"/>
          <w:sz w:val="32"/>
          <w:szCs w:val="32"/>
          <w:lang w:val="en-US" w:eastAsia="zh-CN"/>
        </w:rPr>
        <w:t>有力有效</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实施重点项目全生命周期管理，</w:t>
      </w:r>
      <w:r>
        <w:rPr>
          <w:rFonts w:hint="default" w:ascii="Times New Roman" w:hAnsi="Times New Roman" w:eastAsia="方正仿宋_GBK" w:cs="Times New Roman"/>
          <w:color w:val="auto"/>
          <w:spacing w:val="0"/>
          <w:sz w:val="32"/>
          <w:szCs w:val="32"/>
          <w:lang w:val="en-US" w:eastAsia="zh-CN"/>
        </w:rPr>
        <w:t>食品及农产品加工产业园等5</w:t>
      </w:r>
      <w:r>
        <w:rPr>
          <w:rFonts w:hint="eastAsia" w:ascii="Times New Roman" w:hAnsi="Times New Roman" w:eastAsia="方正仿宋_GBK" w:cs="Times New Roman"/>
          <w:color w:val="auto"/>
          <w:spacing w:val="0"/>
          <w:sz w:val="32"/>
          <w:szCs w:val="32"/>
          <w:lang w:val="en-US" w:eastAsia="zh-CN"/>
        </w:rPr>
        <w:t>7</w:t>
      </w:r>
      <w:r>
        <w:rPr>
          <w:rFonts w:hint="default" w:ascii="Times New Roman" w:hAnsi="Times New Roman" w:eastAsia="方正仿宋_GBK" w:cs="Times New Roman"/>
          <w:color w:val="auto"/>
          <w:spacing w:val="0"/>
          <w:sz w:val="32"/>
          <w:szCs w:val="32"/>
          <w:lang w:eastAsia="zh-CN"/>
        </w:rPr>
        <w:t>个项目开工建设，</w:t>
      </w:r>
      <w:r>
        <w:rPr>
          <w:rFonts w:hint="default" w:ascii="Times New Roman" w:hAnsi="Times New Roman" w:eastAsia="方正仿宋_GBK" w:cs="Times New Roman"/>
          <w:color w:val="auto"/>
          <w:spacing w:val="0"/>
          <w:sz w:val="32"/>
          <w:szCs w:val="32"/>
          <w:lang w:val="en-US" w:eastAsia="zh-CN"/>
        </w:rPr>
        <w:t>成渝中线高铁等92</w:t>
      </w:r>
      <w:r>
        <w:rPr>
          <w:rFonts w:hint="default" w:ascii="Times New Roman" w:hAnsi="Times New Roman" w:eastAsia="方正仿宋_GBK" w:cs="Times New Roman"/>
          <w:color w:val="auto"/>
          <w:spacing w:val="0"/>
          <w:sz w:val="32"/>
          <w:szCs w:val="32"/>
          <w:lang w:eastAsia="zh-CN"/>
        </w:rPr>
        <w:t>个续建项目加快推进，</w:t>
      </w:r>
      <w:r>
        <w:rPr>
          <w:rFonts w:hint="default" w:ascii="Times New Roman" w:hAnsi="Times New Roman" w:eastAsia="方正仿宋_GBK" w:cs="Times New Roman"/>
          <w:color w:val="auto"/>
          <w:spacing w:val="0"/>
          <w:sz w:val="32"/>
          <w:szCs w:val="32"/>
          <w:lang w:val="en-US" w:eastAsia="zh-CN"/>
        </w:rPr>
        <w:t>铭利达二期等4</w:t>
      </w:r>
      <w:r>
        <w:rPr>
          <w:rFonts w:hint="eastAsia" w:ascii="Times New Roman" w:hAnsi="Times New Roman" w:eastAsia="方正仿宋_GBK" w:cs="Times New Roman"/>
          <w:color w:val="auto"/>
          <w:spacing w:val="0"/>
          <w:sz w:val="32"/>
          <w:szCs w:val="32"/>
          <w:lang w:val="en-US" w:eastAsia="zh-CN"/>
        </w:rPr>
        <w:t>5</w:t>
      </w:r>
      <w:r>
        <w:rPr>
          <w:rFonts w:hint="default" w:ascii="Times New Roman" w:hAnsi="Times New Roman" w:eastAsia="方正仿宋_GBK" w:cs="Times New Roman"/>
          <w:color w:val="auto"/>
          <w:spacing w:val="0"/>
          <w:sz w:val="32"/>
          <w:szCs w:val="32"/>
          <w:lang w:eastAsia="zh-CN"/>
        </w:rPr>
        <w:t>个项目竣工投产。</w:t>
      </w:r>
      <w:r>
        <w:rPr>
          <w:rFonts w:hint="default" w:ascii="Times New Roman" w:hAnsi="Times New Roman" w:eastAsia="方正仿宋_GBK" w:cs="Times New Roman"/>
          <w:color w:val="auto"/>
          <w:spacing w:val="0"/>
          <w:sz w:val="32"/>
          <w:szCs w:val="32"/>
          <w:lang w:val="en-US" w:eastAsia="zh-CN"/>
        </w:rPr>
        <w:t>向上争取转移支付及项目资金40亿元，取得各类建设用地指标3127亩，供应建设用地5812亩。</w:t>
      </w:r>
      <w:r>
        <w:rPr>
          <w:rFonts w:hint="default" w:ascii="Times New Roman" w:hAnsi="Times New Roman" w:eastAsia="方正仿宋_GBK" w:cs="Times New Roman"/>
          <w:color w:val="auto"/>
          <w:spacing w:val="0"/>
          <w:sz w:val="32"/>
          <w:szCs w:val="32"/>
          <w:lang w:eastAsia="zh-CN"/>
        </w:rPr>
        <w:t>重点项目完成投资419.6亿元，工业投资增长</w:t>
      </w:r>
      <w:r>
        <w:rPr>
          <w:rFonts w:hint="eastAsia" w:ascii="Times New Roman" w:hAnsi="Times New Roman" w:eastAsia="方正仿宋_GBK" w:cs="Times New Roman"/>
          <w:color w:val="auto"/>
          <w:spacing w:val="0"/>
          <w:sz w:val="32"/>
          <w:szCs w:val="32"/>
          <w:lang w:val="en-US" w:eastAsia="zh-CN"/>
        </w:rPr>
        <w:t>21</w:t>
      </w:r>
      <w:r>
        <w:rPr>
          <w:rFonts w:hint="default" w:ascii="Times New Roman" w:hAnsi="Times New Roman" w:eastAsia="方正仿宋_GBK" w:cs="Times New Roman"/>
          <w:color w:val="auto"/>
          <w:spacing w:val="0"/>
          <w:sz w:val="32"/>
          <w:szCs w:val="32"/>
          <w:lang w:eastAsia="zh-CN"/>
        </w:rPr>
        <w:t>%，民间投资增长</w:t>
      </w:r>
      <w:r>
        <w:rPr>
          <w:rFonts w:hint="eastAsia" w:ascii="Times New Roman" w:hAnsi="Times New Roman" w:eastAsia="方正仿宋_GBK" w:cs="Times New Roman"/>
          <w:color w:val="auto"/>
          <w:spacing w:val="0"/>
          <w:sz w:val="32"/>
          <w:szCs w:val="32"/>
          <w:lang w:val="en-US" w:eastAsia="zh-CN"/>
        </w:rPr>
        <w:t>27.2</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b/>
          <w:bCs/>
          <w:color w:val="auto"/>
          <w:spacing w:val="0"/>
          <w:sz w:val="32"/>
          <w:szCs w:val="32"/>
          <w:lang w:eastAsia="zh-CN"/>
        </w:rPr>
        <w:t>市场消费扩容提质</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龙城天街新入驻酒店、餐饮等32家，盘活嘉和广场商业体近2万平方米，引进“铜梁首店”</w:t>
      </w:r>
      <w:r>
        <w:rPr>
          <w:rFonts w:hint="default" w:ascii="Times New Roman" w:hAnsi="Times New Roman" w:eastAsia="方正仿宋_GBK" w:cs="Times New Roman"/>
          <w:color w:val="auto"/>
          <w:spacing w:val="0"/>
          <w:sz w:val="32"/>
          <w:szCs w:val="32"/>
          <w:lang w:val="en-US" w:eastAsia="zh-CN"/>
        </w:rPr>
        <w:t>16</w:t>
      </w:r>
      <w:r>
        <w:rPr>
          <w:rFonts w:hint="default" w:ascii="Times New Roman" w:hAnsi="Times New Roman" w:eastAsia="方正仿宋_GBK" w:cs="Times New Roman"/>
          <w:color w:val="auto"/>
          <w:spacing w:val="0"/>
          <w:sz w:val="32"/>
          <w:szCs w:val="32"/>
          <w:lang w:eastAsia="zh-CN"/>
        </w:rPr>
        <w:t>家，新增</w:t>
      </w:r>
      <w:r>
        <w:rPr>
          <w:rFonts w:hint="default" w:ascii="Times New Roman" w:hAnsi="Times New Roman" w:eastAsia="方正仿宋_GBK" w:cs="Times New Roman"/>
          <w:color w:val="auto"/>
          <w:spacing w:val="0"/>
          <w:sz w:val="32"/>
          <w:szCs w:val="32"/>
          <w:lang w:val="en-US" w:eastAsia="zh-CN"/>
        </w:rPr>
        <w:t>重庆老字号3家，</w:t>
      </w:r>
      <w:r>
        <w:rPr>
          <w:rFonts w:hint="default" w:ascii="Times New Roman" w:hAnsi="Times New Roman" w:eastAsia="方正仿宋_GBK" w:cs="Times New Roman"/>
          <w:color w:val="auto"/>
          <w:spacing w:val="0"/>
          <w:sz w:val="32"/>
          <w:szCs w:val="32"/>
          <w:lang w:eastAsia="zh-CN"/>
        </w:rPr>
        <w:t>新培育</w:t>
      </w:r>
      <w:r>
        <w:rPr>
          <w:rFonts w:hint="default" w:ascii="Times New Roman" w:hAnsi="Times New Roman" w:eastAsia="方正仿宋_GBK" w:cs="Times New Roman"/>
          <w:color w:val="auto"/>
          <w:spacing w:val="0"/>
          <w:sz w:val="32"/>
          <w:szCs w:val="32"/>
          <w:lang w:val="en-US" w:eastAsia="zh-CN"/>
        </w:rPr>
        <w:t>限上商贸主体129家</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落实消费品“以旧换新”，</w:t>
      </w:r>
      <w:r>
        <w:rPr>
          <w:rFonts w:hint="default" w:ascii="Times New Roman" w:hAnsi="Times New Roman" w:eastAsia="方正仿宋_GBK" w:cs="Times New Roman"/>
          <w:color w:val="auto"/>
          <w:spacing w:val="0"/>
          <w:sz w:val="32"/>
          <w:szCs w:val="32"/>
          <w:lang w:eastAsia="zh-CN"/>
        </w:rPr>
        <w:t>开展“爱尚重庆”汽摩展、</w:t>
      </w:r>
      <w:r>
        <w:rPr>
          <w:rFonts w:hint="default" w:ascii="Times New Roman" w:hAnsi="Times New Roman" w:eastAsia="方正仿宋_GBK" w:cs="Times New Roman"/>
          <w:color w:val="auto"/>
          <w:spacing w:val="0"/>
          <w:sz w:val="32"/>
          <w:szCs w:val="32"/>
          <w:lang w:val="en-US" w:eastAsia="zh-CN"/>
        </w:rPr>
        <w:t>“e乡e味”消费文化节</w:t>
      </w:r>
      <w:r>
        <w:rPr>
          <w:rFonts w:hint="default" w:ascii="Times New Roman" w:hAnsi="Times New Roman" w:eastAsia="方正仿宋_GBK" w:cs="Times New Roman"/>
          <w:color w:val="auto"/>
          <w:spacing w:val="0"/>
          <w:sz w:val="32"/>
          <w:szCs w:val="32"/>
          <w:lang w:eastAsia="zh-CN"/>
        </w:rPr>
        <w:t>等活动，拉动消费超30亿元。</w:t>
      </w:r>
      <w:r>
        <w:rPr>
          <w:rFonts w:hint="default" w:ascii="Times New Roman" w:hAnsi="Times New Roman" w:eastAsia="方正仿宋_GBK" w:cs="Times New Roman"/>
          <w:color w:val="auto"/>
          <w:spacing w:val="0"/>
          <w:sz w:val="32"/>
          <w:szCs w:val="32"/>
          <w:lang w:val="en-US" w:eastAsia="zh-CN"/>
        </w:rPr>
        <w:t>“铜梁龙”品牌入围渝伴礼“重庆艺创”TOP10。开展商品房促销活动，销售面积59.5万平方米。</w:t>
      </w:r>
      <w:r>
        <w:rPr>
          <w:rFonts w:hint="default" w:ascii="Times New Roman" w:hAnsi="Times New Roman" w:eastAsia="方正仿宋_GBK" w:cs="Times New Roman"/>
          <w:color w:val="auto"/>
          <w:spacing w:val="0"/>
          <w:sz w:val="32"/>
          <w:szCs w:val="32"/>
          <w:lang w:eastAsia="zh-CN"/>
        </w:rPr>
        <w:t>大力发展赛事经济，推出“一张球票游铜梁”，超30万人次</w:t>
      </w:r>
      <w:r>
        <w:rPr>
          <w:rFonts w:hint="default" w:ascii="Times New Roman" w:hAnsi="Times New Roman" w:eastAsia="方正仿宋_GBK" w:cs="Times New Roman"/>
          <w:color w:val="auto"/>
          <w:spacing w:val="0"/>
          <w:sz w:val="32"/>
          <w:szCs w:val="32"/>
          <w:lang w:val="en-US" w:eastAsia="zh-CN"/>
        </w:rPr>
        <w:t>来铜观看</w:t>
      </w:r>
      <w:r>
        <w:rPr>
          <w:rFonts w:hint="default" w:ascii="Times New Roman" w:hAnsi="Times New Roman" w:eastAsia="方正仿宋_GBK" w:cs="Times New Roman"/>
          <w:color w:val="auto"/>
          <w:spacing w:val="0"/>
          <w:sz w:val="32"/>
          <w:szCs w:val="32"/>
          <w:lang w:eastAsia="zh-CN"/>
        </w:rPr>
        <w:t>中甲、渝超、U17亚洲杯预选赛，铜梁龙马拉松、端午龙舟会、中华龙狮大赛等持续放大赛事引流效应，</w:t>
      </w:r>
      <w:r>
        <w:rPr>
          <w:rFonts w:hint="default" w:ascii="Times New Roman" w:hAnsi="Times New Roman" w:eastAsia="方正仿宋_GBK" w:cs="Times New Roman"/>
          <w:color w:val="auto"/>
          <w:spacing w:val="0"/>
          <w:sz w:val="32"/>
          <w:szCs w:val="32"/>
          <w:lang w:val="en-US" w:eastAsia="zh-CN"/>
        </w:rPr>
        <w:t>全年</w:t>
      </w:r>
      <w:r>
        <w:rPr>
          <w:rFonts w:hint="default" w:ascii="Times New Roman" w:hAnsi="Times New Roman" w:eastAsia="方正仿宋_GBK" w:cs="Times New Roman"/>
          <w:color w:val="auto"/>
          <w:spacing w:val="0"/>
          <w:sz w:val="32"/>
          <w:szCs w:val="32"/>
          <w:lang w:eastAsia="zh-CN"/>
        </w:rPr>
        <w:t>接待游客2385万人次、增长10.6%，游客总花费156.9亿元、增长11.9%。</w:t>
      </w:r>
      <w:r>
        <w:rPr>
          <w:rFonts w:hint="default" w:ascii="Times New Roman" w:hAnsi="Times New Roman" w:eastAsia="方正仿宋_GBK" w:cs="Times New Roman"/>
          <w:b/>
          <w:bCs/>
          <w:color w:val="auto"/>
          <w:spacing w:val="0"/>
          <w:sz w:val="32"/>
          <w:szCs w:val="32"/>
          <w:lang w:eastAsia="zh-CN"/>
        </w:rPr>
        <w:t>外资外贸提质增效</w:t>
      </w:r>
      <w:r>
        <w:rPr>
          <w:rFonts w:hint="default" w:ascii="Times New Roman" w:hAnsi="Times New Roman" w:eastAsia="方正仿宋_GBK" w:cs="Times New Roman"/>
          <w:color w:val="auto"/>
          <w:spacing w:val="0"/>
          <w:sz w:val="32"/>
          <w:szCs w:val="32"/>
          <w:lang w:val="en-US" w:eastAsia="zh-CN"/>
        </w:rPr>
        <w:t>。积极</w:t>
      </w:r>
      <w:r>
        <w:rPr>
          <w:rFonts w:hint="default" w:ascii="Times New Roman" w:hAnsi="Times New Roman" w:eastAsia="方正仿宋_GBK" w:cs="Times New Roman"/>
          <w:color w:val="auto"/>
          <w:spacing w:val="0"/>
          <w:sz w:val="32"/>
          <w:szCs w:val="32"/>
          <w:lang w:eastAsia="zh-CN"/>
        </w:rPr>
        <w:t>支持企业开拓东盟和</w:t>
      </w:r>
      <w:r>
        <w:rPr>
          <w:rFonts w:hint="default" w:ascii="Times New Roman" w:hAnsi="Times New Roman" w:eastAsia="方正仿宋_GBK" w:cs="Times New Roman"/>
          <w:color w:val="auto"/>
          <w:spacing w:val="0"/>
          <w:sz w:val="32"/>
          <w:szCs w:val="32"/>
          <w:lang w:val="en-US" w:eastAsia="zh-CN"/>
        </w:rPr>
        <w:t>欧洲</w:t>
      </w:r>
      <w:r>
        <w:rPr>
          <w:rFonts w:hint="default" w:ascii="Times New Roman" w:hAnsi="Times New Roman" w:eastAsia="方正仿宋_GBK" w:cs="Times New Roman"/>
          <w:color w:val="auto"/>
          <w:spacing w:val="0"/>
          <w:sz w:val="32"/>
          <w:szCs w:val="32"/>
          <w:lang w:eastAsia="zh-CN"/>
        </w:rPr>
        <w:t>市场，</w:t>
      </w:r>
      <w:r>
        <w:rPr>
          <w:rFonts w:hint="default" w:ascii="Times New Roman" w:hAnsi="Times New Roman" w:eastAsia="方正仿宋_GBK" w:cs="Times New Roman"/>
          <w:color w:val="auto"/>
          <w:spacing w:val="0"/>
          <w:sz w:val="32"/>
          <w:szCs w:val="32"/>
          <w:lang w:val="en-US" w:eastAsia="zh-CN"/>
        </w:rPr>
        <w:t>培育气凝胶、汽车零部件等外贸增长点，铜梁龙柚首次出口海外，参与“外资企业重庆行”、西洽会、进博会等会展活动，</w:t>
      </w:r>
      <w:r>
        <w:rPr>
          <w:rFonts w:hint="default" w:ascii="Times New Roman" w:hAnsi="Times New Roman" w:eastAsia="方正仿宋_GBK" w:cs="Times New Roman"/>
          <w:color w:val="auto"/>
          <w:spacing w:val="0"/>
          <w:sz w:val="32"/>
          <w:szCs w:val="32"/>
          <w:lang w:eastAsia="zh-CN"/>
        </w:rPr>
        <w:t>新增外贸实绩企业14家</w:t>
      </w:r>
      <w:r>
        <w:rPr>
          <w:rFonts w:hint="default" w:ascii="Times New Roman" w:hAnsi="Times New Roman" w:eastAsia="方正仿宋_GBK" w:cs="Times New Roman"/>
          <w:color w:val="auto"/>
          <w:spacing w:val="0"/>
          <w:sz w:val="32"/>
          <w:szCs w:val="32"/>
          <w:lang w:val="en-US" w:eastAsia="zh-CN"/>
        </w:rPr>
        <w:t>，引进外资企业4家</w:t>
      </w:r>
      <w:r>
        <w:rPr>
          <w:rFonts w:hint="default" w:ascii="Times New Roman" w:hAnsi="Times New Roman" w:eastAsia="方正仿宋_GBK" w:cs="Times New Roman"/>
          <w:color w:val="auto"/>
          <w:spacing w:val="0"/>
          <w:sz w:val="32"/>
          <w:szCs w:val="32"/>
          <w:lang w:eastAsia="zh-CN"/>
        </w:rPr>
        <w:t>。外贸进出口额达</w:t>
      </w:r>
      <w:r>
        <w:rPr>
          <w:rFonts w:hint="default" w:ascii="Times New Roman" w:hAnsi="Times New Roman" w:eastAsia="方正仿宋_GBK" w:cs="Times New Roman"/>
          <w:color w:val="auto"/>
          <w:spacing w:val="0"/>
          <w:sz w:val="32"/>
          <w:szCs w:val="32"/>
          <w:lang w:val="en-US" w:eastAsia="zh-CN"/>
        </w:rPr>
        <w:t>17.9</w:t>
      </w:r>
      <w:r>
        <w:rPr>
          <w:rFonts w:hint="default" w:ascii="Times New Roman" w:hAnsi="Times New Roman" w:eastAsia="方正仿宋_GBK" w:cs="Times New Roman"/>
          <w:color w:val="auto"/>
          <w:spacing w:val="0"/>
          <w:sz w:val="32"/>
          <w:szCs w:val="32"/>
          <w:lang w:eastAsia="zh-CN"/>
        </w:rPr>
        <w:t>亿元，实际使用外资实现翻番。</w:t>
      </w:r>
    </w:p>
    <w:p w14:paraId="1C48060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lang w:eastAsia="zh-CN"/>
        </w:rPr>
        <w:t>（三）全力以赴优布局提品质精治理，现代化人民城市加快建设</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lang w:val="en-US" w:eastAsia="zh-CN"/>
        </w:rPr>
        <w:t>城市布局持续优化</w:t>
      </w:r>
      <w:r>
        <w:rPr>
          <w:rFonts w:hint="default" w:ascii="Times New Roman" w:hAnsi="Times New Roman" w:eastAsia="方正仿宋_GBK" w:cs="Times New Roman"/>
          <w:color w:val="auto"/>
          <w:spacing w:val="0"/>
          <w:sz w:val="32"/>
          <w:szCs w:val="32"/>
          <w:lang w:val="en-US" w:eastAsia="zh-CN"/>
        </w:rPr>
        <w:t>。新增高新区发展空间5.19平方公里。完成龙腾新区、镜湖路片区、高新区北部等重点区域8平方公里详规编制。打造龙城天街15分钟高品质生活服务圈。</w:t>
      </w:r>
      <w:r>
        <w:rPr>
          <w:rFonts w:hint="default" w:ascii="Times New Roman" w:hAnsi="Times New Roman" w:eastAsia="方正仿宋_GBK" w:cs="Times New Roman"/>
          <w:b/>
          <w:bCs/>
          <w:color w:val="auto"/>
          <w:spacing w:val="0"/>
          <w:sz w:val="32"/>
          <w:szCs w:val="32"/>
          <w:lang w:val="en-US" w:eastAsia="zh-CN"/>
        </w:rPr>
        <w:t>城市品质不断提升</w:t>
      </w:r>
      <w:r>
        <w:rPr>
          <w:rFonts w:hint="default" w:ascii="Times New Roman" w:hAnsi="Times New Roman" w:eastAsia="方正仿宋_GBK" w:cs="Times New Roman"/>
          <w:color w:val="auto"/>
          <w:spacing w:val="0"/>
          <w:sz w:val="32"/>
          <w:szCs w:val="32"/>
          <w:lang w:val="en-US" w:eastAsia="zh-CN"/>
        </w:rPr>
        <w:t>。民主路片区城市更新全面完工，改造城中村730户、老旧小区2207户、城市危旧房109户，开发建设“好房子”项目7个。新增城市绿地30万平方米，建成口袋公园3个。整治危旧桥梁8座，新建改建城区雨污管网21公里。建成超充站11座，新增停车位500个，开通8条定制公交线路。</w:t>
      </w:r>
      <w:r>
        <w:rPr>
          <w:rFonts w:hint="default" w:ascii="Times New Roman" w:hAnsi="Times New Roman" w:eastAsia="方正仿宋_GBK" w:cs="Times New Roman"/>
          <w:b/>
          <w:bCs/>
          <w:color w:val="auto"/>
          <w:spacing w:val="0"/>
          <w:sz w:val="32"/>
          <w:szCs w:val="32"/>
          <w:lang w:val="en-US" w:eastAsia="zh-CN"/>
        </w:rPr>
        <w:t>城市治理更加精细</w:t>
      </w:r>
      <w:r>
        <w:rPr>
          <w:rFonts w:hint="default" w:ascii="Times New Roman" w:hAnsi="Times New Roman" w:eastAsia="方正仿宋_GBK" w:cs="Times New Roman"/>
          <w:color w:val="auto"/>
          <w:spacing w:val="0"/>
          <w:sz w:val="32"/>
          <w:szCs w:val="32"/>
          <w:lang w:val="en-US" w:eastAsia="zh-CN"/>
        </w:rPr>
        <w:t>。建成教育培训、食品加工等“综合查一次”应用场景17个，“大综合一体化”行政执法效能实现提升。提档升级学府大道、龙腾大道网红夜市，设置潮汐摊区17个。提质改造社区小微空间32个。城市生活垃圾回收利用率超43%。“马路巡查”解决城市综合管理问题1.7万件，城市运行效率有效提升。</w:t>
      </w:r>
    </w:p>
    <w:p w14:paraId="1560FC8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lang w:eastAsia="zh-CN"/>
        </w:rPr>
        <w:t>（四）全力以赴树品牌美乡村促融合，巴渝和美乡村焕发新貌</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lang w:val="en-US" w:eastAsia="zh-CN"/>
        </w:rPr>
        <w:t>现代农业提质增效</w:t>
      </w:r>
      <w:r>
        <w:rPr>
          <w:rFonts w:hint="default" w:ascii="Times New Roman" w:hAnsi="Times New Roman" w:eastAsia="方正仿宋_GBK" w:cs="Times New Roman"/>
          <w:color w:val="auto"/>
          <w:spacing w:val="0"/>
          <w:sz w:val="32"/>
          <w:szCs w:val="32"/>
          <w:lang w:val="en-US" w:eastAsia="zh-CN"/>
        </w:rPr>
        <w:t>。新增耕地6000亩，建成高标准农田4.2万亩，粮食产量稳定在35.9万吨以上。蔬菜产量89.1万吨，增长4%。生猪出栏54.</w:t>
      </w:r>
      <w:r>
        <w:rPr>
          <w:rFonts w:hint="eastAsia" w:ascii="Times New Roman" w:hAnsi="Times New Roman" w:eastAsia="方正仿宋_GBK" w:cs="Times New Roman"/>
          <w:color w:val="auto"/>
          <w:spacing w:val="0"/>
          <w:sz w:val="32"/>
          <w:szCs w:val="32"/>
          <w:lang w:val="en-US" w:eastAsia="zh-CN"/>
        </w:rPr>
        <w:t>3</w:t>
      </w:r>
      <w:r>
        <w:rPr>
          <w:rFonts w:hint="default" w:ascii="Times New Roman" w:hAnsi="Times New Roman" w:eastAsia="方正仿宋_GBK" w:cs="Times New Roman"/>
          <w:color w:val="auto"/>
          <w:spacing w:val="0"/>
          <w:sz w:val="32"/>
          <w:szCs w:val="32"/>
          <w:lang w:val="en-US" w:eastAsia="zh-CN"/>
        </w:rPr>
        <w:t>万头，家禽、肉兔出栏稳居全市前三。“一区一品”铜梁黑鸡</w:t>
      </w:r>
      <w:r>
        <w:rPr>
          <w:rFonts w:hint="default" w:ascii="Times New Roman" w:hAnsi="Times New Roman" w:eastAsia="方正仿宋_GBK" w:cs="Times New Roman"/>
          <w:color w:val="auto"/>
          <w:spacing w:val="0"/>
          <w:sz w:val="32"/>
          <w:szCs w:val="32"/>
          <w:lang w:eastAsia="zh-CN"/>
        </w:rPr>
        <w:t>入选巴渝“土特产”名优百品</w:t>
      </w:r>
      <w:r>
        <w:rPr>
          <w:rFonts w:hint="default" w:ascii="Times New Roman" w:hAnsi="Times New Roman" w:eastAsia="方正仿宋_GBK" w:cs="Times New Roman"/>
          <w:color w:val="auto"/>
          <w:spacing w:val="0"/>
          <w:sz w:val="32"/>
          <w:szCs w:val="32"/>
          <w:lang w:val="en-US" w:eastAsia="zh-CN"/>
        </w:rPr>
        <w:t>，规模化养殖园全面建成，新增产能</w:t>
      </w:r>
      <w:r>
        <w:rPr>
          <w:rFonts w:hint="eastAsia" w:ascii="Times New Roman" w:hAnsi="Times New Roman" w:eastAsia="方正仿宋_GBK" w:cs="Times New Roman"/>
          <w:color w:val="auto"/>
          <w:spacing w:val="0"/>
          <w:sz w:val="32"/>
          <w:szCs w:val="32"/>
          <w:lang w:val="en-US" w:eastAsia="zh-CN"/>
        </w:rPr>
        <w:t>200</w:t>
      </w:r>
      <w:r>
        <w:rPr>
          <w:rFonts w:hint="default" w:ascii="Times New Roman" w:hAnsi="Times New Roman" w:eastAsia="方正仿宋_GBK" w:cs="Times New Roman"/>
          <w:color w:val="auto"/>
          <w:spacing w:val="0"/>
          <w:sz w:val="32"/>
          <w:szCs w:val="32"/>
          <w:lang w:val="en-US" w:eastAsia="zh-CN"/>
        </w:rPr>
        <w:t>万羽。斩获市级优质蔬菜金奖2个，“铜梁枳壳”“铜梁莲藕”获地理标志产品。</w:t>
      </w:r>
      <w:r>
        <w:rPr>
          <w:rFonts w:hint="default" w:ascii="Times New Roman" w:hAnsi="Times New Roman" w:eastAsia="方正仿宋_GBK" w:cs="Times New Roman"/>
          <w:b/>
          <w:bCs/>
          <w:color w:val="auto"/>
          <w:spacing w:val="0"/>
          <w:sz w:val="32"/>
          <w:szCs w:val="32"/>
          <w:lang w:val="en-US" w:eastAsia="zh-CN"/>
        </w:rPr>
        <w:t>和美乡村提速建设</w:t>
      </w:r>
      <w:r>
        <w:rPr>
          <w:rFonts w:hint="default" w:ascii="Times New Roman" w:hAnsi="Times New Roman" w:eastAsia="方正仿宋_GBK" w:cs="Times New Roman"/>
          <w:color w:val="auto"/>
          <w:spacing w:val="0"/>
          <w:sz w:val="32"/>
          <w:szCs w:val="32"/>
          <w:lang w:val="en-US" w:eastAsia="zh-CN"/>
        </w:rPr>
        <w:t>。提质改造少高路等干线公路21.6公里，改造危房92户，安装太阳能路灯1200盏，新建农村5G基站20个，新铺设光纤400公里，太平水厂建成投用。建成“瓦上秋光”市级巴蜀美丽庭院示范片，</w:t>
      </w:r>
      <w:r>
        <w:rPr>
          <w:rFonts w:hint="default" w:ascii="Times New Roman" w:hAnsi="Times New Roman" w:eastAsia="方正仿宋_GBK" w:cs="Times New Roman"/>
          <w:color w:val="FF0000"/>
          <w:spacing w:val="0"/>
          <w:sz w:val="32"/>
          <w:szCs w:val="32"/>
          <w:lang w:val="en-US" w:eastAsia="zh-CN"/>
        </w:rPr>
        <w:t>打造巴渝和美乡村2</w:t>
      </w:r>
      <w:r>
        <w:rPr>
          <w:rFonts w:hint="eastAsia" w:ascii="Times New Roman" w:hAnsi="Times New Roman" w:eastAsia="方正仿宋_GBK" w:cs="Times New Roman"/>
          <w:color w:val="FF0000"/>
          <w:spacing w:val="0"/>
          <w:sz w:val="32"/>
          <w:szCs w:val="32"/>
          <w:lang w:val="en-US" w:eastAsia="zh-CN"/>
        </w:rPr>
        <w:t>05</w:t>
      </w:r>
      <w:r>
        <w:rPr>
          <w:rFonts w:hint="default" w:ascii="Times New Roman" w:hAnsi="Times New Roman" w:eastAsia="方正仿宋_GBK" w:cs="Times New Roman"/>
          <w:color w:val="FF0000"/>
          <w:spacing w:val="0"/>
          <w:sz w:val="32"/>
          <w:szCs w:val="32"/>
          <w:lang w:val="en-US" w:eastAsia="zh-CN"/>
        </w:rPr>
        <w:t>个，</w:t>
      </w:r>
      <w:r>
        <w:rPr>
          <w:rFonts w:hint="eastAsia" w:ascii="Times New Roman" w:hAnsi="Times New Roman" w:eastAsia="方正仿宋_GBK" w:cs="Times New Roman"/>
          <w:color w:val="FF0000"/>
          <w:spacing w:val="0"/>
          <w:sz w:val="32"/>
          <w:szCs w:val="32"/>
          <w:lang w:val="en-US" w:eastAsia="zh-CN"/>
        </w:rPr>
        <w:t>建成</w:t>
      </w:r>
      <w:r>
        <w:rPr>
          <w:rFonts w:hint="default" w:ascii="Times New Roman" w:hAnsi="Times New Roman" w:eastAsia="方正仿宋_GBK" w:cs="Times New Roman"/>
          <w:color w:val="FF0000"/>
          <w:spacing w:val="0"/>
          <w:sz w:val="32"/>
          <w:szCs w:val="32"/>
          <w:lang w:val="en-US" w:eastAsia="zh-CN"/>
        </w:rPr>
        <w:t>率</w:t>
      </w:r>
      <w:r>
        <w:rPr>
          <w:rFonts w:hint="eastAsia" w:ascii="Times New Roman" w:hAnsi="Times New Roman" w:eastAsia="方正仿宋_GBK" w:cs="Times New Roman"/>
          <w:color w:val="FF0000"/>
          <w:spacing w:val="0"/>
          <w:sz w:val="32"/>
          <w:szCs w:val="32"/>
          <w:lang w:val="en-US" w:eastAsia="zh-CN"/>
        </w:rPr>
        <w:t>74</w:t>
      </w:r>
      <w:r>
        <w:rPr>
          <w:rFonts w:hint="default" w:ascii="Times New Roman" w:hAnsi="Times New Roman" w:eastAsia="方正仿宋_GBK" w:cs="Times New Roman"/>
          <w:color w:val="FF0000"/>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少云镇获评市级美丽宜居示范乡镇。全国“千县千社”质量提升行动现场会、全市巴渝和美乡村建设现场会等2个高规格大会在铜梁隆重召开。</w:t>
      </w:r>
      <w:r>
        <w:rPr>
          <w:rFonts w:hint="default" w:ascii="Times New Roman" w:hAnsi="Times New Roman" w:eastAsia="方正仿宋_GBK" w:cs="Times New Roman"/>
          <w:b/>
          <w:bCs/>
          <w:color w:val="auto"/>
          <w:spacing w:val="0"/>
          <w:sz w:val="32"/>
          <w:szCs w:val="32"/>
          <w:lang w:val="en-US" w:eastAsia="zh-CN"/>
        </w:rPr>
        <w:t>城乡融合纵深推进</w:t>
      </w:r>
      <w:r>
        <w:rPr>
          <w:rFonts w:hint="default" w:ascii="Times New Roman" w:hAnsi="Times New Roman" w:eastAsia="方正仿宋_GBK" w:cs="Times New Roman"/>
          <w:color w:val="auto"/>
          <w:spacing w:val="0"/>
          <w:sz w:val="32"/>
          <w:szCs w:val="32"/>
          <w:lang w:val="en-US" w:eastAsia="zh-CN"/>
        </w:rPr>
        <w:t>。国家城乡融合发展试验区通过评估。国家新型城镇化潜力地区试点加速推进，小县大城</w:t>
      </w:r>
      <w:bookmarkStart w:id="0" w:name="_GoBack"/>
      <w:bookmarkEnd w:id="0"/>
      <w:r>
        <w:rPr>
          <w:rFonts w:hint="default" w:ascii="Times New Roman" w:hAnsi="Times New Roman" w:eastAsia="方正仿宋_GBK" w:cs="Times New Roman"/>
          <w:color w:val="auto"/>
          <w:spacing w:val="0"/>
          <w:sz w:val="32"/>
          <w:szCs w:val="32"/>
          <w:lang w:val="en-US" w:eastAsia="zh-CN"/>
        </w:rPr>
        <w:t>、强镇带村、强村富民改革有序实施。出让集体经营性建设用地42亩，引导1200余名人才下乡服务，吸引资金9.8亿元服务“三农”。</w:t>
      </w:r>
    </w:p>
    <w:p w14:paraId="55963DC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lang w:eastAsia="zh-CN"/>
        </w:rPr>
        <w:t>（五）全力以赴转理念强集成塑体系，改革攻坚标志性成果</w:t>
      </w:r>
      <w:r>
        <w:rPr>
          <w:rFonts w:hint="default" w:ascii="方正楷体_GBK" w:hAnsi="方正楷体_GBK" w:eastAsia="方正楷体_GBK" w:cs="方正楷体_GBK"/>
          <w:color w:val="auto"/>
          <w:spacing w:val="0"/>
          <w:sz w:val="32"/>
          <w:szCs w:val="32"/>
          <w:lang w:val="en-US" w:eastAsia="zh-CN"/>
        </w:rPr>
        <w:t>多点开花</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lang w:val="en-US" w:eastAsia="zh-CN"/>
        </w:rPr>
        <w:t>数字重庆建设加速推进</w:t>
      </w:r>
      <w:r>
        <w:rPr>
          <w:rFonts w:hint="default" w:ascii="Times New Roman" w:hAnsi="Times New Roman" w:eastAsia="方正仿宋_GBK" w:cs="Times New Roman"/>
          <w:color w:val="auto"/>
          <w:spacing w:val="0"/>
          <w:sz w:val="32"/>
          <w:szCs w:val="32"/>
          <w:lang w:val="en-US" w:eastAsia="zh-CN"/>
        </w:rPr>
        <w:t>。完善一体化智能化公共数据平台，提升治理中心实战效能，“家医有约”获评数字重庆建设金奖、做法被中央改革办专篇刊载，“足球赛事”AI+综合场景得到</w:t>
      </w:r>
      <w:r>
        <w:rPr>
          <w:rFonts w:hint="eastAsia" w:ascii="Times New Roman" w:hAnsi="Times New Roman" w:eastAsia="方正仿宋_GBK" w:cs="Times New Roman"/>
          <w:color w:val="auto"/>
          <w:spacing w:val="0"/>
          <w:sz w:val="32"/>
          <w:szCs w:val="32"/>
          <w:lang w:val="en-US" w:eastAsia="zh-CN"/>
        </w:rPr>
        <w:t>行业主管单位</w:t>
      </w:r>
      <w:r>
        <w:rPr>
          <w:rFonts w:hint="default" w:ascii="Times New Roman" w:hAnsi="Times New Roman" w:eastAsia="方正仿宋_GBK" w:cs="Times New Roman"/>
          <w:color w:val="auto"/>
          <w:spacing w:val="0"/>
          <w:sz w:val="32"/>
          <w:szCs w:val="32"/>
          <w:lang w:val="en-US" w:eastAsia="zh-CN"/>
        </w:rPr>
        <w:t>充分肯定，“企</w:t>
      </w:r>
      <w:r>
        <w:rPr>
          <w:rFonts w:hint="eastAsia" w:ascii="Times New Roman" w:hAnsi="Times New Roman" w:eastAsia="方正仿宋_GBK" w:cs="Times New Roman"/>
          <w:color w:val="auto"/>
          <w:spacing w:val="0"/>
          <w:sz w:val="32"/>
          <w:szCs w:val="32"/>
          <w:lang w:val="en-US" w:eastAsia="zh-CN"/>
        </w:rPr>
        <w:t>服专员走访</w:t>
      </w:r>
      <w:r>
        <w:rPr>
          <w:rFonts w:hint="default" w:ascii="Times New Roman" w:hAnsi="Times New Roman" w:eastAsia="方正仿宋_GBK" w:cs="Times New Roman"/>
          <w:color w:val="auto"/>
          <w:spacing w:val="0"/>
          <w:sz w:val="32"/>
          <w:szCs w:val="32"/>
          <w:lang w:val="en-US" w:eastAsia="zh-CN"/>
        </w:rPr>
        <w:t>”上榜数字重庆建设应用场景大赛榜单，“企业服务</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有求必应无事不扰”纳入全市第二批AI+综合场景清单。</w:t>
      </w:r>
      <w:r>
        <w:rPr>
          <w:rFonts w:hint="default" w:ascii="Times New Roman" w:hAnsi="Times New Roman" w:eastAsia="方正仿宋_GBK" w:cs="Times New Roman"/>
          <w:b/>
          <w:bCs/>
          <w:color w:val="auto"/>
          <w:spacing w:val="0"/>
          <w:sz w:val="32"/>
          <w:szCs w:val="32"/>
          <w:lang w:val="en-US" w:eastAsia="zh-CN"/>
        </w:rPr>
        <w:t>国资国企改革取得重大突破</w:t>
      </w:r>
      <w:r>
        <w:rPr>
          <w:rFonts w:hint="default" w:ascii="Times New Roman" w:hAnsi="Times New Roman" w:eastAsia="方正仿宋_GBK" w:cs="Times New Roman"/>
          <w:color w:val="auto"/>
          <w:spacing w:val="0"/>
          <w:sz w:val="32"/>
          <w:szCs w:val="32"/>
          <w:lang w:val="en-US" w:eastAsia="zh-CN"/>
        </w:rPr>
        <w:t>。实施近十年来最大力度国企改革，8户重点国企重组为3个集团，45户全级次企业压减至25户，融资平台实现清零，改革主要指标全面完成。盘活国有资产56.6亿元，回收资金31.7亿元，国企市场化经营收入增长85.7%，经营能力和风控能力持续增强。</w:t>
      </w:r>
      <w:r>
        <w:rPr>
          <w:rFonts w:hint="default" w:ascii="Times New Roman" w:hAnsi="Times New Roman" w:eastAsia="方正仿宋_GBK" w:cs="Times New Roman"/>
          <w:b/>
          <w:bCs/>
          <w:color w:val="auto"/>
          <w:spacing w:val="0"/>
          <w:sz w:val="32"/>
          <w:szCs w:val="32"/>
          <w:lang w:val="en-US" w:eastAsia="zh-CN"/>
        </w:rPr>
        <w:t>集成式改革持续深化</w:t>
      </w:r>
      <w:r>
        <w:rPr>
          <w:rFonts w:hint="default" w:ascii="Times New Roman" w:hAnsi="Times New Roman" w:eastAsia="方正仿宋_GBK" w:cs="Times New Roman"/>
          <w:color w:val="auto"/>
          <w:spacing w:val="0"/>
          <w:sz w:val="32"/>
          <w:szCs w:val="32"/>
          <w:lang w:val="en-US" w:eastAsia="zh-CN"/>
        </w:rPr>
        <w:t>。“三同三公开”校园餐治理获</w:t>
      </w:r>
      <w:r>
        <w:rPr>
          <w:rFonts w:hint="eastAsia" w:ascii="Times New Roman" w:hAnsi="Times New Roman" w:eastAsia="方正仿宋_GBK" w:cs="Times New Roman"/>
          <w:color w:val="auto"/>
          <w:spacing w:val="0"/>
          <w:sz w:val="32"/>
          <w:szCs w:val="32"/>
          <w:lang w:val="en-US" w:eastAsia="zh-CN"/>
        </w:rPr>
        <w:t>《人民日报》</w:t>
      </w:r>
      <w:r>
        <w:rPr>
          <w:rFonts w:hint="default" w:ascii="Times New Roman" w:hAnsi="Times New Roman" w:eastAsia="方正仿宋_GBK"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央视</w:t>
      </w:r>
      <w:r>
        <w:rPr>
          <w:rFonts w:hint="default" w:ascii="Times New Roman" w:hAnsi="Times New Roman" w:eastAsia="方正仿宋_GBK" w:cs="Times New Roman"/>
          <w:color w:val="auto"/>
          <w:spacing w:val="0"/>
          <w:sz w:val="32"/>
          <w:szCs w:val="32"/>
          <w:lang w:val="en-US" w:eastAsia="zh-CN"/>
        </w:rPr>
        <w:t>宣传报道，“三方共耕”经验获市委主要领导肯定性批示，“四端联动”编制村庄规划等7个案例入选市级改革典型案例。深化集体林权制度改革，颁发全市首张单株林木不动产权证。大力推动高新区管理体制机制改革，全面厘清高新区与部门、镇街关系，科技、经信、招商等部门与高新区管委会集中办公，工作从“物理整合”变为“化学融合”。</w:t>
      </w:r>
    </w:p>
    <w:p w14:paraId="5E4CC65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eastAsia="zh-CN"/>
        </w:rPr>
      </w:pPr>
      <w:r>
        <w:rPr>
          <w:rFonts w:hint="default" w:ascii="方正楷体_GBK" w:hAnsi="方正楷体_GBK" w:eastAsia="方正楷体_GBK" w:cs="方正楷体_GBK"/>
          <w:color w:val="auto"/>
          <w:spacing w:val="0"/>
          <w:sz w:val="32"/>
          <w:szCs w:val="32"/>
          <w:lang w:eastAsia="zh-CN"/>
        </w:rPr>
        <w:t>（六）全力以赴抓机遇拓通道扩合作，对外开放格局加速放大</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lang w:eastAsia="zh-CN"/>
        </w:rPr>
        <w:t>双圈建设走深走实</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川南渝西融合发展试验区、新型储能产业园两大平台建设稳步推进。铜梁—自贡沿滩产业合作示范园区</w:t>
      </w:r>
      <w:r>
        <w:rPr>
          <w:rFonts w:hint="default" w:ascii="Times New Roman" w:hAnsi="Times New Roman" w:eastAsia="方正仿宋_GBK" w:cs="Times New Roman"/>
          <w:color w:val="auto"/>
          <w:spacing w:val="0"/>
          <w:sz w:val="32"/>
          <w:szCs w:val="32"/>
          <w:lang w:val="en-US" w:eastAsia="zh-CN"/>
        </w:rPr>
        <w:t>成效明显，</w:t>
      </w:r>
      <w:r>
        <w:rPr>
          <w:rFonts w:hint="default" w:ascii="Times New Roman" w:hAnsi="Times New Roman" w:eastAsia="方正仿宋_GBK" w:cs="Times New Roman"/>
          <w:color w:val="auto"/>
          <w:spacing w:val="0"/>
          <w:sz w:val="32"/>
          <w:szCs w:val="32"/>
          <w:lang w:eastAsia="zh-CN"/>
        </w:rPr>
        <w:t>达成合作意向金额26亿元。川渝零碳物流产业共建示范项目启动建设，“重庆运营+四川基建”跨区域协作模式加快形成。</w:t>
      </w:r>
      <w:r>
        <w:rPr>
          <w:rFonts w:hint="default" w:ascii="Times New Roman" w:hAnsi="Times New Roman" w:eastAsia="方正仿宋_GBK" w:cs="Times New Roman"/>
          <w:color w:val="auto"/>
          <w:spacing w:val="0"/>
          <w:sz w:val="32"/>
          <w:szCs w:val="32"/>
          <w:lang w:val="en-US" w:eastAsia="zh-CN"/>
        </w:rPr>
        <w:t>“探索城乡融合发展新路径”获评双圈典型案例。</w:t>
      </w:r>
      <w:r>
        <w:rPr>
          <w:rFonts w:hint="default" w:ascii="Times New Roman" w:hAnsi="Times New Roman" w:eastAsia="方正仿宋_GBK" w:cs="Times New Roman"/>
          <w:b/>
          <w:bCs/>
          <w:color w:val="auto"/>
          <w:spacing w:val="0"/>
          <w:sz w:val="32"/>
          <w:szCs w:val="32"/>
          <w:lang w:eastAsia="zh-CN"/>
        </w:rPr>
        <w:t>对外通道畅联畅通</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成渝中线高铁</w:t>
      </w:r>
      <w:r>
        <w:rPr>
          <w:rFonts w:hint="default" w:ascii="Times New Roman" w:hAnsi="Times New Roman" w:eastAsia="方正仿宋_GBK" w:cs="Times New Roman"/>
          <w:color w:val="auto"/>
          <w:spacing w:val="0"/>
          <w:sz w:val="32"/>
          <w:szCs w:val="32"/>
          <w:lang w:val="en-US" w:eastAsia="zh-CN"/>
        </w:rPr>
        <w:t>铜梁段</w:t>
      </w:r>
      <w:r>
        <w:rPr>
          <w:rFonts w:hint="default" w:ascii="Times New Roman" w:hAnsi="Times New Roman" w:eastAsia="方正仿宋_GBK" w:cs="Times New Roman"/>
          <w:color w:val="auto"/>
          <w:spacing w:val="0"/>
          <w:sz w:val="32"/>
          <w:szCs w:val="32"/>
          <w:lang w:eastAsia="zh-CN"/>
        </w:rPr>
        <w:t>完成总工程量</w:t>
      </w:r>
      <w:r>
        <w:rPr>
          <w:rFonts w:hint="default" w:ascii="Times New Roman" w:hAnsi="Times New Roman" w:eastAsia="方正仿宋_GBK" w:cs="Times New Roman"/>
          <w:color w:val="auto"/>
          <w:spacing w:val="0"/>
          <w:sz w:val="32"/>
          <w:szCs w:val="32"/>
          <w:lang w:val="en-US" w:eastAsia="zh-CN"/>
        </w:rPr>
        <w:t>8</w:t>
      </w:r>
      <w:r>
        <w:rPr>
          <w:rFonts w:hint="default" w:ascii="Times New Roman" w:hAnsi="Times New Roman" w:eastAsia="方正仿宋_GBK" w:cs="Times New Roman"/>
          <w:color w:val="auto"/>
          <w:spacing w:val="0"/>
          <w:sz w:val="32"/>
          <w:szCs w:val="32"/>
          <w:lang w:eastAsia="zh-CN"/>
        </w:rPr>
        <w:t>0%，有序推进与渝遂城际铁路在铜梁并线共站，铜安高速全线贯通。川气东送二线工程、渝西水资源配置工程铜梁段建成投用。</w:t>
      </w:r>
      <w:r>
        <w:rPr>
          <w:rFonts w:hint="default" w:ascii="Times New Roman" w:hAnsi="Times New Roman" w:eastAsia="方正仿宋_GBK" w:cs="Times New Roman"/>
          <w:b/>
          <w:bCs/>
          <w:color w:val="auto"/>
          <w:spacing w:val="0"/>
          <w:sz w:val="32"/>
          <w:szCs w:val="32"/>
          <w:lang w:eastAsia="zh-CN"/>
        </w:rPr>
        <w:t>区域协作互利共赢</w:t>
      </w:r>
      <w:r>
        <w:rPr>
          <w:rFonts w:hint="default" w:ascii="Times New Roman" w:hAnsi="Times New Roman" w:eastAsia="方正仿宋_GBK" w:cs="Times New Roman"/>
          <w:color w:val="auto"/>
          <w:spacing w:val="0"/>
          <w:sz w:val="32"/>
          <w:szCs w:val="32"/>
          <w:lang w:val="en-US" w:eastAsia="zh-CN"/>
        </w:rPr>
        <w:t>。服务重庆对口支援昌都，</w:t>
      </w:r>
      <w:r>
        <w:rPr>
          <w:rFonts w:hint="default" w:ascii="Times New Roman" w:hAnsi="Times New Roman" w:eastAsia="方正仿宋_GBK" w:cs="Times New Roman"/>
          <w:color w:val="auto"/>
          <w:spacing w:val="0"/>
          <w:sz w:val="32"/>
          <w:szCs w:val="32"/>
          <w:lang w:eastAsia="zh-CN"/>
        </w:rPr>
        <w:t>重庆昌都完全中学</w:t>
      </w:r>
      <w:r>
        <w:rPr>
          <w:rFonts w:hint="default" w:ascii="Times New Roman" w:hAnsi="Times New Roman" w:eastAsia="方正仿宋_GBK" w:cs="Times New Roman"/>
          <w:color w:val="auto"/>
          <w:spacing w:val="0"/>
          <w:sz w:val="32"/>
          <w:szCs w:val="32"/>
          <w:lang w:val="en-US" w:eastAsia="zh-CN"/>
        </w:rPr>
        <w:t>落地铜梁</w:t>
      </w:r>
      <w:r>
        <w:rPr>
          <w:rFonts w:hint="default" w:ascii="Times New Roman" w:hAnsi="Times New Roman" w:eastAsia="方正仿宋_GBK" w:cs="Times New Roman"/>
          <w:color w:val="auto"/>
          <w:spacing w:val="0"/>
          <w:sz w:val="32"/>
          <w:szCs w:val="32"/>
          <w:lang w:eastAsia="zh-CN"/>
        </w:rPr>
        <w:t>。深化巫山对口协作，</w:t>
      </w:r>
      <w:r>
        <w:rPr>
          <w:rFonts w:hint="default" w:ascii="Times New Roman" w:hAnsi="Times New Roman" w:eastAsia="方正仿宋_GBK" w:cs="Times New Roman"/>
          <w:color w:val="auto"/>
          <w:spacing w:val="0"/>
          <w:sz w:val="32"/>
          <w:szCs w:val="32"/>
          <w:lang w:val="en-US" w:eastAsia="zh-CN"/>
        </w:rPr>
        <w:t>协同引进项目3个，</w:t>
      </w:r>
      <w:r>
        <w:rPr>
          <w:rFonts w:hint="default" w:ascii="Times New Roman" w:hAnsi="Times New Roman" w:eastAsia="方正仿宋_GBK" w:cs="Times New Roman"/>
          <w:color w:val="auto"/>
          <w:spacing w:val="0"/>
          <w:sz w:val="32"/>
          <w:szCs w:val="32"/>
          <w:lang w:eastAsia="zh-CN"/>
        </w:rPr>
        <w:t>消费帮扶1060万元。</w:t>
      </w:r>
      <w:r>
        <w:rPr>
          <w:rFonts w:hint="default" w:ascii="Times New Roman" w:hAnsi="Times New Roman" w:eastAsia="方正仿宋_GBK" w:cs="Times New Roman"/>
          <w:color w:val="auto"/>
          <w:spacing w:val="0"/>
          <w:sz w:val="32"/>
          <w:szCs w:val="32"/>
          <w:lang w:val="en-US" w:eastAsia="zh-CN"/>
        </w:rPr>
        <w:t>与</w:t>
      </w:r>
      <w:r>
        <w:rPr>
          <w:rFonts w:hint="default" w:ascii="Times New Roman" w:hAnsi="Times New Roman" w:eastAsia="方正仿宋_GBK" w:cs="Times New Roman"/>
          <w:color w:val="auto"/>
          <w:spacing w:val="0"/>
          <w:sz w:val="32"/>
          <w:szCs w:val="32"/>
          <w:lang w:eastAsia="zh-CN"/>
        </w:rPr>
        <w:t>两江新区开展战略合作</w:t>
      </w:r>
      <w:r>
        <w:rPr>
          <w:rFonts w:hint="default" w:ascii="Times New Roman" w:hAnsi="Times New Roman" w:eastAsia="方正仿宋_GBK" w:cs="Times New Roman"/>
          <w:color w:val="auto"/>
          <w:spacing w:val="0"/>
          <w:sz w:val="32"/>
          <w:szCs w:val="32"/>
          <w:lang w:val="en-US" w:eastAsia="zh-CN"/>
        </w:rPr>
        <w:t>，共享科创平台、产业培育、联合招商</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联合</w:t>
      </w:r>
      <w:r>
        <w:rPr>
          <w:rFonts w:hint="default" w:ascii="Times New Roman" w:hAnsi="Times New Roman" w:eastAsia="方正仿宋_GBK" w:cs="Times New Roman"/>
          <w:color w:val="auto"/>
          <w:spacing w:val="0"/>
          <w:sz w:val="32"/>
          <w:szCs w:val="32"/>
          <w:lang w:eastAsia="zh-CN"/>
        </w:rPr>
        <w:t>西大附中打造“巴川书院”</w:t>
      </w:r>
      <w:r>
        <w:rPr>
          <w:rFonts w:hint="default" w:ascii="Times New Roman" w:hAnsi="Times New Roman" w:eastAsia="方正仿宋_GBK" w:cs="Times New Roman"/>
          <w:color w:val="auto"/>
          <w:spacing w:val="0"/>
          <w:sz w:val="32"/>
          <w:szCs w:val="32"/>
          <w:lang w:val="en-US" w:eastAsia="zh-CN"/>
        </w:rPr>
        <w:t>，构建一体化创新拔尖人才培养体系</w:t>
      </w:r>
      <w:r>
        <w:rPr>
          <w:rFonts w:hint="default" w:ascii="Times New Roman" w:hAnsi="Times New Roman" w:eastAsia="方正仿宋_GBK" w:cs="Times New Roman"/>
          <w:color w:val="auto"/>
          <w:spacing w:val="0"/>
          <w:sz w:val="32"/>
          <w:szCs w:val="32"/>
          <w:lang w:eastAsia="zh-CN"/>
        </w:rPr>
        <w:t>。与希腊马拉松市、马来西亚马六甲州开展友好合作。</w:t>
      </w:r>
    </w:p>
    <w:p w14:paraId="1EA67FC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lang w:eastAsia="zh-CN"/>
        </w:rPr>
        <w:t>（七）全力以赴增人口强保障优供给，宜居宜业吸引力更加彰显</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市区两级重点民生实事全面兑现。</w:t>
      </w:r>
      <w:r>
        <w:rPr>
          <w:rFonts w:hint="default" w:ascii="Times New Roman" w:hAnsi="Times New Roman" w:eastAsia="方正仿宋_GBK" w:cs="Times New Roman"/>
          <w:b/>
          <w:bCs/>
          <w:color w:val="auto"/>
          <w:spacing w:val="0"/>
          <w:sz w:val="32"/>
          <w:szCs w:val="32"/>
          <w:lang w:eastAsia="zh-CN"/>
        </w:rPr>
        <w:t>来铜留铜人口持续增长</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深入实施促进人口来铜留铜行动计划，提供就业岗位7.</w:t>
      </w:r>
      <w:r>
        <w:rPr>
          <w:rFonts w:hint="default" w:ascii="Times New Roman" w:hAnsi="Times New Roman" w:eastAsia="方正仿宋_GBK" w:cs="Times New Roman"/>
          <w:color w:val="auto"/>
          <w:spacing w:val="0"/>
          <w:sz w:val="32"/>
          <w:szCs w:val="32"/>
          <w:lang w:val="en-US" w:eastAsia="zh-CN"/>
        </w:rPr>
        <w:t>5</w:t>
      </w:r>
      <w:r>
        <w:rPr>
          <w:rFonts w:hint="default" w:ascii="Times New Roman" w:hAnsi="Times New Roman" w:eastAsia="方正仿宋_GBK" w:cs="Times New Roman"/>
          <w:color w:val="auto"/>
          <w:spacing w:val="0"/>
          <w:sz w:val="32"/>
          <w:szCs w:val="32"/>
          <w:lang w:eastAsia="zh-CN"/>
        </w:rPr>
        <w:t>万个，城镇新增就业</w:t>
      </w:r>
      <w:r>
        <w:rPr>
          <w:rFonts w:hint="default" w:ascii="Times New Roman" w:hAnsi="Times New Roman" w:eastAsia="方正仿宋_GBK" w:cs="Times New Roman"/>
          <w:color w:val="auto"/>
          <w:spacing w:val="0"/>
          <w:sz w:val="32"/>
          <w:szCs w:val="32"/>
          <w:lang w:val="en-US" w:eastAsia="zh-CN"/>
        </w:rPr>
        <w:t>1.4</w:t>
      </w:r>
      <w:r>
        <w:rPr>
          <w:rFonts w:hint="default" w:ascii="Times New Roman" w:hAnsi="Times New Roman" w:eastAsia="方正仿宋_GBK" w:cs="Times New Roman"/>
          <w:color w:val="auto"/>
          <w:spacing w:val="0"/>
          <w:sz w:val="32"/>
          <w:szCs w:val="32"/>
          <w:lang w:eastAsia="zh-CN"/>
        </w:rPr>
        <w:t>万人，留铜</w:t>
      </w:r>
      <w:r>
        <w:rPr>
          <w:rFonts w:hint="default" w:ascii="Times New Roman" w:hAnsi="Times New Roman" w:eastAsia="方正仿宋_GBK" w:cs="Times New Roman"/>
          <w:color w:val="auto"/>
          <w:spacing w:val="0"/>
          <w:sz w:val="32"/>
          <w:szCs w:val="32"/>
          <w:lang w:val="en-US" w:eastAsia="zh-CN"/>
        </w:rPr>
        <w:t>人口</w:t>
      </w:r>
      <w:r>
        <w:rPr>
          <w:rFonts w:hint="default" w:ascii="Times New Roman" w:hAnsi="Times New Roman" w:eastAsia="方正仿宋_GBK" w:cs="Times New Roman"/>
          <w:color w:val="auto"/>
          <w:spacing w:val="0"/>
          <w:sz w:val="32"/>
          <w:szCs w:val="32"/>
          <w:lang w:eastAsia="zh-CN"/>
        </w:rPr>
        <w:t>达</w:t>
      </w:r>
      <w:r>
        <w:rPr>
          <w:rFonts w:hint="default" w:ascii="Times New Roman" w:hAnsi="Times New Roman" w:eastAsia="方正仿宋_GBK" w:cs="Times New Roman"/>
          <w:color w:val="auto"/>
          <w:spacing w:val="0"/>
          <w:sz w:val="32"/>
          <w:szCs w:val="32"/>
          <w:lang w:val="en-US" w:eastAsia="zh-CN"/>
        </w:rPr>
        <w:t>1.</w:t>
      </w:r>
      <w:r>
        <w:rPr>
          <w:rFonts w:hint="eastAsia" w:ascii="Times New Roman" w:hAnsi="Times New Roman" w:eastAsia="方正仿宋_GBK" w:cs="Times New Roman"/>
          <w:color w:val="auto"/>
          <w:spacing w:val="0"/>
          <w:sz w:val="32"/>
          <w:szCs w:val="32"/>
          <w:lang w:val="en-US" w:eastAsia="zh-CN"/>
        </w:rPr>
        <w:t>2</w:t>
      </w:r>
      <w:r>
        <w:rPr>
          <w:rFonts w:hint="default" w:ascii="Times New Roman" w:hAnsi="Times New Roman" w:eastAsia="方正仿宋_GBK" w:cs="Times New Roman"/>
          <w:color w:val="auto"/>
          <w:spacing w:val="0"/>
          <w:sz w:val="32"/>
          <w:szCs w:val="32"/>
          <w:lang w:val="en-US" w:eastAsia="zh-CN"/>
        </w:rPr>
        <w:t>万</w:t>
      </w:r>
      <w:r>
        <w:rPr>
          <w:rFonts w:hint="default" w:ascii="Times New Roman" w:hAnsi="Times New Roman" w:eastAsia="方正仿宋_GBK" w:cs="Times New Roman"/>
          <w:color w:val="auto"/>
          <w:spacing w:val="0"/>
          <w:sz w:val="32"/>
          <w:szCs w:val="32"/>
          <w:lang w:eastAsia="zh-CN"/>
        </w:rPr>
        <w:t>人，就业质量稳居全市第一方阵。</w:t>
      </w:r>
      <w:r>
        <w:rPr>
          <w:rFonts w:hint="default" w:ascii="Times New Roman" w:hAnsi="Times New Roman" w:eastAsia="方正仿宋_GBK" w:cs="Times New Roman"/>
          <w:b/>
          <w:bCs/>
          <w:color w:val="auto"/>
          <w:spacing w:val="0"/>
          <w:sz w:val="32"/>
          <w:szCs w:val="32"/>
          <w:lang w:eastAsia="zh-CN"/>
        </w:rPr>
        <w:t>社会保障更加坚实</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基本养老保险参保率稳定在97%以上，</w:t>
      </w:r>
      <w:r>
        <w:rPr>
          <w:rFonts w:hint="default" w:ascii="Times New Roman" w:hAnsi="Times New Roman" w:eastAsia="方正仿宋_GBK" w:cs="Times New Roman"/>
          <w:color w:val="auto"/>
          <w:spacing w:val="0"/>
          <w:sz w:val="32"/>
          <w:szCs w:val="32"/>
          <w:lang w:val="en-US" w:eastAsia="zh-CN"/>
        </w:rPr>
        <w:t>基本</w:t>
      </w:r>
      <w:r>
        <w:rPr>
          <w:rFonts w:hint="default" w:ascii="Times New Roman" w:hAnsi="Times New Roman" w:eastAsia="方正仿宋_GBK" w:cs="Times New Roman"/>
          <w:color w:val="auto"/>
          <w:spacing w:val="0"/>
          <w:sz w:val="32"/>
          <w:szCs w:val="32"/>
          <w:lang w:eastAsia="zh-CN"/>
        </w:rPr>
        <w:t>医保参保率达95%以上，</w:t>
      </w:r>
      <w:r>
        <w:rPr>
          <w:rFonts w:hint="default" w:ascii="Times New Roman" w:hAnsi="Times New Roman" w:eastAsia="方正仿宋_GBK" w:cs="Times New Roman"/>
          <w:color w:val="auto"/>
          <w:spacing w:val="0"/>
          <w:sz w:val="32"/>
          <w:szCs w:val="32"/>
          <w:lang w:val="en-US" w:eastAsia="zh-CN"/>
        </w:rPr>
        <w:t>DRG付费运行的住院医疗机构达38家，</w:t>
      </w:r>
      <w:r>
        <w:rPr>
          <w:rFonts w:hint="default" w:ascii="Times New Roman" w:hAnsi="Times New Roman" w:eastAsia="方正仿宋_GBK" w:cs="Times New Roman"/>
          <w:color w:val="auto"/>
          <w:spacing w:val="0"/>
          <w:sz w:val="32"/>
          <w:szCs w:val="32"/>
          <w:lang w:eastAsia="zh-CN"/>
        </w:rPr>
        <w:t>住院医疗费用下降1</w:t>
      </w:r>
      <w:r>
        <w:rPr>
          <w:rFonts w:hint="eastAsia" w:ascii="Times New Roman" w:hAnsi="Times New Roman" w:eastAsia="方正仿宋_GBK" w:cs="Times New Roman"/>
          <w:color w:val="auto"/>
          <w:spacing w:val="0"/>
          <w:sz w:val="32"/>
          <w:szCs w:val="32"/>
          <w:lang w:val="en-US" w:eastAsia="zh-CN"/>
        </w:rPr>
        <w:t>1</w:t>
      </w:r>
      <w:r>
        <w:rPr>
          <w:rFonts w:hint="default"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val="en-US" w:eastAsia="zh-CN"/>
        </w:rPr>
        <w:t>1</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建成投用敬老院4所，新增床位740张，南城敬老院获评“全国敬老文明号”，新增</w:t>
      </w:r>
      <w:r>
        <w:rPr>
          <w:rFonts w:hint="default" w:ascii="Times New Roman" w:hAnsi="Times New Roman" w:eastAsia="方正仿宋_GBK" w:cs="Times New Roman"/>
          <w:color w:val="auto"/>
          <w:spacing w:val="0"/>
          <w:sz w:val="32"/>
          <w:szCs w:val="32"/>
          <w:lang w:eastAsia="zh-CN"/>
        </w:rPr>
        <w:t>托位516个</w:t>
      </w:r>
      <w:r>
        <w:rPr>
          <w:rFonts w:hint="default" w:ascii="Times New Roman" w:hAnsi="Times New Roman" w:eastAsia="方正仿宋_GBK" w:cs="Times New Roman"/>
          <w:color w:val="auto"/>
          <w:spacing w:val="0"/>
          <w:sz w:val="32"/>
          <w:szCs w:val="32"/>
          <w:lang w:val="en-US" w:eastAsia="zh-CN"/>
        </w:rPr>
        <w:t>，每千人3岁以下婴幼儿托位达4.5个</w:t>
      </w:r>
      <w:r>
        <w:rPr>
          <w:rFonts w:hint="default" w:ascii="Times New Roman" w:hAnsi="Times New Roman" w:eastAsia="方正仿宋_GBK" w:cs="Times New Roman"/>
          <w:color w:val="auto"/>
          <w:spacing w:val="0"/>
          <w:sz w:val="32"/>
          <w:szCs w:val="32"/>
          <w:lang w:eastAsia="zh-CN"/>
        </w:rPr>
        <w:t>。推出保障性住房756套，配租廉租房4538套</w:t>
      </w:r>
      <w:r>
        <w:rPr>
          <w:rFonts w:hint="default" w:ascii="Times New Roman" w:hAnsi="Times New Roman" w:eastAsia="方正仿宋_GBK" w:cs="Times New Roman"/>
          <w:color w:val="auto"/>
          <w:spacing w:val="0"/>
          <w:sz w:val="32"/>
          <w:szCs w:val="32"/>
          <w:lang w:val="en-US" w:eastAsia="zh-CN"/>
        </w:rPr>
        <w:t>，配租率达96%</w:t>
      </w:r>
      <w:r>
        <w:rPr>
          <w:rFonts w:hint="default" w:ascii="Times New Roman" w:hAnsi="Times New Roman" w:eastAsia="方正仿宋_GBK" w:cs="Times New Roman"/>
          <w:color w:val="auto"/>
          <w:spacing w:val="0"/>
          <w:sz w:val="32"/>
          <w:szCs w:val="32"/>
          <w:lang w:eastAsia="zh-CN"/>
        </w:rPr>
        <w:t>。发放基本救助金</w:t>
      </w:r>
      <w:r>
        <w:rPr>
          <w:rFonts w:hint="default" w:ascii="Times New Roman" w:hAnsi="Times New Roman" w:eastAsia="方正仿宋_GBK" w:cs="Times New Roman"/>
          <w:color w:val="auto"/>
          <w:spacing w:val="0"/>
          <w:sz w:val="32"/>
          <w:szCs w:val="32"/>
          <w:lang w:val="en-US" w:eastAsia="zh-CN"/>
        </w:rPr>
        <w:t>2.35</w:t>
      </w:r>
      <w:r>
        <w:rPr>
          <w:rFonts w:hint="default" w:ascii="Times New Roman" w:hAnsi="Times New Roman" w:eastAsia="方正仿宋_GBK" w:cs="Times New Roman"/>
          <w:color w:val="auto"/>
          <w:spacing w:val="0"/>
          <w:sz w:val="32"/>
          <w:szCs w:val="32"/>
          <w:lang w:eastAsia="zh-CN"/>
        </w:rPr>
        <w:t>亿元，救助困难群体7.9万人。</w:t>
      </w:r>
      <w:r>
        <w:rPr>
          <w:rFonts w:hint="default" w:ascii="Times New Roman" w:hAnsi="Times New Roman" w:eastAsia="方正仿宋_GBK" w:cs="Times New Roman"/>
          <w:color w:val="auto"/>
          <w:spacing w:val="0"/>
          <w:sz w:val="32"/>
          <w:szCs w:val="32"/>
          <w:lang w:val="en-US" w:eastAsia="zh-CN"/>
        </w:rPr>
        <w:t>在全市率先实施农村公益性公墓“统一规划、分散布局”改革试点。</w:t>
      </w:r>
      <w:r>
        <w:rPr>
          <w:rFonts w:hint="default" w:ascii="Times New Roman" w:hAnsi="Times New Roman" w:eastAsia="方正仿宋_GBK" w:cs="Times New Roman"/>
          <w:b/>
          <w:bCs/>
          <w:color w:val="auto"/>
          <w:spacing w:val="0"/>
          <w:sz w:val="32"/>
          <w:szCs w:val="32"/>
          <w:lang w:eastAsia="zh-CN"/>
        </w:rPr>
        <w:t>公共服务稳步发展</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新增普惠幼儿、义务教育学位2</w:t>
      </w:r>
      <w:r>
        <w:rPr>
          <w:rFonts w:hint="default" w:ascii="Times New Roman" w:hAnsi="Times New Roman" w:eastAsia="方正仿宋_GBK" w:cs="Times New Roman"/>
          <w:color w:val="auto"/>
          <w:spacing w:val="0"/>
          <w:sz w:val="32"/>
          <w:szCs w:val="32"/>
          <w:lang w:val="en-US" w:eastAsia="zh-CN"/>
        </w:rPr>
        <w:t>52</w:t>
      </w:r>
      <w:r>
        <w:rPr>
          <w:rFonts w:hint="default" w:ascii="Times New Roman" w:hAnsi="Times New Roman" w:eastAsia="方正仿宋_GBK" w:cs="Times New Roman"/>
          <w:color w:val="auto"/>
          <w:spacing w:val="0"/>
          <w:sz w:val="32"/>
          <w:szCs w:val="32"/>
          <w:lang w:eastAsia="zh-CN"/>
        </w:rPr>
        <w:t>0个，新安装空调2156台，整合农村小规模学校15所，组建教共体14个。创建全国科学教育实验校</w:t>
      </w:r>
      <w:r>
        <w:rPr>
          <w:rFonts w:hint="default" w:ascii="Times New Roman" w:hAnsi="Times New Roman" w:eastAsia="方正仿宋_GBK" w:cs="Times New Roman"/>
          <w:color w:val="auto"/>
          <w:spacing w:val="0"/>
          <w:sz w:val="32"/>
          <w:szCs w:val="32"/>
          <w:lang w:val="en-US" w:eastAsia="zh-CN"/>
        </w:rPr>
        <w:t>1所</w:t>
      </w:r>
      <w:r>
        <w:rPr>
          <w:rFonts w:hint="default" w:ascii="Times New Roman" w:hAnsi="Times New Roman" w:eastAsia="方正仿宋_GBK" w:cs="Times New Roman"/>
          <w:color w:val="auto"/>
          <w:spacing w:val="0"/>
          <w:sz w:val="32"/>
          <w:szCs w:val="32"/>
          <w:lang w:eastAsia="zh-CN"/>
        </w:rPr>
        <w:t>、青少年校园足球特色学校2所。</w:t>
      </w:r>
      <w:r>
        <w:rPr>
          <w:rFonts w:hint="default" w:ascii="Times New Roman" w:hAnsi="Times New Roman" w:eastAsia="方正仿宋_GBK" w:cs="Times New Roman"/>
          <w:color w:val="auto"/>
          <w:spacing w:val="0"/>
          <w:sz w:val="32"/>
          <w:szCs w:val="32"/>
          <w:lang w:val="en-US" w:eastAsia="zh-CN"/>
        </w:rPr>
        <w:t>创建甲级基层医疗卫生机构2家，</w:t>
      </w:r>
      <w:r>
        <w:rPr>
          <w:rFonts w:hint="default" w:ascii="Times New Roman" w:hAnsi="Times New Roman" w:eastAsia="方正仿宋_GBK" w:cs="Times New Roman"/>
          <w:color w:val="auto"/>
          <w:spacing w:val="0"/>
          <w:sz w:val="32"/>
          <w:szCs w:val="32"/>
          <w:lang w:eastAsia="zh-CN"/>
        </w:rPr>
        <w:t>新增美丽医院17家。</w:t>
      </w:r>
      <w:r>
        <w:rPr>
          <w:rFonts w:hint="default" w:ascii="Times New Roman" w:hAnsi="Times New Roman" w:eastAsia="方正仿宋_GBK" w:cs="Times New Roman"/>
          <w:color w:val="auto"/>
          <w:spacing w:val="0"/>
          <w:sz w:val="32"/>
          <w:szCs w:val="32"/>
          <w:lang w:val="en-US" w:eastAsia="zh-CN"/>
        </w:rPr>
        <w:t>深化体教融合，培养优秀体育后备人才197人，</w:t>
      </w:r>
      <w:r>
        <w:rPr>
          <w:rFonts w:hint="default" w:ascii="Times New Roman" w:hAnsi="Times New Roman" w:eastAsia="方正仿宋_GBK" w:cs="Times New Roman"/>
          <w:color w:val="auto"/>
          <w:spacing w:val="0"/>
          <w:sz w:val="32"/>
          <w:szCs w:val="32"/>
          <w:lang w:eastAsia="zh-CN"/>
        </w:rPr>
        <w:t>持续打造“铜梁龙”足球青训品牌，获市级以上青少年足球赛冠亚军4个。</w:t>
      </w:r>
    </w:p>
    <w:p w14:paraId="78D2C8D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lang w:eastAsia="zh-CN"/>
        </w:rPr>
        <w:t>（八）全力以赴治生态防风险保平安，保障发展基石愈发牢固</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lang w:val="en-US" w:eastAsia="zh-CN"/>
        </w:rPr>
        <w:t>生态保护稳步推进</w:t>
      </w:r>
      <w:r>
        <w:rPr>
          <w:rFonts w:hint="default" w:ascii="Times New Roman" w:hAnsi="Times New Roman" w:eastAsia="方正仿宋_GBK" w:cs="Times New Roman"/>
          <w:color w:val="auto"/>
          <w:spacing w:val="0"/>
          <w:sz w:val="32"/>
          <w:szCs w:val="32"/>
          <w:lang w:val="en-US" w:eastAsia="zh-CN"/>
        </w:rPr>
        <w:t>。建成污水处理厂尾水治理项目12个，农村黑臭水体动态清零，主要河流水质稳定达标，淮远河获评全国幸福河湖优秀案例，小安溪获评全市美丽河湖优秀案例。全年空气质量优良天数达</w:t>
      </w:r>
      <w:r>
        <w:rPr>
          <w:rFonts w:hint="eastAsia" w:ascii="Times New Roman" w:hAnsi="Times New Roman" w:eastAsia="方正仿宋_GBK" w:cs="Times New Roman"/>
          <w:color w:val="auto"/>
          <w:spacing w:val="0"/>
          <w:sz w:val="32"/>
          <w:szCs w:val="32"/>
          <w:lang w:val="en-US" w:eastAsia="zh-CN"/>
        </w:rPr>
        <w:t>301</w:t>
      </w:r>
      <w:r>
        <w:rPr>
          <w:rFonts w:hint="default" w:ascii="Times New Roman" w:hAnsi="Times New Roman" w:eastAsia="方正仿宋_GBK" w:cs="Times New Roman"/>
          <w:color w:val="auto"/>
          <w:spacing w:val="0"/>
          <w:sz w:val="32"/>
          <w:szCs w:val="32"/>
          <w:lang w:val="en-US" w:eastAsia="zh-CN"/>
        </w:rPr>
        <w:t>天。重点建设用地安全利用率、优先监管地块土壤污染管控率均达到100%。完成矿山修复942亩，营造林1.05万亩。</w:t>
      </w:r>
      <w:r>
        <w:rPr>
          <w:rFonts w:hint="default" w:ascii="Times New Roman" w:hAnsi="Times New Roman" w:eastAsia="方正仿宋_GBK" w:cs="Times New Roman"/>
          <w:b/>
          <w:bCs/>
          <w:color w:val="auto"/>
          <w:spacing w:val="0"/>
          <w:sz w:val="32"/>
          <w:szCs w:val="32"/>
          <w:lang w:val="en-US" w:eastAsia="zh-CN"/>
        </w:rPr>
        <w:t>系统性风险平稳可控</w:t>
      </w:r>
      <w:r>
        <w:rPr>
          <w:rFonts w:hint="default" w:ascii="Times New Roman" w:hAnsi="Times New Roman" w:eastAsia="方正仿宋_GBK" w:cs="Times New Roman"/>
          <w:color w:val="auto"/>
          <w:spacing w:val="0"/>
          <w:sz w:val="32"/>
          <w:szCs w:val="32"/>
          <w:lang w:val="en-US" w:eastAsia="zh-CN"/>
        </w:rPr>
        <w:t>。政府债务风险总体可控。非法集资连续7年零发生，“打非”工作获全国先进。1163套“保交房”全面完成。</w:t>
      </w:r>
      <w:r>
        <w:rPr>
          <w:rFonts w:hint="default" w:ascii="Times New Roman" w:hAnsi="Times New Roman" w:eastAsia="方正仿宋_GBK" w:cs="Times New Roman"/>
          <w:b/>
          <w:bCs/>
          <w:color w:val="auto"/>
          <w:spacing w:val="0"/>
          <w:sz w:val="32"/>
          <w:szCs w:val="32"/>
          <w:lang w:val="en-US" w:eastAsia="zh-CN"/>
        </w:rPr>
        <w:t>安全稳定持续巩固</w:t>
      </w:r>
      <w:r>
        <w:rPr>
          <w:rFonts w:hint="default" w:ascii="Times New Roman" w:hAnsi="Times New Roman" w:eastAsia="方正仿宋_GBK" w:cs="Times New Roman"/>
          <w:color w:val="auto"/>
          <w:spacing w:val="0"/>
          <w:sz w:val="32"/>
          <w:szCs w:val="32"/>
          <w:lang w:val="en-US" w:eastAsia="zh-CN"/>
        </w:rPr>
        <w:t>。开展燃气、消防等领域专项整治，生产安全事故起数、亡人数控制在个位数，连续66个月未发生较大及以上生产安全事故。刑事案件发案数、治安案件受理数分别下降</w:t>
      </w:r>
      <w:r>
        <w:rPr>
          <w:rFonts w:hint="eastAsia" w:ascii="Times New Roman" w:hAnsi="Times New Roman" w:eastAsia="方正仿宋_GBK" w:cs="Times New Roman"/>
          <w:color w:val="auto"/>
          <w:spacing w:val="0"/>
          <w:sz w:val="32"/>
          <w:szCs w:val="32"/>
          <w:lang w:val="en-US" w:eastAsia="zh-CN"/>
        </w:rPr>
        <w:t>12.4</w:t>
      </w:r>
      <w:r>
        <w:rPr>
          <w:rFonts w:hint="default" w:ascii="Times New Roman" w:hAnsi="Times New Roman" w:eastAsia="方正仿宋_GBK"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12.6</w:t>
      </w:r>
      <w:r>
        <w:rPr>
          <w:rFonts w:hint="default" w:ascii="Times New Roman" w:hAnsi="Times New Roman" w:eastAsia="方正仿宋_GBK" w:cs="Times New Roman"/>
          <w:color w:val="auto"/>
          <w:spacing w:val="0"/>
          <w:sz w:val="32"/>
          <w:szCs w:val="32"/>
          <w:lang w:val="en-US" w:eastAsia="zh-CN"/>
        </w:rPr>
        <w:t>%，社会化禁毒工作治理效能突出</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电信诈骗发案连续4年下降，群众安全感指数位居全市前五。</w:t>
      </w:r>
    </w:p>
    <w:p w14:paraId="2652738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一年来，我们始终把政治建设摆在首位，坚定拥护“两个确立”、坚决做到“两个维护”，增强“四个意识”、坚定“四个自信”，全面开展深入贯彻中央八项规定精神学习教育，举一反三抓好中央、市委巡视反馈意见问题整改。加强廉政风险防控，强化公共资金、公共项目、公共投资审计监管。认真贯彻落实过“紧日子”要求，严控“三公”经费支出。健全为基层减负工作制度，全区性文件、会议数量持续下降。严格落实向区委请示报告制度，认真执行人大及其常委会决议决定，主动接受人大和政协监督，办理人大代表建议299件、政协提案229件，满意和基本满意率分别达99.7%、100%。深入推进法治政府建设，深化镇街综合行政执法改革，提升依法行政水平。强化政务督查督办，政府效能进一步提升。国防动员、人民防空、双拥共建、退役军人事务工作迈出新步伐，民族、宗教、外事、侨务和港澳台工作不断加强，统计、档案、保密、史志、文艺、气象、地震等工作取得新成效，工会、妇女、儿童、青年、老龄、慈善、残疾人、红十字、老年体育和关心下一代事业实现新发展。</w:t>
      </w:r>
    </w:p>
    <w:p w14:paraId="076B63C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各位代表！</w:t>
      </w:r>
      <w:r>
        <w:rPr>
          <w:rFonts w:hint="default" w:ascii="Times New Roman" w:hAnsi="Times New Roman" w:eastAsia="方正黑体_GBK" w:cs="Times New Roman"/>
          <w:color w:val="auto"/>
          <w:spacing w:val="0"/>
          <w:sz w:val="32"/>
          <w:szCs w:val="32"/>
          <w:lang w:val="en-US" w:eastAsia="zh-CN"/>
        </w:rPr>
        <w:t>过去的一年，我们正视困难，全员抓经济、全域抓招商、全力防风险，企业服务贯穿全年、运行保障贯穿全年、风险防范贯穿全年；我们一个一个抓项目、一家一家跑企业、一天一天盯指标，用实干促进度、用苦干争进位；我们不躺平、不懈怠、不畏惧，顶压前行、逆势而上，拼出了一份扎扎实实的成绩单</w:t>
      </w:r>
      <w:r>
        <w:rPr>
          <w:rFonts w:hint="default" w:ascii="Times New Roman" w:hAnsi="Times New Roman" w:eastAsia="方正仿宋_GBK" w:cs="Times New Roman"/>
          <w:color w:val="auto"/>
          <w:spacing w:val="0"/>
          <w:sz w:val="32"/>
          <w:szCs w:val="32"/>
          <w:lang w:val="en-US" w:eastAsia="zh-CN"/>
        </w:rPr>
        <w:t>。这根本在于以习近平同志为核心的党中央坚强领导，根本在于习近平新时代中国特色社会主义思想的科学指引，是市委、市政府和区委正确领导的结果，是区人大、区政协监督支持的结果，是全区广大干部群众团结拼搏、共同奋斗的结果。在此，我代表区政府，向付出辛勤努力的全区干部群众，向人大代表、政协委员，向各民主党派、工商联、无党派人士、各人民团体和社会各界人士，向驻铜部队、武警官兵和消防救援队伍指战员，向所有关心支持铜梁发展的区内外、海内外朋友，表示崇高的敬意和衷心的感谢！</w:t>
      </w:r>
    </w:p>
    <w:p w14:paraId="1271878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我们也清醒地认识到，对照2025年政府工作报告确定的目标，有的指标和工作完成情况未达预期，全区发展仍面临一些短板和不足。科技创新体系还不健全，产业能级还不够高，开放发展还没有成势，人才吸引力还不够强，环境承载容量趋紧，民生领域存在差距，个别干部思维理念与高质量发展还不相适应。对此，我们一定高度重视，绝不回避，坚决扛起责任，认真加以解决，不负人民的信任和重托！</w:t>
      </w:r>
    </w:p>
    <w:p w14:paraId="21A49FD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pacing w:val="0"/>
          <w:sz w:val="32"/>
          <w:szCs w:val="32"/>
          <w:lang w:eastAsia="zh-CN"/>
        </w:rPr>
      </w:pPr>
      <w:r>
        <w:rPr>
          <w:rFonts w:hint="default" w:ascii="Times New Roman" w:hAnsi="Times New Roman" w:eastAsia="方正黑体_GBK" w:cs="Times New Roman"/>
          <w:color w:val="auto"/>
          <w:spacing w:val="0"/>
          <w:sz w:val="32"/>
          <w:szCs w:val="32"/>
          <w:lang w:eastAsia="zh-CN"/>
        </w:rPr>
        <w:t>二、“十五五”时期主要目标任务</w:t>
      </w:r>
    </w:p>
    <w:p w14:paraId="4876292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对标对表党的二十届四中全会精神和习近平总书记视察重庆重要讲话重要指示精神，按照市委六届八次全会精神和区委十六届十次全会部署，我们编制了《重庆市铜梁区国民经济和社会发展第十五个五年规划纲要（草案）》，提请大会审查。</w:t>
      </w:r>
    </w:p>
    <w:p w14:paraId="57F5C9D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十五五”时期是铜梁现代化建设全面发力、创新提升的关键阶段，在基本实现社会主义现代化进程中具有承前启后的重要地位。我们将紧扣“三高五新”发展定位，加快建设成渝中部地区高质量发展、高品质生活、高效能治理现代化人民城市，着力打造产业发展新阵地、创新开放新窗口、巴蜀文旅新名片、城乡融合新模式、高效治理新实践。</w:t>
      </w:r>
      <w:r>
        <w:rPr>
          <w:rFonts w:hint="default" w:ascii="Times New Roman" w:hAnsi="Times New Roman" w:eastAsia="方正黑体_GBK" w:cs="Times New Roman"/>
          <w:color w:val="auto"/>
          <w:spacing w:val="0"/>
          <w:sz w:val="32"/>
          <w:szCs w:val="32"/>
          <w:lang w:val="en-US" w:eastAsia="zh-CN"/>
        </w:rPr>
        <w:t>经济社会发展的主要目标是：</w:t>
      </w:r>
      <w:r>
        <w:rPr>
          <w:rFonts w:hint="default" w:ascii="Times New Roman" w:hAnsi="Times New Roman" w:eastAsia="方正仿宋_GBK" w:cs="Times New Roman"/>
          <w:color w:val="auto"/>
          <w:spacing w:val="0"/>
          <w:sz w:val="32"/>
          <w:szCs w:val="32"/>
          <w:lang w:val="en-US" w:eastAsia="zh-CN"/>
        </w:rPr>
        <w:t>高质量发展迈上更高台阶，现代化产业体系实现新的跃升，科技创新综合能级显著提高，对外开放水平大幅提升，进一步全面深化改革取得显著成效，数智赋能城市现代化治理实战能力基本成熟定型，新时代文化体育旅游强区建设实现重要突破，城乡融合乡村全面振兴取得新成效，人民群众生活品质成色更足，美丽重庆建设取得重大进展。到2030年，力争全区地区生产总值、规上工业总产值突破1000亿元大关，人均地区生产总值迈上14万元新台阶，在成渝中部地区基本实现社会主义现代化进程中走在前列。</w:t>
      </w:r>
    </w:p>
    <w:p w14:paraId="7AF233B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lang w:val="en-US" w:eastAsia="zh-CN"/>
        </w:rPr>
        <w:t>（一）全面发力打造产业发展新阵地</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lang w:val="en-US" w:eastAsia="zh-CN"/>
        </w:rPr>
        <w:t>巩固提升先进制造业集群</w:t>
      </w:r>
      <w:r>
        <w:rPr>
          <w:rFonts w:hint="default" w:ascii="Times New Roman" w:hAnsi="Times New Roman" w:eastAsia="方正仿宋_GBK" w:cs="Times New Roman"/>
          <w:color w:val="auto"/>
          <w:spacing w:val="0"/>
          <w:sz w:val="32"/>
          <w:szCs w:val="32"/>
          <w:lang w:val="en-US" w:eastAsia="zh-CN"/>
        </w:rPr>
        <w:t>。紧扣全市“33618”现代制造业集群体系建设，培育壮大“2+3+N”现代制造业集群，新型储能、智能网联新能源汽车配套及智联电动车产业能级明显提高，智能装备及智能制造、先进材料、食品及农产品加工等优势产业规模持续壮大，新兴产业和未来产业占比大幅提升，具有区域竞争力的先进制造业中心基本建成。</w:t>
      </w:r>
      <w:r>
        <w:rPr>
          <w:rFonts w:hint="default" w:ascii="Times New Roman" w:hAnsi="Times New Roman" w:eastAsia="方正仿宋_GBK" w:cs="Times New Roman"/>
          <w:b/>
          <w:bCs/>
          <w:color w:val="auto"/>
          <w:spacing w:val="0"/>
          <w:sz w:val="32"/>
          <w:szCs w:val="32"/>
          <w:lang w:val="en-US" w:eastAsia="zh-CN"/>
        </w:rPr>
        <w:t>大力发展现代服务业</w:t>
      </w:r>
      <w:r>
        <w:rPr>
          <w:rFonts w:hint="default" w:ascii="Times New Roman" w:hAnsi="Times New Roman" w:eastAsia="方正仿宋_GBK" w:cs="Times New Roman"/>
          <w:color w:val="auto"/>
          <w:spacing w:val="0"/>
          <w:sz w:val="32"/>
          <w:szCs w:val="32"/>
          <w:lang w:val="en-US" w:eastAsia="zh-CN"/>
        </w:rPr>
        <w:t>。加快打造现代生产性服务业集聚区，培育壮大金融服务、软件信息、科技服务、现代物流等生产性服务业，推动居民服务、商贸零售等生活性服务业向高品质多样化便利化发展，优质高效的服务业新体系全面构建。</w:t>
      </w:r>
      <w:r>
        <w:rPr>
          <w:rFonts w:hint="default" w:ascii="Times New Roman" w:hAnsi="Times New Roman" w:eastAsia="方正仿宋_GBK" w:cs="Times New Roman"/>
          <w:b/>
          <w:bCs/>
          <w:color w:val="auto"/>
          <w:spacing w:val="0"/>
          <w:sz w:val="32"/>
          <w:szCs w:val="32"/>
          <w:lang w:val="en-US" w:eastAsia="zh-CN"/>
        </w:rPr>
        <w:t>发展特色优势农业</w:t>
      </w:r>
      <w:r>
        <w:rPr>
          <w:rFonts w:hint="default" w:ascii="Times New Roman" w:hAnsi="Times New Roman" w:eastAsia="方正仿宋_GBK" w:cs="Times New Roman"/>
          <w:color w:val="auto"/>
          <w:spacing w:val="0"/>
          <w:sz w:val="32"/>
          <w:szCs w:val="32"/>
          <w:lang w:val="en-US" w:eastAsia="zh-CN"/>
        </w:rPr>
        <w:t>。坚持产量产能、生产生态、增产增收一起抓，统筹发展科技农业、绿色农业、质量农业、品牌农业，农业综合生产能力和质量效益全面提升。加大招商引资力度，加强项目谋划储备，加速重大项目落地放量，全力扩大有效投资。</w:t>
      </w:r>
    </w:p>
    <w:p w14:paraId="737EABB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lang w:val="en-US" w:eastAsia="zh-CN"/>
        </w:rPr>
        <w:t>（二）全面发力建设创新开放新窗口</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lang w:val="en-US" w:eastAsia="zh-CN"/>
        </w:rPr>
        <w:t>实施科技创新和人才强区首位战略</w:t>
      </w:r>
      <w:r>
        <w:rPr>
          <w:rFonts w:hint="default" w:ascii="Times New Roman" w:hAnsi="Times New Roman" w:eastAsia="方正仿宋_GBK" w:cs="Times New Roman"/>
          <w:color w:val="auto"/>
          <w:spacing w:val="0"/>
          <w:sz w:val="32"/>
          <w:szCs w:val="32"/>
          <w:lang w:val="en-US" w:eastAsia="zh-CN"/>
        </w:rPr>
        <w:t>。推动科技创新和产业创新深度融合，以铜梁高新区为核心引擎的创新驱动发展格局基本形成，创新主体和平台量质齐升，教育科技人才一体发展机制基本建立，新质生产力蓬勃发展。</w:t>
      </w:r>
      <w:r>
        <w:rPr>
          <w:rFonts w:hint="default" w:ascii="Times New Roman" w:hAnsi="Times New Roman" w:eastAsia="方正仿宋_GBK" w:cs="Times New Roman"/>
          <w:b/>
          <w:bCs/>
          <w:color w:val="auto"/>
          <w:spacing w:val="0"/>
          <w:sz w:val="32"/>
          <w:szCs w:val="32"/>
          <w:lang w:val="en-US" w:eastAsia="zh-CN"/>
        </w:rPr>
        <w:t>进一步全面深化改革</w:t>
      </w:r>
      <w:r>
        <w:rPr>
          <w:rFonts w:hint="default" w:ascii="Times New Roman" w:hAnsi="Times New Roman" w:eastAsia="方正仿宋_GBK" w:cs="Times New Roman"/>
          <w:color w:val="auto"/>
          <w:spacing w:val="0"/>
          <w:sz w:val="32"/>
          <w:szCs w:val="32"/>
          <w:lang w:val="en-US" w:eastAsia="zh-CN"/>
        </w:rPr>
        <w:t>。推动国资国企改革纵深发展，国企创新力竞争力全面提升。持续打造“有求必应、无事不扰”营商环境，统筹推进要素市场化改革试点和财税、投融资体制改革，打造一批集成式改革创新典型案例。</w:t>
      </w:r>
      <w:r>
        <w:rPr>
          <w:rFonts w:hint="default" w:ascii="Times New Roman" w:hAnsi="Times New Roman" w:eastAsia="方正仿宋_GBK" w:cs="Times New Roman"/>
          <w:b/>
          <w:bCs/>
          <w:color w:val="auto"/>
          <w:spacing w:val="0"/>
          <w:sz w:val="32"/>
          <w:szCs w:val="32"/>
          <w:lang w:val="en-US" w:eastAsia="zh-CN"/>
        </w:rPr>
        <w:t>扩大高水平对外开放</w:t>
      </w:r>
      <w:r>
        <w:rPr>
          <w:rFonts w:hint="default" w:ascii="Times New Roman" w:hAnsi="Times New Roman" w:eastAsia="方正仿宋_GBK" w:cs="Times New Roman"/>
          <w:color w:val="auto"/>
          <w:spacing w:val="0"/>
          <w:sz w:val="32"/>
          <w:szCs w:val="32"/>
          <w:lang w:val="en-US" w:eastAsia="zh-CN"/>
        </w:rPr>
        <w:t>。积极融入全国统一大市场建设，深化融入成渝地区双城经济圈建设，高质量开放型经济体系加快构建，开放通道全面拓展，开放平台能级整体跃升，渝西地区对外开放枢纽新城基本建成。</w:t>
      </w:r>
    </w:p>
    <w:p w14:paraId="7F00A10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lang w:val="en-US" w:eastAsia="zh-CN"/>
        </w:rPr>
        <w:t>（三）全面发力塑造巴蜀文旅新名片</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lang w:val="en-US" w:eastAsia="zh-CN"/>
        </w:rPr>
        <w:t>全面提升城市软实力</w:t>
      </w:r>
      <w:r>
        <w:rPr>
          <w:rFonts w:hint="default" w:ascii="Times New Roman" w:hAnsi="Times New Roman" w:eastAsia="方正仿宋_GBK" w:cs="Times New Roman"/>
          <w:color w:val="auto"/>
          <w:spacing w:val="0"/>
          <w:sz w:val="32"/>
          <w:szCs w:val="32"/>
          <w:lang w:val="en-US" w:eastAsia="zh-CN"/>
        </w:rPr>
        <w:t>。社会主义核心价值观广泛践行，主流思想舆论巩固壮大，高品质现代文化供给更加丰富，社会文明程度显著提升。</w:t>
      </w:r>
      <w:r>
        <w:rPr>
          <w:rFonts w:hint="default" w:ascii="Times New Roman" w:hAnsi="Times New Roman" w:eastAsia="方正仿宋_GBK" w:cs="Times New Roman"/>
          <w:b/>
          <w:bCs/>
          <w:color w:val="auto"/>
          <w:spacing w:val="0"/>
          <w:sz w:val="32"/>
          <w:szCs w:val="32"/>
          <w:lang w:val="en-US" w:eastAsia="zh-CN"/>
        </w:rPr>
        <w:t>建设龙文化旅游名城</w:t>
      </w:r>
      <w:r>
        <w:rPr>
          <w:rFonts w:hint="default" w:ascii="Times New Roman" w:hAnsi="Times New Roman" w:eastAsia="方正仿宋_GBK" w:cs="Times New Roman"/>
          <w:color w:val="auto"/>
          <w:spacing w:val="0"/>
          <w:sz w:val="32"/>
          <w:szCs w:val="32"/>
          <w:lang w:val="en-US" w:eastAsia="zh-CN"/>
        </w:rPr>
        <w:t>。擦亮龙舞、龙灯、龙狮、龙马、龙足球靓丽名片，统筹发展乡村游、古城游、红色游，以铜梁龙IP为引领的文体旅多元融合业态加速培育，文化旅游成为支柱产业，“中华龙乡</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重庆铜梁”全面唱响。</w:t>
      </w:r>
      <w:r>
        <w:rPr>
          <w:rFonts w:hint="default" w:ascii="Times New Roman" w:hAnsi="Times New Roman" w:eastAsia="方正仿宋_GBK" w:cs="Times New Roman"/>
          <w:b/>
          <w:bCs/>
          <w:color w:val="auto"/>
          <w:spacing w:val="0"/>
          <w:sz w:val="32"/>
          <w:szCs w:val="32"/>
          <w:lang w:val="en-US" w:eastAsia="zh-CN"/>
        </w:rPr>
        <w:t>打造西部足球城</w:t>
      </w:r>
      <w:r>
        <w:rPr>
          <w:rFonts w:hint="default" w:ascii="Times New Roman" w:hAnsi="Times New Roman" w:eastAsia="方正仿宋_GBK" w:cs="Times New Roman"/>
          <w:color w:val="auto"/>
          <w:spacing w:val="0"/>
          <w:sz w:val="32"/>
          <w:szCs w:val="32"/>
          <w:lang w:val="en-US" w:eastAsia="zh-CN"/>
        </w:rPr>
        <w:t>。培育“赛事引领、青训筑基、产业配套、群众参与”足球生态，构建“一核多点、全域联动”足球发展格局，西部足球城影响力和传播力显著增强，争创国家级户外运动目的地。</w:t>
      </w:r>
      <w:r>
        <w:rPr>
          <w:rFonts w:hint="default" w:ascii="Times New Roman" w:hAnsi="Times New Roman" w:eastAsia="方正仿宋_GBK" w:cs="Times New Roman"/>
          <w:b/>
          <w:bCs/>
          <w:color w:val="auto"/>
          <w:spacing w:val="0"/>
          <w:sz w:val="32"/>
          <w:szCs w:val="32"/>
          <w:lang w:val="en-US" w:eastAsia="zh-CN"/>
        </w:rPr>
        <w:t>加快建设特色消费集聚区</w:t>
      </w:r>
      <w:r>
        <w:rPr>
          <w:rFonts w:hint="default" w:ascii="Times New Roman" w:hAnsi="Times New Roman" w:eastAsia="方正仿宋_GBK" w:cs="Times New Roman"/>
          <w:color w:val="auto"/>
          <w:spacing w:val="0"/>
          <w:sz w:val="32"/>
          <w:szCs w:val="32"/>
          <w:lang w:val="en-US" w:eastAsia="zh-CN"/>
        </w:rPr>
        <w:t>。深化商文旅体融合发展，消费新业态、新模式、新场景蓬勃发展，龙城天街百亿级商圈成为城市地标。</w:t>
      </w:r>
    </w:p>
    <w:p w14:paraId="1D57028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lang w:val="en-US" w:eastAsia="zh-CN"/>
        </w:rPr>
        <w:t>（四）全面发力探索城乡融合新模式</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lang w:val="en-US" w:eastAsia="zh-CN"/>
        </w:rPr>
        <w:t>完善城镇功能布局</w:t>
      </w:r>
      <w:r>
        <w:rPr>
          <w:rFonts w:hint="default" w:ascii="Times New Roman" w:hAnsi="Times New Roman" w:eastAsia="方正仿宋_GBK" w:cs="Times New Roman"/>
          <w:color w:val="auto"/>
          <w:spacing w:val="0"/>
          <w:sz w:val="32"/>
          <w:szCs w:val="32"/>
          <w:lang w:val="en-US" w:eastAsia="zh-CN"/>
        </w:rPr>
        <w:t>。全域构建“一轴两翼、一主两副”城镇格局，强化城区“一心两城三区”核心功能，全面提升小城镇承载力辐射力，产城融合、职住平衡、生态宜居、交通便利的现代化新城空间基本完善，“双五十”中等城市基本建成。</w:t>
      </w:r>
      <w:r>
        <w:rPr>
          <w:rFonts w:hint="default" w:ascii="Times New Roman" w:hAnsi="Times New Roman" w:eastAsia="方正仿宋_GBK" w:cs="Times New Roman"/>
          <w:b/>
          <w:bCs/>
          <w:color w:val="auto"/>
          <w:spacing w:val="0"/>
          <w:sz w:val="32"/>
          <w:szCs w:val="32"/>
          <w:lang w:val="en-US" w:eastAsia="zh-CN"/>
        </w:rPr>
        <w:t>加快提升城乡品质</w:t>
      </w:r>
      <w:r>
        <w:rPr>
          <w:rFonts w:hint="default" w:ascii="Times New Roman" w:hAnsi="Times New Roman" w:eastAsia="方正仿宋_GBK" w:cs="Times New Roman"/>
          <w:color w:val="auto"/>
          <w:spacing w:val="0"/>
          <w:sz w:val="32"/>
          <w:szCs w:val="32"/>
          <w:lang w:val="en-US" w:eastAsia="zh-CN"/>
        </w:rPr>
        <w:t>。高质量推进新型城镇化建设，城乡基础设施提质、公共服务提标、人居环境提优，城市核心功能和发展能级全面增强，巴渝和美乡村全域提升。</w:t>
      </w:r>
      <w:r>
        <w:rPr>
          <w:rFonts w:hint="default" w:ascii="Times New Roman" w:hAnsi="Times New Roman" w:eastAsia="方正仿宋_GBK" w:cs="Times New Roman"/>
          <w:b/>
          <w:bCs/>
          <w:color w:val="auto"/>
          <w:spacing w:val="0"/>
          <w:sz w:val="32"/>
          <w:szCs w:val="32"/>
          <w:lang w:val="en-US" w:eastAsia="zh-CN"/>
        </w:rPr>
        <w:t>推进数字重庆建设赋能城市治理</w:t>
      </w:r>
      <w:r>
        <w:rPr>
          <w:rFonts w:hint="default" w:ascii="Times New Roman" w:hAnsi="Times New Roman" w:eastAsia="方正仿宋_GBK" w:cs="Times New Roman"/>
          <w:color w:val="auto"/>
          <w:spacing w:val="0"/>
          <w:sz w:val="32"/>
          <w:szCs w:val="32"/>
          <w:lang w:val="en-US" w:eastAsia="zh-CN"/>
        </w:rPr>
        <w:t>。全面提升数字重庆建设体系能力，城市高质量内涵式发展体制机制基本建立，“大综合一体化”城市综合治理体制机制更加完善。</w:t>
      </w:r>
      <w:r>
        <w:rPr>
          <w:rFonts w:hint="default" w:ascii="Times New Roman" w:hAnsi="Times New Roman" w:eastAsia="方正仿宋_GBK" w:cs="Times New Roman"/>
          <w:b/>
          <w:bCs/>
          <w:color w:val="auto"/>
          <w:spacing w:val="0"/>
          <w:sz w:val="32"/>
          <w:szCs w:val="32"/>
          <w:lang w:val="en-US" w:eastAsia="zh-CN"/>
        </w:rPr>
        <w:t>健全融合发展机制</w:t>
      </w:r>
      <w:r>
        <w:rPr>
          <w:rFonts w:hint="default" w:ascii="Times New Roman" w:hAnsi="Times New Roman" w:eastAsia="方正仿宋_GBK" w:cs="Times New Roman"/>
          <w:color w:val="auto"/>
          <w:spacing w:val="0"/>
          <w:sz w:val="32"/>
          <w:szCs w:val="32"/>
          <w:lang w:val="en-US" w:eastAsia="zh-CN"/>
        </w:rPr>
        <w:t>。统筹城乡产业布局与要素配置，发展壮大新型农村集体经济，持续巩固拓展脱贫攻坚成果，工农互促、城乡共荣新格局基本形成。</w:t>
      </w:r>
    </w:p>
    <w:p w14:paraId="77AFD23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lang w:val="en-US" w:eastAsia="zh-CN"/>
        </w:rPr>
        <w:t>（五）全面发力开展高效治理新实践</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b/>
          <w:bCs/>
          <w:color w:val="auto"/>
          <w:spacing w:val="0"/>
          <w:sz w:val="32"/>
          <w:szCs w:val="32"/>
          <w:lang w:val="en-US" w:eastAsia="zh-CN"/>
        </w:rPr>
        <w:t>高质量促进人口来铜留铜</w:t>
      </w:r>
      <w:r>
        <w:rPr>
          <w:rFonts w:hint="default" w:ascii="Times New Roman" w:hAnsi="Times New Roman" w:eastAsia="方正仿宋_GBK" w:cs="Times New Roman"/>
          <w:color w:val="auto"/>
          <w:spacing w:val="0"/>
          <w:sz w:val="32"/>
          <w:szCs w:val="32"/>
          <w:lang w:val="en-US" w:eastAsia="zh-CN"/>
        </w:rPr>
        <w:t>。实施产业、教育、环境、招才引智、就业创业、医养生育提质六大留人行动，人口吸引力显著增强。</w:t>
      </w:r>
      <w:r>
        <w:rPr>
          <w:rFonts w:hint="default" w:ascii="Times New Roman" w:hAnsi="Times New Roman" w:eastAsia="方正仿宋_GBK" w:cs="Times New Roman"/>
          <w:b/>
          <w:bCs/>
          <w:color w:val="auto"/>
          <w:spacing w:val="0"/>
          <w:sz w:val="32"/>
          <w:szCs w:val="32"/>
          <w:lang w:val="en-US" w:eastAsia="zh-CN"/>
        </w:rPr>
        <w:t>构建更加完善的社会保障体系</w:t>
      </w:r>
      <w:r>
        <w:rPr>
          <w:rFonts w:hint="default" w:ascii="Times New Roman" w:hAnsi="Times New Roman" w:eastAsia="方正仿宋_GBK" w:cs="Times New Roman"/>
          <w:color w:val="auto"/>
          <w:spacing w:val="0"/>
          <w:sz w:val="32"/>
          <w:szCs w:val="32"/>
          <w:lang w:val="en-US" w:eastAsia="zh-CN"/>
        </w:rPr>
        <w:t>。深入实施就业优先战略，高质量就业更加充分，居民收入增长和经济增长同步，养老、医保、住房、救助等多元社会保障体系更加完善。</w:t>
      </w:r>
      <w:r>
        <w:rPr>
          <w:rFonts w:hint="default" w:ascii="Times New Roman" w:hAnsi="Times New Roman" w:eastAsia="方正仿宋_GBK" w:cs="Times New Roman"/>
          <w:b/>
          <w:bCs/>
          <w:color w:val="auto"/>
          <w:spacing w:val="0"/>
          <w:sz w:val="32"/>
          <w:szCs w:val="32"/>
          <w:lang w:val="en-US" w:eastAsia="zh-CN"/>
        </w:rPr>
        <w:t>提升基本公共服务水平</w:t>
      </w:r>
      <w:r>
        <w:rPr>
          <w:rFonts w:hint="default" w:ascii="Times New Roman" w:hAnsi="Times New Roman" w:eastAsia="方正仿宋_GBK" w:cs="Times New Roman"/>
          <w:color w:val="auto"/>
          <w:spacing w:val="0"/>
          <w:sz w:val="32"/>
          <w:szCs w:val="32"/>
          <w:lang w:val="en-US" w:eastAsia="zh-CN"/>
        </w:rPr>
        <w:t>。打造成渝中部地区基础教育高地，深入推进健康铜梁建设，健全“一老一小”服务体系，基本公共服务更加均等优质高效。</w:t>
      </w:r>
      <w:r>
        <w:rPr>
          <w:rFonts w:hint="default" w:ascii="Times New Roman" w:hAnsi="Times New Roman" w:eastAsia="方正仿宋_GBK" w:cs="Times New Roman"/>
          <w:b/>
          <w:bCs/>
          <w:color w:val="auto"/>
          <w:spacing w:val="0"/>
          <w:sz w:val="32"/>
          <w:szCs w:val="32"/>
          <w:lang w:val="en-US" w:eastAsia="zh-CN"/>
        </w:rPr>
        <w:t>加快绿色低碳转型发展</w:t>
      </w:r>
      <w:r>
        <w:rPr>
          <w:rFonts w:hint="default" w:ascii="Times New Roman" w:hAnsi="Times New Roman" w:eastAsia="方正仿宋_GBK" w:cs="Times New Roman"/>
          <w:color w:val="auto"/>
          <w:spacing w:val="0"/>
          <w:sz w:val="32"/>
          <w:szCs w:val="32"/>
          <w:lang w:val="en-US" w:eastAsia="zh-CN"/>
        </w:rPr>
        <w:t>。深入推进污染防治攻坚和生态系统优化，主要污染物排放总量持续减少，以储能调配和新能源供给相结合的新型能源供应体系初步构建，绿色生产生活方式基本形成。</w:t>
      </w:r>
      <w:r>
        <w:rPr>
          <w:rFonts w:hint="default" w:ascii="Times New Roman" w:hAnsi="Times New Roman" w:eastAsia="方正仿宋_GBK" w:cs="Times New Roman"/>
          <w:b/>
          <w:bCs/>
          <w:color w:val="auto"/>
          <w:spacing w:val="0"/>
          <w:sz w:val="32"/>
          <w:szCs w:val="32"/>
          <w:lang w:val="en-US" w:eastAsia="zh-CN"/>
        </w:rPr>
        <w:t>统筹高质量发展和高水平安全</w:t>
      </w:r>
      <w:r>
        <w:rPr>
          <w:rFonts w:hint="default" w:ascii="Times New Roman" w:hAnsi="Times New Roman" w:eastAsia="方正仿宋_GBK" w:cs="Times New Roman"/>
          <w:color w:val="auto"/>
          <w:spacing w:val="0"/>
          <w:sz w:val="32"/>
          <w:szCs w:val="32"/>
          <w:lang w:val="en-US" w:eastAsia="zh-CN"/>
        </w:rPr>
        <w:t>。深化多跨协同、整体智治，一体推进平安铜梁法治铜梁建设取得显著成效，风险预测预警预防能力明显提升，社会治理和公共安全治理水平明显提高。</w:t>
      </w:r>
    </w:p>
    <w:p w14:paraId="6AC1853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spacing w:val="0"/>
          <w:sz w:val="32"/>
          <w:szCs w:val="32"/>
          <w:lang w:val="en-US" w:eastAsia="zh-CN"/>
        </w:rPr>
      </w:pPr>
      <w:r>
        <w:rPr>
          <w:rFonts w:hint="eastAsia" w:ascii="方正黑体_GBK" w:hAnsi="方正黑体_GBK" w:eastAsia="方正黑体_GBK" w:cs="方正黑体_GBK"/>
          <w:color w:val="auto"/>
          <w:spacing w:val="0"/>
          <w:sz w:val="32"/>
          <w:szCs w:val="32"/>
          <w:lang w:val="en-US" w:eastAsia="zh-CN"/>
        </w:rPr>
        <w:t>三、2026年工作安排</w:t>
      </w:r>
    </w:p>
    <w:p w14:paraId="4E539B7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eastAsia="zh-CN"/>
        </w:rPr>
        <w:t>今</w:t>
      </w:r>
      <w:r>
        <w:rPr>
          <w:rFonts w:hint="default" w:ascii="Times New Roman" w:hAnsi="Times New Roman" w:eastAsia="方正仿宋_GBK" w:cs="Times New Roman"/>
          <w:color w:val="auto"/>
          <w:spacing w:val="0"/>
          <w:sz w:val="32"/>
          <w:szCs w:val="32"/>
        </w:rPr>
        <w:t>年是</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十五五</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开局之年，</w:t>
      </w:r>
      <w:r>
        <w:rPr>
          <w:rFonts w:hint="default" w:ascii="Times New Roman" w:hAnsi="Times New Roman" w:eastAsia="方正仿宋_GBK" w:cs="Times New Roman"/>
          <w:color w:val="auto"/>
          <w:spacing w:val="0"/>
          <w:sz w:val="32"/>
          <w:szCs w:val="32"/>
          <w:lang w:eastAsia="zh-CN"/>
        </w:rPr>
        <w:t>是铜梁抢得未来发展先机的关键之年</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eastAsia="zh-CN"/>
        </w:rPr>
        <w:t>做好政府工作，</w:t>
      </w:r>
      <w:r>
        <w:rPr>
          <w:rFonts w:hint="default" w:ascii="Times New Roman" w:hAnsi="Times New Roman" w:eastAsia="方正黑体_GBK" w:cs="Times New Roman"/>
          <w:color w:val="auto"/>
          <w:spacing w:val="0"/>
          <w:sz w:val="32"/>
          <w:szCs w:val="32"/>
          <w:lang w:eastAsia="zh-CN"/>
        </w:rPr>
        <w:t>要</w:t>
      </w:r>
      <w:r>
        <w:rPr>
          <w:rFonts w:hint="default" w:ascii="Times New Roman" w:hAnsi="Times New Roman" w:eastAsia="方正黑体_GBK" w:cs="Times New Roman"/>
          <w:color w:val="auto"/>
          <w:spacing w:val="0"/>
          <w:sz w:val="32"/>
          <w:szCs w:val="32"/>
          <w:lang w:val="en-US" w:eastAsia="zh-CN"/>
        </w:rPr>
        <w:t>坚持</w:t>
      </w:r>
      <w:r>
        <w:rPr>
          <w:rFonts w:hint="default" w:ascii="Times New Roman" w:hAnsi="Times New Roman" w:eastAsia="方正黑体_GBK" w:cs="Times New Roman"/>
          <w:color w:val="auto"/>
          <w:spacing w:val="0"/>
          <w:sz w:val="32"/>
          <w:szCs w:val="32"/>
          <w:lang w:eastAsia="zh-CN"/>
        </w:rPr>
        <w:t>以习近平新时代中国特色社会主义思想为指导，</w:t>
      </w:r>
      <w:r>
        <w:rPr>
          <w:rFonts w:hint="default" w:ascii="Times New Roman" w:hAnsi="Times New Roman" w:eastAsia="方正黑体_GBK" w:cs="Times New Roman"/>
          <w:color w:val="auto"/>
          <w:spacing w:val="0"/>
          <w:sz w:val="32"/>
          <w:szCs w:val="32"/>
          <w:lang w:val="en-US" w:eastAsia="zh-CN"/>
        </w:rPr>
        <w:t>深入</w:t>
      </w:r>
      <w:r>
        <w:rPr>
          <w:rFonts w:hint="default" w:ascii="Times New Roman" w:hAnsi="Times New Roman" w:eastAsia="方正黑体_GBK" w:cs="Times New Roman"/>
          <w:color w:val="auto"/>
          <w:spacing w:val="0"/>
          <w:sz w:val="32"/>
          <w:szCs w:val="32"/>
          <w:lang w:eastAsia="zh-CN"/>
        </w:rPr>
        <w:t>贯彻落实党的二十大、二十届</w:t>
      </w:r>
      <w:r>
        <w:rPr>
          <w:rFonts w:hint="default" w:ascii="Times New Roman" w:hAnsi="Times New Roman" w:eastAsia="方正黑体_GBK" w:cs="Times New Roman"/>
          <w:color w:val="auto"/>
          <w:spacing w:val="0"/>
          <w:sz w:val="32"/>
          <w:szCs w:val="32"/>
          <w:lang w:val="en-US" w:eastAsia="zh-CN"/>
        </w:rPr>
        <w:t>历次</w:t>
      </w:r>
      <w:r>
        <w:rPr>
          <w:rFonts w:hint="default" w:ascii="Times New Roman" w:hAnsi="Times New Roman" w:eastAsia="方正黑体_GBK" w:cs="Times New Roman"/>
          <w:color w:val="auto"/>
          <w:spacing w:val="0"/>
          <w:sz w:val="32"/>
          <w:szCs w:val="32"/>
          <w:lang w:eastAsia="zh-CN"/>
        </w:rPr>
        <w:t>全会和习近平总书记视察重庆重要讲话重要指示精神，认真学习贯彻中央、市委经济工作会议精神，按照区委工作要求，</w:t>
      </w:r>
      <w:r>
        <w:rPr>
          <w:rFonts w:hint="default" w:ascii="Times New Roman" w:hAnsi="Times New Roman" w:eastAsia="方正黑体_GBK" w:cs="Times New Roman"/>
          <w:color w:val="auto"/>
          <w:spacing w:val="0"/>
          <w:sz w:val="32"/>
          <w:szCs w:val="32"/>
          <w:lang w:val="en-US" w:eastAsia="zh-CN"/>
        </w:rPr>
        <w:t>聚焦服务重庆做实“两大定位”、发挥“三个作用”，紧扣铜梁加快建设“三高五新”现代化人民城市，完整准确全面贯彻新发展理念，主动服务融入新发展格局，扎实推动高质量发展，坚持稳中求进工作总基调，更好统筹发展和安全、发展和化债，增强政策前瞻性针对性协同性，强化改革、开放、创新三大动力支撑，持续扩大内需、优化供给，做优增量、盘活存量，因地制宜发展新质生产力，积极融入全国统一大市场建设，持续防范化解重点领域风险，着力稳就业、稳企业、稳市场、稳预期，推动经济实现质的有效提升和量的合理增长，保持社会和谐稳定，实现“十五五”良好开局</w:t>
      </w:r>
      <w:r>
        <w:rPr>
          <w:rFonts w:hint="default" w:ascii="Times New Roman" w:hAnsi="Times New Roman" w:eastAsia="方正仿宋_GBK" w:cs="Times New Roman"/>
          <w:color w:val="auto"/>
          <w:spacing w:val="0"/>
          <w:sz w:val="32"/>
          <w:szCs w:val="32"/>
          <w:lang w:val="en-US" w:eastAsia="zh-CN"/>
        </w:rPr>
        <w:t>。</w:t>
      </w:r>
    </w:p>
    <w:p w14:paraId="16EDC6F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黑体_GBK" w:cs="Times New Roman"/>
          <w:color w:val="auto"/>
          <w:spacing w:val="0"/>
          <w:sz w:val="32"/>
          <w:szCs w:val="32"/>
          <w:lang w:eastAsia="zh-CN"/>
        </w:rPr>
        <w:t>今年经济社会发展主要预期目标是：</w:t>
      </w:r>
      <w:r>
        <w:rPr>
          <w:rFonts w:hint="default" w:ascii="Times New Roman" w:hAnsi="Times New Roman" w:eastAsia="方正仿宋_GBK" w:cs="Times New Roman"/>
          <w:color w:val="auto"/>
          <w:spacing w:val="0"/>
          <w:sz w:val="32"/>
          <w:szCs w:val="32"/>
        </w:rPr>
        <w:t>地区生产总值增</w:t>
      </w:r>
      <w:r>
        <w:rPr>
          <w:rFonts w:hint="default" w:ascii="Times New Roman" w:hAnsi="Times New Roman" w:eastAsia="方正仿宋_GBK" w:cs="Times New Roman"/>
          <w:color w:val="auto"/>
          <w:spacing w:val="0"/>
          <w:sz w:val="32"/>
          <w:szCs w:val="32"/>
          <w:lang w:eastAsia="zh-CN"/>
        </w:rPr>
        <w:t>长</w:t>
      </w:r>
      <w:r>
        <w:rPr>
          <w:rFonts w:hint="default" w:ascii="Times New Roman" w:hAnsi="Times New Roman" w:eastAsia="方正仿宋_GBK" w:cs="Times New Roman"/>
          <w:color w:val="auto"/>
          <w:spacing w:val="0"/>
          <w:sz w:val="32"/>
          <w:szCs w:val="32"/>
        </w:rPr>
        <w:t>5.5%左右，规上工业增加值</w:t>
      </w:r>
      <w:r>
        <w:rPr>
          <w:rFonts w:hint="default" w:ascii="Times New Roman" w:hAnsi="Times New Roman" w:eastAsia="方正仿宋_GBK" w:cs="Times New Roman"/>
          <w:color w:val="auto"/>
          <w:spacing w:val="0"/>
          <w:sz w:val="32"/>
          <w:szCs w:val="32"/>
          <w:lang w:eastAsia="zh-CN"/>
        </w:rPr>
        <w:t>增长</w:t>
      </w:r>
      <w:r>
        <w:rPr>
          <w:rFonts w:hint="default" w:ascii="Times New Roman" w:hAnsi="Times New Roman" w:eastAsia="方正仿宋_GBK" w:cs="Times New Roman"/>
          <w:color w:val="auto"/>
          <w:spacing w:val="0"/>
          <w:sz w:val="32"/>
          <w:szCs w:val="32"/>
        </w:rPr>
        <w:t>6.5%，第三产业增加值增长6%，固定资产投资增长3%</w:t>
      </w:r>
      <w:r>
        <w:rPr>
          <w:rFonts w:hint="default" w:ascii="Times New Roman" w:hAnsi="Times New Roman" w:eastAsia="方正仿宋_GBK" w:cs="Times New Roman"/>
          <w:color w:val="auto"/>
          <w:spacing w:val="0"/>
          <w:sz w:val="32"/>
          <w:szCs w:val="32"/>
          <w:lang w:eastAsia="zh-CN"/>
        </w:rPr>
        <w:t>以上</w:t>
      </w:r>
      <w:r>
        <w:rPr>
          <w:rFonts w:hint="default" w:ascii="Times New Roman" w:hAnsi="Times New Roman" w:eastAsia="方正仿宋_GBK" w:cs="Times New Roman"/>
          <w:color w:val="auto"/>
          <w:spacing w:val="0"/>
          <w:sz w:val="32"/>
          <w:szCs w:val="32"/>
        </w:rPr>
        <w:t>，社会消费品零售总额增长4.5%左右，进出口总额增长10%</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一般公共预算收入增长5%，其中税收增长5</w:t>
      </w:r>
      <w:r>
        <w:rPr>
          <w:rFonts w:hint="default" w:ascii="Times New Roman" w:hAnsi="Times New Roman" w:eastAsia="方正仿宋_GBK" w:cs="Times New Roman"/>
          <w:color w:val="auto"/>
          <w:spacing w:val="0"/>
          <w:sz w:val="32"/>
          <w:szCs w:val="32"/>
          <w:lang w:val="en-US" w:eastAsia="zh-CN"/>
        </w:rPr>
        <w:t>.2</w:t>
      </w:r>
      <w:r>
        <w:rPr>
          <w:rFonts w:hint="default" w:ascii="Times New Roman" w:hAnsi="Times New Roman" w:eastAsia="方正仿宋_GBK" w:cs="Times New Roman"/>
          <w:color w:val="auto"/>
          <w:spacing w:val="0"/>
          <w:sz w:val="32"/>
          <w:szCs w:val="32"/>
        </w:rPr>
        <w:t>%，全体居民人均可支配收入增长5.5%，在实际工作中努力争取更好结果。</w:t>
      </w:r>
    </w:p>
    <w:p w14:paraId="17ED6B0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黑体_GBK" w:cs="Times New Roman"/>
          <w:color w:val="auto"/>
          <w:spacing w:val="0"/>
          <w:sz w:val="32"/>
          <w:szCs w:val="32"/>
          <w:lang w:eastAsia="zh-CN"/>
        </w:rPr>
        <w:t>实现上述目标</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必须</w:t>
      </w:r>
      <w:r>
        <w:rPr>
          <w:rFonts w:hint="default" w:ascii="Times New Roman" w:hAnsi="Times New Roman" w:eastAsia="方正仿宋_GBK" w:cs="Times New Roman"/>
          <w:color w:val="auto"/>
          <w:spacing w:val="0"/>
          <w:sz w:val="32"/>
          <w:szCs w:val="32"/>
        </w:rPr>
        <w:t>坚持</w:t>
      </w:r>
      <w:r>
        <w:rPr>
          <w:rFonts w:hint="default" w:ascii="Times New Roman" w:hAnsi="Times New Roman" w:eastAsia="方正仿宋_GBK" w:cs="Times New Roman"/>
          <w:color w:val="auto"/>
          <w:spacing w:val="0"/>
          <w:sz w:val="32"/>
          <w:szCs w:val="32"/>
          <w:lang w:eastAsia="zh-CN"/>
        </w:rPr>
        <w:t>稳进提质、改革创新、除险固安、强企富民</w:t>
      </w:r>
      <w:r>
        <w:rPr>
          <w:rFonts w:hint="default" w:ascii="Times New Roman" w:hAnsi="Times New Roman" w:eastAsia="方正仿宋_GBK" w:cs="Times New Roman"/>
          <w:color w:val="auto"/>
          <w:spacing w:val="0"/>
          <w:sz w:val="32"/>
          <w:szCs w:val="32"/>
        </w:rPr>
        <w:t>工作导向，</w:t>
      </w:r>
      <w:r>
        <w:rPr>
          <w:rFonts w:hint="default" w:ascii="Times New Roman" w:hAnsi="Times New Roman" w:eastAsia="方正仿宋_GBK" w:cs="Times New Roman"/>
          <w:color w:val="auto"/>
          <w:spacing w:val="0"/>
          <w:sz w:val="32"/>
          <w:szCs w:val="32"/>
          <w:lang w:val="en-US" w:eastAsia="zh-CN"/>
        </w:rPr>
        <w:t>树立</w:t>
      </w:r>
      <w:r>
        <w:rPr>
          <w:rFonts w:hint="default" w:ascii="Times New Roman" w:hAnsi="Times New Roman" w:eastAsia="方正仿宋_GBK" w:cs="Times New Roman"/>
          <w:color w:val="auto"/>
          <w:spacing w:val="0"/>
          <w:sz w:val="32"/>
          <w:szCs w:val="32"/>
          <w:lang w:eastAsia="zh-CN"/>
        </w:rPr>
        <w:t>“抓项目就是抓发展、抓发展就要抓项目”工作理念，</w:t>
      </w:r>
      <w:r>
        <w:rPr>
          <w:rFonts w:hint="default" w:ascii="Times New Roman" w:hAnsi="Times New Roman" w:eastAsia="方正仿宋_GBK" w:cs="Times New Roman"/>
          <w:color w:val="auto"/>
          <w:spacing w:val="0"/>
          <w:sz w:val="32"/>
          <w:szCs w:val="32"/>
        </w:rPr>
        <w:t>重点抓好</w:t>
      </w:r>
      <w:r>
        <w:rPr>
          <w:rFonts w:hint="default" w:ascii="Times New Roman" w:hAnsi="Times New Roman" w:eastAsia="方正仿宋_GBK" w:cs="Times New Roman"/>
          <w:color w:val="auto"/>
          <w:spacing w:val="0"/>
          <w:sz w:val="32"/>
          <w:szCs w:val="32"/>
          <w:lang w:eastAsia="zh-CN"/>
        </w:rPr>
        <w:t>十</w:t>
      </w:r>
      <w:r>
        <w:rPr>
          <w:rFonts w:hint="default" w:ascii="Times New Roman" w:hAnsi="Times New Roman" w:eastAsia="方正仿宋_GBK" w:cs="Times New Roman"/>
          <w:color w:val="auto"/>
          <w:spacing w:val="0"/>
          <w:sz w:val="32"/>
          <w:szCs w:val="32"/>
        </w:rPr>
        <w:t>个方面工作。</w:t>
      </w:r>
    </w:p>
    <w:p w14:paraId="379CABB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eastAsia" w:ascii="方正楷体_GBK" w:hAnsi="方正楷体_GBK" w:eastAsia="方正楷体_GBK" w:cs="方正楷体_GBK"/>
          <w:color w:val="auto"/>
          <w:spacing w:val="0"/>
          <w:sz w:val="32"/>
          <w:szCs w:val="32"/>
        </w:rPr>
        <w:t>（</w:t>
      </w:r>
      <w:r>
        <w:rPr>
          <w:rFonts w:hint="eastAsia" w:ascii="方正楷体_GBK" w:hAnsi="方正楷体_GBK" w:eastAsia="方正楷体_GBK" w:cs="方正楷体_GBK"/>
          <w:color w:val="auto"/>
          <w:spacing w:val="0"/>
          <w:sz w:val="32"/>
          <w:szCs w:val="32"/>
          <w:lang w:eastAsia="zh-CN"/>
        </w:rPr>
        <w:t>一</w:t>
      </w:r>
      <w:r>
        <w:rPr>
          <w:rFonts w:hint="eastAsia" w:ascii="方正楷体_GBK" w:hAnsi="方正楷体_GBK" w:eastAsia="方正楷体_GBK" w:cs="方正楷体_GBK"/>
          <w:color w:val="auto"/>
          <w:spacing w:val="0"/>
          <w:sz w:val="32"/>
          <w:szCs w:val="32"/>
        </w:rPr>
        <w:t>）坚定不移抓产业</w:t>
      </w:r>
      <w:r>
        <w:rPr>
          <w:rFonts w:hint="eastAsia" w:ascii="方正楷体_GBK" w:hAnsi="方正楷体_GBK" w:eastAsia="方正楷体_GBK" w:cs="方正楷体_GBK"/>
          <w:color w:val="auto"/>
          <w:spacing w:val="0"/>
          <w:sz w:val="32"/>
          <w:szCs w:val="32"/>
          <w:lang w:eastAsia="zh-CN"/>
        </w:rPr>
        <w:t>提质</w:t>
      </w:r>
      <w:r>
        <w:rPr>
          <w:rFonts w:hint="eastAsia" w:ascii="方正楷体_GBK" w:hAnsi="方正楷体_GBK" w:eastAsia="方正楷体_GBK" w:cs="方正楷体_GBK"/>
          <w:color w:val="auto"/>
          <w:spacing w:val="0"/>
          <w:sz w:val="32"/>
          <w:szCs w:val="32"/>
        </w:rPr>
        <w:t>，壮大</w:t>
      </w:r>
      <w:r>
        <w:rPr>
          <w:rFonts w:hint="eastAsia" w:ascii="方正楷体_GBK" w:hAnsi="方正楷体_GBK" w:eastAsia="方正楷体_GBK" w:cs="方正楷体_GBK"/>
          <w:color w:val="auto"/>
          <w:spacing w:val="0"/>
          <w:sz w:val="32"/>
          <w:szCs w:val="32"/>
          <w:lang w:eastAsia="zh-CN"/>
        </w:rPr>
        <w:t>现代</w:t>
      </w:r>
      <w:r>
        <w:rPr>
          <w:rFonts w:hint="eastAsia" w:ascii="方正楷体_GBK" w:hAnsi="方正楷体_GBK" w:eastAsia="方正楷体_GBK" w:cs="方正楷体_GBK"/>
          <w:color w:val="auto"/>
          <w:spacing w:val="0"/>
          <w:sz w:val="32"/>
          <w:szCs w:val="32"/>
        </w:rPr>
        <w:t>制造业集群取得新突破</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val="en-US" w:eastAsia="zh-CN"/>
        </w:rPr>
        <w:t>坚持铜梁发展产业为要、制造为先，实施“十百千”培育计划，新培育50亿级企业1家、20亿级企业1家、10亿级企业4家，加快壮大“2+3+N”现代制造业集群。</w:t>
      </w:r>
    </w:p>
    <w:p w14:paraId="36AB4757">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推进主导产业强链补链</w:t>
      </w:r>
      <w:r>
        <w:rPr>
          <w:rFonts w:hint="default" w:ascii="Times New Roman" w:hAnsi="Times New Roman" w:eastAsia="方正仿宋_GBK" w:cs="Times New Roman"/>
          <w:color w:val="auto"/>
          <w:spacing w:val="0"/>
          <w:sz w:val="32"/>
          <w:szCs w:val="32"/>
          <w:lang w:val="en-US" w:eastAsia="zh-CN"/>
        </w:rPr>
        <w:t>。坚定新型储能发展方向，加快推动重庆海辰W2产线建设，年产能突破75GWh，力争实现产值150亿元、增长50%，加速科达负极材料、重庆厚生隔膜、金汇能负极材料等放量增产，启动创建新型储能国家先进制造业集群。支持企业建设分布式光伏、储能电站。加快壮大智联电动车产业，推动爱玛科技智联电动车产线升级、研发布局高速电摩产线，力争年产能达到340万辆、产量实现翻番。开工建设极光仪表总成、天禧减震器等12个补链项目，构建智联电动车10分钟供应链生态圈。规划布局5000亩智能网联新能源汽车零部件智能制造集聚区，开工建设伊洛美克精密传动件、飞驰智能座舱等8个项目。加快推动百钰顺、君卓汽车上市。力争主导产业产值突破450亿元、增长30%以上。</w:t>
      </w:r>
    </w:p>
    <w:p w14:paraId="1899A9A3">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促进优势产业能级提升</w:t>
      </w:r>
      <w:r>
        <w:rPr>
          <w:rFonts w:hint="default" w:ascii="Times New Roman" w:hAnsi="Times New Roman" w:eastAsia="方正仿宋_GBK" w:cs="Times New Roman"/>
          <w:color w:val="auto"/>
          <w:spacing w:val="0"/>
          <w:sz w:val="32"/>
          <w:szCs w:val="32"/>
          <w:lang w:val="en-US" w:eastAsia="zh-CN"/>
        </w:rPr>
        <w:t>。升级发展智能装备及智能制造产业，推动优博电气设备、永铭安鑫智能消防设备等项目建设，加快电梯、通机、电子元器件等产业技改升级，产值突破100亿元。扩大先进材料生产和应用，大力发展超轻复合材料、先进高分子合成材料、锶盐材料，支持纳美特气凝胶等3个项目扩能增产，新申世纪陶瓷纳米粉体等3个项目开工建设，凯盛君恒药玻项目竣工投产，力争产值突破70亿元。提速建设食品及农产品加工产业园，开工渝西冷链、铜梁黑鸡加工项目，投产仁义酒业全国总部酿造基地，引进项目5个以上，规上企业产值增长5%。</w:t>
      </w:r>
    </w:p>
    <w:p w14:paraId="70B77D45">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推动未来产业重点突破</w:t>
      </w:r>
      <w:r>
        <w:rPr>
          <w:rFonts w:hint="default" w:ascii="Times New Roman" w:hAnsi="Times New Roman" w:eastAsia="方正仿宋_GBK" w:cs="Times New Roman"/>
          <w:color w:val="auto"/>
          <w:spacing w:val="0"/>
          <w:sz w:val="32"/>
          <w:szCs w:val="32"/>
          <w:lang w:val="en-US" w:eastAsia="zh-CN"/>
        </w:rPr>
        <w:t>。紧盯低空装备、生物医药与医疗器械、数字产业、具身智能等未来产业方向，布局培育新增长点。加强与央企、知名高校、科研院所合作，争取无人机重油发动机、电子控制系统、中试平台等项目落地，积极发展智能无人系统与高端装备产业。鼓励生物医药企业开展技术研发和项目攻关，力争实现突破。瞄准AI图像识别、数据分析及智能算法等领域，培育发展数据标注产业，力争落地项目2个以上。</w:t>
      </w:r>
    </w:p>
    <w:p w14:paraId="11D7C868">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持续提升招商引资质效</w:t>
      </w:r>
      <w:r>
        <w:rPr>
          <w:rFonts w:hint="default" w:ascii="Times New Roman" w:hAnsi="Times New Roman" w:eastAsia="方正仿宋_GBK" w:cs="Times New Roman"/>
          <w:color w:val="auto"/>
          <w:spacing w:val="0"/>
          <w:sz w:val="32"/>
          <w:szCs w:val="32"/>
          <w:lang w:val="en-US" w:eastAsia="zh-CN"/>
        </w:rPr>
        <w:t>。开展“招商引资规范提质年”行动，完善政策制定、产业策划、项目招引、落地服务工作体系。制定招商引资工作清单，持续迭代产业培育、要素供给等系列政策。重塑产业研判和项目策划机制，围绕现代化产业体系，建立科技含量高、成长性好的招商项目储备库。优化产业链招商模式，聚焦产业链延链补链，用好前方工作组，开展驻厂招商、以商招商、基金招商，组织招商推介活动10场以上，高质量举办铜商大会，建设“铜商之家”。强化“招落建投”一体化、精准化服务，力争全年协议引资300亿元以上，到位资金超100亿元，新签约项目开工率不低于70%。</w:t>
      </w:r>
    </w:p>
    <w:p w14:paraId="40E8303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二</w:t>
      </w:r>
      <w:r>
        <w:rPr>
          <w:rFonts w:hint="default" w:ascii="方正楷体_GBK" w:hAnsi="方正楷体_GBK" w:eastAsia="方正楷体_GBK" w:cs="方正楷体_GBK"/>
          <w:color w:val="auto"/>
          <w:spacing w:val="0"/>
          <w:sz w:val="32"/>
          <w:szCs w:val="32"/>
        </w:rPr>
        <w:t>）坚定不移抓投资消费，释放内需潜力取得</w:t>
      </w:r>
      <w:r>
        <w:rPr>
          <w:rFonts w:hint="default" w:ascii="方正楷体_GBK" w:hAnsi="方正楷体_GBK" w:eastAsia="方正楷体_GBK" w:cs="方正楷体_GBK"/>
          <w:color w:val="auto"/>
          <w:spacing w:val="0"/>
          <w:sz w:val="32"/>
          <w:szCs w:val="32"/>
          <w:lang w:val="en-US" w:eastAsia="zh-CN"/>
        </w:rPr>
        <w:t>新</w:t>
      </w:r>
      <w:r>
        <w:rPr>
          <w:rFonts w:hint="default" w:ascii="方正楷体_GBK" w:hAnsi="方正楷体_GBK" w:eastAsia="方正楷体_GBK" w:cs="方正楷体_GBK"/>
          <w:color w:val="auto"/>
          <w:spacing w:val="0"/>
          <w:sz w:val="32"/>
          <w:szCs w:val="32"/>
        </w:rPr>
        <w:t>突破</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val="en-US" w:eastAsia="zh-CN"/>
        </w:rPr>
        <w:t>抢抓“两重”“两新”政策红利，增强投资、消费两大支撑，夯实经济增长基础。</w:t>
      </w:r>
    </w:p>
    <w:p w14:paraId="4A123E50">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eastAsia="zh-CN"/>
        </w:rPr>
        <w:t>持续扩大有效投资</w:t>
      </w:r>
      <w:r>
        <w:rPr>
          <w:rFonts w:hint="default" w:ascii="Times New Roman" w:hAnsi="Times New Roman" w:eastAsia="方正仿宋_GBK" w:cs="Times New Roman"/>
          <w:color w:val="auto"/>
          <w:spacing w:val="0"/>
          <w:sz w:val="32"/>
          <w:szCs w:val="32"/>
          <w:lang w:val="en-US" w:eastAsia="zh-CN"/>
        </w:rPr>
        <w:t>。把研究政策、谋划项目、争取资源作为重中之重，建立健全项目全口径谋划、高质量生成、责任化管理三项机制。实施重点项目158个，年度计划投资390亿元以上。储备重点项目120个以上，总投资不低于820亿元。争取“两重”“两新”资金3.5亿元以上。加快建设茂茂离合器、铜梁高铁站站前广场等91个续建项目，开工建设纵凌精密结构件、220kV供电工程等67个项目，确保集中式光伏、西南水泥技改等72个项目如期竣工。深入落实大规模设备更新、“技改专项贷”等支持政策，持续推动传统制造业转型升级步伐，技改投资增长12%，推动工业投资增长10%以上。建立区属国企与中央企业、市属国企、民营企业、外资企业“四企”联动发展机制，推动投资主体多元化，民间投资增长不低于10%。</w:t>
      </w:r>
    </w:p>
    <w:p w14:paraId="7B5B92F8">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b/>
          <w:bCs/>
          <w:color w:val="auto"/>
          <w:spacing w:val="0"/>
          <w:sz w:val="32"/>
          <w:szCs w:val="32"/>
          <w:lang w:eastAsia="zh-CN"/>
        </w:rPr>
        <w:t>大力激发消费活力</w:t>
      </w:r>
      <w:r>
        <w:rPr>
          <w:rFonts w:hint="default" w:ascii="Times New Roman" w:hAnsi="Times New Roman" w:eastAsia="方正仿宋_GBK" w:cs="Times New Roman"/>
          <w:color w:val="auto"/>
          <w:spacing w:val="0"/>
          <w:sz w:val="32"/>
          <w:szCs w:val="32"/>
          <w:lang w:val="en-US" w:eastAsia="zh-CN"/>
        </w:rPr>
        <w:t>。全面提升文体旅服务品质，聚焦“吃住行游购娱”，推出湖景火锅、足球小酒馆等消费新场景，推动山水园林酒店开业，加快玄天秀水生态酒店、“水云居”温泉酒店建设，策划推出一批特色旅游商品。做强赛事经济，做优“一张球票游铜梁”，联合周边打造巴蜀文化旅游走廊非遗之旅，全区接待游客人次、游客总花费均增长10%以上。稳住大宗消费，开展商品房促销活动，落实好汽车、家电等“以旧换新”。做好“全域全季消费潮”系列活动，搭建足球啤酒节、汽车摩托车展、商品联展等消费场景，常态化组织商贸企业举办主题消费季。提档升级龙城天街，盘活闲置商业设施、商业空间2.5万平方米，迭代升级品牌业态，引进“铜梁首店”15家。积极培育发展商贸企业，新增限上商贸主体30家以上。</w:t>
      </w:r>
    </w:p>
    <w:p w14:paraId="2CC49F28">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b/>
          <w:bCs/>
          <w:color w:val="auto"/>
          <w:spacing w:val="0"/>
          <w:sz w:val="32"/>
          <w:szCs w:val="32"/>
          <w:lang w:eastAsia="zh-CN"/>
        </w:rPr>
        <w:t>加快推动现代服务业提质增效</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制定促进现代服务业高质量发展若干措施，绘制现代服务业产业图谱。做</w:t>
      </w:r>
      <w:r>
        <w:rPr>
          <w:rFonts w:hint="default" w:ascii="Times New Roman" w:hAnsi="Times New Roman" w:eastAsia="方正仿宋_GBK" w:cs="Times New Roman"/>
          <w:color w:val="auto"/>
          <w:spacing w:val="0"/>
          <w:sz w:val="32"/>
          <w:szCs w:val="32"/>
          <w:lang w:val="en-US" w:eastAsia="zh-CN"/>
        </w:rPr>
        <w:t>强</w:t>
      </w:r>
      <w:r>
        <w:rPr>
          <w:rFonts w:hint="default" w:ascii="Times New Roman" w:hAnsi="Times New Roman" w:eastAsia="方正仿宋_GBK" w:cs="Times New Roman"/>
          <w:color w:val="auto"/>
          <w:spacing w:val="0"/>
          <w:sz w:val="32"/>
          <w:szCs w:val="32"/>
          <w:lang w:eastAsia="zh-CN"/>
        </w:rPr>
        <w:t>生产性服务业集聚区，</w:t>
      </w:r>
      <w:r>
        <w:rPr>
          <w:rFonts w:hint="default" w:ascii="Times New Roman" w:hAnsi="Times New Roman" w:eastAsia="方正仿宋_GBK" w:cs="Times New Roman"/>
          <w:color w:val="auto"/>
          <w:spacing w:val="0"/>
          <w:sz w:val="32"/>
          <w:szCs w:val="32"/>
          <w:lang w:val="en-US" w:eastAsia="zh-CN"/>
        </w:rPr>
        <w:t>重点发展软件和信息技术、交通运输和仓储、科学研究和技术服务，提升服务先进制造业能力，</w:t>
      </w:r>
      <w:r>
        <w:rPr>
          <w:rFonts w:hint="default" w:ascii="Times New Roman" w:hAnsi="Times New Roman" w:eastAsia="方正仿宋_GBK" w:cs="Times New Roman"/>
          <w:color w:val="auto"/>
          <w:spacing w:val="0"/>
          <w:sz w:val="32"/>
          <w:szCs w:val="32"/>
          <w:lang w:eastAsia="zh-CN"/>
        </w:rPr>
        <w:t>营业收入增长6%以上，争创市级现代生产性服务业集聚区。</w:t>
      </w:r>
      <w:r>
        <w:rPr>
          <w:rFonts w:hint="default" w:ascii="Times New Roman" w:hAnsi="Times New Roman" w:eastAsia="方正仿宋_GBK" w:cs="Times New Roman"/>
          <w:color w:val="auto"/>
          <w:spacing w:val="0"/>
          <w:sz w:val="32"/>
          <w:szCs w:val="32"/>
          <w:lang w:val="en-US" w:eastAsia="zh-CN"/>
        </w:rPr>
        <w:t>做优生活性服务业，积极发展家庭服务、健康养老、培训服务、电子商务，</w:t>
      </w:r>
      <w:r>
        <w:rPr>
          <w:rFonts w:hint="default" w:ascii="Times New Roman" w:hAnsi="Times New Roman" w:eastAsia="方正仿宋_GBK" w:cs="Times New Roman"/>
          <w:color w:val="auto"/>
          <w:spacing w:val="0"/>
          <w:sz w:val="32"/>
          <w:szCs w:val="32"/>
          <w:lang w:eastAsia="zh-CN"/>
        </w:rPr>
        <w:t>培育西部即时物流头部企业，</w:t>
      </w:r>
      <w:r>
        <w:rPr>
          <w:rFonts w:hint="default" w:ascii="Times New Roman" w:hAnsi="Times New Roman" w:eastAsia="方正仿宋_GBK" w:cs="Times New Roman"/>
          <w:color w:val="auto"/>
          <w:spacing w:val="0"/>
          <w:sz w:val="32"/>
          <w:szCs w:val="32"/>
          <w:lang w:val="en-US" w:eastAsia="zh-CN"/>
        </w:rPr>
        <w:t>全力打造“铜嫂”家政品牌，建设西南地区家政服务人才重要输出基地，建成投用西南智慧电商云仓。</w:t>
      </w:r>
      <w:r>
        <w:rPr>
          <w:rFonts w:hint="default" w:ascii="Times New Roman" w:hAnsi="Times New Roman" w:eastAsia="方正仿宋_GBK" w:cs="Times New Roman"/>
          <w:color w:val="auto"/>
          <w:spacing w:val="0"/>
          <w:sz w:val="32"/>
          <w:szCs w:val="32"/>
          <w:lang w:eastAsia="zh-CN"/>
        </w:rPr>
        <w:t>新引进现代服务业企业20家以上。</w:t>
      </w:r>
    </w:p>
    <w:p w14:paraId="69D3C9A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三</w:t>
      </w:r>
      <w:r>
        <w:rPr>
          <w:rFonts w:hint="default" w:ascii="方正楷体_GBK" w:hAnsi="方正楷体_GBK" w:eastAsia="方正楷体_GBK" w:cs="方正楷体_GBK"/>
          <w:color w:val="auto"/>
          <w:spacing w:val="0"/>
          <w:sz w:val="32"/>
          <w:szCs w:val="32"/>
        </w:rPr>
        <w:t>）坚定不移抓创新</w:t>
      </w:r>
      <w:r>
        <w:rPr>
          <w:rFonts w:hint="default" w:ascii="方正楷体_GBK" w:hAnsi="方正楷体_GBK" w:eastAsia="方正楷体_GBK" w:cs="方正楷体_GBK"/>
          <w:color w:val="auto"/>
          <w:spacing w:val="0"/>
          <w:sz w:val="32"/>
          <w:szCs w:val="32"/>
          <w:lang w:eastAsia="zh-CN"/>
        </w:rPr>
        <w:t>引领</w:t>
      </w:r>
      <w:r>
        <w:rPr>
          <w:rFonts w:hint="default" w:ascii="方正楷体_GBK" w:hAnsi="方正楷体_GBK" w:eastAsia="方正楷体_GBK" w:cs="方正楷体_GBK"/>
          <w:color w:val="auto"/>
          <w:spacing w:val="0"/>
          <w:sz w:val="32"/>
          <w:szCs w:val="32"/>
        </w:rPr>
        <w:t>，构建科技创新体系取得新突破</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eastAsia="zh-CN"/>
        </w:rPr>
        <w:t>牢固树立“不创新无发展”理念，</w:t>
      </w:r>
      <w:r>
        <w:rPr>
          <w:rFonts w:hint="default" w:ascii="Times New Roman" w:hAnsi="Times New Roman" w:eastAsia="方正仿宋_GBK" w:cs="Times New Roman"/>
          <w:color w:val="auto"/>
          <w:spacing w:val="0"/>
          <w:sz w:val="32"/>
          <w:szCs w:val="32"/>
          <w:lang w:val="en-US" w:eastAsia="zh-CN"/>
        </w:rPr>
        <w:t>发挥高新区产业创新总平台作用，实施</w:t>
      </w:r>
      <w:r>
        <w:rPr>
          <w:rFonts w:hint="default" w:ascii="Times New Roman" w:hAnsi="Times New Roman" w:eastAsia="方正仿宋_GBK" w:cs="Times New Roman"/>
          <w:color w:val="auto"/>
          <w:spacing w:val="0"/>
          <w:sz w:val="32"/>
          <w:szCs w:val="32"/>
        </w:rPr>
        <w:t>打赢科技创新</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翻身仗</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三年行动</w:t>
      </w:r>
      <w:r>
        <w:rPr>
          <w:rFonts w:hint="default" w:ascii="Times New Roman" w:hAnsi="Times New Roman" w:eastAsia="方正仿宋_GBK" w:cs="Times New Roman"/>
          <w:color w:val="auto"/>
          <w:spacing w:val="0"/>
          <w:sz w:val="32"/>
          <w:szCs w:val="32"/>
          <w:lang w:eastAsia="zh-CN"/>
        </w:rPr>
        <w:t>，规上工业企业研发强度提升至</w:t>
      </w:r>
      <w:r>
        <w:rPr>
          <w:rFonts w:hint="default" w:ascii="Times New Roman" w:hAnsi="Times New Roman" w:eastAsia="方正仿宋_GBK" w:cs="Times New Roman"/>
          <w:color w:val="auto"/>
          <w:spacing w:val="0"/>
          <w:sz w:val="32"/>
          <w:szCs w:val="32"/>
          <w:lang w:val="en-US" w:eastAsia="zh-CN"/>
        </w:rPr>
        <w:t>2.8%。</w:t>
      </w:r>
    </w:p>
    <w:p w14:paraId="5F5B16EC">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b/>
          <w:bCs/>
          <w:color w:val="auto"/>
          <w:spacing w:val="0"/>
          <w:sz w:val="32"/>
          <w:szCs w:val="32"/>
          <w:lang w:eastAsia="zh-CN"/>
        </w:rPr>
        <w:t>构建创新平台矩阵</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实施铜梁高新区“</w:t>
      </w:r>
      <w:r>
        <w:rPr>
          <w:rFonts w:hint="default" w:ascii="Times New Roman" w:hAnsi="Times New Roman" w:eastAsia="方正仿宋_GBK" w:cs="Times New Roman"/>
          <w:color w:val="auto"/>
          <w:spacing w:val="0"/>
          <w:sz w:val="32"/>
          <w:szCs w:val="32"/>
          <w:lang w:eastAsia="zh-CN"/>
        </w:rPr>
        <w:t>全新</w:t>
      </w:r>
      <w:r>
        <w:rPr>
          <w:rFonts w:hint="default" w:ascii="Times New Roman" w:hAnsi="Times New Roman" w:eastAsia="方正仿宋_GBK" w:cs="Times New Roman"/>
          <w:color w:val="auto"/>
          <w:spacing w:val="0"/>
          <w:sz w:val="32"/>
          <w:szCs w:val="32"/>
        </w:rPr>
        <w:t>启航计</w:t>
      </w:r>
      <w:r>
        <w:rPr>
          <w:rFonts w:hint="default" w:ascii="Times New Roman" w:hAnsi="Times New Roman" w:eastAsia="方正仿宋_GBK" w:cs="Times New Roman"/>
          <w:color w:val="auto"/>
          <w:spacing w:val="0"/>
          <w:sz w:val="32"/>
          <w:szCs w:val="32"/>
          <w:lang w:eastAsia="zh-CN"/>
        </w:rPr>
        <w:t>划”，推动</w:t>
      </w:r>
      <w:r>
        <w:rPr>
          <w:rFonts w:hint="default" w:ascii="Times New Roman" w:hAnsi="Times New Roman" w:eastAsia="方正仿宋_GBK" w:cs="Times New Roman"/>
          <w:color w:val="auto"/>
          <w:spacing w:val="0"/>
          <w:sz w:val="32"/>
          <w:szCs w:val="32"/>
          <w:lang w:val="en-US" w:eastAsia="zh-CN"/>
        </w:rPr>
        <w:t>气凝胶研究院、硅基负极材料研究院、工业视觉创新中心等</w:t>
      </w:r>
      <w:r>
        <w:rPr>
          <w:rFonts w:hint="default" w:ascii="Times New Roman" w:hAnsi="Times New Roman" w:eastAsia="方正仿宋_GBK" w:cs="Times New Roman"/>
          <w:color w:val="auto"/>
          <w:spacing w:val="0"/>
          <w:sz w:val="32"/>
          <w:szCs w:val="32"/>
          <w:lang w:eastAsia="zh-CN"/>
        </w:rPr>
        <w:t>重点平台创建国家级研发平台，建</w:t>
      </w:r>
      <w:r>
        <w:rPr>
          <w:rFonts w:hint="default" w:ascii="Times New Roman" w:hAnsi="Times New Roman" w:eastAsia="方正仿宋_GBK" w:cs="Times New Roman"/>
          <w:color w:val="auto"/>
          <w:spacing w:val="0"/>
          <w:sz w:val="32"/>
          <w:szCs w:val="32"/>
        </w:rPr>
        <w:t>设渝西智能制造设计共享平台</w:t>
      </w:r>
      <w:r>
        <w:rPr>
          <w:rFonts w:hint="default" w:ascii="Times New Roman" w:hAnsi="Times New Roman" w:eastAsia="方正仿宋_GBK" w:cs="Times New Roman"/>
          <w:color w:val="auto"/>
          <w:spacing w:val="0"/>
          <w:sz w:val="32"/>
          <w:szCs w:val="32"/>
          <w:lang w:eastAsia="zh-CN"/>
        </w:rPr>
        <w:t>，推动</w:t>
      </w:r>
      <w:r>
        <w:rPr>
          <w:rFonts w:hint="default" w:ascii="Times New Roman" w:hAnsi="Times New Roman" w:eastAsia="方正仿宋_GBK" w:cs="Times New Roman"/>
          <w:color w:val="auto"/>
          <w:spacing w:val="0"/>
          <w:sz w:val="32"/>
          <w:szCs w:val="32"/>
        </w:rPr>
        <w:t>三友未来、金汇能等企业建设市级中试平台</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新培育市级创新平台5个以上。高水平运营铜生科技型企业孵化器，孵化企业40家</w:t>
      </w:r>
      <w:r>
        <w:rPr>
          <w:rFonts w:hint="default" w:ascii="Times New Roman" w:hAnsi="Times New Roman" w:eastAsia="方正仿宋_GBK" w:cs="Times New Roman"/>
          <w:color w:val="auto"/>
          <w:spacing w:val="0"/>
          <w:sz w:val="32"/>
          <w:szCs w:val="32"/>
          <w:lang w:eastAsia="zh-CN"/>
        </w:rPr>
        <w:t>以上</w:t>
      </w:r>
      <w:r>
        <w:rPr>
          <w:rFonts w:hint="default" w:ascii="Times New Roman" w:hAnsi="Times New Roman" w:eastAsia="方正仿宋_GBK" w:cs="Times New Roman"/>
          <w:color w:val="auto"/>
          <w:spacing w:val="0"/>
          <w:sz w:val="32"/>
          <w:szCs w:val="32"/>
          <w:lang w:val="en-US" w:eastAsia="zh-CN"/>
        </w:rPr>
        <w:t>，入驻专业化科技服务平台3个</w:t>
      </w:r>
      <w:r>
        <w:rPr>
          <w:rFonts w:hint="default" w:ascii="Times New Roman" w:hAnsi="Times New Roman" w:eastAsia="方正仿宋_GBK" w:cs="Times New Roman"/>
          <w:color w:val="auto"/>
          <w:spacing w:val="0"/>
          <w:sz w:val="32"/>
          <w:szCs w:val="32"/>
        </w:rPr>
        <w:t>。布局铜梁环大学创新创业生态圈，打造文化创意与数字经济特色大学科技园。</w:t>
      </w:r>
    </w:p>
    <w:p w14:paraId="4DF518C0">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b/>
          <w:bCs/>
          <w:color w:val="auto"/>
          <w:spacing w:val="0"/>
          <w:sz w:val="32"/>
          <w:szCs w:val="32"/>
          <w:lang w:eastAsia="zh-CN"/>
        </w:rPr>
        <w:t>大力培育创新主体</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深入推进“双倍增”行动计划，力争新增高新技术企业20家、科技型企业100家。加强中小企业梯度培育，新增创新型企业20家、专精特新企业20家</w:t>
      </w:r>
      <w:r>
        <w:rPr>
          <w:rFonts w:hint="default" w:ascii="Times New Roman" w:hAnsi="Times New Roman" w:eastAsia="方正仿宋_GBK" w:cs="Times New Roman"/>
          <w:color w:val="auto"/>
          <w:spacing w:val="0"/>
          <w:sz w:val="32"/>
          <w:szCs w:val="32"/>
          <w:lang w:eastAsia="zh-CN"/>
        </w:rPr>
        <w:t>，“小巨人”企业达到</w:t>
      </w:r>
      <w:r>
        <w:rPr>
          <w:rFonts w:hint="default" w:ascii="Times New Roman" w:hAnsi="Times New Roman" w:eastAsia="方正仿宋_GBK" w:cs="Times New Roman"/>
          <w:color w:val="auto"/>
          <w:spacing w:val="0"/>
          <w:sz w:val="32"/>
          <w:szCs w:val="32"/>
          <w:lang w:val="en-US" w:eastAsia="zh-CN"/>
        </w:rPr>
        <w:t>15家，力争单项冠军破零</w:t>
      </w:r>
      <w:r>
        <w:rPr>
          <w:rFonts w:hint="default" w:ascii="Times New Roman" w:hAnsi="Times New Roman" w:eastAsia="方正仿宋_GBK" w:cs="Times New Roman"/>
          <w:color w:val="auto"/>
          <w:spacing w:val="0"/>
          <w:sz w:val="32"/>
          <w:szCs w:val="32"/>
        </w:rPr>
        <w:t>。实施智能制造专项行动，</w:t>
      </w:r>
      <w:r>
        <w:rPr>
          <w:rFonts w:hint="default" w:ascii="Times New Roman" w:hAnsi="Times New Roman" w:eastAsia="方正仿宋_GBK" w:cs="Times New Roman"/>
          <w:color w:val="auto"/>
          <w:spacing w:val="0"/>
          <w:sz w:val="32"/>
          <w:szCs w:val="32"/>
          <w:lang w:eastAsia="zh-CN"/>
        </w:rPr>
        <w:t>完成</w:t>
      </w:r>
      <w:r>
        <w:rPr>
          <w:rFonts w:hint="default" w:ascii="Times New Roman" w:hAnsi="Times New Roman" w:eastAsia="方正仿宋_GBK" w:cs="Times New Roman"/>
          <w:color w:val="auto"/>
          <w:spacing w:val="0"/>
          <w:sz w:val="32"/>
          <w:szCs w:val="32"/>
        </w:rPr>
        <w:t>技改项目50个</w:t>
      </w:r>
      <w:r>
        <w:rPr>
          <w:rFonts w:hint="default" w:ascii="Times New Roman" w:hAnsi="Times New Roman" w:eastAsia="方正仿宋_GBK" w:cs="Times New Roman"/>
          <w:color w:val="auto"/>
          <w:spacing w:val="0"/>
          <w:sz w:val="32"/>
          <w:szCs w:val="32"/>
          <w:lang w:eastAsia="zh-CN"/>
        </w:rPr>
        <w:t>以上，</w:t>
      </w:r>
      <w:r>
        <w:rPr>
          <w:rFonts w:hint="default" w:ascii="Times New Roman" w:hAnsi="Times New Roman" w:eastAsia="方正仿宋_GBK" w:cs="Times New Roman"/>
          <w:color w:val="auto"/>
          <w:spacing w:val="0"/>
          <w:sz w:val="32"/>
          <w:szCs w:val="32"/>
        </w:rPr>
        <w:t>新增</w:t>
      </w:r>
      <w:r>
        <w:rPr>
          <w:rFonts w:hint="default" w:ascii="Times New Roman" w:hAnsi="Times New Roman" w:eastAsia="方正仿宋_GBK" w:cs="Times New Roman"/>
          <w:color w:val="auto"/>
          <w:spacing w:val="0"/>
          <w:sz w:val="32"/>
          <w:szCs w:val="32"/>
          <w:lang w:eastAsia="zh-CN"/>
        </w:rPr>
        <w:t>基础级、先进级</w:t>
      </w:r>
      <w:r>
        <w:rPr>
          <w:rFonts w:hint="default" w:ascii="Times New Roman" w:hAnsi="Times New Roman" w:eastAsia="方正仿宋_GBK" w:cs="Times New Roman"/>
          <w:color w:val="auto"/>
          <w:spacing w:val="0"/>
          <w:sz w:val="32"/>
          <w:szCs w:val="32"/>
        </w:rPr>
        <w:t>智能工厂3</w:t>
      </w:r>
      <w:r>
        <w:rPr>
          <w:rFonts w:hint="default" w:ascii="Times New Roman" w:hAnsi="Times New Roman" w:eastAsia="方正仿宋_GBK" w:cs="Times New Roman"/>
          <w:color w:val="auto"/>
          <w:spacing w:val="0"/>
          <w:sz w:val="32"/>
          <w:szCs w:val="32"/>
          <w:lang w:eastAsia="zh-CN"/>
        </w:rPr>
        <w:t>家</w:t>
      </w:r>
      <w:r>
        <w:rPr>
          <w:rFonts w:hint="default" w:ascii="Times New Roman" w:hAnsi="Times New Roman" w:eastAsia="方正仿宋_GBK" w:cs="Times New Roman"/>
          <w:color w:val="auto"/>
          <w:spacing w:val="0"/>
          <w:sz w:val="32"/>
          <w:szCs w:val="32"/>
        </w:rPr>
        <w:t>，推动庆兰实业、重庆海辰争创卓越级、领航级智能工厂。实施科技领军企业培育行动，支持龙头企业布局研发中心、组建创新联合体，推动技术协同攻关。实施区级科技项目80项、市级科技项目13项。</w:t>
      </w:r>
    </w:p>
    <w:p w14:paraId="7F3DCB99">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b/>
          <w:bCs/>
          <w:color w:val="auto"/>
          <w:spacing w:val="0"/>
          <w:sz w:val="32"/>
          <w:szCs w:val="32"/>
          <w:lang w:eastAsia="zh-CN"/>
        </w:rPr>
        <w:t>促进科技成果转化</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健全科技成果转化扶持政策体系，支持开展科技成果转化项目路演、创新创业赛事活动，推动产学研合作</w:t>
      </w:r>
      <w:r>
        <w:rPr>
          <w:rFonts w:hint="default" w:ascii="Times New Roman" w:hAnsi="Times New Roman" w:eastAsia="方正仿宋_GBK" w:cs="Times New Roman"/>
          <w:color w:val="auto"/>
          <w:spacing w:val="0"/>
          <w:sz w:val="32"/>
          <w:szCs w:val="32"/>
          <w:lang w:val="en-US" w:eastAsia="zh-CN"/>
        </w:rPr>
        <w:t>4</w:t>
      </w:r>
      <w:r>
        <w:rPr>
          <w:rFonts w:hint="default" w:ascii="Times New Roman" w:hAnsi="Times New Roman" w:eastAsia="方正仿宋_GBK" w:cs="Times New Roman"/>
          <w:color w:val="auto"/>
          <w:spacing w:val="0"/>
          <w:sz w:val="32"/>
          <w:szCs w:val="32"/>
        </w:rPr>
        <w:t>0项，促进科技成果转化50项，实现技术合同交易额</w:t>
      </w:r>
      <w:r>
        <w:rPr>
          <w:rFonts w:hint="default" w:ascii="Times New Roman" w:hAnsi="Times New Roman" w:eastAsia="方正仿宋_GBK" w:cs="Times New Roman"/>
          <w:color w:val="auto"/>
          <w:spacing w:val="0"/>
          <w:sz w:val="32"/>
          <w:szCs w:val="32"/>
          <w:lang w:val="en-US" w:eastAsia="zh-CN"/>
        </w:rPr>
        <w:t>20</w:t>
      </w:r>
      <w:r>
        <w:rPr>
          <w:rFonts w:hint="default" w:ascii="Times New Roman" w:hAnsi="Times New Roman" w:eastAsia="方正仿宋_GBK" w:cs="Times New Roman"/>
          <w:color w:val="auto"/>
          <w:spacing w:val="0"/>
          <w:sz w:val="32"/>
          <w:szCs w:val="32"/>
        </w:rPr>
        <w:t>亿元以上。引育科技服务业企业</w:t>
      </w:r>
      <w:r>
        <w:rPr>
          <w:rFonts w:hint="default" w:ascii="Times New Roman" w:hAnsi="Times New Roman" w:eastAsia="方正仿宋_GBK" w:cs="Times New Roman"/>
          <w:color w:val="auto"/>
          <w:spacing w:val="0"/>
          <w:sz w:val="32"/>
          <w:szCs w:val="32"/>
          <w:lang w:val="en-US" w:eastAsia="zh-CN"/>
        </w:rPr>
        <w:t>3</w:t>
      </w:r>
      <w:r>
        <w:rPr>
          <w:rFonts w:hint="default" w:ascii="Times New Roman" w:hAnsi="Times New Roman" w:eastAsia="方正仿宋_GBK" w:cs="Times New Roman"/>
          <w:color w:val="auto"/>
          <w:spacing w:val="0"/>
          <w:sz w:val="32"/>
          <w:szCs w:val="32"/>
        </w:rPr>
        <w:t>家，规上科技服务业营业收入</w:t>
      </w:r>
      <w:r>
        <w:rPr>
          <w:rFonts w:hint="default" w:ascii="Times New Roman" w:hAnsi="Times New Roman" w:eastAsia="方正仿宋_GBK" w:cs="Times New Roman"/>
          <w:color w:val="auto"/>
          <w:spacing w:val="0"/>
          <w:sz w:val="32"/>
          <w:szCs w:val="32"/>
          <w:lang w:eastAsia="zh-CN"/>
        </w:rPr>
        <w:t>超</w:t>
      </w:r>
      <w:r>
        <w:rPr>
          <w:rFonts w:hint="default" w:ascii="Times New Roman" w:hAnsi="Times New Roman" w:eastAsia="方正仿宋_GBK" w:cs="Times New Roman"/>
          <w:color w:val="auto"/>
          <w:spacing w:val="0"/>
          <w:sz w:val="32"/>
          <w:szCs w:val="32"/>
        </w:rPr>
        <w:t>7000万元。</w:t>
      </w:r>
      <w:r>
        <w:rPr>
          <w:rFonts w:hint="default" w:ascii="Times New Roman" w:hAnsi="Times New Roman" w:eastAsia="方正仿宋_GBK" w:cs="Times New Roman"/>
          <w:color w:val="auto"/>
          <w:spacing w:val="0"/>
          <w:sz w:val="32"/>
          <w:szCs w:val="32"/>
          <w:lang w:eastAsia="zh-CN"/>
        </w:rPr>
        <w:t>优化</w:t>
      </w:r>
      <w:r>
        <w:rPr>
          <w:rFonts w:hint="default" w:ascii="Times New Roman" w:hAnsi="Times New Roman" w:eastAsia="方正仿宋_GBK" w:cs="Times New Roman"/>
          <w:color w:val="auto"/>
          <w:spacing w:val="0"/>
          <w:sz w:val="32"/>
          <w:szCs w:val="32"/>
        </w:rPr>
        <w:t>科技公共服务体系，</w:t>
      </w:r>
      <w:r>
        <w:rPr>
          <w:rFonts w:hint="default" w:ascii="Times New Roman" w:hAnsi="Times New Roman" w:eastAsia="方正仿宋_GBK" w:cs="Times New Roman"/>
          <w:color w:val="auto"/>
          <w:spacing w:val="0"/>
          <w:sz w:val="32"/>
          <w:szCs w:val="32"/>
          <w:lang w:eastAsia="zh-CN"/>
        </w:rPr>
        <w:t>实现</w:t>
      </w:r>
      <w:r>
        <w:rPr>
          <w:rFonts w:hint="default" w:ascii="Times New Roman" w:hAnsi="Times New Roman" w:eastAsia="方正仿宋_GBK" w:cs="Times New Roman"/>
          <w:color w:val="auto"/>
          <w:spacing w:val="0"/>
          <w:sz w:val="32"/>
          <w:szCs w:val="32"/>
        </w:rPr>
        <w:t>重点制造业企业、农业龙头企业科技特派员和首席专家全覆盖。加强知识产权保护，万人发明专利拥有量达</w:t>
      </w:r>
      <w:r>
        <w:rPr>
          <w:rFonts w:hint="default" w:ascii="Times New Roman" w:hAnsi="Times New Roman" w:eastAsia="方正仿宋_GBK" w:cs="Times New Roman"/>
          <w:color w:val="auto"/>
          <w:spacing w:val="0"/>
          <w:sz w:val="32"/>
          <w:szCs w:val="32"/>
          <w:lang w:val="en-US" w:eastAsia="zh-CN"/>
        </w:rPr>
        <w:t>10.5</w:t>
      </w:r>
      <w:r>
        <w:rPr>
          <w:rFonts w:hint="default" w:ascii="Times New Roman" w:hAnsi="Times New Roman" w:eastAsia="方正仿宋_GBK" w:cs="Times New Roman"/>
          <w:color w:val="auto"/>
          <w:spacing w:val="0"/>
          <w:sz w:val="32"/>
          <w:szCs w:val="32"/>
        </w:rPr>
        <w:t>件。</w:t>
      </w:r>
    </w:p>
    <w:p w14:paraId="175F38CC">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eastAsia="zh-CN"/>
        </w:rPr>
        <w:t>持续优化创新生态</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迭代升级促进科技创新高质量发展系列措施</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推广科技政策“免</w:t>
      </w:r>
      <w:r>
        <w:rPr>
          <w:rFonts w:hint="default" w:ascii="Times New Roman" w:hAnsi="Times New Roman" w:eastAsia="方正仿宋_GBK" w:cs="Times New Roman"/>
          <w:color w:val="auto"/>
          <w:spacing w:val="0"/>
          <w:sz w:val="32"/>
          <w:szCs w:val="32"/>
          <w:lang w:eastAsia="zh-CN"/>
        </w:rPr>
        <w:t>申</w:t>
      </w:r>
      <w:r>
        <w:rPr>
          <w:rFonts w:hint="default" w:ascii="Times New Roman" w:hAnsi="Times New Roman" w:eastAsia="方正仿宋_GBK" w:cs="Times New Roman"/>
          <w:color w:val="auto"/>
          <w:spacing w:val="0"/>
          <w:sz w:val="32"/>
          <w:szCs w:val="32"/>
        </w:rPr>
        <w:t>即享”，推动科技奖励、项目申报等流程优化。实施</w:t>
      </w:r>
      <w:r>
        <w:rPr>
          <w:rFonts w:hint="default" w:ascii="Times New Roman" w:hAnsi="Times New Roman" w:eastAsia="方正仿宋_GBK" w:cs="Times New Roman"/>
          <w:color w:val="auto"/>
          <w:spacing w:val="0"/>
          <w:sz w:val="32"/>
          <w:szCs w:val="32"/>
          <w:lang w:eastAsia="zh-CN"/>
        </w:rPr>
        <w:t>三大</w:t>
      </w:r>
      <w:r>
        <w:rPr>
          <w:rFonts w:hint="default" w:ascii="Times New Roman" w:hAnsi="Times New Roman" w:eastAsia="方正仿宋_GBK" w:cs="Times New Roman"/>
          <w:color w:val="auto"/>
          <w:spacing w:val="0"/>
          <w:sz w:val="32"/>
          <w:szCs w:val="32"/>
        </w:rPr>
        <w:t>聚</w:t>
      </w:r>
      <w:r>
        <w:rPr>
          <w:rFonts w:hint="default" w:ascii="Times New Roman" w:hAnsi="Times New Roman" w:eastAsia="方正仿宋_GBK" w:cs="Times New Roman"/>
          <w:color w:val="auto"/>
          <w:spacing w:val="0"/>
          <w:sz w:val="32"/>
          <w:szCs w:val="32"/>
          <w:lang w:eastAsia="zh-CN"/>
        </w:rPr>
        <w:t>才</w:t>
      </w:r>
      <w:r>
        <w:rPr>
          <w:rFonts w:hint="default" w:ascii="Times New Roman" w:hAnsi="Times New Roman" w:eastAsia="方正仿宋_GBK" w:cs="Times New Roman"/>
          <w:color w:val="auto"/>
          <w:spacing w:val="0"/>
          <w:sz w:val="32"/>
          <w:szCs w:val="32"/>
        </w:rPr>
        <w:t>行动，新引进制造业首席专家10名</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引进</w:t>
      </w:r>
      <w:r>
        <w:rPr>
          <w:rFonts w:hint="default" w:ascii="Times New Roman" w:hAnsi="Times New Roman" w:eastAsia="方正仿宋_GBK" w:cs="Times New Roman"/>
          <w:color w:val="auto"/>
          <w:spacing w:val="0"/>
          <w:sz w:val="32"/>
          <w:szCs w:val="32"/>
          <w:lang w:eastAsia="zh-CN"/>
        </w:rPr>
        <w:t>各类</w:t>
      </w:r>
      <w:r>
        <w:rPr>
          <w:rFonts w:hint="default" w:ascii="Times New Roman" w:hAnsi="Times New Roman" w:eastAsia="方正仿宋_GBK" w:cs="Times New Roman"/>
          <w:color w:val="auto"/>
          <w:spacing w:val="0"/>
          <w:sz w:val="32"/>
          <w:szCs w:val="32"/>
        </w:rPr>
        <w:t>优秀人才</w:t>
      </w:r>
      <w:r>
        <w:rPr>
          <w:rFonts w:hint="default" w:ascii="Times New Roman" w:hAnsi="Times New Roman" w:eastAsia="方正仿宋_GBK" w:cs="Times New Roman"/>
          <w:color w:val="auto"/>
          <w:spacing w:val="0"/>
          <w:sz w:val="32"/>
          <w:szCs w:val="32"/>
          <w:lang w:val="en-US" w:eastAsia="zh-CN"/>
        </w:rPr>
        <w:t>1800名</w:t>
      </w:r>
      <w:r>
        <w:rPr>
          <w:rFonts w:hint="default" w:ascii="Times New Roman" w:hAnsi="Times New Roman" w:eastAsia="方正仿宋_GBK" w:cs="Times New Roman"/>
          <w:color w:val="auto"/>
          <w:spacing w:val="0"/>
          <w:sz w:val="32"/>
          <w:szCs w:val="32"/>
          <w:lang w:eastAsia="zh-CN"/>
        </w:rPr>
        <w:t>以上</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val="en-US" w:eastAsia="zh-CN"/>
        </w:rPr>
        <w:t>用好</w:t>
      </w:r>
      <w:r>
        <w:rPr>
          <w:rFonts w:hint="default" w:ascii="Times New Roman" w:hAnsi="Times New Roman" w:eastAsia="方正仿宋_GBK" w:cs="Times New Roman"/>
          <w:color w:val="auto"/>
          <w:spacing w:val="0"/>
          <w:sz w:val="32"/>
          <w:szCs w:val="32"/>
          <w:lang w:eastAsia="zh-CN"/>
        </w:rPr>
        <w:t>科技金融服务</w:t>
      </w:r>
      <w:r>
        <w:rPr>
          <w:rFonts w:hint="default" w:ascii="Times New Roman" w:hAnsi="Times New Roman" w:eastAsia="方正仿宋_GBK" w:cs="Times New Roman"/>
          <w:color w:val="auto"/>
          <w:spacing w:val="0"/>
          <w:sz w:val="32"/>
          <w:szCs w:val="32"/>
        </w:rPr>
        <w:t>，科技信用贷款规模超过2亿元。深化与两江新区、</w:t>
      </w:r>
      <w:r>
        <w:rPr>
          <w:rFonts w:hint="default" w:ascii="Times New Roman" w:hAnsi="Times New Roman" w:eastAsia="方正仿宋_GBK" w:cs="Times New Roman"/>
          <w:color w:val="auto"/>
          <w:spacing w:val="0"/>
          <w:sz w:val="32"/>
          <w:szCs w:val="32"/>
          <w:lang w:eastAsia="zh-CN"/>
        </w:rPr>
        <w:t>重庆高新区</w:t>
      </w:r>
      <w:r>
        <w:rPr>
          <w:rFonts w:hint="default" w:ascii="Times New Roman" w:hAnsi="Times New Roman" w:eastAsia="方正仿宋_GBK" w:cs="Times New Roman"/>
          <w:color w:val="auto"/>
          <w:spacing w:val="0"/>
          <w:sz w:val="32"/>
          <w:szCs w:val="32"/>
        </w:rPr>
        <w:t>协同创新，</w:t>
      </w:r>
      <w:r>
        <w:rPr>
          <w:rFonts w:hint="default" w:ascii="Times New Roman" w:hAnsi="Times New Roman" w:eastAsia="方正仿宋_GBK" w:cs="Times New Roman"/>
          <w:color w:val="auto"/>
          <w:spacing w:val="0"/>
          <w:sz w:val="32"/>
          <w:szCs w:val="32"/>
          <w:lang w:val="en-US" w:eastAsia="zh-CN"/>
        </w:rPr>
        <w:t>规划建设两江协同创新区铜梁科技园。</w:t>
      </w:r>
    </w:p>
    <w:p w14:paraId="54FBAD2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四</w:t>
      </w: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val="en-US" w:eastAsia="zh-CN"/>
        </w:rPr>
        <w:t>坚定不移抓对外开放，打造渝西地区枢纽新城取得新突破</w:t>
      </w:r>
      <w:r>
        <w:rPr>
          <w:rFonts w:hint="default" w:ascii="Times New Roman" w:hAnsi="Times New Roman" w:eastAsia="方正仿宋_GBK" w:cs="Times New Roman"/>
          <w:color w:val="auto"/>
          <w:spacing w:val="0"/>
          <w:sz w:val="32"/>
          <w:szCs w:val="32"/>
          <w:lang w:val="en-US" w:eastAsia="zh-CN"/>
        </w:rPr>
        <w:t>。坚持以大开放促大发展，大力实施开放发展提质行动，积极融入全市、全国、全球发展大局，提升区域竞争力。</w:t>
      </w:r>
    </w:p>
    <w:p w14:paraId="757638F6">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深化双圈协同联动</w:t>
      </w:r>
      <w:r>
        <w:rPr>
          <w:rFonts w:hint="default" w:ascii="Times New Roman" w:hAnsi="Times New Roman" w:eastAsia="方正仿宋_GBK" w:cs="Times New Roman"/>
          <w:color w:val="auto"/>
          <w:spacing w:val="0"/>
          <w:sz w:val="32"/>
          <w:szCs w:val="32"/>
          <w:lang w:val="en-US" w:eastAsia="zh-CN"/>
        </w:rPr>
        <w:t>。加速</w:t>
      </w:r>
      <w:r>
        <w:rPr>
          <w:rFonts w:hint="default" w:ascii="Times New Roman" w:hAnsi="Times New Roman" w:eastAsia="方正仿宋_GBK" w:cs="Times New Roman"/>
          <w:color w:val="auto"/>
          <w:spacing w:val="0"/>
          <w:sz w:val="32"/>
          <w:szCs w:val="32"/>
        </w:rPr>
        <w:t>建设成渝中线高铁</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千吨级涪江航道</w:t>
      </w:r>
      <w:r>
        <w:rPr>
          <w:rFonts w:hint="default" w:ascii="Times New Roman" w:hAnsi="Times New Roman" w:eastAsia="方正仿宋_GBK" w:cs="Times New Roman"/>
          <w:color w:val="auto"/>
          <w:spacing w:val="0"/>
          <w:sz w:val="32"/>
          <w:szCs w:val="32"/>
          <w:lang w:eastAsia="zh-CN"/>
        </w:rPr>
        <w:t>，推动</w:t>
      </w:r>
      <w:r>
        <w:rPr>
          <w:rFonts w:hint="default" w:ascii="Times New Roman" w:hAnsi="Times New Roman" w:eastAsia="方正仿宋_GBK" w:cs="Times New Roman"/>
          <w:color w:val="auto"/>
          <w:spacing w:val="0"/>
          <w:sz w:val="32"/>
          <w:szCs w:val="32"/>
        </w:rPr>
        <w:t>重庆都市圈环线铁路、渝遂高速扩能二期建设</w:t>
      </w:r>
      <w:r>
        <w:rPr>
          <w:rFonts w:hint="default" w:ascii="Times New Roman" w:hAnsi="Times New Roman" w:eastAsia="方正仿宋_GBK" w:cs="Times New Roman"/>
          <w:color w:val="auto"/>
          <w:spacing w:val="0"/>
          <w:sz w:val="32"/>
          <w:szCs w:val="32"/>
          <w:lang w:eastAsia="zh-CN"/>
        </w:rPr>
        <w:t>。加快</w:t>
      </w:r>
      <w:r>
        <w:rPr>
          <w:rFonts w:hint="default" w:ascii="Times New Roman" w:hAnsi="Times New Roman" w:eastAsia="方正仿宋_GBK" w:cs="Times New Roman"/>
          <w:color w:val="auto"/>
          <w:spacing w:val="0"/>
          <w:sz w:val="32"/>
          <w:szCs w:val="32"/>
        </w:rPr>
        <w:t>铜梁至</w:t>
      </w:r>
      <w:r>
        <w:rPr>
          <w:rFonts w:hint="default" w:ascii="Times New Roman" w:hAnsi="Times New Roman" w:eastAsia="方正仿宋_GBK" w:cs="Times New Roman"/>
          <w:color w:val="auto"/>
          <w:spacing w:val="0"/>
          <w:sz w:val="32"/>
          <w:szCs w:val="32"/>
          <w:lang w:eastAsia="zh-CN"/>
        </w:rPr>
        <w:t>永川</w:t>
      </w:r>
      <w:r>
        <w:rPr>
          <w:rFonts w:hint="default" w:ascii="Times New Roman" w:hAnsi="Times New Roman" w:eastAsia="方正仿宋_GBK" w:cs="Times New Roman"/>
          <w:color w:val="auto"/>
          <w:spacing w:val="0"/>
          <w:sz w:val="32"/>
          <w:szCs w:val="32"/>
        </w:rPr>
        <w:t>高速公路、</w:t>
      </w:r>
      <w:r>
        <w:rPr>
          <w:rFonts w:hint="default" w:ascii="Times New Roman" w:hAnsi="Times New Roman" w:eastAsia="方正仿宋_GBK" w:cs="Times New Roman"/>
          <w:color w:val="auto"/>
          <w:spacing w:val="0"/>
          <w:sz w:val="32"/>
          <w:szCs w:val="32"/>
          <w:lang w:val="en-US" w:eastAsia="zh-CN"/>
        </w:rPr>
        <w:t>渝遂城际铁路、西向物流通道等项目前期工作。协同共建川南渝西融合发展试验区，拓展川渝产业、科技项目合作，深度融入</w:t>
      </w:r>
      <w:r>
        <w:rPr>
          <w:rFonts w:hint="default" w:ascii="Times New Roman" w:hAnsi="Times New Roman" w:eastAsia="方正仿宋_GBK" w:cs="Times New Roman"/>
          <w:color w:val="auto"/>
          <w:spacing w:val="0"/>
          <w:sz w:val="32"/>
          <w:szCs w:val="32"/>
        </w:rPr>
        <w:t>成渝中线科创走廊、</w:t>
      </w:r>
      <w:r>
        <w:rPr>
          <w:rFonts w:hint="default" w:ascii="Times New Roman" w:hAnsi="Times New Roman" w:eastAsia="方正仿宋_GBK" w:cs="Times New Roman"/>
          <w:color w:val="auto"/>
          <w:spacing w:val="0"/>
          <w:sz w:val="32"/>
          <w:szCs w:val="32"/>
          <w:lang w:val="en-US" w:eastAsia="zh-CN"/>
        </w:rPr>
        <w:t>成渝绵“创新金三角”，</w:t>
      </w:r>
      <w:r>
        <w:rPr>
          <w:rFonts w:hint="default" w:ascii="Times New Roman" w:hAnsi="Times New Roman" w:eastAsia="方正仿宋_GBK" w:cs="Times New Roman"/>
          <w:color w:val="auto"/>
          <w:spacing w:val="0"/>
          <w:sz w:val="32"/>
          <w:szCs w:val="32"/>
        </w:rPr>
        <w:t>构建区域</w:t>
      </w:r>
      <w:r>
        <w:rPr>
          <w:rFonts w:hint="default" w:ascii="Times New Roman" w:hAnsi="Times New Roman" w:eastAsia="方正仿宋_GBK" w:cs="Times New Roman"/>
          <w:color w:val="auto"/>
          <w:spacing w:val="0"/>
          <w:sz w:val="32"/>
          <w:szCs w:val="32"/>
          <w:lang w:eastAsia="zh-CN"/>
        </w:rPr>
        <w:t>科产</w:t>
      </w:r>
      <w:r>
        <w:rPr>
          <w:rFonts w:hint="default" w:ascii="Times New Roman" w:hAnsi="Times New Roman" w:eastAsia="方正仿宋_GBK" w:cs="Times New Roman"/>
          <w:color w:val="auto"/>
          <w:spacing w:val="0"/>
          <w:sz w:val="32"/>
          <w:szCs w:val="32"/>
        </w:rPr>
        <w:t>融合新格局。</w:t>
      </w:r>
      <w:r>
        <w:rPr>
          <w:rFonts w:hint="default" w:ascii="Times New Roman" w:hAnsi="Times New Roman" w:eastAsia="方正仿宋_GBK" w:cs="Times New Roman"/>
          <w:color w:val="auto"/>
          <w:spacing w:val="0"/>
          <w:sz w:val="32"/>
          <w:szCs w:val="32"/>
          <w:lang w:val="en-US" w:eastAsia="zh-CN"/>
        </w:rPr>
        <w:t>积极融入巴蜀文化旅游走廊建设，联合打造精品旅游线路2条，推出“成渝双城</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非遗联创”系列文创产品，共同申报国家级巴蜀文化生态保护区。开展涪江、琼江跨界河流水生态环境保护联防联治，全面落实“川渝通办”政务事项。</w:t>
      </w:r>
    </w:p>
    <w:p w14:paraId="79619EDC">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持续壮大开放经济</w:t>
      </w:r>
      <w:r>
        <w:rPr>
          <w:rFonts w:hint="default" w:ascii="Times New Roman" w:hAnsi="Times New Roman" w:eastAsia="方正仿宋_GBK" w:cs="Times New Roman"/>
          <w:color w:val="auto"/>
          <w:spacing w:val="0"/>
          <w:sz w:val="32"/>
          <w:szCs w:val="32"/>
          <w:lang w:val="en-US" w:eastAsia="zh-CN"/>
        </w:rPr>
        <w:t>。制定实施扩大外贸进出口三年行动计划，积极参加“投资重庆”品牌活动，培育壮大一批外贸进出口企业。全力解决锂电储能产品铁路运输瓶颈，培育外贸新增长点。拓宽通机、印刷材料等优势产品出口，扩大新材料、汽车零部件出口。积极组织企业通过境外展会、展销对接等方式拓展国际市场。全面落实外商投资税收抵免等优惠政策，推动存量外资企业增资扩股，支持外资通过并购、参股等方式参与本土企业重组升级。进出口总额、实际使用外资实现新突破。</w:t>
      </w:r>
    </w:p>
    <w:p w14:paraId="2B030C99">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深化拓展开放平台</w:t>
      </w:r>
      <w:r>
        <w:rPr>
          <w:rFonts w:hint="default" w:ascii="Times New Roman" w:hAnsi="Times New Roman" w:eastAsia="方正仿宋_GBK" w:cs="Times New Roman"/>
          <w:color w:val="auto"/>
          <w:spacing w:val="0"/>
          <w:sz w:val="32"/>
          <w:szCs w:val="32"/>
          <w:lang w:val="en-US" w:eastAsia="zh-CN"/>
        </w:rPr>
        <w:t>。依托重庆都市圈环线铁路规划布局铜梁东站物流园，引进培育外贸综合服务企业，积极构建现代化集疏运体系和外贸综合服务体系。深化自贸区联动创新区建设，推广铁海联运“一单制”和外汇改革工作，促进贸易通关便利化，新培育AEO认证企业1家。用好西部陆海新通道、中欧班列物流通道，拓展沿线国家和地区贸易，经西部陆海新通道货运量、货运值增速达到10%。链接西洽会、进博会等国际性会展平台，促进贸易投资联动发展</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积极开展国际国内城市交流活动。</w:t>
      </w:r>
    </w:p>
    <w:p w14:paraId="7F3D099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五</w:t>
      </w: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val="en-US" w:eastAsia="zh-CN"/>
        </w:rPr>
        <w:t>坚定不移抓改革攻坚，打造更多标志性改革成果取得新突破</w:t>
      </w:r>
      <w:r>
        <w:rPr>
          <w:rFonts w:hint="default" w:ascii="Times New Roman" w:hAnsi="Times New Roman" w:eastAsia="方正仿宋_GBK" w:cs="Times New Roman"/>
          <w:color w:val="auto"/>
          <w:spacing w:val="0"/>
          <w:sz w:val="32"/>
          <w:szCs w:val="32"/>
          <w:lang w:val="en-US" w:eastAsia="zh-CN"/>
        </w:rPr>
        <w:t>。坚持集成式改革创新，提高改革精准性、针对性、实效性，以治理效能提升促进经济高质量发展。</w:t>
      </w:r>
    </w:p>
    <w:p w14:paraId="24BFC5F1">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持续推动数字重庆建设</w:t>
      </w:r>
      <w:r>
        <w:rPr>
          <w:rFonts w:hint="default" w:ascii="Times New Roman" w:hAnsi="Times New Roman" w:eastAsia="方正仿宋_GBK" w:cs="Times New Roman"/>
          <w:color w:val="auto"/>
          <w:spacing w:val="0"/>
          <w:sz w:val="32"/>
          <w:szCs w:val="32"/>
          <w:lang w:val="en-US" w:eastAsia="zh-CN"/>
        </w:rPr>
        <w:t>。高质量开展数据归集治理</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数据治理合格率95%以上，建成高质量数据集2个，开发AI智能体5个。新接入感知设备2万个以上。推进各行业使用智算资源，智算算力使用量达120PFLOPS。迭代升级“足球赛事”AI+综合场景，积极谋划新的应用场景。全面打通八大板块核心功能，深化三级贯通、五级联动体系，迭代完善“141”基层智治体系，优化网格管理机制，推动区镇两级治理中心高效运行，数字重庆建设走在全市第一方阵。</w:t>
      </w:r>
    </w:p>
    <w:p w14:paraId="3E658B24">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纵深推进国资国企改革</w:t>
      </w:r>
      <w:r>
        <w:rPr>
          <w:rFonts w:hint="default" w:ascii="Times New Roman" w:hAnsi="Times New Roman" w:eastAsia="方正仿宋_GBK" w:cs="Times New Roman"/>
          <w:color w:val="auto"/>
          <w:spacing w:val="0"/>
          <w:sz w:val="32"/>
          <w:szCs w:val="32"/>
          <w:lang w:val="en-US" w:eastAsia="zh-CN"/>
        </w:rPr>
        <w:t>。持续推进专业化整合、市场化转型，巩固拓展瘦身、止损、盘活综合成果，推动改革后国企加快迈向稳进提质“快车道”，提升国企产业引领力、要素集聚力和核心竞争力。培育AA+级企业1家，国企经营性收入增长10%以上、利润增长超5%。全量化目录化项目化推动国有资产盘活，聚焦闲置土地、房屋、公共基础设施等重点领域，做实资产盘活工作，力争全年盘活资产40亿元，回收资金25亿元。完善现代企业制度，深化劳动、人事、分配三项制度改革，建立差异化薪酬分配机制。健全以“管资本”为主的国资监管体系，持续提升监管效能。</w:t>
      </w:r>
    </w:p>
    <w:p w14:paraId="36587130">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统筹要素市场化配置综合改革</w:t>
      </w:r>
      <w:r>
        <w:rPr>
          <w:rFonts w:hint="default" w:ascii="Times New Roman" w:hAnsi="Times New Roman" w:eastAsia="方正仿宋_GBK" w:cs="Times New Roman"/>
          <w:color w:val="auto"/>
          <w:spacing w:val="0"/>
          <w:sz w:val="32"/>
          <w:szCs w:val="32"/>
          <w:lang w:val="en-US" w:eastAsia="zh-CN"/>
        </w:rPr>
        <w:t>。探索搭建“土地超市”，推进土地高效配置，用好用活存量产业用地功能转换、产业用房分割转让等改革举措，谋划实施项目50个、面积2500亩，规上制造业亩均税收增长5%。提升金融服务质效，健全基金投资绩效评价与容错纠错机制，用好用活产业基金和科创基金，加大运用金融工具盘活存量国有资产力度，争创市级普惠金融发展示范区。优化人力资源供给，探索“双聘双用”“人才飞地”，深化高层次人才柔性引进机制，推动职业院校与产业集群合作设置“冠名班”“订单班”，打造“招生即招工、上课即上岗”产教融合新模式。拓展资源利用效能，实施河库生态价值转换项目，支持集中式光伏发电项目为企业提供绿色电力，启动建设绿电直连项目。</w:t>
      </w:r>
    </w:p>
    <w:p w14:paraId="76154275">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持续优化“有求必应、无事不扰”营商环境</w:t>
      </w:r>
      <w:r>
        <w:rPr>
          <w:rFonts w:hint="default" w:ascii="Times New Roman" w:hAnsi="Times New Roman" w:eastAsia="方正仿宋_GBK" w:cs="Times New Roman"/>
          <w:color w:val="auto"/>
          <w:spacing w:val="0"/>
          <w:sz w:val="32"/>
          <w:szCs w:val="32"/>
          <w:lang w:val="en-US" w:eastAsia="zh-CN"/>
        </w:rPr>
        <w:t>。探索开展“项目化管理”改革，建立以项目为核心的目标体系、工作体系、政策体系和评价体系，提升“抓落实促发展”能力。深入实施人员、经费“双减”改革，动态管控编外人员总额，完善财政资源配置，构建集约运行体系，提升机关事业单位服务效能和水平。深化企业服务机制改革，优化“三服务”“四联系”工作机制，全面推行政策资金“免申快享”，建立涉企重大事项报告制度，抓好涉法涉诉企业精准帮扶，加强异地执法协作，让企业投资放心、创业顺心、发展安心。</w:t>
      </w:r>
    </w:p>
    <w:p w14:paraId="4FDABF6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eastAsia="zh-CN"/>
        </w:rPr>
      </w:pP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六</w:t>
      </w:r>
      <w:r>
        <w:rPr>
          <w:rFonts w:hint="default" w:ascii="方正楷体_GBK" w:hAnsi="方正楷体_GBK" w:eastAsia="方正楷体_GBK" w:cs="方正楷体_GBK"/>
          <w:color w:val="auto"/>
          <w:spacing w:val="0"/>
          <w:sz w:val="32"/>
          <w:szCs w:val="32"/>
        </w:rPr>
        <w:t>）坚定不移抓</w:t>
      </w:r>
      <w:r>
        <w:rPr>
          <w:rFonts w:hint="default" w:ascii="方正楷体_GBK" w:hAnsi="方正楷体_GBK" w:eastAsia="方正楷体_GBK" w:cs="方正楷体_GBK"/>
          <w:color w:val="auto"/>
          <w:spacing w:val="0"/>
          <w:sz w:val="32"/>
          <w:szCs w:val="32"/>
          <w:lang w:eastAsia="zh-CN"/>
        </w:rPr>
        <w:t>文体旅一体</w:t>
      </w:r>
      <w:r>
        <w:rPr>
          <w:rFonts w:hint="default" w:ascii="方正楷体_GBK" w:hAnsi="方正楷体_GBK" w:eastAsia="方正楷体_GBK" w:cs="方正楷体_GBK"/>
          <w:color w:val="auto"/>
          <w:spacing w:val="0"/>
          <w:sz w:val="32"/>
          <w:szCs w:val="32"/>
        </w:rPr>
        <w:t>发展，</w:t>
      </w:r>
      <w:r>
        <w:rPr>
          <w:rFonts w:hint="default" w:ascii="方正楷体_GBK" w:hAnsi="方正楷体_GBK" w:eastAsia="方正楷体_GBK" w:cs="方正楷体_GBK"/>
          <w:color w:val="auto"/>
          <w:spacing w:val="0"/>
          <w:sz w:val="32"/>
          <w:szCs w:val="32"/>
          <w:lang w:eastAsia="zh-CN"/>
        </w:rPr>
        <w:t>打造巴蜀靓丽</w:t>
      </w:r>
      <w:r>
        <w:rPr>
          <w:rFonts w:hint="default" w:ascii="方正楷体_GBK" w:hAnsi="方正楷体_GBK" w:eastAsia="方正楷体_GBK" w:cs="方正楷体_GBK"/>
          <w:color w:val="auto"/>
          <w:spacing w:val="0"/>
          <w:sz w:val="32"/>
          <w:szCs w:val="32"/>
          <w:lang w:val="en-US" w:eastAsia="zh-CN"/>
        </w:rPr>
        <w:t>名片</w:t>
      </w:r>
      <w:r>
        <w:rPr>
          <w:rFonts w:hint="default" w:ascii="方正楷体_GBK" w:hAnsi="方正楷体_GBK" w:eastAsia="方正楷体_GBK" w:cs="方正楷体_GBK"/>
          <w:color w:val="auto"/>
          <w:spacing w:val="0"/>
          <w:sz w:val="32"/>
          <w:szCs w:val="32"/>
        </w:rPr>
        <w:t>取得</w:t>
      </w:r>
      <w:r>
        <w:rPr>
          <w:rFonts w:hint="default" w:ascii="方正楷体_GBK" w:hAnsi="方正楷体_GBK" w:eastAsia="方正楷体_GBK" w:cs="方正楷体_GBK"/>
          <w:color w:val="auto"/>
          <w:spacing w:val="0"/>
          <w:sz w:val="32"/>
          <w:szCs w:val="32"/>
          <w:lang w:eastAsia="zh-CN"/>
        </w:rPr>
        <w:t>新</w:t>
      </w:r>
      <w:r>
        <w:rPr>
          <w:rFonts w:hint="default" w:ascii="方正楷体_GBK" w:hAnsi="方正楷体_GBK" w:eastAsia="方正楷体_GBK" w:cs="方正楷体_GBK"/>
          <w:color w:val="auto"/>
          <w:spacing w:val="0"/>
          <w:sz w:val="32"/>
          <w:szCs w:val="32"/>
        </w:rPr>
        <w:t>突破</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eastAsia="zh-CN"/>
        </w:rPr>
        <w:t>把文体旅作为经济发展的重要抓手，龙文化和龙足球“双轮驱动”</w:t>
      </w:r>
      <w:r>
        <w:rPr>
          <w:rFonts w:hint="default" w:ascii="Times New Roman" w:hAnsi="Times New Roman" w:eastAsia="方正仿宋_GBK" w:cs="Times New Roman"/>
          <w:color w:val="auto"/>
          <w:spacing w:val="0"/>
          <w:sz w:val="32"/>
          <w:szCs w:val="32"/>
          <w:lang w:val="en-US" w:eastAsia="zh-CN"/>
        </w:rPr>
        <w:t>，大力提升城市影响力和产业带动力</w:t>
      </w:r>
      <w:r>
        <w:rPr>
          <w:rFonts w:hint="default" w:ascii="Times New Roman" w:hAnsi="Times New Roman" w:eastAsia="方正仿宋_GBK" w:cs="Times New Roman"/>
          <w:color w:val="auto"/>
          <w:spacing w:val="0"/>
          <w:sz w:val="32"/>
          <w:szCs w:val="32"/>
          <w:lang w:eastAsia="zh-CN"/>
        </w:rPr>
        <w:t>。</w:t>
      </w:r>
    </w:p>
    <w:p w14:paraId="46573B82">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提速建设龙文化旅游名城</w:t>
      </w:r>
      <w:r>
        <w:rPr>
          <w:rFonts w:hint="default" w:ascii="Times New Roman" w:hAnsi="Times New Roman" w:eastAsia="方正仿宋_GBK" w:cs="Times New Roman"/>
          <w:color w:val="auto"/>
          <w:spacing w:val="0"/>
          <w:sz w:val="32"/>
          <w:szCs w:val="32"/>
          <w:lang w:val="en-US" w:eastAsia="zh-CN"/>
        </w:rPr>
        <w:t>。编制龙文化旅游名城建设专项规划，布局龙文化旅游集聚区、创意产业区、融合发展区。启动铜梁“龙岛”规划建设，推动淮远龙街、龙温泉营业。</w:t>
      </w:r>
      <w:r>
        <w:rPr>
          <w:rFonts w:hint="default" w:ascii="Times New Roman" w:hAnsi="Times New Roman" w:eastAsia="方正仿宋_GBK" w:cs="Times New Roman"/>
          <w:color w:val="auto"/>
          <w:spacing w:val="0"/>
          <w:sz w:val="32"/>
          <w:szCs w:val="32"/>
          <w:lang w:eastAsia="zh-CN"/>
        </w:rPr>
        <w:t>提档</w:t>
      </w:r>
      <w:r>
        <w:rPr>
          <w:rFonts w:hint="default" w:ascii="Times New Roman" w:hAnsi="Times New Roman" w:eastAsia="方正仿宋_GBK" w:cs="Times New Roman"/>
          <w:color w:val="auto"/>
          <w:spacing w:val="0"/>
          <w:sz w:val="32"/>
          <w:szCs w:val="32"/>
        </w:rPr>
        <w:t>龙文化演艺中心</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升级《追梦</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铜梁龙》实景剧。加快发展龙文化产业，打造龙乡网络视听产业基地，培育“铜梁龙”创意设计产业集群。启动运营“铜梁龙”区域公用品牌，打造“爆款”产品。举办龙灯艺术节、铜梁龙马拉松、端午龙舟会、中华龙狮大赛等赛会活动。</w:t>
      </w:r>
    </w:p>
    <w:p w14:paraId="7BC44CC0">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丰富龙乡旅游业态</w:t>
      </w:r>
      <w:r>
        <w:rPr>
          <w:rFonts w:hint="default" w:ascii="Times New Roman" w:hAnsi="Times New Roman" w:eastAsia="方正仿宋_GBK" w:cs="Times New Roman"/>
          <w:color w:val="auto"/>
          <w:spacing w:val="0"/>
          <w:sz w:val="32"/>
          <w:szCs w:val="32"/>
          <w:lang w:val="en-US" w:eastAsia="zh-CN"/>
        </w:rPr>
        <w:t>。加快围龙</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龙乡田园项目建设，推动家泽田园景区提档升级，培育运动休闲、水上娱乐等乡村旅游新业态，新建民宿、露营基地5个，持续举办荷文化旅游节、樱桃采摘季等特色乡村节会，推出四季主题游。开展郭汝瑰旧居修缮前期工作，提档升级邱少云烈士纪念馆展厅，联动渝西片区推出精品红色主题游线。打造安居古城知行民俗市级研学基地，推进建设龙香精油等特色研学基地。成立铜梁文体旅新媒体</w:t>
      </w:r>
      <w:r>
        <w:rPr>
          <w:rFonts w:hint="eastAsia" w:ascii="Times New Roman" w:hAnsi="Times New Roman" w:eastAsia="方正仿宋_GBK" w:cs="Times New Roman"/>
          <w:color w:val="auto"/>
          <w:spacing w:val="0"/>
          <w:sz w:val="32"/>
          <w:szCs w:val="32"/>
          <w:lang w:val="en-US" w:eastAsia="zh-CN"/>
        </w:rPr>
        <w:t>宣传推广</w:t>
      </w:r>
      <w:r>
        <w:rPr>
          <w:rFonts w:hint="default" w:ascii="Times New Roman" w:hAnsi="Times New Roman" w:eastAsia="方正仿宋_GBK" w:cs="Times New Roman"/>
          <w:color w:val="auto"/>
          <w:spacing w:val="0"/>
          <w:sz w:val="32"/>
          <w:szCs w:val="32"/>
          <w:lang w:val="en-US" w:eastAsia="zh-CN"/>
        </w:rPr>
        <w:t>联盟，升级打造“周末到铜梁”微度假品牌。</w:t>
      </w:r>
    </w:p>
    <w:p w14:paraId="264BD3BE">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积极打造西部足球城</w:t>
      </w:r>
      <w:r>
        <w:rPr>
          <w:rFonts w:hint="default" w:ascii="Times New Roman" w:hAnsi="Times New Roman" w:eastAsia="方正仿宋_GBK" w:cs="Times New Roman"/>
          <w:color w:val="auto"/>
          <w:spacing w:val="0"/>
          <w:sz w:val="32"/>
          <w:szCs w:val="32"/>
          <w:lang w:val="en-US" w:eastAsia="zh-CN"/>
        </w:rPr>
        <w:t>。制定西部足球城五年行动计划。启动建设重庆足球训练中心和社会足球场地，提升铜梁龙体育场。推进青训体系建设，建立“幼小初高”全链条青训矩阵，争创国家级足球特色学校，培养高水平足球教练员、裁判员。大力支持铜梁龙足球俱乐部发展，办好铜梁龙足球队主场赛事、U16国家男足四国赛、“渝超”主场赛事。多方共建足球赛事运营公司，举办“铜梁龙”品牌系列赛。围绕足球培训、赛事组织、足球周边等拓展产业链条，加快培育足球产业。</w:t>
      </w:r>
    </w:p>
    <w:p w14:paraId="7582914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lang w:val="en-US" w:eastAsia="zh-CN"/>
        </w:rPr>
        <w:t>（七）坚定不移抓城市经营，建设现代化人民城市取得新突破</w:t>
      </w:r>
      <w:r>
        <w:rPr>
          <w:rFonts w:hint="default" w:ascii="Times New Roman" w:hAnsi="Times New Roman" w:eastAsia="方正仿宋_GBK" w:cs="Times New Roman"/>
          <w:color w:val="auto"/>
          <w:spacing w:val="0"/>
          <w:sz w:val="32"/>
          <w:szCs w:val="32"/>
          <w:lang w:val="en-US" w:eastAsia="zh-CN"/>
        </w:rPr>
        <w:t>。深入落实中央、市委城市工作会议精神，高质量实施城市更新行动，以经营城市理念为先导，更好让城市有机生长，满足人民群众高品质生活需要。</w:t>
      </w:r>
    </w:p>
    <w:p w14:paraId="0A483271">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建设产城更相融的城市</w:t>
      </w:r>
      <w:r>
        <w:rPr>
          <w:rFonts w:hint="default" w:ascii="Times New Roman" w:hAnsi="Times New Roman" w:eastAsia="方正仿宋_GBK" w:cs="Times New Roman"/>
          <w:color w:val="auto"/>
          <w:spacing w:val="0"/>
          <w:sz w:val="32"/>
          <w:szCs w:val="32"/>
          <w:lang w:val="en-US" w:eastAsia="zh-CN"/>
        </w:rPr>
        <w:t>。实施国土空间分区规划五年评估和动态维护，开展城市绿色空间一体化治理，优化城镇开发边界和用地布局，新增城区建设用地1000亩以上，推动产城空间扩容提质。优化高新区功能空间，编制科创新城国土空间详规，加快城区至高铁站快速路建设，建成金蒲大道、龙腾大道延伸段等6条道路，推进用地功能混合兼容，完善生产生活服务设施，建设高新区产业驿站2个。</w:t>
      </w:r>
    </w:p>
    <w:p w14:paraId="21EA2BE1">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建设智慧又韧性的城市</w:t>
      </w:r>
      <w:r>
        <w:rPr>
          <w:rFonts w:hint="default" w:ascii="Times New Roman" w:hAnsi="Times New Roman" w:eastAsia="方正仿宋_GBK" w:cs="Times New Roman"/>
          <w:color w:val="auto"/>
          <w:spacing w:val="0"/>
          <w:sz w:val="32"/>
          <w:szCs w:val="32"/>
          <w:lang w:val="en-US" w:eastAsia="zh-CN"/>
        </w:rPr>
        <w:t>。开展全域水网安全规划。实施城市运维管理一体化改革，推动市容环卫、园林绿化、设施维护等城市运维业务系统化整合、市场化经营。深化数智赋能和“大综合一体化”双轮驱动，打造“工程渣土治理利用”等AI+综合应用场景。实施城区排水防涝改造及应急能力提升工程，新建改造雨污管网10公里。持续推进正街社区建设现代社区，优化提升安全韧性、创新创业等九大场景。</w:t>
      </w:r>
    </w:p>
    <w:p w14:paraId="21DCC4F3">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建设宜居有品质的城市</w:t>
      </w:r>
      <w:r>
        <w:rPr>
          <w:rFonts w:hint="default" w:ascii="Times New Roman" w:hAnsi="Times New Roman" w:eastAsia="方正仿宋_GBK" w:cs="Times New Roman"/>
          <w:color w:val="auto"/>
          <w:spacing w:val="0"/>
          <w:sz w:val="32"/>
          <w:szCs w:val="32"/>
          <w:lang w:val="en-US" w:eastAsia="zh-CN"/>
        </w:rPr>
        <w:t>。实施创建全国文明城区四个专项提升行动。有序推进淮远新区建设，实施运动场片区城市更新。改造城镇老旧小区11个、城中村420户、危旧房45户，推动保障性住房建成“好房子”。新建改建公厕5座，新增停车位500个。实施一批适老化适儿化公园改造和口袋公园建设。新增绿地30万平方米，建设山城绿道5公里。</w:t>
      </w:r>
      <w:r>
        <w:rPr>
          <w:rFonts w:hint="default" w:ascii="Times New Roman" w:hAnsi="Times New Roman" w:eastAsia="方正仿宋_GBK" w:cs="Times New Roman"/>
          <w:color w:val="auto"/>
          <w:spacing w:val="0"/>
          <w:sz w:val="32"/>
          <w:szCs w:val="32"/>
          <w:lang w:eastAsia="zh-CN"/>
        </w:rPr>
        <w:t>开展</w:t>
      </w:r>
      <w:r>
        <w:rPr>
          <w:rFonts w:hint="default" w:ascii="Times New Roman" w:hAnsi="Times New Roman" w:eastAsia="方正仿宋_GBK" w:cs="Times New Roman"/>
          <w:color w:val="auto"/>
          <w:spacing w:val="0"/>
          <w:sz w:val="32"/>
          <w:szCs w:val="32"/>
        </w:rPr>
        <w:t>市容环境综合整治</w:t>
      </w:r>
      <w:r>
        <w:rPr>
          <w:rFonts w:hint="default" w:ascii="Times New Roman" w:hAnsi="Times New Roman" w:eastAsia="方正仿宋_GBK" w:cs="Times New Roman"/>
          <w:color w:val="auto"/>
          <w:spacing w:val="0"/>
          <w:sz w:val="32"/>
          <w:szCs w:val="32"/>
          <w:lang w:eastAsia="zh-CN"/>
        </w:rPr>
        <w:t>专项行动</w:t>
      </w:r>
      <w:r>
        <w:rPr>
          <w:rFonts w:hint="default" w:ascii="Times New Roman" w:hAnsi="Times New Roman" w:eastAsia="方正仿宋_GBK" w:cs="Times New Roman"/>
          <w:color w:val="auto"/>
          <w:spacing w:val="0"/>
          <w:sz w:val="32"/>
          <w:szCs w:val="32"/>
          <w:lang w:val="en-US" w:eastAsia="zh-CN"/>
        </w:rPr>
        <w:t>，强力整治乱搭、乱建、乱停、乱倒、乱摆，建设“潮汐摊区”示范街区2个，建成投用北环路建筑垃圾处理设施，城市生活垃圾回收利用率达到44%。统筹配置消费、文化、体育、医疗、养老等功能设施，扩面提质“15分钟高品质生活服务圈”。</w:t>
      </w:r>
    </w:p>
    <w:p w14:paraId="78FFFBF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八</w:t>
      </w:r>
      <w:r>
        <w:rPr>
          <w:rFonts w:hint="default" w:ascii="方正楷体_GBK" w:hAnsi="方正楷体_GBK" w:eastAsia="方正楷体_GBK" w:cs="方正楷体_GBK"/>
          <w:color w:val="auto"/>
          <w:spacing w:val="0"/>
          <w:sz w:val="32"/>
          <w:szCs w:val="32"/>
        </w:rPr>
        <w:t>）坚定不移抓乡村</w:t>
      </w:r>
      <w:r>
        <w:rPr>
          <w:rFonts w:hint="default" w:ascii="方正楷体_GBK" w:hAnsi="方正楷体_GBK" w:eastAsia="方正楷体_GBK" w:cs="方正楷体_GBK"/>
          <w:color w:val="auto"/>
          <w:spacing w:val="0"/>
          <w:sz w:val="32"/>
          <w:szCs w:val="32"/>
          <w:lang w:eastAsia="zh-CN"/>
        </w:rPr>
        <w:t>全面</w:t>
      </w:r>
      <w:r>
        <w:rPr>
          <w:rFonts w:hint="default" w:ascii="方正楷体_GBK" w:hAnsi="方正楷体_GBK" w:eastAsia="方正楷体_GBK" w:cs="方正楷体_GBK"/>
          <w:color w:val="auto"/>
          <w:spacing w:val="0"/>
          <w:sz w:val="32"/>
          <w:szCs w:val="32"/>
        </w:rPr>
        <w:t>振兴，推动农业农村现代化取得</w:t>
      </w:r>
      <w:r>
        <w:rPr>
          <w:rFonts w:hint="default" w:ascii="方正楷体_GBK" w:hAnsi="方正楷体_GBK" w:eastAsia="方正楷体_GBK" w:cs="方正楷体_GBK"/>
          <w:color w:val="auto"/>
          <w:spacing w:val="0"/>
          <w:sz w:val="32"/>
          <w:szCs w:val="32"/>
          <w:lang w:val="en-US" w:eastAsia="zh-CN"/>
        </w:rPr>
        <w:t>新</w:t>
      </w:r>
      <w:r>
        <w:rPr>
          <w:rFonts w:hint="default" w:ascii="方正楷体_GBK" w:hAnsi="方正楷体_GBK" w:eastAsia="方正楷体_GBK" w:cs="方正楷体_GBK"/>
          <w:color w:val="auto"/>
          <w:spacing w:val="0"/>
          <w:sz w:val="32"/>
          <w:szCs w:val="32"/>
        </w:rPr>
        <w:t>突破</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val="en-US" w:eastAsia="zh-CN"/>
        </w:rPr>
        <w:t>全面推进乡村振兴向纵深发展，推动农业增效、农民增收、农村发展，第一产业增加值增长4%，农村居民人均可支配收入增长5.5%。</w:t>
      </w:r>
    </w:p>
    <w:p w14:paraId="324F550C">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加快发展特色</w:t>
      </w:r>
      <w:r>
        <w:rPr>
          <w:rFonts w:hint="default" w:ascii="Times New Roman" w:hAnsi="Times New Roman" w:eastAsia="方正仿宋_GBK" w:cs="Times New Roman"/>
          <w:b/>
          <w:bCs/>
          <w:color w:val="auto"/>
          <w:spacing w:val="0"/>
          <w:sz w:val="32"/>
          <w:szCs w:val="32"/>
          <w:lang w:eastAsia="zh-CN"/>
        </w:rPr>
        <w:t>农业</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坚决守牢耕地保护红线和粮食安全底线</w:t>
      </w:r>
      <w:r>
        <w:rPr>
          <w:rFonts w:hint="default" w:ascii="Times New Roman" w:hAnsi="Times New Roman" w:eastAsia="方正仿宋_GBK" w:cs="Times New Roman"/>
          <w:color w:val="auto"/>
          <w:spacing w:val="0"/>
          <w:sz w:val="32"/>
          <w:szCs w:val="32"/>
          <w:lang w:val="en-US" w:eastAsia="zh-CN"/>
        </w:rPr>
        <w:t>，建设高标准农田3.7万亩，</w:t>
      </w:r>
      <w:r>
        <w:rPr>
          <w:rFonts w:hint="default" w:ascii="Times New Roman" w:hAnsi="Times New Roman" w:eastAsia="方正仿宋_GBK" w:cs="Times New Roman"/>
          <w:color w:val="auto"/>
          <w:spacing w:val="0"/>
          <w:sz w:val="32"/>
          <w:szCs w:val="32"/>
          <w:lang w:eastAsia="zh-CN"/>
        </w:rPr>
        <w:t>粮食面积和产量稳定在83万亩、35.5万吨以上，</w:t>
      </w:r>
      <w:r>
        <w:rPr>
          <w:rFonts w:hint="default" w:ascii="Times New Roman" w:hAnsi="Times New Roman" w:eastAsia="方正仿宋_GBK" w:cs="Times New Roman"/>
          <w:color w:val="auto"/>
          <w:spacing w:val="0"/>
          <w:sz w:val="32"/>
          <w:szCs w:val="32"/>
          <w:lang w:val="en-US" w:eastAsia="zh-CN"/>
        </w:rPr>
        <w:t>发展“龙乡福稻”5000亩。稳定蔬菜面积和生猪出栏量。实施“铜梁黑鸡”“铜梁白兔”“铜梁彩蔬”三色品牌培育工程，争创“铜梁黑鸡”国家地理标志产品，培育国家级重庆生态鸡集群，出栏肉鸡1100万羽。培育“渝州肉兔”品种，争取设立国家级肉兔综合实验站，出栏肉兔400万只。培育“龙芯种</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渝菜源”优质蔬菜种质资源50个以上。争取市级农业农村创业孵化园落地铜梁，培育农创企业11家，引进孵化项目20个，建成成果转化基地5000亩。支持各镇街打造1—2个特色产业，延伸产业链条，做大电商销售。</w:t>
      </w:r>
    </w:p>
    <w:p w14:paraId="2566133A">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提速推进巴渝和美乡村建设</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完善农村“五网”基础设施，实施国道G319入城段升级改造等一批重点公路项目，整治桥梁5座。深入实施提升农村饮水质量专项行动，加快建设同心桥水厂，新建改造城乡供水管网200公里、农村电网130公里。加快琼涪大灌区前期工作。实施22个村环境整治，推行农房建设“三免一奖”，改造农村危房60户，安装太阳能路灯1000盏。打造安居、土桥美丽城镇，协同推进“诗意田园大美先行区”建设。</w:t>
      </w:r>
      <w:r>
        <w:rPr>
          <w:rFonts w:hint="default" w:ascii="Times New Roman" w:hAnsi="Times New Roman" w:eastAsia="方正仿宋_GBK" w:cs="Times New Roman"/>
          <w:color w:val="auto"/>
          <w:spacing w:val="0"/>
          <w:sz w:val="32"/>
          <w:szCs w:val="32"/>
          <w:lang w:eastAsia="zh-CN"/>
        </w:rPr>
        <w:t>加强农村精神文明建设，持续</w:t>
      </w:r>
      <w:r>
        <w:rPr>
          <w:rFonts w:hint="default" w:ascii="Times New Roman" w:hAnsi="Times New Roman" w:eastAsia="方正仿宋_GBK" w:cs="Times New Roman"/>
          <w:color w:val="auto"/>
          <w:spacing w:val="0"/>
          <w:sz w:val="32"/>
          <w:szCs w:val="32"/>
          <w:lang w:val="en-US" w:eastAsia="zh-CN"/>
        </w:rPr>
        <w:t>开展“铜心小院”微治理，深化积分制、清单制、院落制和数字化“三制一化”治理体系。新建巴渝和美乡村27个，达标覆盖率90%以上。</w:t>
      </w:r>
    </w:p>
    <w:p w14:paraId="2ED26939">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b/>
          <w:bCs/>
          <w:color w:val="auto"/>
          <w:spacing w:val="0"/>
          <w:sz w:val="32"/>
          <w:szCs w:val="32"/>
          <w:lang w:val="en-US" w:eastAsia="zh-CN"/>
        </w:rPr>
        <w:t>深化城乡融合发展</w:t>
      </w:r>
      <w:r>
        <w:rPr>
          <w:rFonts w:hint="default" w:ascii="Times New Roman" w:hAnsi="Times New Roman" w:eastAsia="方正仿宋_GBK" w:cs="Times New Roman"/>
          <w:color w:val="auto"/>
          <w:spacing w:val="0"/>
          <w:sz w:val="32"/>
          <w:szCs w:val="32"/>
          <w:lang w:val="en-US" w:eastAsia="zh-CN"/>
        </w:rPr>
        <w:t>。持续推进小县大城、强镇带村、强村富民</w:t>
      </w:r>
      <w:r>
        <w:rPr>
          <w:rFonts w:hint="eastAsia" w:ascii="Times New Roman" w:hAnsi="Times New Roman" w:eastAsia="方正仿宋_GBK" w:cs="Times New Roman"/>
          <w:color w:val="auto"/>
          <w:spacing w:val="0"/>
          <w:sz w:val="32"/>
          <w:szCs w:val="32"/>
          <w:lang w:val="en-US" w:eastAsia="zh-CN"/>
        </w:rPr>
        <w:t>贯通联动</w:t>
      </w:r>
      <w:r>
        <w:rPr>
          <w:rFonts w:hint="default" w:ascii="Times New Roman" w:hAnsi="Times New Roman" w:eastAsia="方正仿宋_GBK" w:cs="Times New Roman"/>
          <w:color w:val="auto"/>
          <w:spacing w:val="0"/>
          <w:sz w:val="32"/>
          <w:szCs w:val="32"/>
          <w:lang w:val="en-US" w:eastAsia="zh-CN"/>
        </w:rPr>
        <w:t>改革，发展壮大新型农村集体经济。实施场镇雨污管网、农贸市场整治等项目30个，完善公共服务和基础设施短板。深入实施“四进三回”行动，引导1500名人才下乡服务，加大涉农信贷投放力度，涉农贷款余额超200亿元。深化“三位一体”改革，开展农业社会化服务8万亩以上。积极开展水利改革，大力盘活用好水利资源。有序推进第二轮土地承包到期后再延长30年政策，推进农村集体经营性建设用地入市和入股联营，加快实施侣俸、太平全域土地综合整治。持续巩固拓展脱贫攻坚成果。</w:t>
      </w:r>
    </w:p>
    <w:p w14:paraId="6E52B0F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九</w:t>
      </w:r>
      <w:r>
        <w:rPr>
          <w:rFonts w:hint="default" w:ascii="方正楷体_GBK" w:hAnsi="方正楷体_GBK" w:eastAsia="方正楷体_GBK" w:cs="方正楷体_GBK"/>
          <w:color w:val="auto"/>
          <w:spacing w:val="0"/>
          <w:sz w:val="32"/>
          <w:szCs w:val="32"/>
        </w:rPr>
        <w:t>）坚定不移抓绿色发展，提升生态环境质量取得</w:t>
      </w:r>
      <w:r>
        <w:rPr>
          <w:rFonts w:hint="default" w:ascii="方正楷体_GBK" w:hAnsi="方正楷体_GBK" w:eastAsia="方正楷体_GBK" w:cs="方正楷体_GBK"/>
          <w:color w:val="auto"/>
          <w:spacing w:val="0"/>
          <w:sz w:val="32"/>
          <w:szCs w:val="32"/>
          <w:lang w:val="en-US" w:eastAsia="zh-CN"/>
        </w:rPr>
        <w:t>新</w:t>
      </w:r>
      <w:r>
        <w:rPr>
          <w:rFonts w:hint="default" w:ascii="方正楷体_GBK" w:hAnsi="方正楷体_GBK" w:eastAsia="方正楷体_GBK" w:cs="方正楷体_GBK"/>
          <w:color w:val="auto"/>
          <w:spacing w:val="0"/>
          <w:sz w:val="32"/>
          <w:szCs w:val="32"/>
        </w:rPr>
        <w:t>突破</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val="en-US" w:eastAsia="zh-CN"/>
        </w:rPr>
        <w:t>协同推进降碳、减污、扩绿、增长，筑牢生态安全屏障，增强绿色发展动能，为铜梁发展留足环境容量。</w:t>
      </w:r>
    </w:p>
    <w:p w14:paraId="7B0D747C">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深入打好污染防治攻坚战</w:t>
      </w:r>
      <w:r>
        <w:rPr>
          <w:rFonts w:hint="default" w:ascii="Times New Roman" w:hAnsi="Times New Roman" w:eastAsia="方正仿宋_GBK" w:cs="Times New Roman"/>
          <w:color w:val="auto"/>
          <w:spacing w:val="0"/>
          <w:sz w:val="32"/>
          <w:szCs w:val="32"/>
          <w:lang w:val="en-US" w:eastAsia="zh-CN"/>
        </w:rPr>
        <w:t>。全力推动工业企业“治气”攻坚，大力治理重点区域露天烧烤、秸秆焚烧，加强烟花爆竹燃放管控，严控工地扬尘，城市主干道路机扫率100%，新增环保绩效B级企业2家以上，持续降低PM2.5浓度。推进城区再生水厂建设，完成9个镇级污水处理厂尾水治理，巩固农村黑臭水体治理成效，农村生活污水治理率超90%，主要河流水质达到Ⅲ类及以上。强化土壤污染源头管控，保障耕地和重点建设用地安全利用。全力抓好中央、市级生态环保督察交办问题整改，解决群众身边突出环境问题。</w:t>
      </w:r>
    </w:p>
    <w:p w14:paraId="18F84839">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系统推进生态保护修复</w:t>
      </w:r>
      <w:r>
        <w:rPr>
          <w:rFonts w:hint="default" w:ascii="Times New Roman" w:hAnsi="Times New Roman" w:eastAsia="方正仿宋_GBK" w:cs="Times New Roman"/>
          <w:color w:val="auto"/>
          <w:spacing w:val="0"/>
          <w:sz w:val="32"/>
          <w:szCs w:val="32"/>
          <w:lang w:val="en-US" w:eastAsia="zh-CN"/>
        </w:rPr>
        <w:t>。积极申报山水林田湖草沙一体化保护和修复项目。持续推进重要生态功能区保护与修复，完成废弃矿山生态修复20公顷以上。严格落实林长制，推进国土绿化综合项目，实施退化林修复、森林抚育、森林改培4万亩。持续开展森林资源“四乱”整治和防火防虫。大力发展林业特色产业，实施“三兴”行动和楠木产业振兴行动，培育一批“三兴”村和林业大户，新发展楠木1万亩。严格落实长江“十年禁渔”，加强生物多样性完整性保护。</w:t>
      </w:r>
    </w:p>
    <w:p w14:paraId="1B9FBA62">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b/>
          <w:bCs/>
          <w:color w:val="auto"/>
          <w:spacing w:val="0"/>
          <w:sz w:val="32"/>
          <w:szCs w:val="32"/>
          <w:lang w:val="en-US" w:eastAsia="zh-CN"/>
        </w:rPr>
        <w:t>加快推动绿色低碳转型</w:t>
      </w:r>
      <w:r>
        <w:rPr>
          <w:rFonts w:hint="default" w:ascii="Times New Roman" w:hAnsi="Times New Roman" w:eastAsia="方正仿宋_GBK" w:cs="Times New Roman"/>
          <w:color w:val="auto"/>
          <w:spacing w:val="0"/>
          <w:sz w:val="32"/>
          <w:szCs w:val="32"/>
          <w:lang w:val="en-US" w:eastAsia="zh-CN"/>
        </w:rPr>
        <w:t>。深入实施“三线一单”生态环境分区管控，严控高能耗高排放企业入驻。强化碳排放双控，深入推进重点用能单位碳排放管理。加大落后产能淘汰力度，引导企业节能降碳改造，培育绿色工厂2家，高新区成功创建市级近零碳园区。倡导绿色生活方式，鼓励低碳出行，推进生活垃圾分类。新增充电桩132个，新建“无废城市细胞”20个以上。</w:t>
      </w:r>
    </w:p>
    <w:p w14:paraId="685484D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val="en-US" w:eastAsia="zh-CN"/>
        </w:rPr>
        <w:t>十</w:t>
      </w:r>
      <w:r>
        <w:rPr>
          <w:rFonts w:hint="default" w:ascii="方正楷体_GBK" w:hAnsi="方正楷体_GBK" w:eastAsia="方正楷体_GBK" w:cs="方正楷体_GBK"/>
          <w:color w:val="auto"/>
          <w:spacing w:val="0"/>
          <w:sz w:val="32"/>
          <w:szCs w:val="32"/>
        </w:rPr>
        <w:t>）坚定不移抓民生</w:t>
      </w:r>
      <w:r>
        <w:rPr>
          <w:rFonts w:hint="default" w:ascii="方正楷体_GBK" w:hAnsi="方正楷体_GBK" w:eastAsia="方正楷体_GBK" w:cs="方正楷体_GBK"/>
          <w:color w:val="auto"/>
          <w:spacing w:val="0"/>
          <w:sz w:val="32"/>
          <w:szCs w:val="32"/>
          <w:lang w:eastAsia="zh-CN"/>
        </w:rPr>
        <w:t>建设</w:t>
      </w:r>
      <w:r>
        <w:rPr>
          <w:rFonts w:hint="default" w:ascii="方正楷体_GBK" w:hAnsi="方正楷体_GBK" w:eastAsia="方正楷体_GBK" w:cs="方正楷体_GBK"/>
          <w:color w:val="auto"/>
          <w:spacing w:val="0"/>
          <w:sz w:val="32"/>
          <w:szCs w:val="32"/>
        </w:rPr>
        <w:t>，提高人民生活品质取得</w:t>
      </w:r>
      <w:r>
        <w:rPr>
          <w:rFonts w:hint="default" w:ascii="方正楷体_GBK" w:hAnsi="方正楷体_GBK" w:eastAsia="方正楷体_GBK" w:cs="方正楷体_GBK"/>
          <w:color w:val="auto"/>
          <w:spacing w:val="0"/>
          <w:sz w:val="32"/>
          <w:szCs w:val="32"/>
          <w:lang w:val="en-US" w:eastAsia="zh-CN"/>
        </w:rPr>
        <w:t>新</w:t>
      </w:r>
      <w:r>
        <w:rPr>
          <w:rFonts w:hint="default" w:ascii="方正楷体_GBK" w:hAnsi="方正楷体_GBK" w:eastAsia="方正楷体_GBK" w:cs="方正楷体_GBK"/>
          <w:color w:val="auto"/>
          <w:spacing w:val="0"/>
          <w:sz w:val="32"/>
          <w:szCs w:val="32"/>
        </w:rPr>
        <w:t>突破</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eastAsia="zh-CN"/>
        </w:rPr>
        <w:t>坚持一切发展为了人民，更大力度提升服务供给水平和社会治理能力，持续增强人民群众获得感幸福感安全感认同感。</w:t>
      </w:r>
    </w:p>
    <w:p w14:paraId="0225F84F">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持续做好社会保障</w:t>
      </w:r>
      <w:r>
        <w:rPr>
          <w:rFonts w:hint="default" w:ascii="Times New Roman" w:hAnsi="Times New Roman" w:eastAsia="方正仿宋_GBK" w:cs="Times New Roman"/>
          <w:color w:val="auto"/>
          <w:spacing w:val="0"/>
          <w:sz w:val="32"/>
          <w:szCs w:val="32"/>
          <w:lang w:val="en-US" w:eastAsia="zh-CN"/>
        </w:rPr>
        <w:t>。加大创业就业扶持力度，持续打造零工驿站，开展民营企业招聘月、龙乡人才夜市等招聘活动100场次，发放创业担保贷款5000万元以上，</w:t>
      </w:r>
      <w:r>
        <w:rPr>
          <w:rFonts w:hint="default" w:ascii="Times New Roman" w:hAnsi="Times New Roman" w:eastAsia="方正仿宋_GBK" w:cs="Times New Roman"/>
          <w:color w:val="auto"/>
          <w:spacing w:val="0"/>
          <w:sz w:val="32"/>
          <w:szCs w:val="32"/>
          <w:lang w:eastAsia="zh-CN"/>
        </w:rPr>
        <w:t>城镇新增就业超</w:t>
      </w:r>
      <w:r>
        <w:rPr>
          <w:rFonts w:hint="default" w:ascii="Times New Roman" w:hAnsi="Times New Roman" w:eastAsia="方正仿宋_GBK" w:cs="Times New Roman"/>
          <w:color w:val="auto"/>
          <w:spacing w:val="0"/>
          <w:sz w:val="32"/>
          <w:szCs w:val="32"/>
          <w:lang w:val="en-US" w:eastAsia="zh-CN"/>
        </w:rPr>
        <w:t>1万人，促进来铜留铜1.2万人</w:t>
      </w:r>
      <w:r>
        <w:rPr>
          <w:rFonts w:hint="default" w:ascii="Times New Roman" w:hAnsi="Times New Roman" w:eastAsia="方正仿宋_GBK" w:cs="Times New Roman"/>
          <w:color w:val="auto"/>
          <w:spacing w:val="0"/>
          <w:sz w:val="32"/>
          <w:szCs w:val="32"/>
          <w:lang w:eastAsia="zh-CN"/>
        </w:rPr>
        <w:t>。全力推进社会保险扩面提质增效，基本养老保险参保率稳定在97%以上，基本医保参保率稳定在95%以上。深化“一老一小”养老托育服务，建成投用维新敬老院，加快建设旧县失能特困人员照护中心，打造社区养老服务综合体。全面落实育儿补贴和分娩个人“无自付”政策，每千人3岁以下婴幼儿托位数稳定在4.5个以上。健全社会救助体系，确保应保尽保、应救尽救。加快殡葬服务设施建设，</w:t>
      </w:r>
      <w:r>
        <w:rPr>
          <w:rFonts w:hint="default" w:ascii="Times New Roman" w:hAnsi="Times New Roman" w:eastAsia="方正仿宋_GBK" w:cs="Times New Roman"/>
          <w:color w:val="auto"/>
          <w:spacing w:val="0"/>
          <w:sz w:val="32"/>
          <w:szCs w:val="32"/>
          <w:lang w:val="en-US" w:eastAsia="zh-CN"/>
        </w:rPr>
        <w:t>推动建设新殡仪馆和城市公益性公墓，</w:t>
      </w:r>
      <w:r>
        <w:rPr>
          <w:rFonts w:hint="default" w:ascii="Times New Roman" w:hAnsi="Times New Roman" w:eastAsia="方正仿宋_GBK" w:cs="Times New Roman"/>
          <w:color w:val="auto"/>
          <w:spacing w:val="0"/>
          <w:sz w:val="32"/>
          <w:szCs w:val="32"/>
          <w:lang w:eastAsia="zh-CN"/>
        </w:rPr>
        <w:t>新增</w:t>
      </w:r>
      <w:r>
        <w:rPr>
          <w:rFonts w:hint="default" w:ascii="Times New Roman" w:hAnsi="Times New Roman" w:eastAsia="方正仿宋_GBK" w:cs="Times New Roman"/>
          <w:color w:val="auto"/>
          <w:spacing w:val="0"/>
          <w:sz w:val="32"/>
          <w:szCs w:val="32"/>
          <w:lang w:val="en-US" w:eastAsia="zh-CN"/>
        </w:rPr>
        <w:t>2个</w:t>
      </w:r>
      <w:r>
        <w:rPr>
          <w:rFonts w:hint="default" w:ascii="Times New Roman" w:hAnsi="Times New Roman" w:eastAsia="方正仿宋_GBK" w:cs="Times New Roman"/>
          <w:color w:val="auto"/>
          <w:spacing w:val="0"/>
          <w:sz w:val="32"/>
          <w:szCs w:val="32"/>
          <w:lang w:eastAsia="zh-CN"/>
        </w:rPr>
        <w:t>农村公益性公墓</w:t>
      </w:r>
      <w:r>
        <w:rPr>
          <w:rFonts w:hint="default" w:ascii="Times New Roman" w:hAnsi="Times New Roman" w:eastAsia="方正仿宋_GBK" w:cs="Times New Roman"/>
          <w:color w:val="auto"/>
          <w:spacing w:val="0"/>
          <w:sz w:val="32"/>
          <w:szCs w:val="32"/>
          <w:lang w:val="en-US" w:eastAsia="zh-CN"/>
        </w:rPr>
        <w:t>。</w:t>
      </w:r>
    </w:p>
    <w:p w14:paraId="4AD37550">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b/>
          <w:bCs/>
          <w:color w:val="auto"/>
          <w:spacing w:val="0"/>
          <w:sz w:val="32"/>
          <w:szCs w:val="32"/>
          <w:lang w:val="en-US" w:eastAsia="zh-CN"/>
        </w:rPr>
        <w:t>稳步发展社会事业</w:t>
      </w:r>
      <w:r>
        <w:rPr>
          <w:rFonts w:hint="default" w:ascii="Times New Roman" w:hAnsi="Times New Roman" w:eastAsia="方正仿宋_GBK" w:cs="Times New Roman"/>
          <w:color w:val="auto"/>
          <w:spacing w:val="0"/>
          <w:sz w:val="32"/>
          <w:szCs w:val="32"/>
          <w:lang w:eastAsia="zh-CN"/>
        </w:rPr>
        <w:t>。成功创建全国学前教育普及普惠区、</w:t>
      </w:r>
      <w:r>
        <w:rPr>
          <w:rFonts w:hint="eastAsia" w:ascii="Times New Roman" w:hAnsi="Times New Roman" w:eastAsia="方正仿宋_GBK" w:cs="Times New Roman"/>
          <w:color w:val="auto"/>
          <w:spacing w:val="0"/>
          <w:sz w:val="32"/>
          <w:szCs w:val="32"/>
          <w:lang w:val="en-US" w:eastAsia="zh-CN"/>
        </w:rPr>
        <w:t>全国</w:t>
      </w:r>
      <w:r>
        <w:rPr>
          <w:rFonts w:hint="default" w:ascii="Times New Roman" w:hAnsi="Times New Roman" w:eastAsia="方正仿宋_GBK" w:cs="Times New Roman"/>
          <w:color w:val="auto"/>
          <w:spacing w:val="0"/>
          <w:sz w:val="32"/>
          <w:szCs w:val="32"/>
          <w:lang w:eastAsia="zh-CN"/>
        </w:rPr>
        <w:t>义务教育优质均衡发展区。开工金川小学，加快建设铜梁中学</w:t>
      </w:r>
      <w:r>
        <w:rPr>
          <w:rFonts w:hint="default" w:ascii="Times New Roman" w:hAnsi="Times New Roman" w:eastAsia="方正仿宋_GBK" w:cs="Times New Roman"/>
          <w:color w:val="auto"/>
          <w:spacing w:val="0"/>
          <w:sz w:val="32"/>
          <w:szCs w:val="32"/>
          <w:lang w:val="en-US" w:eastAsia="zh-CN"/>
        </w:rPr>
        <w:t>扩建项目</w:t>
      </w:r>
      <w:r>
        <w:rPr>
          <w:rFonts w:hint="default" w:ascii="Times New Roman" w:hAnsi="Times New Roman" w:eastAsia="方正仿宋_GBK" w:cs="Times New Roman"/>
          <w:color w:val="auto"/>
          <w:spacing w:val="0"/>
          <w:sz w:val="32"/>
          <w:szCs w:val="32"/>
          <w:lang w:eastAsia="zh-CN"/>
        </w:rPr>
        <w:t>、重庆昌都完全中学，建成投用科能技校、铜梁二中扩建工程、青少年活动中心幼儿园。深化教共体改革，办好“巴川书院”，</w:t>
      </w:r>
      <w:r>
        <w:rPr>
          <w:rFonts w:hint="default" w:ascii="Times New Roman" w:hAnsi="Times New Roman" w:eastAsia="方正仿宋_GBK" w:cs="Times New Roman"/>
          <w:color w:val="auto"/>
          <w:spacing w:val="0"/>
          <w:sz w:val="32"/>
          <w:szCs w:val="32"/>
          <w:lang w:val="en-US" w:eastAsia="zh-CN"/>
        </w:rPr>
        <w:t>因地制宜推进200人以下农村学校合并优化，</w:t>
      </w:r>
      <w:r>
        <w:rPr>
          <w:rFonts w:hint="default" w:ascii="Times New Roman" w:hAnsi="Times New Roman" w:eastAsia="方正仿宋_GBK" w:cs="Times New Roman"/>
          <w:color w:val="auto"/>
          <w:spacing w:val="0"/>
          <w:sz w:val="32"/>
          <w:szCs w:val="32"/>
          <w:lang w:eastAsia="zh-CN"/>
        </w:rPr>
        <w:t>打造农村新优质学校12所，教共体覆盖率达</w:t>
      </w:r>
      <w:r>
        <w:rPr>
          <w:rFonts w:hint="default" w:ascii="Times New Roman" w:hAnsi="Times New Roman" w:eastAsia="方正仿宋_GBK" w:cs="Times New Roman"/>
          <w:color w:val="auto"/>
          <w:spacing w:val="0"/>
          <w:sz w:val="32"/>
          <w:szCs w:val="32"/>
          <w:lang w:val="en-US" w:eastAsia="zh-CN"/>
        </w:rPr>
        <w:t>100%。实施教育评价改革，巩固“双减”成果，全面加强中小学科技教育</w:t>
      </w:r>
      <w:r>
        <w:rPr>
          <w:rFonts w:hint="default" w:ascii="Times New Roman" w:hAnsi="Times New Roman" w:eastAsia="方正仿宋_GBK" w:cs="Times New Roman"/>
          <w:color w:val="auto"/>
          <w:spacing w:val="0"/>
          <w:sz w:val="32"/>
          <w:szCs w:val="32"/>
          <w:lang w:eastAsia="zh-CN"/>
        </w:rPr>
        <w:t>，推动哲学启蒙</w:t>
      </w:r>
      <w:r>
        <w:rPr>
          <w:rFonts w:hint="eastAsia" w:ascii="Times New Roman" w:hAnsi="Times New Roman" w:eastAsia="方正仿宋_GBK" w:cs="Times New Roman"/>
          <w:color w:val="auto"/>
          <w:spacing w:val="0"/>
          <w:sz w:val="32"/>
          <w:szCs w:val="32"/>
          <w:lang w:val="en-US" w:eastAsia="zh-CN"/>
        </w:rPr>
        <w:t>教育</w:t>
      </w:r>
      <w:r>
        <w:rPr>
          <w:rFonts w:hint="default" w:ascii="Times New Roman" w:hAnsi="Times New Roman" w:eastAsia="方正仿宋_GBK" w:cs="Times New Roman"/>
          <w:color w:val="auto"/>
          <w:spacing w:val="0"/>
          <w:sz w:val="32"/>
          <w:szCs w:val="32"/>
          <w:lang w:eastAsia="zh-CN"/>
        </w:rPr>
        <w:t>进小学，打造智慧校园</w:t>
      </w:r>
      <w:r>
        <w:rPr>
          <w:rFonts w:hint="default" w:ascii="Times New Roman" w:hAnsi="Times New Roman" w:eastAsia="方正仿宋_GBK" w:cs="Times New Roman"/>
          <w:color w:val="auto"/>
          <w:spacing w:val="0"/>
          <w:sz w:val="32"/>
          <w:szCs w:val="32"/>
          <w:lang w:val="en-US" w:eastAsia="zh-CN"/>
        </w:rPr>
        <w:t>示范</w:t>
      </w:r>
      <w:r>
        <w:rPr>
          <w:rFonts w:hint="default" w:ascii="Times New Roman" w:hAnsi="Times New Roman" w:eastAsia="方正仿宋_GBK" w:cs="Times New Roman"/>
          <w:color w:val="auto"/>
          <w:spacing w:val="0"/>
          <w:sz w:val="32"/>
          <w:szCs w:val="32"/>
          <w:lang w:eastAsia="zh-CN"/>
        </w:rPr>
        <w:t>校2所。支持</w:t>
      </w:r>
      <w:r>
        <w:rPr>
          <w:rFonts w:hint="eastAsia" w:ascii="Times New Roman" w:hAnsi="Times New Roman" w:eastAsia="方正仿宋_GBK" w:cs="Times New Roman"/>
          <w:color w:val="auto"/>
          <w:spacing w:val="0"/>
          <w:sz w:val="32"/>
          <w:szCs w:val="32"/>
          <w:lang w:val="en-US" w:eastAsia="zh-CN"/>
        </w:rPr>
        <w:t>在铜高校</w:t>
      </w:r>
      <w:r>
        <w:rPr>
          <w:rFonts w:hint="default" w:ascii="Times New Roman" w:hAnsi="Times New Roman" w:eastAsia="方正仿宋_GBK" w:cs="Times New Roman"/>
          <w:color w:val="auto"/>
          <w:spacing w:val="0"/>
          <w:sz w:val="32"/>
          <w:szCs w:val="32"/>
          <w:lang w:val="en-US" w:eastAsia="zh-CN"/>
        </w:rPr>
        <w:t>提升办学层次，推动中职学校转型发展</w:t>
      </w:r>
      <w:r>
        <w:rPr>
          <w:rFonts w:hint="default" w:ascii="Times New Roman" w:hAnsi="Times New Roman" w:eastAsia="方正仿宋_GBK" w:cs="Times New Roman"/>
          <w:color w:val="auto"/>
          <w:spacing w:val="0"/>
          <w:sz w:val="32"/>
          <w:szCs w:val="32"/>
          <w:lang w:eastAsia="zh-CN"/>
        </w:rPr>
        <w:t>。持续改造提升人民医院病房，完成医共体中心药房建设。实施中医药科技创新能力跃升计划，力争成功申报市级重点专科1个。提升多发传染病监测预警和应急处置能力，实施国民体质监测行动，更好满足群众健康需求。深化国防动员和后备力量建设，加强军民双拥共建。</w:t>
      </w:r>
    </w:p>
    <w:p w14:paraId="161DD91B">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b/>
          <w:bCs/>
          <w:color w:val="auto"/>
          <w:spacing w:val="0"/>
          <w:sz w:val="32"/>
          <w:szCs w:val="32"/>
          <w:lang w:eastAsia="zh-CN"/>
        </w:rPr>
        <w:t>全力保障社会安全稳定</w:t>
      </w:r>
      <w:r>
        <w:rPr>
          <w:rFonts w:hint="default" w:ascii="Times New Roman" w:hAnsi="Times New Roman" w:eastAsia="方正仿宋_GBK" w:cs="Times New Roman"/>
          <w:color w:val="auto"/>
          <w:spacing w:val="0"/>
          <w:sz w:val="32"/>
          <w:szCs w:val="32"/>
          <w:lang w:eastAsia="zh-CN"/>
        </w:rPr>
        <w:t>。建立健全安全生产、平安稳定、风险防控全链条责任落实体系，全面构建全流程闭环工作机制。聚焦高新区、商业体、群租房等重点区域，道路交通、高层消防、建筑施工、食品药品等重点领域，开展治本攻坚专项行动。推进安全生产和自然灾害重点风险数字化平台全量落图，提升森林防火、防汛抗旱等应急响应和救援救助能力。深化“清朗”系列专项行动，牢牢守住网络安全和意识形态安全。开展社会治安整体防控体系和能力现代化提升“六大行动”，深入推进全民反诈、全民禁毒、扫黑除恶，持续化解基层矛盾纠纷，群众安全感指数达99%以上。防范化解金融、地方债务等领域风险，坚决守住不发生系统性风险底线。</w:t>
      </w:r>
    </w:p>
    <w:p w14:paraId="3129473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各位代表，</w:t>
      </w:r>
      <w:r>
        <w:rPr>
          <w:rFonts w:hint="default" w:ascii="Times New Roman" w:hAnsi="Times New Roman" w:eastAsia="方正黑体_GBK" w:cs="Times New Roman"/>
          <w:color w:val="auto"/>
          <w:spacing w:val="0"/>
          <w:sz w:val="32"/>
          <w:szCs w:val="32"/>
          <w:lang w:val="en-US" w:eastAsia="zh-CN"/>
        </w:rPr>
        <w:t>发展为了民生，发展为了人民，群众关心什么，政府工作就聚焦什么。</w:t>
      </w:r>
      <w:r>
        <w:rPr>
          <w:rFonts w:hint="default" w:ascii="Times New Roman" w:hAnsi="Times New Roman" w:eastAsia="方正仿宋_GBK" w:cs="Times New Roman"/>
          <w:color w:val="auto"/>
          <w:spacing w:val="0"/>
          <w:sz w:val="32"/>
          <w:szCs w:val="32"/>
          <w:lang w:val="en-US" w:eastAsia="zh-CN"/>
        </w:rPr>
        <w:t>2026年，我们回应群众关切，围绕乡村建设、城市提升、教育医疗、惠民济困等方面谋划提出了12件民生实事候选项目，提请大会票决确定。这些项目看似不大，但关系万家灯火，我们</w:t>
      </w:r>
      <w:r>
        <w:rPr>
          <w:rFonts w:hint="default" w:ascii="Times New Roman" w:hAnsi="Times New Roman" w:eastAsia="方正仿宋_GBK" w:cs="Times New Roman"/>
          <w:color w:val="auto"/>
          <w:spacing w:val="0"/>
          <w:sz w:val="32"/>
          <w:szCs w:val="32"/>
          <w:lang w:eastAsia="zh-CN"/>
        </w:rPr>
        <w:t>将逐个制定实施方案，</w:t>
      </w:r>
      <w:r>
        <w:rPr>
          <w:rFonts w:hint="default" w:ascii="Times New Roman" w:hAnsi="Times New Roman" w:eastAsia="方正仿宋_GBK" w:cs="Times New Roman"/>
          <w:color w:val="auto"/>
          <w:spacing w:val="0"/>
          <w:sz w:val="32"/>
          <w:szCs w:val="32"/>
          <w:lang w:val="en-US" w:eastAsia="zh-CN"/>
        </w:rPr>
        <w:t>把好事办好、实事办实，让人民群众得到更多实惠。</w:t>
      </w:r>
    </w:p>
    <w:p w14:paraId="3258820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pacing w:val="0"/>
          <w:sz w:val="32"/>
          <w:szCs w:val="32"/>
          <w:lang w:eastAsia="zh-CN"/>
        </w:rPr>
      </w:pPr>
      <w:r>
        <w:rPr>
          <w:rFonts w:hint="default" w:ascii="Times New Roman" w:hAnsi="Times New Roman" w:eastAsia="方正黑体_GBK" w:cs="Times New Roman"/>
          <w:color w:val="auto"/>
          <w:spacing w:val="0"/>
          <w:sz w:val="32"/>
          <w:szCs w:val="32"/>
          <w:lang w:val="en-US" w:eastAsia="zh-CN"/>
        </w:rPr>
        <w:t>四</w:t>
      </w:r>
      <w:r>
        <w:rPr>
          <w:rFonts w:hint="default" w:ascii="Times New Roman" w:hAnsi="Times New Roman" w:eastAsia="方正黑体_GBK" w:cs="Times New Roman"/>
          <w:color w:val="auto"/>
          <w:spacing w:val="0"/>
          <w:sz w:val="32"/>
          <w:szCs w:val="32"/>
          <w:lang w:eastAsia="zh-CN"/>
        </w:rPr>
        <w:t>、全面加强政府自身建设</w:t>
      </w:r>
    </w:p>
    <w:p w14:paraId="3F98388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开局“十</w:t>
      </w:r>
      <w:r>
        <w:rPr>
          <w:rFonts w:hint="default" w:ascii="Times New Roman" w:hAnsi="Times New Roman" w:eastAsia="方正仿宋_GBK" w:cs="Times New Roman"/>
          <w:color w:val="auto"/>
          <w:spacing w:val="0"/>
          <w:sz w:val="32"/>
          <w:szCs w:val="32"/>
          <w:lang w:eastAsia="zh-CN"/>
        </w:rPr>
        <w:t>五</w:t>
      </w:r>
      <w:r>
        <w:rPr>
          <w:rFonts w:hint="default" w:ascii="Times New Roman" w:hAnsi="Times New Roman" w:eastAsia="方正仿宋_GBK" w:cs="Times New Roman"/>
          <w:color w:val="auto"/>
          <w:spacing w:val="0"/>
          <w:sz w:val="32"/>
          <w:szCs w:val="32"/>
        </w:rPr>
        <w:t>五”</w:t>
      </w:r>
      <w:r>
        <w:rPr>
          <w:rFonts w:hint="default" w:ascii="Times New Roman" w:hAnsi="Times New Roman" w:eastAsia="方正仿宋_GBK" w:cs="Times New Roman"/>
          <w:color w:val="auto"/>
          <w:spacing w:val="0"/>
          <w:sz w:val="32"/>
          <w:szCs w:val="32"/>
          <w:lang w:val="en-US" w:eastAsia="zh-CN"/>
        </w:rPr>
        <w:t>，目标在前，使命在肩。必须坚持和加强党的全面领导，落实全面从严治党要求，以实干争先、用奋斗作答，</w:t>
      </w:r>
      <w:r>
        <w:rPr>
          <w:rFonts w:hint="default" w:ascii="Times New Roman" w:hAnsi="Times New Roman" w:eastAsia="方正仿宋_GBK" w:cs="Times New Roman"/>
          <w:color w:val="auto"/>
          <w:spacing w:val="0"/>
          <w:sz w:val="32"/>
          <w:szCs w:val="32"/>
        </w:rPr>
        <w:t>持续提升政府治理能力和</w:t>
      </w:r>
      <w:r>
        <w:rPr>
          <w:rFonts w:hint="default" w:ascii="Times New Roman" w:hAnsi="Times New Roman" w:eastAsia="方正仿宋_GBK" w:cs="Times New Roman"/>
          <w:color w:val="auto"/>
          <w:spacing w:val="0"/>
          <w:sz w:val="32"/>
          <w:szCs w:val="32"/>
          <w:lang w:val="en-US" w:eastAsia="zh-CN"/>
        </w:rPr>
        <w:t>现代化</w:t>
      </w:r>
      <w:r>
        <w:rPr>
          <w:rFonts w:hint="default" w:ascii="Times New Roman" w:hAnsi="Times New Roman" w:eastAsia="方正仿宋_GBK" w:cs="Times New Roman"/>
          <w:color w:val="auto"/>
          <w:spacing w:val="0"/>
          <w:sz w:val="32"/>
          <w:szCs w:val="32"/>
        </w:rPr>
        <w:t>水平，全力打造</w:t>
      </w:r>
      <w:r>
        <w:rPr>
          <w:rFonts w:hint="default" w:ascii="Times New Roman" w:hAnsi="Times New Roman" w:eastAsia="方正仿宋_GBK" w:cs="Times New Roman"/>
          <w:color w:val="auto"/>
          <w:spacing w:val="0"/>
          <w:sz w:val="32"/>
          <w:szCs w:val="32"/>
          <w:lang w:eastAsia="zh-CN"/>
        </w:rPr>
        <w:t>创新图强、务实高效</w:t>
      </w:r>
      <w:r>
        <w:rPr>
          <w:rFonts w:hint="default" w:ascii="Times New Roman" w:hAnsi="Times New Roman" w:eastAsia="方正仿宋_GBK" w:cs="Times New Roman"/>
          <w:color w:val="auto"/>
          <w:spacing w:val="0"/>
          <w:sz w:val="32"/>
          <w:szCs w:val="32"/>
        </w:rPr>
        <w:t>、人民满意的服务型政府。</w:t>
      </w:r>
    </w:p>
    <w:p w14:paraId="4061876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eastAsia="zh-CN"/>
        </w:rPr>
      </w:pPr>
      <w:r>
        <w:rPr>
          <w:rFonts w:hint="default" w:ascii="方正楷体_GBK" w:hAnsi="方正楷体_GBK" w:eastAsia="方正楷体_GBK" w:cs="方正楷体_GBK"/>
          <w:color w:val="auto"/>
          <w:spacing w:val="0"/>
          <w:sz w:val="32"/>
          <w:szCs w:val="32"/>
        </w:rPr>
        <w:t>（一）</w:t>
      </w:r>
      <w:r>
        <w:rPr>
          <w:rFonts w:hint="default" w:ascii="方正楷体_GBK" w:hAnsi="方正楷体_GBK" w:eastAsia="方正楷体_GBK" w:cs="方正楷体_GBK"/>
          <w:color w:val="auto"/>
          <w:spacing w:val="0"/>
          <w:sz w:val="32"/>
          <w:szCs w:val="32"/>
          <w:lang w:eastAsia="zh-CN"/>
        </w:rPr>
        <w:t>坚持把政治建设贯穿政府工作全过程</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自觉用习近平新时代中国特色社会主义思想</w:t>
      </w:r>
      <w:r>
        <w:rPr>
          <w:rFonts w:hint="default" w:ascii="Times New Roman" w:hAnsi="Times New Roman" w:eastAsia="方正仿宋_GBK" w:cs="Times New Roman"/>
          <w:color w:val="auto"/>
          <w:spacing w:val="0"/>
          <w:sz w:val="32"/>
          <w:szCs w:val="32"/>
          <w:lang w:eastAsia="zh-CN"/>
        </w:rPr>
        <w:t>凝心铸魂</w:t>
      </w:r>
      <w:r>
        <w:rPr>
          <w:rFonts w:hint="default" w:ascii="Times New Roman" w:hAnsi="Times New Roman" w:eastAsia="方正仿宋_GBK" w:cs="Times New Roman"/>
          <w:color w:val="auto"/>
          <w:spacing w:val="0"/>
          <w:sz w:val="32"/>
          <w:szCs w:val="32"/>
        </w:rPr>
        <w:t>，认真贯彻落实党的二十大</w:t>
      </w:r>
      <w:r>
        <w:rPr>
          <w:rFonts w:hint="default" w:ascii="Times New Roman" w:hAnsi="Times New Roman" w:eastAsia="方正仿宋_GBK" w:cs="Times New Roman"/>
          <w:color w:val="auto"/>
          <w:spacing w:val="0"/>
          <w:sz w:val="32"/>
          <w:szCs w:val="32"/>
          <w:lang w:val="en-US" w:eastAsia="zh-CN"/>
        </w:rPr>
        <w:t>和二十届历次全会</w:t>
      </w:r>
      <w:r>
        <w:rPr>
          <w:rFonts w:hint="default" w:ascii="Times New Roman" w:hAnsi="Times New Roman" w:eastAsia="方正仿宋_GBK" w:cs="Times New Roman"/>
          <w:color w:val="auto"/>
          <w:spacing w:val="0"/>
          <w:sz w:val="32"/>
          <w:szCs w:val="32"/>
        </w:rPr>
        <w:t>精神，</w:t>
      </w:r>
      <w:r>
        <w:rPr>
          <w:rFonts w:hint="default" w:ascii="Times New Roman" w:hAnsi="Times New Roman" w:eastAsia="方正仿宋_GBK" w:cs="Times New Roman"/>
          <w:color w:val="auto"/>
          <w:spacing w:val="0"/>
          <w:sz w:val="32"/>
          <w:szCs w:val="32"/>
          <w:lang w:eastAsia="zh-CN"/>
        </w:rPr>
        <w:t>坚定拥护“两个确立”、坚决做到“两个维护”</w:t>
      </w:r>
      <w:r>
        <w:rPr>
          <w:rFonts w:hint="default" w:ascii="Times New Roman" w:hAnsi="Times New Roman" w:eastAsia="方正仿宋_GBK" w:cs="Times New Roman"/>
          <w:color w:val="auto"/>
          <w:spacing w:val="0"/>
          <w:sz w:val="32"/>
          <w:szCs w:val="32"/>
        </w:rPr>
        <w:t>，不断增强政治判断力、政治领悟力、政治执行力</w:t>
      </w:r>
      <w:r>
        <w:rPr>
          <w:rFonts w:hint="default" w:ascii="Times New Roman" w:hAnsi="Times New Roman" w:eastAsia="方正仿宋_GBK" w:cs="Times New Roman"/>
          <w:color w:val="auto"/>
          <w:spacing w:val="0"/>
          <w:sz w:val="32"/>
          <w:szCs w:val="32"/>
          <w:lang w:eastAsia="zh-CN"/>
        </w:rPr>
        <w:t>。把“总书记有号令、党中央有部署，重庆见行动，铜梁抓落实”铭刻于心、见诸于行，</w:t>
      </w:r>
      <w:r>
        <w:rPr>
          <w:rFonts w:hint="default" w:ascii="Times New Roman" w:hAnsi="Times New Roman" w:eastAsia="方正仿宋_GBK" w:cs="Times New Roman"/>
          <w:color w:val="auto"/>
          <w:spacing w:val="0"/>
          <w:sz w:val="32"/>
          <w:szCs w:val="32"/>
        </w:rPr>
        <w:t>坚决拥护党中央作出的各项决定，坚决贯彻市委</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市政府作出的各项部署，坚决执行区委作出的各项安排</w:t>
      </w:r>
      <w:r>
        <w:rPr>
          <w:rFonts w:hint="default" w:ascii="Times New Roman" w:hAnsi="Times New Roman" w:eastAsia="方正仿宋_GBK" w:cs="Times New Roman"/>
          <w:color w:val="auto"/>
          <w:spacing w:val="0"/>
          <w:sz w:val="32"/>
          <w:szCs w:val="32"/>
          <w:lang w:eastAsia="zh-CN"/>
        </w:rPr>
        <w:t>，当好执行者、行动派、实干家。</w:t>
      </w:r>
    </w:p>
    <w:p w14:paraId="1C0147A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eastAsia="zh-CN"/>
        </w:rPr>
      </w:pP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二</w:t>
      </w: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坚持把开拓创新贯穿政府工作全过程</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聚焦重点工作打破思维定势、革新观念理念、改变工作打法，以创新求变的姿态奋力开创发展新局面。</w:t>
      </w:r>
      <w:r>
        <w:rPr>
          <w:rFonts w:hint="default" w:ascii="Times New Roman" w:hAnsi="Times New Roman" w:eastAsia="方正仿宋_GBK" w:cs="Times New Roman"/>
          <w:color w:val="auto"/>
          <w:spacing w:val="0"/>
          <w:sz w:val="32"/>
          <w:szCs w:val="32"/>
        </w:rPr>
        <w:t>鼓励</w:t>
      </w:r>
      <w:r>
        <w:rPr>
          <w:rFonts w:hint="default" w:ascii="Times New Roman" w:hAnsi="Times New Roman" w:eastAsia="方正仿宋_GBK" w:cs="Times New Roman"/>
          <w:color w:val="auto"/>
          <w:spacing w:val="0"/>
          <w:sz w:val="32"/>
          <w:szCs w:val="32"/>
          <w:lang w:eastAsia="zh-CN"/>
        </w:rPr>
        <w:t>大胆想、大胆闯、大胆试</w:t>
      </w:r>
      <w:r>
        <w:rPr>
          <w:rFonts w:hint="default" w:ascii="Times New Roman" w:hAnsi="Times New Roman" w:eastAsia="方正仿宋_GBK" w:cs="Times New Roman"/>
          <w:color w:val="auto"/>
          <w:spacing w:val="0"/>
          <w:sz w:val="32"/>
          <w:szCs w:val="32"/>
        </w:rPr>
        <w:t>，在体制机制、政策工具、服务模式等方面寻求突破。</w:t>
      </w:r>
      <w:r>
        <w:rPr>
          <w:rFonts w:hint="default" w:ascii="Times New Roman" w:hAnsi="Times New Roman" w:eastAsia="方正仿宋_GBK" w:cs="Times New Roman"/>
          <w:color w:val="auto"/>
          <w:spacing w:val="0"/>
          <w:sz w:val="32"/>
          <w:szCs w:val="32"/>
          <w:lang w:eastAsia="zh-CN"/>
        </w:rPr>
        <w:t>大力推广“人工智能</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eastAsia="zh-CN"/>
        </w:rPr>
        <w:t>”，强化体系化学习，开展实战化培训，推进干部队伍知识技能更新，</w:t>
      </w:r>
      <w:r>
        <w:rPr>
          <w:rFonts w:hint="default" w:ascii="Times New Roman" w:hAnsi="Times New Roman" w:eastAsia="方正仿宋_GBK" w:cs="Times New Roman"/>
          <w:color w:val="auto"/>
          <w:spacing w:val="0"/>
          <w:sz w:val="32"/>
          <w:szCs w:val="32"/>
        </w:rPr>
        <w:t>营造勇于创新</w:t>
      </w:r>
      <w:r>
        <w:rPr>
          <w:rFonts w:hint="default" w:ascii="Times New Roman" w:hAnsi="Times New Roman" w:eastAsia="方正仿宋_GBK" w:cs="Times New Roman"/>
          <w:color w:val="auto"/>
          <w:spacing w:val="0"/>
          <w:sz w:val="32"/>
          <w:szCs w:val="32"/>
          <w:lang w:eastAsia="zh-CN"/>
        </w:rPr>
        <w:t>、主动创新、善于创新</w:t>
      </w:r>
      <w:r>
        <w:rPr>
          <w:rFonts w:hint="default" w:ascii="Times New Roman" w:hAnsi="Times New Roman" w:eastAsia="方正仿宋_GBK" w:cs="Times New Roman"/>
          <w:color w:val="auto"/>
          <w:spacing w:val="0"/>
          <w:sz w:val="32"/>
          <w:szCs w:val="32"/>
        </w:rPr>
        <w:t>的干事氛围</w:t>
      </w:r>
      <w:r>
        <w:rPr>
          <w:rFonts w:hint="default" w:ascii="Times New Roman" w:hAnsi="Times New Roman" w:eastAsia="方正仿宋_GBK" w:cs="Times New Roman"/>
          <w:color w:val="auto"/>
          <w:spacing w:val="0"/>
          <w:sz w:val="32"/>
          <w:szCs w:val="32"/>
          <w:lang w:eastAsia="zh-CN"/>
        </w:rPr>
        <w:t>，不断增强拼经济促发展能力。</w:t>
      </w:r>
    </w:p>
    <w:p w14:paraId="5350D5E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eastAsia="zh-CN"/>
        </w:rPr>
      </w:pP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三</w:t>
      </w: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坚持把</w:t>
      </w:r>
      <w:r>
        <w:rPr>
          <w:rFonts w:hint="eastAsia" w:ascii="方正楷体_GBK" w:hAnsi="方正楷体_GBK" w:eastAsia="方正楷体_GBK" w:cs="方正楷体_GBK"/>
          <w:color w:val="auto"/>
          <w:spacing w:val="0"/>
          <w:sz w:val="32"/>
          <w:szCs w:val="32"/>
          <w:lang w:val="en-US" w:eastAsia="zh-CN"/>
        </w:rPr>
        <w:t>唯实争先</w:t>
      </w:r>
      <w:r>
        <w:rPr>
          <w:rFonts w:hint="default" w:ascii="方正楷体_GBK" w:hAnsi="方正楷体_GBK" w:eastAsia="方正楷体_GBK" w:cs="方正楷体_GBK"/>
          <w:color w:val="auto"/>
          <w:spacing w:val="0"/>
          <w:sz w:val="32"/>
          <w:szCs w:val="32"/>
          <w:lang w:eastAsia="zh-CN"/>
        </w:rPr>
        <w:t>贯穿政府工作全过程</w:t>
      </w:r>
      <w:r>
        <w:rPr>
          <w:rFonts w:hint="default" w:ascii="Times New Roman" w:hAnsi="Times New Roman" w:eastAsia="方正仿宋_GBK" w:cs="Times New Roman"/>
          <w:color w:val="auto"/>
          <w:spacing w:val="0"/>
          <w:sz w:val="32"/>
          <w:szCs w:val="32"/>
          <w:lang w:eastAsia="zh-CN"/>
        </w:rPr>
        <w:t>。牢固树立“领导既是教练员、也是运动员，既是工头、也是工人”的理念，亲自上手，一级抓一级，带着大家一起干。要强化“一盘棋”思维，坚决破除“合成谬误”，突出合作而不是分工，确保把事干成。要坚定信念、无畏前行，跟快的赛，跟强的比，干出满腔激情，拼到</w:t>
      </w:r>
      <w:r>
        <w:rPr>
          <w:rFonts w:hint="default" w:ascii="Times New Roman" w:hAnsi="Times New Roman" w:eastAsia="方正仿宋_GBK" w:cs="Times New Roman"/>
          <w:color w:val="auto"/>
          <w:spacing w:val="0"/>
          <w:sz w:val="32"/>
          <w:szCs w:val="32"/>
          <w:lang w:val="en-US" w:eastAsia="zh-CN"/>
        </w:rPr>
        <w:t>感动自己</w:t>
      </w:r>
      <w:r>
        <w:rPr>
          <w:rFonts w:hint="default" w:ascii="Times New Roman" w:hAnsi="Times New Roman" w:eastAsia="方正仿宋_GBK" w:cs="Times New Roman"/>
          <w:color w:val="auto"/>
          <w:spacing w:val="0"/>
          <w:sz w:val="32"/>
          <w:szCs w:val="32"/>
          <w:lang w:eastAsia="zh-CN"/>
        </w:rPr>
        <w:t>，推动工作争先进位。健全干事创业容错纠错机制，为敢于负责、善于作为的干部</w:t>
      </w:r>
      <w:r>
        <w:rPr>
          <w:rFonts w:hint="default" w:ascii="Times New Roman" w:hAnsi="Times New Roman" w:eastAsia="方正仿宋_GBK" w:cs="Times New Roman"/>
          <w:color w:val="auto"/>
          <w:spacing w:val="0"/>
          <w:sz w:val="32"/>
          <w:szCs w:val="32"/>
          <w:lang w:val="en-US" w:eastAsia="zh-CN"/>
        </w:rPr>
        <w:t>担当</w:t>
      </w:r>
      <w:r>
        <w:rPr>
          <w:rFonts w:hint="default" w:ascii="Times New Roman" w:hAnsi="Times New Roman" w:eastAsia="方正仿宋_GBK" w:cs="Times New Roman"/>
          <w:color w:val="auto"/>
          <w:spacing w:val="0"/>
          <w:sz w:val="32"/>
          <w:szCs w:val="32"/>
          <w:lang w:eastAsia="zh-CN"/>
        </w:rPr>
        <w:t>。</w:t>
      </w:r>
    </w:p>
    <w:p w14:paraId="7F41F3B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四</w:t>
      </w: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坚持把民主法治贯穿政府工作全过程</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深入推进法治政府建设，确保政府各项工作在法治轨道上运行。健全行政决策机制，提升决策科学化、民主化、法治化水平。严格规范公正文明执法，强化行政执法监督，保障</w:t>
      </w:r>
      <w:r>
        <w:rPr>
          <w:rFonts w:hint="default" w:ascii="Times New Roman" w:hAnsi="Times New Roman" w:eastAsia="方正仿宋_GBK" w:cs="Times New Roman"/>
          <w:color w:val="auto"/>
          <w:spacing w:val="0"/>
          <w:sz w:val="32"/>
          <w:szCs w:val="32"/>
          <w:lang w:eastAsia="zh-CN"/>
        </w:rPr>
        <w:t>企业和</w:t>
      </w:r>
      <w:r>
        <w:rPr>
          <w:rFonts w:hint="default" w:ascii="Times New Roman" w:hAnsi="Times New Roman" w:eastAsia="方正仿宋_GBK" w:cs="Times New Roman"/>
          <w:color w:val="auto"/>
          <w:spacing w:val="0"/>
          <w:sz w:val="32"/>
          <w:szCs w:val="32"/>
        </w:rPr>
        <w:t>群众合法权益。自觉接受人大</w:t>
      </w:r>
      <w:r>
        <w:rPr>
          <w:rFonts w:hint="default" w:ascii="Times New Roman" w:hAnsi="Times New Roman" w:eastAsia="方正仿宋_GBK" w:cs="Times New Roman"/>
          <w:color w:val="auto"/>
          <w:spacing w:val="0"/>
          <w:sz w:val="32"/>
          <w:szCs w:val="32"/>
          <w:lang w:eastAsia="zh-CN"/>
        </w:rPr>
        <w:t>法律监督和工作</w:t>
      </w:r>
      <w:r>
        <w:rPr>
          <w:rFonts w:hint="default" w:ascii="Times New Roman" w:hAnsi="Times New Roman" w:eastAsia="方正仿宋_GBK" w:cs="Times New Roman"/>
          <w:color w:val="auto"/>
          <w:spacing w:val="0"/>
          <w:sz w:val="32"/>
          <w:szCs w:val="32"/>
        </w:rPr>
        <w:t>监督</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政协民主监督</w:t>
      </w:r>
      <w:r>
        <w:rPr>
          <w:rFonts w:hint="default" w:ascii="Times New Roman" w:hAnsi="Times New Roman" w:eastAsia="方正仿宋_GBK" w:cs="Times New Roman"/>
          <w:color w:val="auto"/>
          <w:spacing w:val="0"/>
          <w:sz w:val="32"/>
          <w:szCs w:val="32"/>
          <w:lang w:eastAsia="zh-CN"/>
        </w:rPr>
        <w:t>，主动接受</w:t>
      </w:r>
      <w:r>
        <w:rPr>
          <w:rFonts w:hint="default" w:ascii="Times New Roman" w:hAnsi="Times New Roman" w:eastAsia="方正仿宋_GBK" w:cs="Times New Roman"/>
          <w:color w:val="auto"/>
          <w:spacing w:val="0"/>
          <w:sz w:val="32"/>
          <w:szCs w:val="32"/>
        </w:rPr>
        <w:t>社会各方面监督，全面推进政务公开。</w:t>
      </w:r>
      <w:r>
        <w:rPr>
          <w:rFonts w:hint="default" w:ascii="Times New Roman" w:hAnsi="Times New Roman" w:eastAsia="方正仿宋_GBK" w:cs="Times New Roman"/>
          <w:color w:val="auto"/>
          <w:spacing w:val="0"/>
          <w:sz w:val="32"/>
          <w:szCs w:val="32"/>
          <w:lang w:eastAsia="zh-CN"/>
        </w:rPr>
        <w:t>认真办好人大代表建议和政协委员提案。启动</w:t>
      </w:r>
      <w:r>
        <w:rPr>
          <w:rFonts w:hint="default" w:ascii="Times New Roman" w:hAnsi="Times New Roman" w:eastAsia="方正仿宋_GBK" w:cs="Times New Roman"/>
          <w:color w:val="auto"/>
          <w:spacing w:val="0"/>
          <w:sz w:val="32"/>
          <w:szCs w:val="32"/>
        </w:rPr>
        <w:t>“九五”普法</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加强法治宣传教育，营造尊法学法守法用法的社会氛围。加强政府诚信建设，政府承诺企业和群众的事，必须说到做到。</w:t>
      </w:r>
    </w:p>
    <w:p w14:paraId="7C30A39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五</w:t>
      </w:r>
      <w:r>
        <w:rPr>
          <w:rFonts w:hint="default" w:ascii="方正楷体_GBK" w:hAnsi="方正楷体_GBK" w:eastAsia="方正楷体_GBK" w:cs="方正楷体_GBK"/>
          <w:color w:val="auto"/>
          <w:spacing w:val="0"/>
          <w:sz w:val="32"/>
          <w:szCs w:val="32"/>
        </w:rPr>
        <w:t>）</w:t>
      </w:r>
      <w:r>
        <w:rPr>
          <w:rFonts w:hint="default" w:ascii="方正楷体_GBK" w:hAnsi="方正楷体_GBK" w:eastAsia="方正楷体_GBK" w:cs="方正楷体_GBK"/>
          <w:color w:val="auto"/>
          <w:spacing w:val="0"/>
          <w:sz w:val="32"/>
          <w:szCs w:val="32"/>
          <w:lang w:eastAsia="zh-CN"/>
        </w:rPr>
        <w:t>坚持把清正廉洁贯穿政府工作全过程</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巩固拓展深入贯彻</w:t>
      </w:r>
      <w:r>
        <w:rPr>
          <w:rFonts w:hint="default" w:ascii="Times New Roman" w:hAnsi="Times New Roman" w:eastAsia="方正仿宋_GBK" w:cs="Times New Roman"/>
          <w:color w:val="auto"/>
          <w:spacing w:val="0"/>
          <w:sz w:val="32"/>
          <w:szCs w:val="32"/>
        </w:rPr>
        <w:t>中央八项规定</w:t>
      </w:r>
      <w:r>
        <w:rPr>
          <w:rFonts w:hint="default" w:ascii="Times New Roman" w:hAnsi="Times New Roman" w:eastAsia="方正仿宋_GBK" w:cs="Times New Roman"/>
          <w:color w:val="auto"/>
          <w:spacing w:val="0"/>
          <w:sz w:val="32"/>
          <w:szCs w:val="32"/>
          <w:lang w:val="en-US" w:eastAsia="zh-CN"/>
        </w:rPr>
        <w:t>精神学习教育成果，持续整治形式主义为基层减负，推进作风建设常态化长效化。</w:t>
      </w:r>
      <w:r>
        <w:rPr>
          <w:rFonts w:hint="default" w:ascii="Times New Roman" w:hAnsi="Times New Roman" w:eastAsia="方正仿宋_GBK" w:cs="Times New Roman"/>
          <w:color w:val="auto"/>
          <w:spacing w:val="0"/>
          <w:sz w:val="32"/>
          <w:szCs w:val="32"/>
          <w:lang w:eastAsia="zh-CN"/>
        </w:rPr>
        <w:t>深化零基预算改革，</w:t>
      </w:r>
      <w:r>
        <w:rPr>
          <w:rFonts w:hint="default" w:ascii="Times New Roman" w:hAnsi="Times New Roman" w:eastAsia="方正仿宋_GBK" w:cs="Times New Roman"/>
          <w:color w:val="auto"/>
          <w:spacing w:val="0"/>
          <w:sz w:val="32"/>
          <w:szCs w:val="32"/>
        </w:rPr>
        <w:t>习惯过紧日子，严控“三公”支出，兜</w:t>
      </w:r>
      <w:r>
        <w:rPr>
          <w:rFonts w:hint="default" w:ascii="Times New Roman" w:hAnsi="Times New Roman" w:eastAsia="方正仿宋_GBK" w:cs="Times New Roman"/>
          <w:color w:val="auto"/>
          <w:spacing w:val="0"/>
          <w:sz w:val="32"/>
          <w:szCs w:val="32"/>
          <w:lang w:eastAsia="zh-CN"/>
        </w:rPr>
        <w:t>牢</w:t>
      </w:r>
      <w:r>
        <w:rPr>
          <w:rFonts w:hint="default" w:ascii="Times New Roman" w:hAnsi="Times New Roman" w:eastAsia="方正仿宋_GBK" w:cs="Times New Roman"/>
          <w:color w:val="auto"/>
          <w:spacing w:val="0"/>
          <w:sz w:val="32"/>
          <w:szCs w:val="32"/>
        </w:rPr>
        <w:t>“三保”底线。持之以恒正风肃纪反腐，强化重点领域、关键岗位廉政风险防控，筑牢拒腐防变的思想道德防线和制度防线。时刻保持为谁用权、为谁谋利的清醒坚定，保持为民、务实、清廉的政治本色，努力建设人民满意的廉洁政府。</w:t>
      </w:r>
    </w:p>
    <w:p w14:paraId="2CD3AAE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rPr>
        <w:t>各位代表！</w:t>
      </w:r>
      <w:r>
        <w:rPr>
          <w:rFonts w:hint="default" w:ascii="Times New Roman" w:hAnsi="Times New Roman" w:eastAsia="方正黑体_GBK" w:cs="Times New Roman"/>
          <w:color w:val="auto"/>
          <w:spacing w:val="0"/>
          <w:sz w:val="32"/>
          <w:szCs w:val="32"/>
          <w:lang w:eastAsia="zh-CN"/>
        </w:rPr>
        <w:t>幸福是奋斗出来的，事业是打拼出来的</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让我们更加紧密地团结在以习近平同志为核心的党中央周围，在市委、市政府和区委的坚强领导下，</w:t>
      </w:r>
      <w:r>
        <w:rPr>
          <w:rFonts w:hint="default" w:ascii="Times New Roman" w:hAnsi="Times New Roman" w:eastAsia="方正仿宋_GBK" w:cs="Times New Roman"/>
          <w:color w:val="auto"/>
          <w:spacing w:val="0"/>
          <w:sz w:val="32"/>
          <w:szCs w:val="32"/>
          <w:lang w:eastAsia="zh-CN"/>
        </w:rPr>
        <w:t>团结奋斗、不懈奋斗，为梦想奋斗、为幸福打拼，把宏伟愿景变成美好现实，</w:t>
      </w:r>
      <w:r>
        <w:rPr>
          <w:rFonts w:hint="default" w:ascii="Times New Roman" w:hAnsi="Times New Roman" w:eastAsia="方正仿宋_GBK" w:cs="Times New Roman"/>
          <w:color w:val="auto"/>
          <w:spacing w:val="0"/>
          <w:sz w:val="32"/>
          <w:szCs w:val="32"/>
        </w:rPr>
        <w:t>奋力谱写中国式现代化重庆篇章铜梁</w:t>
      </w:r>
      <w:r>
        <w:rPr>
          <w:rFonts w:hint="default" w:ascii="Times New Roman" w:hAnsi="Times New Roman" w:eastAsia="方正仿宋_GBK" w:cs="Times New Roman"/>
          <w:color w:val="auto"/>
          <w:spacing w:val="0"/>
          <w:sz w:val="32"/>
          <w:szCs w:val="32"/>
          <w:lang w:eastAsia="zh-CN"/>
        </w:rPr>
        <w:t>实践</w:t>
      </w:r>
      <w:r>
        <w:rPr>
          <w:rFonts w:hint="default" w:ascii="Times New Roman" w:hAnsi="Times New Roman" w:eastAsia="方正仿宋_GBK" w:cs="Times New Roman"/>
          <w:color w:val="auto"/>
          <w:spacing w:val="0"/>
          <w:sz w:val="32"/>
          <w:szCs w:val="32"/>
        </w:rPr>
        <w:t>！</w:t>
      </w:r>
    </w:p>
    <w:p w14:paraId="11BB515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br w:type="page"/>
      </w:r>
    </w:p>
    <w:p w14:paraId="0C3A136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0"/>
          <w:sz w:val="44"/>
          <w:szCs w:val="44"/>
          <w:lang w:val="en-US" w:eastAsia="zh-CN"/>
        </w:rPr>
      </w:pPr>
      <w:r>
        <w:rPr>
          <w:rFonts w:hint="default" w:ascii="Times New Roman" w:hAnsi="Times New Roman" w:eastAsia="方正小标宋_GBK" w:cs="Times New Roman"/>
          <w:color w:val="auto"/>
          <w:spacing w:val="0"/>
          <w:sz w:val="44"/>
          <w:szCs w:val="44"/>
          <w:lang w:val="en-US" w:eastAsia="zh-CN"/>
        </w:rPr>
        <w:t>名 词 解 释</w:t>
      </w:r>
    </w:p>
    <w:p w14:paraId="742AB47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p>
    <w:p w14:paraId="522CF13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三攻坚一盘活：</w:t>
      </w:r>
      <w:r>
        <w:rPr>
          <w:rFonts w:hint="default" w:ascii="Times New Roman" w:hAnsi="Times New Roman" w:eastAsia="方正仿宋_GBK" w:cs="Times New Roman"/>
          <w:color w:val="auto"/>
          <w:spacing w:val="0"/>
          <w:sz w:val="32"/>
          <w:szCs w:val="32"/>
          <w:lang w:val="en-US" w:eastAsia="zh-CN"/>
        </w:rPr>
        <w:t>国企改革、‌园区开发区改革、‌政企分离改革攻坚，有效盘活‌国有资产。</w:t>
      </w:r>
    </w:p>
    <w:p w14:paraId="788A528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“七横九纵”城市路网：</w:t>
      </w:r>
      <w:r>
        <w:rPr>
          <w:rFonts w:hint="default" w:ascii="Times New Roman" w:hAnsi="Times New Roman" w:eastAsia="方正仿宋_GBK" w:cs="Times New Roman"/>
          <w:color w:val="auto"/>
          <w:spacing w:val="0"/>
          <w:sz w:val="32"/>
          <w:szCs w:val="32"/>
          <w:lang w:val="en-US" w:eastAsia="zh-CN"/>
        </w:rPr>
        <w:t>“七横”即龙锦大道、龙城大道—铜合大道、中兴路—龙安大道、迎宾大道—金辉大道、龙腾大道、龙翔大道、龙毓大道；“九纵”即西环路—佳胤大道、少云大道、白龙大道—金岳大道、金龙大道、金川大道、金山大道、产业大道、金蒲大道、金溪大道。</w:t>
      </w:r>
    </w:p>
    <w:p w14:paraId="382CAC6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六区一高地：</w:t>
      </w:r>
      <w:r>
        <w:rPr>
          <w:rFonts w:hint="default" w:ascii="Times New Roman" w:hAnsi="Times New Roman" w:eastAsia="方正仿宋_GBK" w:cs="Times New Roman"/>
          <w:color w:val="auto"/>
          <w:spacing w:val="0"/>
          <w:sz w:val="32"/>
          <w:szCs w:val="32"/>
          <w:lang w:val="en-US" w:eastAsia="zh-CN"/>
        </w:rPr>
        <w:t>现代化新重庆建设的体系构架和“四梁八柱”，即，西部地区高质量发展先行区、内陆开放国际合作引领区、全面深化改革先行区、超大城市现代化治理示范区、城乡融合乡村振兴示范区、美丽中国建设先行区和新时代市域党建新高地。</w:t>
      </w:r>
    </w:p>
    <w:p w14:paraId="1D23FED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“1+X+N”政策体系：</w:t>
      </w:r>
      <w:r>
        <w:rPr>
          <w:rFonts w:hint="default" w:ascii="Times New Roman" w:hAnsi="Times New Roman" w:eastAsia="方正仿宋_GBK" w:cs="Times New Roman"/>
          <w:color w:val="auto"/>
          <w:spacing w:val="0"/>
          <w:sz w:val="32"/>
          <w:szCs w:val="32"/>
          <w:lang w:val="en-US" w:eastAsia="zh-CN"/>
        </w:rPr>
        <w:t>即，1个促进产业高质量发展的指导性政策，科技创新、人才引育等X个支撑政策，制造业、现代服务业、文化旅游体育业等N个重点产业链专项扶持政策。</w:t>
      </w:r>
    </w:p>
    <w:p w14:paraId="2517144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独角兽企业：</w:t>
      </w:r>
      <w:r>
        <w:rPr>
          <w:rFonts w:hint="default" w:ascii="Times New Roman" w:hAnsi="Times New Roman" w:eastAsia="方正仿宋_GBK" w:cs="Times New Roman"/>
          <w:color w:val="auto"/>
          <w:spacing w:val="0"/>
          <w:sz w:val="32"/>
          <w:szCs w:val="32"/>
          <w:lang w:val="en-US" w:eastAsia="zh-CN"/>
        </w:rPr>
        <w:t>一般指成立不超过10年，估值超过10亿美元甚至100亿美元的企业。拥有独有核心技术，商业模式很难被复制，是某一个行业的细分领域的龙头。</w:t>
      </w:r>
    </w:p>
    <w:p w14:paraId="1D35235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灯塔工厂：</w:t>
      </w:r>
      <w:r>
        <w:rPr>
          <w:rFonts w:hint="default" w:ascii="Times New Roman" w:hAnsi="Times New Roman" w:eastAsia="方正仿宋_GBK" w:cs="Times New Roman"/>
          <w:color w:val="auto"/>
          <w:spacing w:val="0"/>
          <w:sz w:val="32"/>
          <w:szCs w:val="32"/>
          <w:lang w:val="en-US" w:eastAsia="zh-CN"/>
        </w:rPr>
        <w:t>具有榜样意义的“数字化制造”和“全球化4.0”示范者，代表当今全球制造业领域智能制造和数字化最高水平。</w:t>
      </w:r>
    </w:p>
    <w:p w14:paraId="5C11481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三服务：</w:t>
      </w:r>
      <w:r>
        <w:rPr>
          <w:rFonts w:hint="default" w:ascii="Times New Roman" w:hAnsi="Times New Roman" w:eastAsia="方正仿宋_GBK" w:cs="Times New Roman"/>
          <w:color w:val="auto"/>
          <w:spacing w:val="0"/>
          <w:sz w:val="32"/>
          <w:szCs w:val="32"/>
          <w:lang w:val="en-US" w:eastAsia="zh-CN"/>
        </w:rPr>
        <w:t>服务基层、服务企业、服务群众。</w:t>
      </w:r>
    </w:p>
    <w:p w14:paraId="07BDDC9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四联系：</w:t>
      </w:r>
      <w:r>
        <w:rPr>
          <w:rFonts w:hint="default" w:ascii="Times New Roman" w:hAnsi="Times New Roman" w:eastAsia="方正仿宋_GBK" w:cs="Times New Roman"/>
          <w:color w:val="auto"/>
          <w:spacing w:val="0"/>
          <w:sz w:val="32"/>
          <w:szCs w:val="32"/>
          <w:lang w:val="en-US" w:eastAsia="zh-CN"/>
        </w:rPr>
        <w:t>联系企业（商会）、重点项目、专家人才和镇街。</w:t>
      </w:r>
    </w:p>
    <w:p w14:paraId="14F005E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拿地即开工：</w:t>
      </w:r>
      <w:r>
        <w:rPr>
          <w:rFonts w:hint="default" w:ascii="Times New Roman" w:hAnsi="Times New Roman" w:eastAsia="方正仿宋_GBK" w:cs="Times New Roman"/>
          <w:color w:val="auto"/>
          <w:spacing w:val="0"/>
          <w:sz w:val="32"/>
          <w:szCs w:val="32"/>
          <w:lang w:val="en-US" w:eastAsia="zh-CN"/>
        </w:rPr>
        <w:t>通过将规划审查、施工许可等环节前置至土地供应阶段，实现企业交地当日同步取得建设用地规划许可证、建设工程规划许可证和建筑工程施工许可证，大幅压缩审批时间。</w:t>
      </w:r>
    </w:p>
    <w:p w14:paraId="66AA5A4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竣工即验收：</w:t>
      </w:r>
      <w:r>
        <w:rPr>
          <w:rFonts w:hint="default" w:ascii="Times New Roman" w:hAnsi="Times New Roman" w:eastAsia="方正仿宋_GBK" w:cs="Times New Roman"/>
          <w:color w:val="auto"/>
          <w:spacing w:val="0"/>
          <w:sz w:val="32"/>
          <w:szCs w:val="32"/>
          <w:lang w:val="en-US" w:eastAsia="zh-CN"/>
        </w:rPr>
        <w:t>通过提前介入、帮办代办和并联验收等方式，推动项目竣工后快速完成验收。</w:t>
      </w:r>
    </w:p>
    <w:p w14:paraId="7A0E7C2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交房即交证：</w:t>
      </w:r>
      <w:r>
        <w:rPr>
          <w:rFonts w:hint="default" w:ascii="Times New Roman" w:hAnsi="Times New Roman" w:eastAsia="方正仿宋_GBK" w:cs="Times New Roman"/>
          <w:color w:val="auto"/>
          <w:spacing w:val="0"/>
          <w:sz w:val="32"/>
          <w:szCs w:val="32"/>
          <w:lang w:val="en-US" w:eastAsia="zh-CN"/>
        </w:rPr>
        <w:t>通过优化竣工测绘、规划核验和不动产登记流程，实现购房业主交房时同步领取不动产权证书。</w:t>
      </w:r>
    </w:p>
    <w:p w14:paraId="0588FCB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入企排队</w:t>
      </w:r>
      <w:r>
        <w:rPr>
          <w:rFonts w:hint="eastAsia" w:ascii="方正黑体_GBK" w:hAnsi="方正黑体_GBK" w:eastAsia="方正黑体_GBK" w:cs="方正黑体_GBK"/>
          <w:color w:val="auto"/>
          <w:spacing w:val="0"/>
          <w:sz w:val="32"/>
          <w:szCs w:val="32"/>
          <w:lang w:val="en-US" w:eastAsia="zh-CN"/>
        </w:rPr>
        <w:t>·</w:t>
      </w:r>
      <w:r>
        <w:rPr>
          <w:rFonts w:hint="default" w:ascii="Times New Roman" w:hAnsi="Times New Roman" w:eastAsia="方正黑体_GBK" w:cs="Times New Roman"/>
          <w:color w:val="auto"/>
          <w:spacing w:val="0"/>
          <w:sz w:val="32"/>
          <w:szCs w:val="32"/>
          <w:lang w:val="en-US" w:eastAsia="zh-CN"/>
        </w:rPr>
        <w:t>服务预约：</w:t>
      </w:r>
      <w:r>
        <w:rPr>
          <w:rFonts w:hint="default" w:ascii="Times New Roman" w:hAnsi="Times New Roman" w:eastAsia="方正仿宋_GBK" w:cs="Times New Roman"/>
          <w:color w:val="auto"/>
          <w:spacing w:val="0"/>
          <w:sz w:val="32"/>
          <w:szCs w:val="32"/>
          <w:lang w:val="en-US" w:eastAsia="zh-CN"/>
        </w:rPr>
        <w:t>常规性入企检查（服务）需提前与企业预约，由企业自主确定入企时间，未经企业确认不得上门。</w:t>
      </w:r>
    </w:p>
    <w:p w14:paraId="734CC57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一张球票游铜梁：</w:t>
      </w:r>
      <w:r>
        <w:rPr>
          <w:rFonts w:hint="default" w:ascii="Times New Roman" w:hAnsi="Times New Roman" w:eastAsia="方正仿宋_GBK" w:cs="Times New Roman"/>
          <w:color w:val="auto"/>
          <w:spacing w:val="0"/>
          <w:sz w:val="32"/>
          <w:szCs w:val="32"/>
          <w:lang w:val="en-US" w:eastAsia="zh-CN"/>
        </w:rPr>
        <w:t>铜梁区推出的文体商旅融合发展促消费的创新举措，核心是以足球赛事门票为载体，联动全区景区景点、餐饮住宿、购物娱乐等市场主体，为持票球迷提供门票减免、消费折扣、专属礼遇等消费服务。</w:t>
      </w:r>
    </w:p>
    <w:p w14:paraId="46422A6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“大综合一体化”行政执法改革：</w:t>
      </w:r>
      <w:r>
        <w:rPr>
          <w:rFonts w:hint="default" w:ascii="Times New Roman" w:hAnsi="Times New Roman" w:eastAsia="方正仿宋_GBK" w:cs="Times New Roman"/>
          <w:color w:val="auto"/>
          <w:spacing w:val="0"/>
          <w:sz w:val="32"/>
          <w:szCs w:val="32"/>
          <w:lang w:val="en-US" w:eastAsia="zh-CN"/>
        </w:rPr>
        <w:t>通过精简执法队伍、调整执法事项、创新执法监管、强化执法监督、统一执法平台等方式，按照整体政府和数字政府理念构建的行政执法体制机制。</w:t>
      </w:r>
    </w:p>
    <w:p w14:paraId="472BB09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三同三公开：</w:t>
      </w:r>
      <w:r>
        <w:rPr>
          <w:rFonts w:hint="default" w:ascii="Times New Roman" w:hAnsi="Times New Roman" w:eastAsia="方正仿宋_GBK" w:cs="Times New Roman"/>
          <w:color w:val="auto"/>
          <w:spacing w:val="0"/>
          <w:sz w:val="32"/>
          <w:szCs w:val="32"/>
          <w:lang w:val="en-US" w:eastAsia="zh-CN"/>
        </w:rPr>
        <w:t>以食材同质、菜品同价、师生同餐，公开采购、公开食谱、公开加工过程，实现对“校园餐”全链条监管。</w:t>
      </w:r>
    </w:p>
    <w:p w14:paraId="62516B0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三方共耕：</w:t>
      </w:r>
      <w:r>
        <w:rPr>
          <w:rFonts w:hint="default" w:ascii="Times New Roman" w:hAnsi="Times New Roman" w:eastAsia="方正仿宋_GBK" w:cs="Times New Roman"/>
          <w:color w:val="auto"/>
          <w:spacing w:val="0"/>
          <w:sz w:val="32"/>
          <w:szCs w:val="32"/>
          <w:lang w:val="en-US" w:eastAsia="zh-CN"/>
        </w:rPr>
        <w:t>区供销联社牵头，村集体归集土地、组织劳动，农民参与劳动、监督生产，三方共同打造的无地租农业生产模式。</w:t>
      </w:r>
    </w:p>
    <w:p w14:paraId="1A4FF23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“四端联动”编制村庄规划：</w:t>
      </w:r>
      <w:r>
        <w:rPr>
          <w:rFonts w:hint="default" w:ascii="Times New Roman" w:hAnsi="Times New Roman" w:eastAsia="方正仿宋_GBK" w:cs="Times New Roman"/>
          <w:color w:val="auto"/>
          <w:spacing w:val="0"/>
          <w:sz w:val="32"/>
          <w:szCs w:val="32"/>
          <w:lang w:val="en-US" w:eastAsia="zh-CN"/>
        </w:rPr>
        <w:t>以规划引领为核心的村庄建设模式，通过‌规划端、建设端、治理端、运行端‌的协同推进，实现乡村资源优化配置和可持续发展。该模式强调从顶层设计到落地实施的全流程整合，确保规划“能落地、见实效”。</w:t>
      </w:r>
    </w:p>
    <w:p w14:paraId="556A5CC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巴川书院：</w:t>
      </w:r>
      <w:r>
        <w:rPr>
          <w:rFonts w:hint="default" w:ascii="Times New Roman" w:hAnsi="Times New Roman" w:eastAsia="方正仿宋_GBK" w:cs="Times New Roman"/>
          <w:color w:val="auto"/>
          <w:spacing w:val="0"/>
          <w:sz w:val="32"/>
          <w:szCs w:val="32"/>
          <w:lang w:val="en-US" w:eastAsia="zh-CN"/>
        </w:rPr>
        <w:t>西南大学附属中学与铜梁中学共建的教共体。</w:t>
      </w:r>
    </w:p>
    <w:p w14:paraId="4524A17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DRG付费：</w:t>
      </w:r>
      <w:r>
        <w:rPr>
          <w:rFonts w:hint="default" w:ascii="Times New Roman" w:hAnsi="Times New Roman" w:eastAsia="方正仿宋_GBK" w:cs="Times New Roman"/>
          <w:color w:val="auto"/>
          <w:spacing w:val="0"/>
          <w:sz w:val="32"/>
          <w:szCs w:val="32"/>
          <w:lang w:val="en-US" w:eastAsia="zh-CN"/>
        </w:rPr>
        <w:t>疾病诊断相关分组付费，是一种医保支付方式，根据疾病诊断、治疗方式、病症严重程度等因素，将患者进行分组，每组设定固定的支付标准。</w:t>
      </w:r>
    </w:p>
    <w:p w14:paraId="28BEFC2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“2+3+N”现代制造业集群：</w:t>
      </w:r>
      <w:r>
        <w:rPr>
          <w:rFonts w:hint="default" w:ascii="Times New Roman" w:hAnsi="Times New Roman" w:eastAsia="方正仿宋_GBK" w:cs="Times New Roman"/>
          <w:color w:val="auto"/>
          <w:spacing w:val="0"/>
          <w:sz w:val="32"/>
          <w:szCs w:val="32"/>
          <w:lang w:val="en-US" w:eastAsia="zh-CN"/>
        </w:rPr>
        <w:t>“2”是主导产业，即新型储能、智能网联新能源汽车配套及智联电动车产业；“3”是优势产业，即智能装备及智能制造、先进材料、食品及农产品加工产业；“N”是未来产业，即低空装备、人工智能+、生物医药等产业。</w:t>
      </w:r>
    </w:p>
    <w:p w14:paraId="53C374E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一轴两翼、一主两副：</w:t>
      </w:r>
      <w:r>
        <w:rPr>
          <w:rFonts w:hint="default" w:ascii="Times New Roman" w:hAnsi="Times New Roman" w:eastAsia="方正仿宋_GBK" w:cs="Times New Roman"/>
          <w:color w:val="auto"/>
          <w:spacing w:val="0"/>
          <w:sz w:val="32"/>
          <w:szCs w:val="32"/>
          <w:lang w:val="en-US" w:eastAsia="zh-CN"/>
        </w:rPr>
        <w:t>“一轴两翼”指以城区为核心、成渝交通廊道为纽带的城市发展轴，以涪江、琼江区域为主的北部农文旅融合发展翼，以毓青山、巴岳山区域为主的南部绿色产业发展翼；‌‌“一主两副”指‌铜梁城区主中心和‌大庙、‌安居城市副中心。</w:t>
      </w:r>
    </w:p>
    <w:p w14:paraId="5D866AC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一心两城三区：</w:t>
      </w:r>
      <w:r>
        <w:rPr>
          <w:rFonts w:hint="default" w:ascii="Times New Roman" w:hAnsi="Times New Roman" w:eastAsia="方正仿宋_GBK" w:cs="Times New Roman"/>
          <w:color w:val="auto"/>
          <w:spacing w:val="0"/>
          <w:sz w:val="32"/>
          <w:szCs w:val="32"/>
          <w:lang w:val="en-US" w:eastAsia="zh-CN"/>
        </w:rPr>
        <w:t>“一心”‌指巴岳山城市绿心，‌“两城”指老城、科创新城，‌“三区”指高新区、淮远新区、龙腾新区。</w:t>
      </w:r>
    </w:p>
    <w:p w14:paraId="2D61514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两重：</w:t>
      </w:r>
      <w:r>
        <w:rPr>
          <w:rFonts w:hint="default" w:ascii="Times New Roman" w:hAnsi="Times New Roman" w:eastAsia="方正仿宋_GBK" w:cs="Times New Roman"/>
          <w:color w:val="auto"/>
          <w:spacing w:val="0"/>
          <w:sz w:val="32"/>
          <w:szCs w:val="32"/>
          <w:lang w:val="en-US" w:eastAsia="zh-CN"/>
        </w:rPr>
        <w:t>发行超长期特别国债支持国家重大战略实施和重点领域安全能力建设。</w:t>
      </w:r>
    </w:p>
    <w:p w14:paraId="417EF8F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两新：</w:t>
      </w:r>
      <w:r>
        <w:rPr>
          <w:rFonts w:hint="default" w:ascii="Times New Roman" w:hAnsi="Times New Roman" w:eastAsia="方正仿宋_GBK" w:cs="Times New Roman"/>
          <w:color w:val="auto"/>
          <w:spacing w:val="0"/>
          <w:sz w:val="32"/>
          <w:szCs w:val="32"/>
          <w:lang w:val="en-US" w:eastAsia="zh-CN"/>
        </w:rPr>
        <w:t>大规模设备更新和消费品以旧换新。</w:t>
      </w:r>
    </w:p>
    <w:p w14:paraId="54D5B9F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“十百千”培育计划：</w:t>
      </w:r>
      <w:r>
        <w:rPr>
          <w:rFonts w:hint="default" w:ascii="Times New Roman" w:hAnsi="Times New Roman" w:eastAsia="方正仿宋_GBK" w:cs="Times New Roman"/>
          <w:color w:val="auto"/>
          <w:spacing w:val="0"/>
          <w:sz w:val="32"/>
          <w:szCs w:val="32"/>
          <w:lang w:val="en-US" w:eastAsia="zh-CN"/>
        </w:rPr>
        <w:t>培育一批百亿级、五十亿级、十亿级、税收过亿制造业企业，力争全区规上工业总产值突破1000亿元。</w:t>
      </w:r>
    </w:p>
    <w:p w14:paraId="1693215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西南智慧电商云仓：</w:t>
      </w:r>
      <w:r>
        <w:rPr>
          <w:rFonts w:hint="default" w:ascii="Times New Roman" w:hAnsi="Times New Roman" w:eastAsia="方正仿宋_GBK" w:cs="Times New Roman"/>
          <w:color w:val="auto"/>
          <w:spacing w:val="0"/>
          <w:sz w:val="32"/>
          <w:szCs w:val="32"/>
          <w:lang w:val="en-US" w:eastAsia="zh-CN"/>
        </w:rPr>
        <w:t>是一种基于云计算、大数据等技术，配置智能分拣系统、立体智能仓储管理系统、无人搬运设备等智能设施，打造集仓储管理、订单处理、智能分拣、干线运输、电商销售、末端同城配送于一体的全链路一体化电商云仓服务平台。</w:t>
      </w:r>
    </w:p>
    <w:p w14:paraId="6D93BDA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三大聚才行动：</w:t>
      </w:r>
      <w:r>
        <w:rPr>
          <w:rFonts w:hint="default" w:ascii="Times New Roman" w:hAnsi="Times New Roman" w:eastAsia="方正仿宋_GBK" w:cs="Times New Roman"/>
          <w:color w:val="auto"/>
          <w:spacing w:val="0"/>
          <w:sz w:val="32"/>
          <w:szCs w:val="32"/>
          <w:lang w:val="en-US" w:eastAsia="zh-CN"/>
        </w:rPr>
        <w:t>创新团队、卓越工程师、青年人才三大聚才行动。</w:t>
      </w:r>
    </w:p>
    <w:p w14:paraId="35E599B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AEO：</w:t>
      </w:r>
      <w:r>
        <w:rPr>
          <w:rFonts w:hint="default" w:ascii="Times New Roman" w:hAnsi="Times New Roman" w:eastAsia="方正仿宋_GBK" w:cs="Times New Roman"/>
          <w:color w:val="auto"/>
          <w:spacing w:val="0"/>
          <w:sz w:val="32"/>
          <w:szCs w:val="32"/>
          <w:lang w:val="en-US" w:eastAsia="zh-CN"/>
        </w:rPr>
        <w:t>以任何一种方式参与货物国际流通，并被海关当局认定符合世界海关组织或相应供应链安全标准的一方。</w:t>
      </w:r>
    </w:p>
    <w:p w14:paraId="4903356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AI智能体：</w:t>
      </w:r>
      <w:r>
        <w:rPr>
          <w:rFonts w:hint="default" w:ascii="Times New Roman" w:hAnsi="Times New Roman" w:eastAsia="方正仿宋_GBK" w:cs="Times New Roman"/>
          <w:color w:val="auto"/>
          <w:spacing w:val="0"/>
          <w:sz w:val="32"/>
          <w:szCs w:val="32"/>
          <w:lang w:val="en-US" w:eastAsia="zh-CN"/>
        </w:rPr>
        <w:t>基于目标驱动，集成感知、决策、执行与记忆能力，可自主拆解任务、调用工具并迭代优化，以完成复杂目标的智能系统，区别于传统“问答式”AI，更接近“数字员工”。</w:t>
      </w:r>
    </w:p>
    <w:p w14:paraId="314AD45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智算算力：</w:t>
      </w:r>
      <w:r>
        <w:rPr>
          <w:rFonts w:hint="default" w:ascii="Times New Roman" w:hAnsi="Times New Roman" w:eastAsia="方正仿宋_GBK" w:cs="Times New Roman"/>
          <w:color w:val="auto"/>
          <w:spacing w:val="0"/>
          <w:sz w:val="32"/>
          <w:szCs w:val="32"/>
          <w:lang w:val="en-US" w:eastAsia="zh-CN"/>
        </w:rPr>
        <w:t>专门用于处理人工智能任务的高性能计算能力，支撑AI模型训练和推理计算的核心驱动力。</w:t>
      </w:r>
    </w:p>
    <w:p w14:paraId="2C758A6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土地超市：</w:t>
      </w:r>
      <w:r>
        <w:rPr>
          <w:rFonts w:hint="default" w:ascii="Times New Roman" w:hAnsi="Times New Roman" w:eastAsia="方正仿宋_GBK" w:cs="Times New Roman"/>
          <w:color w:val="auto"/>
          <w:spacing w:val="0"/>
          <w:sz w:val="32"/>
          <w:szCs w:val="32"/>
          <w:lang w:val="en-US" w:eastAsia="zh-CN"/>
        </w:rPr>
        <w:t>依托数字化平台搭建土地信息与交易服务系统。</w:t>
      </w:r>
    </w:p>
    <w:p w14:paraId="26B2D89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双聘双用：</w:t>
      </w:r>
      <w:r>
        <w:rPr>
          <w:rFonts w:hint="default" w:ascii="Times New Roman" w:hAnsi="Times New Roman" w:eastAsia="方正仿宋_GBK" w:cs="Times New Roman"/>
          <w:color w:val="auto"/>
          <w:spacing w:val="0"/>
          <w:sz w:val="32"/>
          <w:szCs w:val="32"/>
          <w:lang w:val="en-US" w:eastAsia="zh-CN"/>
        </w:rPr>
        <w:t>打破传统人事关系束缚的人才共享机制，允许一位人才在不改变与原单位人事关系的前提下，同时被两个或多个单位聘用，其劳动成果和智力由各方共享。</w:t>
      </w:r>
    </w:p>
    <w:p w14:paraId="5150754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人才飞地：</w:t>
      </w:r>
      <w:r>
        <w:rPr>
          <w:rFonts w:hint="default" w:ascii="Times New Roman" w:hAnsi="Times New Roman" w:eastAsia="方正仿宋_GBK" w:cs="Times New Roman"/>
          <w:color w:val="auto"/>
          <w:spacing w:val="0"/>
          <w:sz w:val="32"/>
          <w:szCs w:val="32"/>
          <w:lang w:val="en-US" w:eastAsia="zh-CN"/>
        </w:rPr>
        <w:t>一个地区在另一个更具优势的地区设立研发机构或创新平台，实现研发在外地、成果转化在本地。</w:t>
      </w:r>
    </w:p>
    <w:p w14:paraId="7A26369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冠名班：</w:t>
      </w:r>
      <w:r>
        <w:rPr>
          <w:rFonts w:hint="default" w:ascii="Times New Roman" w:hAnsi="Times New Roman" w:eastAsia="方正仿宋_GBK" w:cs="Times New Roman"/>
          <w:color w:val="auto"/>
          <w:spacing w:val="0"/>
          <w:sz w:val="32"/>
          <w:szCs w:val="32"/>
          <w:lang w:val="en-US" w:eastAsia="zh-CN"/>
        </w:rPr>
        <w:t>在职业中学、职业院校、高等院校中，由企业或行业机构提供资金、设备、课程、师资等支持，并以其名称或品牌命名的特定班级或教学项目。</w:t>
      </w:r>
    </w:p>
    <w:p w14:paraId="557A48D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订单班：</w:t>
      </w:r>
      <w:r>
        <w:rPr>
          <w:rFonts w:hint="default" w:ascii="Times New Roman" w:hAnsi="Times New Roman" w:eastAsia="方正仿宋_GBK" w:cs="Times New Roman"/>
          <w:color w:val="auto"/>
          <w:spacing w:val="0"/>
          <w:sz w:val="32"/>
          <w:szCs w:val="32"/>
          <w:lang w:val="en-US" w:eastAsia="zh-CN"/>
        </w:rPr>
        <w:t>职业教育培养模式，指职业院校与企业合作设立教学班，根据企业特定岗位需求，共同制定培养方案、实施教学，学生毕业后可直接进入合作企业就业。</w:t>
      </w:r>
    </w:p>
    <w:p w14:paraId="5C15C18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四进三回：</w:t>
      </w:r>
      <w:r>
        <w:rPr>
          <w:rFonts w:hint="default" w:ascii="Times New Roman" w:hAnsi="Times New Roman" w:eastAsia="方正仿宋_GBK" w:cs="Times New Roman"/>
          <w:color w:val="auto"/>
          <w:spacing w:val="0"/>
          <w:sz w:val="32"/>
          <w:szCs w:val="32"/>
          <w:lang w:val="en-US" w:eastAsia="zh-CN"/>
        </w:rPr>
        <w:t>规划、科技、经营、资金四类要素进乡村，能人、青年、务工人员三类人才回乡村。</w:t>
      </w:r>
    </w:p>
    <w:p w14:paraId="51C8398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“三位一体”改革：</w:t>
      </w:r>
      <w:r>
        <w:rPr>
          <w:rFonts w:hint="default" w:ascii="Times New Roman" w:hAnsi="Times New Roman" w:eastAsia="方正仿宋_GBK" w:cs="Times New Roman"/>
          <w:color w:val="auto"/>
          <w:spacing w:val="0"/>
          <w:sz w:val="32"/>
          <w:szCs w:val="32"/>
          <w:lang w:val="en-US" w:eastAsia="zh-CN"/>
        </w:rPr>
        <w:t>即生产、供销、信用“三位一体”改革，旨在推进生产、供销、信用的深度融合与协同发展，构建新型为农服务体系，促进农业增效、农民增收、农村发展。</w:t>
      </w:r>
    </w:p>
    <w:p w14:paraId="05F569D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“三兴”行动：</w:t>
      </w:r>
      <w:r>
        <w:rPr>
          <w:rFonts w:hint="default" w:ascii="Times New Roman" w:hAnsi="Times New Roman" w:eastAsia="方正仿宋_GBK" w:cs="Times New Roman"/>
          <w:color w:val="auto"/>
          <w:spacing w:val="0"/>
          <w:sz w:val="32"/>
          <w:szCs w:val="32"/>
          <w:lang w:val="en-US" w:eastAsia="zh-CN"/>
        </w:rPr>
        <w:t>即重庆市“林草兴、生态兴、文明兴”行动，旨在通过深化集体林权制度改革，推动林业发展与生态保护、文明建设协同并进。</w:t>
      </w:r>
    </w:p>
    <w:p w14:paraId="2A2E986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三线一单：</w:t>
      </w:r>
      <w:r>
        <w:rPr>
          <w:rFonts w:hint="default" w:ascii="Times New Roman" w:hAnsi="Times New Roman" w:eastAsia="方正仿宋_GBK" w:cs="Times New Roman"/>
          <w:color w:val="auto"/>
          <w:spacing w:val="0"/>
          <w:sz w:val="32"/>
          <w:szCs w:val="32"/>
          <w:lang w:val="en-US" w:eastAsia="zh-CN"/>
        </w:rPr>
        <w:t>生态保护红线、环境质量底线、资源利用上线和生态环境准入清单。</w:t>
      </w:r>
    </w:p>
    <w:p w14:paraId="71B5CE8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近零碳园区：</w:t>
      </w:r>
      <w:r>
        <w:rPr>
          <w:rFonts w:hint="default" w:ascii="Times New Roman" w:hAnsi="Times New Roman" w:eastAsia="方正仿宋_GBK" w:cs="Times New Roman"/>
          <w:color w:val="auto"/>
          <w:spacing w:val="0"/>
          <w:sz w:val="32"/>
          <w:szCs w:val="32"/>
          <w:lang w:val="en-US" w:eastAsia="zh-CN"/>
        </w:rPr>
        <w:t>以碳中和为目标，在全生命周期综合运用多种手段实现温室气体“近零”排放的产业园区。</w:t>
      </w:r>
    </w:p>
    <w:p w14:paraId="30FE46B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无废城市细胞：</w:t>
      </w:r>
      <w:r>
        <w:rPr>
          <w:rFonts w:hint="default" w:ascii="Times New Roman" w:hAnsi="Times New Roman" w:eastAsia="方正仿宋_GBK" w:cs="Times New Roman"/>
          <w:color w:val="auto"/>
          <w:spacing w:val="0"/>
          <w:sz w:val="32"/>
          <w:szCs w:val="32"/>
          <w:lang w:val="en-US" w:eastAsia="zh-CN"/>
        </w:rPr>
        <w:t>在固体废物源头减量、资源化利用和无害化处置等方面表现突出的社会各类生产生活单元。</w:t>
      </w:r>
    </w:p>
    <w:p w14:paraId="039EF80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零工驿站：</w:t>
      </w:r>
      <w:r>
        <w:rPr>
          <w:rFonts w:hint="default" w:ascii="Times New Roman" w:hAnsi="Times New Roman" w:eastAsia="方正仿宋_GBK" w:cs="Times New Roman"/>
          <w:color w:val="auto"/>
          <w:spacing w:val="0"/>
          <w:sz w:val="32"/>
          <w:szCs w:val="32"/>
          <w:lang w:val="en-US" w:eastAsia="zh-CN"/>
        </w:rPr>
        <w:t>为用工单位和求职人员提供非全日制、临时性和短期性劳务需求的综合性服务场所。</w:t>
      </w:r>
    </w:p>
    <w:p w14:paraId="05EF976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合成谬误：</w:t>
      </w:r>
      <w:r>
        <w:rPr>
          <w:rFonts w:hint="default" w:ascii="Times New Roman" w:hAnsi="Times New Roman" w:eastAsia="方正仿宋_GBK" w:cs="Times New Roman"/>
          <w:color w:val="auto"/>
          <w:spacing w:val="0"/>
          <w:sz w:val="32"/>
          <w:szCs w:val="32"/>
          <w:lang w:val="en-US" w:eastAsia="zh-CN"/>
        </w:rPr>
        <w:t>经济学术语，指对局部正确的推论在整体层面可能产生错误的现象，表现为个体理性决策导致集体非理性结果，通俗指分开干都没有问题，合起来就出问题。</w:t>
      </w:r>
    </w:p>
    <w:sectPr>
      <w:footerReference r:id="rId3" w:type="default"/>
      <w:footerReference r:id="rId4" w:type="even"/>
      <w:pgSz w:w="11906" w:h="16838"/>
      <w:pgMar w:top="1984" w:right="1446" w:bottom="1644" w:left="1446"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仿宋简体">
    <w:altName w:val="方正仿宋_GBK"/>
    <w:panose1 w:val="02000000000000000000"/>
    <w:charset w:val="00"/>
    <w:family w:val="auto"/>
    <w:pitch w:val="default"/>
    <w:sig w:usb0="00000000" w:usb1="00000000" w:usb2="00000012"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E422">
    <w:pPr>
      <w:pStyle w:val="14"/>
      <w:ind w:right="360" w:firstLine="360"/>
      <w:jc w:val="right"/>
      <w:rPr>
        <w:rFonts w:hint="eastAsia" w:ascii="方正仿宋_GBK" w:hAnsi="方正仿宋_GBK" w:eastAsia="方正仿宋_GBK" w:cs="方正仿宋_GBK"/>
      </w:rPr>
    </w:pPr>
    <w:r>
      <w:rPr>
        <w:rStyle w:val="22"/>
        <w:rFonts w:hint="eastAsia" w:ascii="方正仿宋_GBK" w:hAnsi="方正仿宋_GBK" w:eastAsia="方正仿宋_GBK" w:cs="方正仿宋_GBK"/>
        <w:sz w:val="28"/>
      </w:rPr>
      <w:t>―</w:t>
    </w:r>
    <w:r>
      <w:rPr>
        <w:rFonts w:hint="default" w:ascii="Times New Roman" w:hAnsi="Times New Roman" w:eastAsia="方正仿宋_GBK" w:cs="Times New Roman"/>
        <w:kern w:val="0"/>
        <w:sz w:val="28"/>
      </w:rPr>
      <w:t xml:space="preserve"> </w:t>
    </w:r>
    <w:r>
      <w:rPr>
        <w:rFonts w:hint="default" w:ascii="Times New Roman" w:hAnsi="Times New Roman" w:eastAsia="方正仿宋_GBK" w:cs="Times New Roman"/>
        <w:kern w:val="0"/>
        <w:sz w:val="28"/>
      </w:rPr>
      <w:fldChar w:fldCharType="begin"/>
    </w:r>
    <w:r>
      <w:rPr>
        <w:rFonts w:hint="default" w:ascii="Times New Roman" w:hAnsi="Times New Roman" w:eastAsia="方正仿宋_GBK" w:cs="Times New Roman"/>
        <w:kern w:val="0"/>
        <w:sz w:val="28"/>
      </w:rPr>
      <w:instrText xml:space="preserve"> PAGE </w:instrText>
    </w:r>
    <w:r>
      <w:rPr>
        <w:rFonts w:hint="default" w:ascii="Times New Roman" w:hAnsi="Times New Roman" w:eastAsia="方正仿宋_GBK" w:cs="Times New Roman"/>
        <w:kern w:val="0"/>
        <w:sz w:val="28"/>
      </w:rPr>
      <w:fldChar w:fldCharType="separate"/>
    </w:r>
    <w:r>
      <w:rPr>
        <w:rFonts w:hint="default" w:ascii="Times New Roman" w:hAnsi="Times New Roman" w:eastAsia="方正仿宋_GBK" w:cs="Times New Roman"/>
        <w:kern w:val="0"/>
        <w:sz w:val="28"/>
      </w:rPr>
      <w:t>2</w:t>
    </w:r>
    <w:r>
      <w:rPr>
        <w:rFonts w:hint="default" w:ascii="Times New Roman" w:hAnsi="Times New Roman" w:eastAsia="方正仿宋_GBK" w:cs="Times New Roman"/>
        <w:kern w:val="0"/>
        <w:sz w:val="28"/>
      </w:rPr>
      <w:fldChar w:fldCharType="end"/>
    </w:r>
    <w:r>
      <w:rPr>
        <w:rFonts w:hint="eastAsia" w:ascii="方正仿宋_GBK" w:hAnsi="方正仿宋_GBK" w:eastAsia="方正仿宋_GBK" w:cs="方正仿宋_GBK"/>
        <w:kern w:val="0"/>
        <w:sz w:val="28"/>
      </w:rPr>
      <w:t xml:space="preserve"> </w:t>
    </w:r>
    <w:r>
      <w:rPr>
        <w:rStyle w:val="22"/>
        <w:rFonts w:hint="eastAsia" w:ascii="方正仿宋_GBK" w:hAnsi="方正仿宋_GBK" w:eastAsia="方正仿宋_GBK" w:cs="方正仿宋_GBK"/>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3DEF">
    <w:pPr>
      <w:pStyle w:val="14"/>
      <w:ind w:right="360" w:firstLine="360"/>
      <w:rPr>
        <w:rFonts w:hint="eastAsia" w:ascii="方正仿宋_GBK" w:hAnsi="方正仿宋_GBK" w:eastAsia="方正仿宋_GBK" w:cs="方正仿宋_GBK"/>
      </w:rPr>
    </w:pPr>
    <w:r>
      <w:rPr>
        <w:rStyle w:val="22"/>
        <w:rFonts w:hint="eastAsia" w:ascii="方正仿宋_GBK" w:hAnsi="方正仿宋_GBK" w:eastAsia="方正仿宋_GBK" w:cs="方正仿宋_GBK"/>
        <w:sz w:val="28"/>
      </w:rPr>
      <w:t>―</w:t>
    </w:r>
    <w:r>
      <w:rPr>
        <w:rFonts w:hint="default" w:ascii="Times New Roman" w:hAnsi="Times New Roman" w:eastAsia="方正仿宋_GBK" w:cs="Times New Roman"/>
        <w:kern w:val="0"/>
        <w:sz w:val="28"/>
      </w:rPr>
      <w:t xml:space="preserve"> </w:t>
    </w:r>
    <w:r>
      <w:rPr>
        <w:rFonts w:hint="default" w:ascii="Times New Roman" w:hAnsi="Times New Roman" w:eastAsia="方正仿宋_GBK" w:cs="Times New Roman"/>
        <w:kern w:val="0"/>
        <w:sz w:val="28"/>
      </w:rPr>
      <w:fldChar w:fldCharType="begin"/>
    </w:r>
    <w:r>
      <w:rPr>
        <w:rFonts w:hint="default" w:ascii="Times New Roman" w:hAnsi="Times New Roman" w:eastAsia="方正仿宋_GBK" w:cs="Times New Roman"/>
        <w:kern w:val="0"/>
        <w:sz w:val="28"/>
      </w:rPr>
      <w:instrText xml:space="preserve"> PAGE </w:instrText>
    </w:r>
    <w:r>
      <w:rPr>
        <w:rFonts w:hint="default" w:ascii="Times New Roman" w:hAnsi="Times New Roman" w:eastAsia="方正仿宋_GBK" w:cs="Times New Roman"/>
        <w:kern w:val="0"/>
        <w:sz w:val="28"/>
      </w:rPr>
      <w:fldChar w:fldCharType="separate"/>
    </w:r>
    <w:r>
      <w:rPr>
        <w:rFonts w:hint="default" w:ascii="Times New Roman" w:hAnsi="Times New Roman" w:eastAsia="方正仿宋_GBK" w:cs="Times New Roman"/>
        <w:kern w:val="0"/>
        <w:sz w:val="28"/>
      </w:rPr>
      <w:t>2</w:t>
    </w:r>
    <w:r>
      <w:rPr>
        <w:rFonts w:hint="default" w:ascii="Times New Roman" w:hAnsi="Times New Roman" w:eastAsia="方正仿宋_GBK" w:cs="Times New Roman"/>
        <w:kern w:val="0"/>
        <w:sz w:val="28"/>
      </w:rPr>
      <w:fldChar w:fldCharType="end"/>
    </w:r>
    <w:r>
      <w:rPr>
        <w:rFonts w:hint="eastAsia" w:ascii="方正仿宋_GBK" w:hAnsi="方正仿宋_GBK" w:eastAsia="方正仿宋_GBK" w:cs="方正仿宋_GBK"/>
        <w:kern w:val="0"/>
        <w:sz w:val="28"/>
      </w:rPr>
      <w:t xml:space="preserve"> </w:t>
    </w:r>
    <w:r>
      <w:rPr>
        <w:rStyle w:val="22"/>
        <w:rFonts w:hint="eastAsia" w:ascii="方正仿宋_GBK" w:hAnsi="方正仿宋_GBK" w:eastAsia="方正仿宋_GBK" w:cs="方正仿宋_GBK"/>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831C6"/>
    <w:rsid w:val="004B48CF"/>
    <w:rsid w:val="005C6ADC"/>
    <w:rsid w:val="00612345"/>
    <w:rsid w:val="006911F9"/>
    <w:rsid w:val="007B565A"/>
    <w:rsid w:val="00953D9C"/>
    <w:rsid w:val="00E80370"/>
    <w:rsid w:val="00ED3BD8"/>
    <w:rsid w:val="010158D6"/>
    <w:rsid w:val="010B75D2"/>
    <w:rsid w:val="01113D6B"/>
    <w:rsid w:val="01242549"/>
    <w:rsid w:val="01415CD2"/>
    <w:rsid w:val="01553485"/>
    <w:rsid w:val="019E698C"/>
    <w:rsid w:val="01C3779B"/>
    <w:rsid w:val="026B74AB"/>
    <w:rsid w:val="029C3641"/>
    <w:rsid w:val="03155AEE"/>
    <w:rsid w:val="035E0DBD"/>
    <w:rsid w:val="037A226B"/>
    <w:rsid w:val="03800D34"/>
    <w:rsid w:val="03B92498"/>
    <w:rsid w:val="045447CF"/>
    <w:rsid w:val="05860158"/>
    <w:rsid w:val="058B39C0"/>
    <w:rsid w:val="058D7738"/>
    <w:rsid w:val="05D3970F"/>
    <w:rsid w:val="05E05ABA"/>
    <w:rsid w:val="061B11E8"/>
    <w:rsid w:val="065F7326"/>
    <w:rsid w:val="067E7E65"/>
    <w:rsid w:val="06845F9F"/>
    <w:rsid w:val="06954AF6"/>
    <w:rsid w:val="06A0349B"/>
    <w:rsid w:val="06EE2458"/>
    <w:rsid w:val="07205A66"/>
    <w:rsid w:val="07AC528C"/>
    <w:rsid w:val="07E13D6B"/>
    <w:rsid w:val="083F57FA"/>
    <w:rsid w:val="086D45A1"/>
    <w:rsid w:val="08812254"/>
    <w:rsid w:val="08964B56"/>
    <w:rsid w:val="091D3C35"/>
    <w:rsid w:val="09C33728"/>
    <w:rsid w:val="09D516AE"/>
    <w:rsid w:val="0A7644D8"/>
    <w:rsid w:val="0A7E2D89"/>
    <w:rsid w:val="0ACB31DC"/>
    <w:rsid w:val="0AEE176E"/>
    <w:rsid w:val="0B3F7726"/>
    <w:rsid w:val="0B674587"/>
    <w:rsid w:val="0B9F346C"/>
    <w:rsid w:val="0BFE3AF6"/>
    <w:rsid w:val="0C0A1AE2"/>
    <w:rsid w:val="0C1069CD"/>
    <w:rsid w:val="0C1110C3"/>
    <w:rsid w:val="0C3B3195"/>
    <w:rsid w:val="0C743400"/>
    <w:rsid w:val="0C831895"/>
    <w:rsid w:val="0C955012"/>
    <w:rsid w:val="0CA313D8"/>
    <w:rsid w:val="0CB41A4E"/>
    <w:rsid w:val="0D9C54B1"/>
    <w:rsid w:val="0DF93BBD"/>
    <w:rsid w:val="0DFF6353"/>
    <w:rsid w:val="0E2055ED"/>
    <w:rsid w:val="0E6179B4"/>
    <w:rsid w:val="0E954D92"/>
    <w:rsid w:val="0EBB70C4"/>
    <w:rsid w:val="0F242EBB"/>
    <w:rsid w:val="0F3A0931"/>
    <w:rsid w:val="0F657030"/>
    <w:rsid w:val="0FB57FB7"/>
    <w:rsid w:val="0FBF6377"/>
    <w:rsid w:val="0FC65D20"/>
    <w:rsid w:val="0FDE77AC"/>
    <w:rsid w:val="0FDF51B3"/>
    <w:rsid w:val="0FEF5CED"/>
    <w:rsid w:val="0FF78D12"/>
    <w:rsid w:val="10623011"/>
    <w:rsid w:val="1065378B"/>
    <w:rsid w:val="10BE10ED"/>
    <w:rsid w:val="114A472F"/>
    <w:rsid w:val="11665A0D"/>
    <w:rsid w:val="116B4E76"/>
    <w:rsid w:val="11DF131B"/>
    <w:rsid w:val="11EB4164"/>
    <w:rsid w:val="11FF376C"/>
    <w:rsid w:val="123B46E6"/>
    <w:rsid w:val="123C051C"/>
    <w:rsid w:val="12BF8946"/>
    <w:rsid w:val="12EA441C"/>
    <w:rsid w:val="13451652"/>
    <w:rsid w:val="13651CF4"/>
    <w:rsid w:val="139879D4"/>
    <w:rsid w:val="13BB1914"/>
    <w:rsid w:val="13C52C06"/>
    <w:rsid w:val="13EF4D8A"/>
    <w:rsid w:val="13EF5B59"/>
    <w:rsid w:val="14223741"/>
    <w:rsid w:val="14465682"/>
    <w:rsid w:val="14847F58"/>
    <w:rsid w:val="15311E8E"/>
    <w:rsid w:val="153E9E5C"/>
    <w:rsid w:val="158226E9"/>
    <w:rsid w:val="15910696"/>
    <w:rsid w:val="15A22D8C"/>
    <w:rsid w:val="15A66AB2"/>
    <w:rsid w:val="15FF0443"/>
    <w:rsid w:val="16133C89"/>
    <w:rsid w:val="163065E9"/>
    <w:rsid w:val="16314110"/>
    <w:rsid w:val="163559AE"/>
    <w:rsid w:val="16695657"/>
    <w:rsid w:val="1696265D"/>
    <w:rsid w:val="16BF6B65"/>
    <w:rsid w:val="17102049"/>
    <w:rsid w:val="173F0597"/>
    <w:rsid w:val="1783099B"/>
    <w:rsid w:val="179E353C"/>
    <w:rsid w:val="17E74064"/>
    <w:rsid w:val="17EE1F61"/>
    <w:rsid w:val="17EE7500"/>
    <w:rsid w:val="17F6B7E9"/>
    <w:rsid w:val="17FB6783"/>
    <w:rsid w:val="17FE4898"/>
    <w:rsid w:val="17FEB3F7"/>
    <w:rsid w:val="17FFB5DB"/>
    <w:rsid w:val="18194E5B"/>
    <w:rsid w:val="18736C61"/>
    <w:rsid w:val="18BA0F37"/>
    <w:rsid w:val="18DC4807"/>
    <w:rsid w:val="19052300"/>
    <w:rsid w:val="19CD473E"/>
    <w:rsid w:val="19D159ED"/>
    <w:rsid w:val="19FA1392"/>
    <w:rsid w:val="1A376543"/>
    <w:rsid w:val="1A4F7BE7"/>
    <w:rsid w:val="1A9C249F"/>
    <w:rsid w:val="1AB002CC"/>
    <w:rsid w:val="1ABA7775"/>
    <w:rsid w:val="1ABF1CEA"/>
    <w:rsid w:val="1ADD03C2"/>
    <w:rsid w:val="1B86C1BD"/>
    <w:rsid w:val="1B8F790E"/>
    <w:rsid w:val="1B9C64CF"/>
    <w:rsid w:val="1BB69FAC"/>
    <w:rsid w:val="1BBDAF8B"/>
    <w:rsid w:val="1BC8749F"/>
    <w:rsid w:val="1BEA9EAB"/>
    <w:rsid w:val="1BFEA439"/>
    <w:rsid w:val="1C0A51E7"/>
    <w:rsid w:val="1C1D316C"/>
    <w:rsid w:val="1C2D8B25"/>
    <w:rsid w:val="1C57004C"/>
    <w:rsid w:val="1C767F95"/>
    <w:rsid w:val="1CCC3B84"/>
    <w:rsid w:val="1CEC530E"/>
    <w:rsid w:val="1D04257E"/>
    <w:rsid w:val="1D106BDE"/>
    <w:rsid w:val="1D65301C"/>
    <w:rsid w:val="1D754434"/>
    <w:rsid w:val="1DBFF702"/>
    <w:rsid w:val="1DF1D3DB"/>
    <w:rsid w:val="1DF9F036"/>
    <w:rsid w:val="1DFB572F"/>
    <w:rsid w:val="1DFF3B83"/>
    <w:rsid w:val="1DFF4CB8"/>
    <w:rsid w:val="1DFF5664"/>
    <w:rsid w:val="1E162569"/>
    <w:rsid w:val="1E1F4803"/>
    <w:rsid w:val="1E5B441F"/>
    <w:rsid w:val="1E5D3CF4"/>
    <w:rsid w:val="1E7FDC10"/>
    <w:rsid w:val="1EA453F3"/>
    <w:rsid w:val="1EC21DA9"/>
    <w:rsid w:val="1EC94A0B"/>
    <w:rsid w:val="1EDF1BFB"/>
    <w:rsid w:val="1EFD7EE7"/>
    <w:rsid w:val="1EFF0429"/>
    <w:rsid w:val="1F3F61F2"/>
    <w:rsid w:val="1F6F6ACC"/>
    <w:rsid w:val="1F769ADC"/>
    <w:rsid w:val="1F7B4858"/>
    <w:rsid w:val="1F7E1DB3"/>
    <w:rsid w:val="1F7F3EB4"/>
    <w:rsid w:val="1F9951FF"/>
    <w:rsid w:val="1F9F50F2"/>
    <w:rsid w:val="1F9FCB7F"/>
    <w:rsid w:val="1FA35E60"/>
    <w:rsid w:val="1FA78B7D"/>
    <w:rsid w:val="1FAC14B5"/>
    <w:rsid w:val="1FAF4664"/>
    <w:rsid w:val="1FBBF445"/>
    <w:rsid w:val="1FC7B23E"/>
    <w:rsid w:val="1FCE703F"/>
    <w:rsid w:val="1FD7DB64"/>
    <w:rsid w:val="1FD848B9"/>
    <w:rsid w:val="1FDA1374"/>
    <w:rsid w:val="1FDFA3F0"/>
    <w:rsid w:val="1FE8673D"/>
    <w:rsid w:val="1FEE8086"/>
    <w:rsid w:val="1FEF7FBC"/>
    <w:rsid w:val="1FEFAE8F"/>
    <w:rsid w:val="1FF9EC5C"/>
    <w:rsid w:val="1FFDA48A"/>
    <w:rsid w:val="1FFE8F1A"/>
    <w:rsid w:val="1FFFBF8A"/>
    <w:rsid w:val="1FFFFE78"/>
    <w:rsid w:val="20825C93"/>
    <w:rsid w:val="215313DE"/>
    <w:rsid w:val="21562C7C"/>
    <w:rsid w:val="21A25EC1"/>
    <w:rsid w:val="21C978F2"/>
    <w:rsid w:val="220F7392"/>
    <w:rsid w:val="226D5DD6"/>
    <w:rsid w:val="227329BC"/>
    <w:rsid w:val="22D6371D"/>
    <w:rsid w:val="22EF3388"/>
    <w:rsid w:val="23056708"/>
    <w:rsid w:val="230706D2"/>
    <w:rsid w:val="2322375E"/>
    <w:rsid w:val="23623B5A"/>
    <w:rsid w:val="238E0DF3"/>
    <w:rsid w:val="23B5283E"/>
    <w:rsid w:val="23EFD6CB"/>
    <w:rsid w:val="2430034D"/>
    <w:rsid w:val="24A3267C"/>
    <w:rsid w:val="24C148B0"/>
    <w:rsid w:val="24E71EFA"/>
    <w:rsid w:val="24FB0661"/>
    <w:rsid w:val="251470D6"/>
    <w:rsid w:val="253357AE"/>
    <w:rsid w:val="2567A999"/>
    <w:rsid w:val="25DF5936"/>
    <w:rsid w:val="261D1FBA"/>
    <w:rsid w:val="26B759E3"/>
    <w:rsid w:val="26C8461C"/>
    <w:rsid w:val="26CD578F"/>
    <w:rsid w:val="26DF6A3D"/>
    <w:rsid w:val="27897907"/>
    <w:rsid w:val="27B338BA"/>
    <w:rsid w:val="27C7DE94"/>
    <w:rsid w:val="27FB65AF"/>
    <w:rsid w:val="27FF538C"/>
    <w:rsid w:val="28180D37"/>
    <w:rsid w:val="281F0475"/>
    <w:rsid w:val="282D0BDB"/>
    <w:rsid w:val="285D4315"/>
    <w:rsid w:val="28620159"/>
    <w:rsid w:val="28887BBF"/>
    <w:rsid w:val="28902F18"/>
    <w:rsid w:val="289B3D96"/>
    <w:rsid w:val="28C037FD"/>
    <w:rsid w:val="28DC43AF"/>
    <w:rsid w:val="28FF1335"/>
    <w:rsid w:val="293B2E83"/>
    <w:rsid w:val="2944DB03"/>
    <w:rsid w:val="2959155B"/>
    <w:rsid w:val="29755792"/>
    <w:rsid w:val="29910CF5"/>
    <w:rsid w:val="299407E6"/>
    <w:rsid w:val="299DFA8A"/>
    <w:rsid w:val="2A076EB3"/>
    <w:rsid w:val="2A0A1509"/>
    <w:rsid w:val="2A13795C"/>
    <w:rsid w:val="2A2953D2"/>
    <w:rsid w:val="2A4915D0"/>
    <w:rsid w:val="2A5E7517"/>
    <w:rsid w:val="2A6E1037"/>
    <w:rsid w:val="2ABA24CE"/>
    <w:rsid w:val="2ADE7F6A"/>
    <w:rsid w:val="2AFC2AE6"/>
    <w:rsid w:val="2B3FA66E"/>
    <w:rsid w:val="2B4104F9"/>
    <w:rsid w:val="2B4A1AA4"/>
    <w:rsid w:val="2B67701D"/>
    <w:rsid w:val="2B98280F"/>
    <w:rsid w:val="2BD6153E"/>
    <w:rsid w:val="2BEF9762"/>
    <w:rsid w:val="2C0E2AD1"/>
    <w:rsid w:val="2CA13945"/>
    <w:rsid w:val="2CAAF83E"/>
    <w:rsid w:val="2D2325AC"/>
    <w:rsid w:val="2D263E4A"/>
    <w:rsid w:val="2D2F65EF"/>
    <w:rsid w:val="2D7B6B0C"/>
    <w:rsid w:val="2DB426D0"/>
    <w:rsid w:val="2DDB2E87"/>
    <w:rsid w:val="2DEA0610"/>
    <w:rsid w:val="2DF16533"/>
    <w:rsid w:val="2E426A62"/>
    <w:rsid w:val="2E574BC2"/>
    <w:rsid w:val="2E5EDEA6"/>
    <w:rsid w:val="2E7742A4"/>
    <w:rsid w:val="2E7E766C"/>
    <w:rsid w:val="2E823302"/>
    <w:rsid w:val="2EB63C0B"/>
    <w:rsid w:val="2EBDBFD1"/>
    <w:rsid w:val="2EC4391B"/>
    <w:rsid w:val="2ED5BCDC"/>
    <w:rsid w:val="2EDC2A13"/>
    <w:rsid w:val="2EDEBE68"/>
    <w:rsid w:val="2EEAE040"/>
    <w:rsid w:val="2EF02962"/>
    <w:rsid w:val="2EFFB7CA"/>
    <w:rsid w:val="2EFFD6A5"/>
    <w:rsid w:val="2F4C5043"/>
    <w:rsid w:val="2F6794C3"/>
    <w:rsid w:val="2F7FE852"/>
    <w:rsid w:val="2F7FF414"/>
    <w:rsid w:val="2F837332"/>
    <w:rsid w:val="2F9F1BDB"/>
    <w:rsid w:val="2FBF7CC5"/>
    <w:rsid w:val="2FDB3986"/>
    <w:rsid w:val="2FE14059"/>
    <w:rsid w:val="2FEE9DEE"/>
    <w:rsid w:val="2FFD3B48"/>
    <w:rsid w:val="2FFDAFA1"/>
    <w:rsid w:val="2FFDBFA8"/>
    <w:rsid w:val="2FFF07BC"/>
    <w:rsid w:val="2FFF3947"/>
    <w:rsid w:val="2FFFCBDF"/>
    <w:rsid w:val="30224D9D"/>
    <w:rsid w:val="307D0225"/>
    <w:rsid w:val="30980BBB"/>
    <w:rsid w:val="3098505F"/>
    <w:rsid w:val="30FC55EE"/>
    <w:rsid w:val="315471D8"/>
    <w:rsid w:val="316F4012"/>
    <w:rsid w:val="317BD769"/>
    <w:rsid w:val="317F75F6"/>
    <w:rsid w:val="31DE74FF"/>
    <w:rsid w:val="327FA36A"/>
    <w:rsid w:val="32BD9F8D"/>
    <w:rsid w:val="331035D3"/>
    <w:rsid w:val="333F3501"/>
    <w:rsid w:val="33521DC8"/>
    <w:rsid w:val="337EB4D8"/>
    <w:rsid w:val="33890C8F"/>
    <w:rsid w:val="339DAA3E"/>
    <w:rsid w:val="33E41628"/>
    <w:rsid w:val="33EC51C6"/>
    <w:rsid w:val="33F762AB"/>
    <w:rsid w:val="33FF7FA2"/>
    <w:rsid w:val="3437693D"/>
    <w:rsid w:val="344015B2"/>
    <w:rsid w:val="3454129D"/>
    <w:rsid w:val="34677222"/>
    <w:rsid w:val="347008C8"/>
    <w:rsid w:val="347100A1"/>
    <w:rsid w:val="3474419F"/>
    <w:rsid w:val="34D07743"/>
    <w:rsid w:val="34DF4901"/>
    <w:rsid w:val="34FB5BBD"/>
    <w:rsid w:val="34FF20B0"/>
    <w:rsid w:val="353FE843"/>
    <w:rsid w:val="35451D5F"/>
    <w:rsid w:val="35570B1C"/>
    <w:rsid w:val="355F4C55"/>
    <w:rsid w:val="355F8F4A"/>
    <w:rsid w:val="35B37AFD"/>
    <w:rsid w:val="35B53260"/>
    <w:rsid w:val="35CF185E"/>
    <w:rsid w:val="35E0728C"/>
    <w:rsid w:val="35F54D10"/>
    <w:rsid w:val="35FB9085"/>
    <w:rsid w:val="35FF4068"/>
    <w:rsid w:val="35FFEE7B"/>
    <w:rsid w:val="364D069A"/>
    <w:rsid w:val="3663EECA"/>
    <w:rsid w:val="366FCC8A"/>
    <w:rsid w:val="368E4F3A"/>
    <w:rsid w:val="36905626"/>
    <w:rsid w:val="36BA094B"/>
    <w:rsid w:val="36BA5D2F"/>
    <w:rsid w:val="36DFC513"/>
    <w:rsid w:val="36E85BF6"/>
    <w:rsid w:val="36FAA558"/>
    <w:rsid w:val="36FFAADF"/>
    <w:rsid w:val="372D08FC"/>
    <w:rsid w:val="372DA274"/>
    <w:rsid w:val="376DA55F"/>
    <w:rsid w:val="377F92B6"/>
    <w:rsid w:val="3797370E"/>
    <w:rsid w:val="379737DD"/>
    <w:rsid w:val="37A3652C"/>
    <w:rsid w:val="37AB4C70"/>
    <w:rsid w:val="37B19411"/>
    <w:rsid w:val="37BF7EEF"/>
    <w:rsid w:val="37CB1876"/>
    <w:rsid w:val="37CDA56D"/>
    <w:rsid w:val="37CFE6FA"/>
    <w:rsid w:val="37D79F9D"/>
    <w:rsid w:val="37DBECCC"/>
    <w:rsid w:val="37DF62B8"/>
    <w:rsid w:val="37FF2CBB"/>
    <w:rsid w:val="37FF7B79"/>
    <w:rsid w:val="37FFD066"/>
    <w:rsid w:val="382F0057"/>
    <w:rsid w:val="3886495A"/>
    <w:rsid w:val="388B5F1E"/>
    <w:rsid w:val="38AA0764"/>
    <w:rsid w:val="38D64977"/>
    <w:rsid w:val="38FB3A38"/>
    <w:rsid w:val="393FB03A"/>
    <w:rsid w:val="397B9051"/>
    <w:rsid w:val="397F6DBC"/>
    <w:rsid w:val="399C635F"/>
    <w:rsid w:val="39BDAC0E"/>
    <w:rsid w:val="39BE449A"/>
    <w:rsid w:val="39BF118E"/>
    <w:rsid w:val="39C90037"/>
    <w:rsid w:val="39E62997"/>
    <w:rsid w:val="39FF429B"/>
    <w:rsid w:val="39FF4CE5"/>
    <w:rsid w:val="3A532689"/>
    <w:rsid w:val="3A6ADD44"/>
    <w:rsid w:val="3A7CA123"/>
    <w:rsid w:val="3AB111F7"/>
    <w:rsid w:val="3AC7065D"/>
    <w:rsid w:val="3AD087EE"/>
    <w:rsid w:val="3AEAE0E0"/>
    <w:rsid w:val="3AF517B1"/>
    <w:rsid w:val="3B111C96"/>
    <w:rsid w:val="3B273F0F"/>
    <w:rsid w:val="3B4200A1"/>
    <w:rsid w:val="3B434F6A"/>
    <w:rsid w:val="3B4756B8"/>
    <w:rsid w:val="3B6F8B60"/>
    <w:rsid w:val="3B7C2623"/>
    <w:rsid w:val="3B7F0A73"/>
    <w:rsid w:val="3B7FCA66"/>
    <w:rsid w:val="3B84690C"/>
    <w:rsid w:val="3B8B1A48"/>
    <w:rsid w:val="3BA7084C"/>
    <w:rsid w:val="3BC22F6A"/>
    <w:rsid w:val="3BDD1C1B"/>
    <w:rsid w:val="3BDF3118"/>
    <w:rsid w:val="3BE83B88"/>
    <w:rsid w:val="3BED95C5"/>
    <w:rsid w:val="3BEE99AA"/>
    <w:rsid w:val="3BF713FB"/>
    <w:rsid w:val="3BF7942A"/>
    <w:rsid w:val="3C2A17E3"/>
    <w:rsid w:val="3C574020"/>
    <w:rsid w:val="3C834E15"/>
    <w:rsid w:val="3C8B5A78"/>
    <w:rsid w:val="3C9BC4D5"/>
    <w:rsid w:val="3CF7DF91"/>
    <w:rsid w:val="3CFFDA89"/>
    <w:rsid w:val="3D13B3F3"/>
    <w:rsid w:val="3D161043"/>
    <w:rsid w:val="3D3AE5AA"/>
    <w:rsid w:val="3D4F6063"/>
    <w:rsid w:val="3D676827"/>
    <w:rsid w:val="3D7A99DA"/>
    <w:rsid w:val="3D7ED64E"/>
    <w:rsid w:val="3D7F24EB"/>
    <w:rsid w:val="3D964DDC"/>
    <w:rsid w:val="3DBB4DA4"/>
    <w:rsid w:val="3DDF0672"/>
    <w:rsid w:val="3DEA96F2"/>
    <w:rsid w:val="3DEEFCAD"/>
    <w:rsid w:val="3DF36984"/>
    <w:rsid w:val="3DF77F84"/>
    <w:rsid w:val="3DFA858D"/>
    <w:rsid w:val="3DFB55A3"/>
    <w:rsid w:val="3DFF2106"/>
    <w:rsid w:val="3DFFB147"/>
    <w:rsid w:val="3E1DA496"/>
    <w:rsid w:val="3E344619"/>
    <w:rsid w:val="3E3EAC3D"/>
    <w:rsid w:val="3E3FACDD"/>
    <w:rsid w:val="3E56680D"/>
    <w:rsid w:val="3E6F6234"/>
    <w:rsid w:val="3E7E7A9D"/>
    <w:rsid w:val="3E9B56CB"/>
    <w:rsid w:val="3EBB8B89"/>
    <w:rsid w:val="3EDFAA15"/>
    <w:rsid w:val="3EE43A4E"/>
    <w:rsid w:val="3EE8CDAB"/>
    <w:rsid w:val="3EEBC96C"/>
    <w:rsid w:val="3EF39C9A"/>
    <w:rsid w:val="3EF7D390"/>
    <w:rsid w:val="3EF94F1B"/>
    <w:rsid w:val="3EFB8BB3"/>
    <w:rsid w:val="3EFDA555"/>
    <w:rsid w:val="3EFF8A08"/>
    <w:rsid w:val="3F0A6B99"/>
    <w:rsid w:val="3F0B4C4E"/>
    <w:rsid w:val="3F0D09C6"/>
    <w:rsid w:val="3F1F9FF5"/>
    <w:rsid w:val="3F378100"/>
    <w:rsid w:val="3F3EF4B0"/>
    <w:rsid w:val="3F3F676B"/>
    <w:rsid w:val="3F424E9A"/>
    <w:rsid w:val="3F4FF1B0"/>
    <w:rsid w:val="3F574FEA"/>
    <w:rsid w:val="3F620D12"/>
    <w:rsid w:val="3F6E3B5B"/>
    <w:rsid w:val="3F722509"/>
    <w:rsid w:val="3F737AF5"/>
    <w:rsid w:val="3F775AA2"/>
    <w:rsid w:val="3F77C714"/>
    <w:rsid w:val="3F790202"/>
    <w:rsid w:val="3FAEAA64"/>
    <w:rsid w:val="3FAFB9FF"/>
    <w:rsid w:val="3FB03E84"/>
    <w:rsid w:val="3FB7C7C0"/>
    <w:rsid w:val="3FBFAD9C"/>
    <w:rsid w:val="3FC3050B"/>
    <w:rsid w:val="3FD71A25"/>
    <w:rsid w:val="3FD71CCA"/>
    <w:rsid w:val="3FDB393A"/>
    <w:rsid w:val="3FDBECD1"/>
    <w:rsid w:val="3FDE1B3F"/>
    <w:rsid w:val="3FDE31D4"/>
    <w:rsid w:val="3FDE4143"/>
    <w:rsid w:val="3FDF5568"/>
    <w:rsid w:val="3FDFA69F"/>
    <w:rsid w:val="3FDFE1DD"/>
    <w:rsid w:val="3FE7537F"/>
    <w:rsid w:val="3FE7B50D"/>
    <w:rsid w:val="3FEE1B30"/>
    <w:rsid w:val="3FEF685A"/>
    <w:rsid w:val="3FEFBF24"/>
    <w:rsid w:val="3FEFD6B8"/>
    <w:rsid w:val="3FF2CA67"/>
    <w:rsid w:val="3FF5C964"/>
    <w:rsid w:val="3FF73AB3"/>
    <w:rsid w:val="3FF9BD99"/>
    <w:rsid w:val="3FFAEDD0"/>
    <w:rsid w:val="3FFBEBC5"/>
    <w:rsid w:val="3FFCB4CB"/>
    <w:rsid w:val="3FFD50DC"/>
    <w:rsid w:val="3FFD54AC"/>
    <w:rsid w:val="3FFD7F3B"/>
    <w:rsid w:val="3FFDBE26"/>
    <w:rsid w:val="3FFEAF37"/>
    <w:rsid w:val="3FFEC62B"/>
    <w:rsid w:val="3FFEF749"/>
    <w:rsid w:val="3FFF2611"/>
    <w:rsid w:val="3FFF53A8"/>
    <w:rsid w:val="3FFF7503"/>
    <w:rsid w:val="3FFFA899"/>
    <w:rsid w:val="406E36E7"/>
    <w:rsid w:val="408A49C4"/>
    <w:rsid w:val="40CE07C6"/>
    <w:rsid w:val="40DC4AF4"/>
    <w:rsid w:val="41250FC5"/>
    <w:rsid w:val="41334B1B"/>
    <w:rsid w:val="417FD8F3"/>
    <w:rsid w:val="41A82C28"/>
    <w:rsid w:val="41BA3087"/>
    <w:rsid w:val="41F30347"/>
    <w:rsid w:val="41FF282E"/>
    <w:rsid w:val="42002A64"/>
    <w:rsid w:val="427B74C6"/>
    <w:rsid w:val="42890CAC"/>
    <w:rsid w:val="42A31D6D"/>
    <w:rsid w:val="42A653BA"/>
    <w:rsid w:val="42A930FC"/>
    <w:rsid w:val="43284021"/>
    <w:rsid w:val="43C33D49"/>
    <w:rsid w:val="43C875B2"/>
    <w:rsid w:val="44254A04"/>
    <w:rsid w:val="442742D8"/>
    <w:rsid w:val="44427B61"/>
    <w:rsid w:val="44B941A5"/>
    <w:rsid w:val="44BDD30F"/>
    <w:rsid w:val="452A22D2"/>
    <w:rsid w:val="45AF8F33"/>
    <w:rsid w:val="45D16BF2"/>
    <w:rsid w:val="45D71D2E"/>
    <w:rsid w:val="46207231"/>
    <w:rsid w:val="46751693"/>
    <w:rsid w:val="46A61E2C"/>
    <w:rsid w:val="46EF5CD1"/>
    <w:rsid w:val="471D556B"/>
    <w:rsid w:val="476BD9CD"/>
    <w:rsid w:val="479779C7"/>
    <w:rsid w:val="479A3013"/>
    <w:rsid w:val="47B6BD59"/>
    <w:rsid w:val="47BF8B1C"/>
    <w:rsid w:val="47BFFECE"/>
    <w:rsid w:val="47CB415B"/>
    <w:rsid w:val="47F7E260"/>
    <w:rsid w:val="47FF0268"/>
    <w:rsid w:val="47FF9E80"/>
    <w:rsid w:val="482504C5"/>
    <w:rsid w:val="483E2CA5"/>
    <w:rsid w:val="48457423"/>
    <w:rsid w:val="4877558F"/>
    <w:rsid w:val="487815A6"/>
    <w:rsid w:val="487A3570"/>
    <w:rsid w:val="48934632"/>
    <w:rsid w:val="48A75250"/>
    <w:rsid w:val="48F30DAB"/>
    <w:rsid w:val="48FD7CFE"/>
    <w:rsid w:val="49B02525"/>
    <w:rsid w:val="49C7B35B"/>
    <w:rsid w:val="4A3459A1"/>
    <w:rsid w:val="4A534079"/>
    <w:rsid w:val="4A5D4EF8"/>
    <w:rsid w:val="4A7144FF"/>
    <w:rsid w:val="4AA46683"/>
    <w:rsid w:val="4ABF70BF"/>
    <w:rsid w:val="4AE274E7"/>
    <w:rsid w:val="4B1D8376"/>
    <w:rsid w:val="4B2C6678"/>
    <w:rsid w:val="4B49BF71"/>
    <w:rsid w:val="4B571CA5"/>
    <w:rsid w:val="4B9F6E4A"/>
    <w:rsid w:val="4BAB282F"/>
    <w:rsid w:val="4BC941FB"/>
    <w:rsid w:val="4BDA60D4"/>
    <w:rsid w:val="4BDECE5A"/>
    <w:rsid w:val="4BEFBB3A"/>
    <w:rsid w:val="4BFEEA6F"/>
    <w:rsid w:val="4CF59505"/>
    <w:rsid w:val="4D267823"/>
    <w:rsid w:val="4D5F4CDE"/>
    <w:rsid w:val="4D73058E"/>
    <w:rsid w:val="4D7E3B90"/>
    <w:rsid w:val="4DA16EA9"/>
    <w:rsid w:val="4DB017E2"/>
    <w:rsid w:val="4DD252B5"/>
    <w:rsid w:val="4DD74D43"/>
    <w:rsid w:val="4DDF2B6F"/>
    <w:rsid w:val="4DEFE375"/>
    <w:rsid w:val="4DF70F53"/>
    <w:rsid w:val="4DF80A94"/>
    <w:rsid w:val="4DFB0CFC"/>
    <w:rsid w:val="4E3441C2"/>
    <w:rsid w:val="4E3E294A"/>
    <w:rsid w:val="4E854E2E"/>
    <w:rsid w:val="4EAC1FAA"/>
    <w:rsid w:val="4EC866B8"/>
    <w:rsid w:val="4EDEF5D7"/>
    <w:rsid w:val="4EF15C0F"/>
    <w:rsid w:val="4EFF2A9B"/>
    <w:rsid w:val="4F155DA1"/>
    <w:rsid w:val="4F2953A8"/>
    <w:rsid w:val="4F2E0C11"/>
    <w:rsid w:val="4F2E2A00"/>
    <w:rsid w:val="4F4C6B1B"/>
    <w:rsid w:val="4F5F701C"/>
    <w:rsid w:val="4F6F7E66"/>
    <w:rsid w:val="4F7D3946"/>
    <w:rsid w:val="4F8545A9"/>
    <w:rsid w:val="4FA320BA"/>
    <w:rsid w:val="4FABCC08"/>
    <w:rsid w:val="4FBB5537"/>
    <w:rsid w:val="4FC275AB"/>
    <w:rsid w:val="4FD6B5E5"/>
    <w:rsid w:val="4FECF851"/>
    <w:rsid w:val="4FED0B5D"/>
    <w:rsid w:val="4FEE4444"/>
    <w:rsid w:val="4FF99171"/>
    <w:rsid w:val="4FFE0D0C"/>
    <w:rsid w:val="4FFE4590"/>
    <w:rsid w:val="4FFF2462"/>
    <w:rsid w:val="50A0169A"/>
    <w:rsid w:val="50C51101"/>
    <w:rsid w:val="50DB0924"/>
    <w:rsid w:val="50DC644B"/>
    <w:rsid w:val="51822083"/>
    <w:rsid w:val="51D65C67"/>
    <w:rsid w:val="51E77CB1"/>
    <w:rsid w:val="52124677"/>
    <w:rsid w:val="523FAD89"/>
    <w:rsid w:val="52884ADC"/>
    <w:rsid w:val="52A603E8"/>
    <w:rsid w:val="52DD4E28"/>
    <w:rsid w:val="52E72950"/>
    <w:rsid w:val="52F21F55"/>
    <w:rsid w:val="535D017B"/>
    <w:rsid w:val="53CE29C2"/>
    <w:rsid w:val="53FE89AD"/>
    <w:rsid w:val="53FF92B0"/>
    <w:rsid w:val="53FFD921"/>
    <w:rsid w:val="545E79BB"/>
    <w:rsid w:val="54752E3E"/>
    <w:rsid w:val="54843081"/>
    <w:rsid w:val="54D7F20B"/>
    <w:rsid w:val="54E8032C"/>
    <w:rsid w:val="54EB3100"/>
    <w:rsid w:val="55200FFC"/>
    <w:rsid w:val="55326F81"/>
    <w:rsid w:val="55FF652E"/>
    <w:rsid w:val="55FFC8B0"/>
    <w:rsid w:val="567EA5B6"/>
    <w:rsid w:val="56BF0A3B"/>
    <w:rsid w:val="573D3985"/>
    <w:rsid w:val="57535E2A"/>
    <w:rsid w:val="575F30D5"/>
    <w:rsid w:val="577D6C5C"/>
    <w:rsid w:val="577F2DE3"/>
    <w:rsid w:val="577F4C81"/>
    <w:rsid w:val="578856AA"/>
    <w:rsid w:val="578F1CC3"/>
    <w:rsid w:val="57AD5D8D"/>
    <w:rsid w:val="57D76FBF"/>
    <w:rsid w:val="57DA6507"/>
    <w:rsid w:val="57E5D9FD"/>
    <w:rsid w:val="57EB1618"/>
    <w:rsid w:val="57EF978C"/>
    <w:rsid w:val="57FAE3E7"/>
    <w:rsid w:val="57FE7E4F"/>
    <w:rsid w:val="57FFB2E7"/>
    <w:rsid w:val="57FFCA02"/>
    <w:rsid w:val="57FFF5D9"/>
    <w:rsid w:val="58070251"/>
    <w:rsid w:val="58366D88"/>
    <w:rsid w:val="58382B00"/>
    <w:rsid w:val="583D4B73"/>
    <w:rsid w:val="5889569E"/>
    <w:rsid w:val="58F91253"/>
    <w:rsid w:val="593908DE"/>
    <w:rsid w:val="593F9FEE"/>
    <w:rsid w:val="596F8890"/>
    <w:rsid w:val="5979A279"/>
    <w:rsid w:val="597DFBDE"/>
    <w:rsid w:val="59927FEE"/>
    <w:rsid w:val="59FE0E46"/>
    <w:rsid w:val="59FF38A7"/>
    <w:rsid w:val="5ABB7AB2"/>
    <w:rsid w:val="5ABEA14F"/>
    <w:rsid w:val="5AC04797"/>
    <w:rsid w:val="5AC42429"/>
    <w:rsid w:val="5ADF9B89"/>
    <w:rsid w:val="5AFFB6BD"/>
    <w:rsid w:val="5B3E21DC"/>
    <w:rsid w:val="5B57A751"/>
    <w:rsid w:val="5B7E30FD"/>
    <w:rsid w:val="5B7F439D"/>
    <w:rsid w:val="5B7FA6E8"/>
    <w:rsid w:val="5B8E655E"/>
    <w:rsid w:val="5B95965E"/>
    <w:rsid w:val="5BB71152"/>
    <w:rsid w:val="5BBD5605"/>
    <w:rsid w:val="5BBD8F6B"/>
    <w:rsid w:val="5BCFC28F"/>
    <w:rsid w:val="5BD26DC8"/>
    <w:rsid w:val="5BD326B5"/>
    <w:rsid w:val="5BDBB782"/>
    <w:rsid w:val="5BE2700B"/>
    <w:rsid w:val="5BE46BA0"/>
    <w:rsid w:val="5BEA657B"/>
    <w:rsid w:val="5BEB755F"/>
    <w:rsid w:val="5BEFFB73"/>
    <w:rsid w:val="5BFCAAA8"/>
    <w:rsid w:val="5BFD8592"/>
    <w:rsid w:val="5BFF46E7"/>
    <w:rsid w:val="5BFFAEC9"/>
    <w:rsid w:val="5BFFB7A3"/>
    <w:rsid w:val="5C177658"/>
    <w:rsid w:val="5C1F7933"/>
    <w:rsid w:val="5C313AEE"/>
    <w:rsid w:val="5C53165F"/>
    <w:rsid w:val="5C626B59"/>
    <w:rsid w:val="5CC74453"/>
    <w:rsid w:val="5CEB6393"/>
    <w:rsid w:val="5CED3DEA"/>
    <w:rsid w:val="5CFC688E"/>
    <w:rsid w:val="5D172CE4"/>
    <w:rsid w:val="5D3E2967"/>
    <w:rsid w:val="5D6FE72D"/>
    <w:rsid w:val="5DBF42C6"/>
    <w:rsid w:val="5DBF4CE4"/>
    <w:rsid w:val="5DD15AAC"/>
    <w:rsid w:val="5DD961EC"/>
    <w:rsid w:val="5DDD9A59"/>
    <w:rsid w:val="5DDEA7FD"/>
    <w:rsid w:val="5DE5D7E3"/>
    <w:rsid w:val="5DEF87C6"/>
    <w:rsid w:val="5DF39815"/>
    <w:rsid w:val="5DF69DE7"/>
    <w:rsid w:val="5DF8F3AF"/>
    <w:rsid w:val="5DFD6C5C"/>
    <w:rsid w:val="5DFE7031"/>
    <w:rsid w:val="5DFEEEA9"/>
    <w:rsid w:val="5DFF1C7A"/>
    <w:rsid w:val="5DFF7E10"/>
    <w:rsid w:val="5E0E21F7"/>
    <w:rsid w:val="5E6379D2"/>
    <w:rsid w:val="5E767872"/>
    <w:rsid w:val="5E7DDA4B"/>
    <w:rsid w:val="5E7F822E"/>
    <w:rsid w:val="5E863F40"/>
    <w:rsid w:val="5E8B1BDC"/>
    <w:rsid w:val="5E9FAD28"/>
    <w:rsid w:val="5EAC56AE"/>
    <w:rsid w:val="5EBE53F0"/>
    <w:rsid w:val="5EBFF931"/>
    <w:rsid w:val="5ED79DA9"/>
    <w:rsid w:val="5EDB0248"/>
    <w:rsid w:val="5EDEECFE"/>
    <w:rsid w:val="5EEDE06B"/>
    <w:rsid w:val="5EF71AC7"/>
    <w:rsid w:val="5EFFA2D6"/>
    <w:rsid w:val="5EFFB4A7"/>
    <w:rsid w:val="5F1B6FA7"/>
    <w:rsid w:val="5F4F5150"/>
    <w:rsid w:val="5F59760C"/>
    <w:rsid w:val="5F5B99D0"/>
    <w:rsid w:val="5F5C2B88"/>
    <w:rsid w:val="5F5DF40A"/>
    <w:rsid w:val="5F5FD3A3"/>
    <w:rsid w:val="5F667F53"/>
    <w:rsid w:val="5F6D4AE7"/>
    <w:rsid w:val="5F6F4167"/>
    <w:rsid w:val="5F73AD99"/>
    <w:rsid w:val="5F7AE97E"/>
    <w:rsid w:val="5F7C4EBA"/>
    <w:rsid w:val="5F7D45A9"/>
    <w:rsid w:val="5F7DBD4E"/>
    <w:rsid w:val="5F7DD868"/>
    <w:rsid w:val="5F887EC9"/>
    <w:rsid w:val="5F88FCDB"/>
    <w:rsid w:val="5F9DA4AE"/>
    <w:rsid w:val="5FAE5456"/>
    <w:rsid w:val="5FAF5FFE"/>
    <w:rsid w:val="5FB31209"/>
    <w:rsid w:val="5FB5857E"/>
    <w:rsid w:val="5FBC316C"/>
    <w:rsid w:val="5FBCB7EE"/>
    <w:rsid w:val="5FBF5940"/>
    <w:rsid w:val="5FBF8A15"/>
    <w:rsid w:val="5FCDC797"/>
    <w:rsid w:val="5FD65423"/>
    <w:rsid w:val="5FD73D41"/>
    <w:rsid w:val="5FD784D3"/>
    <w:rsid w:val="5FD7A0E5"/>
    <w:rsid w:val="5FD834B9"/>
    <w:rsid w:val="5FD961BE"/>
    <w:rsid w:val="5FDA0ECA"/>
    <w:rsid w:val="5FDF667A"/>
    <w:rsid w:val="5FDF6FCE"/>
    <w:rsid w:val="5FDF7776"/>
    <w:rsid w:val="5FEB4C4F"/>
    <w:rsid w:val="5FF2D0FA"/>
    <w:rsid w:val="5FF46C47"/>
    <w:rsid w:val="5FF7816B"/>
    <w:rsid w:val="5FF7AD7F"/>
    <w:rsid w:val="5FF7F417"/>
    <w:rsid w:val="5FFB3D04"/>
    <w:rsid w:val="5FFC1FBB"/>
    <w:rsid w:val="5FFD2877"/>
    <w:rsid w:val="5FFDBC51"/>
    <w:rsid w:val="5FFDF039"/>
    <w:rsid w:val="5FFE48C1"/>
    <w:rsid w:val="5FFEBBC5"/>
    <w:rsid w:val="5FFECEC8"/>
    <w:rsid w:val="5FFF04F5"/>
    <w:rsid w:val="5FFF1648"/>
    <w:rsid w:val="5FFF49BB"/>
    <w:rsid w:val="5FFF73FF"/>
    <w:rsid w:val="5FFF955C"/>
    <w:rsid w:val="5FFFA9C6"/>
    <w:rsid w:val="605FA28C"/>
    <w:rsid w:val="60673F83"/>
    <w:rsid w:val="60AA3E6F"/>
    <w:rsid w:val="61011E5D"/>
    <w:rsid w:val="61483DB4"/>
    <w:rsid w:val="61AB5F39"/>
    <w:rsid w:val="61D87685"/>
    <w:rsid w:val="61E37639"/>
    <w:rsid w:val="61EF2482"/>
    <w:rsid w:val="61FDEC0E"/>
    <w:rsid w:val="61FF5946"/>
    <w:rsid w:val="624A314E"/>
    <w:rsid w:val="625B18C5"/>
    <w:rsid w:val="62C31218"/>
    <w:rsid w:val="62CD03C7"/>
    <w:rsid w:val="632721D6"/>
    <w:rsid w:val="633D0339"/>
    <w:rsid w:val="6377272F"/>
    <w:rsid w:val="637B4C34"/>
    <w:rsid w:val="639A1D88"/>
    <w:rsid w:val="63B7D90A"/>
    <w:rsid w:val="63BF871F"/>
    <w:rsid w:val="63EB32C4"/>
    <w:rsid w:val="63EDE427"/>
    <w:rsid w:val="63F41FD1"/>
    <w:rsid w:val="63F463A5"/>
    <w:rsid w:val="63F5D764"/>
    <w:rsid w:val="63FDBC17"/>
    <w:rsid w:val="642503DD"/>
    <w:rsid w:val="6477050C"/>
    <w:rsid w:val="648844C8"/>
    <w:rsid w:val="649F9B46"/>
    <w:rsid w:val="64ECD92F"/>
    <w:rsid w:val="64FD4EB5"/>
    <w:rsid w:val="653BD10D"/>
    <w:rsid w:val="654900FB"/>
    <w:rsid w:val="657B5DDA"/>
    <w:rsid w:val="65A610A9"/>
    <w:rsid w:val="65B27224"/>
    <w:rsid w:val="65D7A7EC"/>
    <w:rsid w:val="65FADCE0"/>
    <w:rsid w:val="65FD5705"/>
    <w:rsid w:val="6655487D"/>
    <w:rsid w:val="666BE3C1"/>
    <w:rsid w:val="666D2541"/>
    <w:rsid w:val="66A31A8D"/>
    <w:rsid w:val="66AF3F8D"/>
    <w:rsid w:val="66F6A78D"/>
    <w:rsid w:val="66FE2C49"/>
    <w:rsid w:val="6733EF45"/>
    <w:rsid w:val="673432AA"/>
    <w:rsid w:val="6737691A"/>
    <w:rsid w:val="673B9194"/>
    <w:rsid w:val="67407807"/>
    <w:rsid w:val="6747066A"/>
    <w:rsid w:val="675D8FEB"/>
    <w:rsid w:val="677B57A0"/>
    <w:rsid w:val="67957627"/>
    <w:rsid w:val="67A535E2"/>
    <w:rsid w:val="67A5918D"/>
    <w:rsid w:val="67A7DEE6"/>
    <w:rsid w:val="67BAFD03"/>
    <w:rsid w:val="67BEAAD6"/>
    <w:rsid w:val="67CFCE28"/>
    <w:rsid w:val="67DCB0AB"/>
    <w:rsid w:val="67EDBBEE"/>
    <w:rsid w:val="67EDF801"/>
    <w:rsid w:val="67F79564"/>
    <w:rsid w:val="67F8179C"/>
    <w:rsid w:val="67FD4917"/>
    <w:rsid w:val="67FE5CBB"/>
    <w:rsid w:val="67FE665A"/>
    <w:rsid w:val="67FF2072"/>
    <w:rsid w:val="68450829"/>
    <w:rsid w:val="68EC7B56"/>
    <w:rsid w:val="68FF1E8A"/>
    <w:rsid w:val="69224EEB"/>
    <w:rsid w:val="692831C6"/>
    <w:rsid w:val="69801C11"/>
    <w:rsid w:val="69961435"/>
    <w:rsid w:val="6A4469F6"/>
    <w:rsid w:val="6A4F5F12"/>
    <w:rsid w:val="6AB75B07"/>
    <w:rsid w:val="6AF89DA6"/>
    <w:rsid w:val="6AFE3735"/>
    <w:rsid w:val="6AFFF1F9"/>
    <w:rsid w:val="6AFFF8AF"/>
    <w:rsid w:val="6B056872"/>
    <w:rsid w:val="6B0B806B"/>
    <w:rsid w:val="6B366192"/>
    <w:rsid w:val="6B37251C"/>
    <w:rsid w:val="6B4B624F"/>
    <w:rsid w:val="6B56531F"/>
    <w:rsid w:val="6B6AA3C5"/>
    <w:rsid w:val="6BA8AAEC"/>
    <w:rsid w:val="6BC7BFE7"/>
    <w:rsid w:val="6BCF6864"/>
    <w:rsid w:val="6BD10E4A"/>
    <w:rsid w:val="6BD64940"/>
    <w:rsid w:val="6BD76024"/>
    <w:rsid w:val="6BE75550"/>
    <w:rsid w:val="6BFB982C"/>
    <w:rsid w:val="6BFE642D"/>
    <w:rsid w:val="6BFF0A29"/>
    <w:rsid w:val="6BFF4D7D"/>
    <w:rsid w:val="6BFFBF2B"/>
    <w:rsid w:val="6BFFF63F"/>
    <w:rsid w:val="6C375151"/>
    <w:rsid w:val="6C417D7E"/>
    <w:rsid w:val="6C6B6BA9"/>
    <w:rsid w:val="6C7E32FE"/>
    <w:rsid w:val="6C7F4402"/>
    <w:rsid w:val="6CA34594"/>
    <w:rsid w:val="6CC30793"/>
    <w:rsid w:val="6CED74FF"/>
    <w:rsid w:val="6CF78E73"/>
    <w:rsid w:val="6CFA7F2C"/>
    <w:rsid w:val="6CFF10CE"/>
    <w:rsid w:val="6D1C7EA3"/>
    <w:rsid w:val="6D33D587"/>
    <w:rsid w:val="6D5B0C2D"/>
    <w:rsid w:val="6D5E9D3F"/>
    <w:rsid w:val="6D65C559"/>
    <w:rsid w:val="6D6FDE17"/>
    <w:rsid w:val="6D9CC0FC"/>
    <w:rsid w:val="6DAC7479"/>
    <w:rsid w:val="6DBF9AEA"/>
    <w:rsid w:val="6DDF3B99"/>
    <w:rsid w:val="6DDF7F9D"/>
    <w:rsid w:val="6DEB0E14"/>
    <w:rsid w:val="6DEF3655"/>
    <w:rsid w:val="6DF66D8F"/>
    <w:rsid w:val="6DF79D4B"/>
    <w:rsid w:val="6DFB0E1D"/>
    <w:rsid w:val="6DFE6CAE"/>
    <w:rsid w:val="6E3B07FD"/>
    <w:rsid w:val="6E7C8391"/>
    <w:rsid w:val="6E7EECFD"/>
    <w:rsid w:val="6EA92A17"/>
    <w:rsid w:val="6EBF90B5"/>
    <w:rsid w:val="6EEA17EB"/>
    <w:rsid w:val="6EEE7033"/>
    <w:rsid w:val="6EF1F7F8"/>
    <w:rsid w:val="6EF34428"/>
    <w:rsid w:val="6EF41BCC"/>
    <w:rsid w:val="6EF96F64"/>
    <w:rsid w:val="6EFCBE87"/>
    <w:rsid w:val="6EFEDA4B"/>
    <w:rsid w:val="6EFF33F6"/>
    <w:rsid w:val="6EFFAFDF"/>
    <w:rsid w:val="6F0B4673"/>
    <w:rsid w:val="6F0F7886"/>
    <w:rsid w:val="6F1E7F02"/>
    <w:rsid w:val="6F27C283"/>
    <w:rsid w:val="6F3D6E2F"/>
    <w:rsid w:val="6F3E33F5"/>
    <w:rsid w:val="6F57A135"/>
    <w:rsid w:val="6F5F7C21"/>
    <w:rsid w:val="6F5FCD82"/>
    <w:rsid w:val="6F5FEF75"/>
    <w:rsid w:val="6F735406"/>
    <w:rsid w:val="6F778A35"/>
    <w:rsid w:val="6F7915C2"/>
    <w:rsid w:val="6F794B34"/>
    <w:rsid w:val="6F7D318F"/>
    <w:rsid w:val="6F7D3252"/>
    <w:rsid w:val="6F7F8F36"/>
    <w:rsid w:val="6F7FAFA6"/>
    <w:rsid w:val="6F8A5598"/>
    <w:rsid w:val="6F9F0025"/>
    <w:rsid w:val="6FAFFA86"/>
    <w:rsid w:val="6FBB65EA"/>
    <w:rsid w:val="6FBBF8BC"/>
    <w:rsid w:val="6FBDC149"/>
    <w:rsid w:val="6FC50CC6"/>
    <w:rsid w:val="6FDB430C"/>
    <w:rsid w:val="6FDD5204"/>
    <w:rsid w:val="6FDFAA99"/>
    <w:rsid w:val="6FDFE708"/>
    <w:rsid w:val="6FED5152"/>
    <w:rsid w:val="6FED909A"/>
    <w:rsid w:val="6FEFC490"/>
    <w:rsid w:val="6FF4A2FA"/>
    <w:rsid w:val="6FF4AAE1"/>
    <w:rsid w:val="6FF5772B"/>
    <w:rsid w:val="6FF77AD6"/>
    <w:rsid w:val="6FF78358"/>
    <w:rsid w:val="6FF7B1C9"/>
    <w:rsid w:val="6FF959D3"/>
    <w:rsid w:val="6FFD6B4B"/>
    <w:rsid w:val="6FFD6C2E"/>
    <w:rsid w:val="6FFDD167"/>
    <w:rsid w:val="6FFE7929"/>
    <w:rsid w:val="6FFED9CB"/>
    <w:rsid w:val="6FFEF893"/>
    <w:rsid w:val="6FFF384D"/>
    <w:rsid w:val="6FFFD8A6"/>
    <w:rsid w:val="6FFFDD54"/>
    <w:rsid w:val="70187047"/>
    <w:rsid w:val="70366EC6"/>
    <w:rsid w:val="70384FF4"/>
    <w:rsid w:val="70A86536"/>
    <w:rsid w:val="70D71B31"/>
    <w:rsid w:val="70EB650A"/>
    <w:rsid w:val="71600CA6"/>
    <w:rsid w:val="71630796"/>
    <w:rsid w:val="716B2CFF"/>
    <w:rsid w:val="71C14B61"/>
    <w:rsid w:val="71CF1988"/>
    <w:rsid w:val="71DF738E"/>
    <w:rsid w:val="71FF590A"/>
    <w:rsid w:val="72231CD3"/>
    <w:rsid w:val="7262156E"/>
    <w:rsid w:val="729F57FE"/>
    <w:rsid w:val="72AB0BBC"/>
    <w:rsid w:val="72B3390F"/>
    <w:rsid w:val="72C40DC1"/>
    <w:rsid w:val="72E651DB"/>
    <w:rsid w:val="72EB2138"/>
    <w:rsid w:val="72FB224F"/>
    <w:rsid w:val="72FB96C7"/>
    <w:rsid w:val="72FE11DF"/>
    <w:rsid w:val="72FF7A6C"/>
    <w:rsid w:val="73272692"/>
    <w:rsid w:val="737547B1"/>
    <w:rsid w:val="737B1EB9"/>
    <w:rsid w:val="737F2324"/>
    <w:rsid w:val="73BF1A5B"/>
    <w:rsid w:val="73C7FE87"/>
    <w:rsid w:val="73CD89F6"/>
    <w:rsid w:val="73DB4264"/>
    <w:rsid w:val="73DDFF9F"/>
    <w:rsid w:val="73DE33B6"/>
    <w:rsid w:val="73E4F891"/>
    <w:rsid w:val="73E72139"/>
    <w:rsid w:val="73EFEE0A"/>
    <w:rsid w:val="73F3B4C7"/>
    <w:rsid w:val="73F73024"/>
    <w:rsid w:val="73FB8392"/>
    <w:rsid w:val="73FB9602"/>
    <w:rsid w:val="73FEE2DA"/>
    <w:rsid w:val="73FF607F"/>
    <w:rsid w:val="743F5C66"/>
    <w:rsid w:val="7477F6D2"/>
    <w:rsid w:val="747F7307"/>
    <w:rsid w:val="74827185"/>
    <w:rsid w:val="74BE8E1C"/>
    <w:rsid w:val="74BF1BA9"/>
    <w:rsid w:val="74E4574A"/>
    <w:rsid w:val="74EDCD33"/>
    <w:rsid w:val="74FEA5F6"/>
    <w:rsid w:val="74FF8350"/>
    <w:rsid w:val="752E1F28"/>
    <w:rsid w:val="7533260A"/>
    <w:rsid w:val="75496916"/>
    <w:rsid w:val="756CFE8C"/>
    <w:rsid w:val="757F525D"/>
    <w:rsid w:val="75D52676"/>
    <w:rsid w:val="75DFF40A"/>
    <w:rsid w:val="75EB4042"/>
    <w:rsid w:val="75F7FD21"/>
    <w:rsid w:val="75F8D535"/>
    <w:rsid w:val="75FB6290"/>
    <w:rsid w:val="75FE2AB3"/>
    <w:rsid w:val="75FF5253"/>
    <w:rsid w:val="75FF61CB"/>
    <w:rsid w:val="75FF8638"/>
    <w:rsid w:val="76341FE4"/>
    <w:rsid w:val="765BCB5A"/>
    <w:rsid w:val="7671447C"/>
    <w:rsid w:val="76742AFE"/>
    <w:rsid w:val="76764B54"/>
    <w:rsid w:val="7687FE5F"/>
    <w:rsid w:val="769788C0"/>
    <w:rsid w:val="76AAD262"/>
    <w:rsid w:val="76AF1D88"/>
    <w:rsid w:val="76B7CDEE"/>
    <w:rsid w:val="76B850E0"/>
    <w:rsid w:val="76BF75D5"/>
    <w:rsid w:val="76C23869"/>
    <w:rsid w:val="76D25DB4"/>
    <w:rsid w:val="76D589C2"/>
    <w:rsid w:val="76DA8066"/>
    <w:rsid w:val="76E0BA2E"/>
    <w:rsid w:val="76E45ED5"/>
    <w:rsid w:val="76EF7EAD"/>
    <w:rsid w:val="76F785CB"/>
    <w:rsid w:val="76FD1A2A"/>
    <w:rsid w:val="76FFD71E"/>
    <w:rsid w:val="77075720"/>
    <w:rsid w:val="771930A7"/>
    <w:rsid w:val="77250434"/>
    <w:rsid w:val="773F3AED"/>
    <w:rsid w:val="774424D0"/>
    <w:rsid w:val="77470212"/>
    <w:rsid w:val="774B1AB0"/>
    <w:rsid w:val="7753FDB6"/>
    <w:rsid w:val="77575FAC"/>
    <w:rsid w:val="7757E0F3"/>
    <w:rsid w:val="775DE13F"/>
    <w:rsid w:val="775E5530"/>
    <w:rsid w:val="775FD57B"/>
    <w:rsid w:val="776F6881"/>
    <w:rsid w:val="7776DB59"/>
    <w:rsid w:val="77799A7C"/>
    <w:rsid w:val="777BF00C"/>
    <w:rsid w:val="777D0438"/>
    <w:rsid w:val="777E0620"/>
    <w:rsid w:val="777E4317"/>
    <w:rsid w:val="777E792B"/>
    <w:rsid w:val="777F0F3B"/>
    <w:rsid w:val="779E4377"/>
    <w:rsid w:val="779E48FC"/>
    <w:rsid w:val="779E5B59"/>
    <w:rsid w:val="779F2054"/>
    <w:rsid w:val="77AB5DD1"/>
    <w:rsid w:val="77AFE25F"/>
    <w:rsid w:val="77BACC17"/>
    <w:rsid w:val="77BBFEF0"/>
    <w:rsid w:val="77BE0323"/>
    <w:rsid w:val="77BFD557"/>
    <w:rsid w:val="77CF8D73"/>
    <w:rsid w:val="77D89E21"/>
    <w:rsid w:val="77DD4B5E"/>
    <w:rsid w:val="77E820FF"/>
    <w:rsid w:val="77EAF49A"/>
    <w:rsid w:val="77EB2B20"/>
    <w:rsid w:val="77EDFEAA"/>
    <w:rsid w:val="77EE634B"/>
    <w:rsid w:val="77EF595B"/>
    <w:rsid w:val="77F7129B"/>
    <w:rsid w:val="77F714F4"/>
    <w:rsid w:val="77F739E6"/>
    <w:rsid w:val="77F86418"/>
    <w:rsid w:val="77FB1137"/>
    <w:rsid w:val="77FB3F47"/>
    <w:rsid w:val="77FB8293"/>
    <w:rsid w:val="77FD2F43"/>
    <w:rsid w:val="77FE4D75"/>
    <w:rsid w:val="77FE8D0C"/>
    <w:rsid w:val="77FEC36C"/>
    <w:rsid w:val="77FF395C"/>
    <w:rsid w:val="77FF4F32"/>
    <w:rsid w:val="77FFAB62"/>
    <w:rsid w:val="77FFD292"/>
    <w:rsid w:val="7825412B"/>
    <w:rsid w:val="783F5542"/>
    <w:rsid w:val="78447F28"/>
    <w:rsid w:val="786B1FE8"/>
    <w:rsid w:val="786D6D22"/>
    <w:rsid w:val="789456D9"/>
    <w:rsid w:val="78977199"/>
    <w:rsid w:val="78A51694"/>
    <w:rsid w:val="78AE03A5"/>
    <w:rsid w:val="78BD7EAD"/>
    <w:rsid w:val="78D8723A"/>
    <w:rsid w:val="78FE8480"/>
    <w:rsid w:val="79132AA2"/>
    <w:rsid w:val="792F0E14"/>
    <w:rsid w:val="79574CE6"/>
    <w:rsid w:val="7960430D"/>
    <w:rsid w:val="7966D628"/>
    <w:rsid w:val="797B5676"/>
    <w:rsid w:val="797B83F8"/>
    <w:rsid w:val="79999D46"/>
    <w:rsid w:val="799E836F"/>
    <w:rsid w:val="79A50D35"/>
    <w:rsid w:val="79AF7D7D"/>
    <w:rsid w:val="79B1DF86"/>
    <w:rsid w:val="79B3DA56"/>
    <w:rsid w:val="79B99BCE"/>
    <w:rsid w:val="79D23ED7"/>
    <w:rsid w:val="79D92DE6"/>
    <w:rsid w:val="79EF34A7"/>
    <w:rsid w:val="79F50AEB"/>
    <w:rsid w:val="79F96876"/>
    <w:rsid w:val="79FA69E9"/>
    <w:rsid w:val="79FE31B7"/>
    <w:rsid w:val="7A2F7467"/>
    <w:rsid w:val="7A3FB638"/>
    <w:rsid w:val="7A4FDA79"/>
    <w:rsid w:val="7A545120"/>
    <w:rsid w:val="7A6ED8B8"/>
    <w:rsid w:val="7A78AAC6"/>
    <w:rsid w:val="7A7C9A93"/>
    <w:rsid w:val="7A97273B"/>
    <w:rsid w:val="7A9DF175"/>
    <w:rsid w:val="7A9FBEBA"/>
    <w:rsid w:val="7AA017D3"/>
    <w:rsid w:val="7AA56949"/>
    <w:rsid w:val="7AAF8136"/>
    <w:rsid w:val="7AAFDA6F"/>
    <w:rsid w:val="7ABB1578"/>
    <w:rsid w:val="7ABEAA49"/>
    <w:rsid w:val="7ADD4503"/>
    <w:rsid w:val="7ADD6588"/>
    <w:rsid w:val="7AEFA6BC"/>
    <w:rsid w:val="7AF1471D"/>
    <w:rsid w:val="7AF1B24B"/>
    <w:rsid w:val="7AF37AB7"/>
    <w:rsid w:val="7AF9C417"/>
    <w:rsid w:val="7AFD44F1"/>
    <w:rsid w:val="7AFF67D2"/>
    <w:rsid w:val="7AFF8727"/>
    <w:rsid w:val="7AFFC14C"/>
    <w:rsid w:val="7AFFCC91"/>
    <w:rsid w:val="7B095F0A"/>
    <w:rsid w:val="7B2FCBCC"/>
    <w:rsid w:val="7B311871"/>
    <w:rsid w:val="7B3D5BB4"/>
    <w:rsid w:val="7B3EA051"/>
    <w:rsid w:val="7B5C2413"/>
    <w:rsid w:val="7B5F41BF"/>
    <w:rsid w:val="7B6D56F9"/>
    <w:rsid w:val="7B6F4E8C"/>
    <w:rsid w:val="7B718E8B"/>
    <w:rsid w:val="7B76F744"/>
    <w:rsid w:val="7B776869"/>
    <w:rsid w:val="7B790C82"/>
    <w:rsid w:val="7B79D552"/>
    <w:rsid w:val="7B7D1FAE"/>
    <w:rsid w:val="7B7F7A26"/>
    <w:rsid w:val="7B8B8CB6"/>
    <w:rsid w:val="7B8E2ED0"/>
    <w:rsid w:val="7BAE26DE"/>
    <w:rsid w:val="7BB3C2C2"/>
    <w:rsid w:val="7BB54D83"/>
    <w:rsid w:val="7BBC28A9"/>
    <w:rsid w:val="7BBF133D"/>
    <w:rsid w:val="7BBF214F"/>
    <w:rsid w:val="7BCF34D8"/>
    <w:rsid w:val="7BCF4166"/>
    <w:rsid w:val="7BD162D0"/>
    <w:rsid w:val="7BD52290"/>
    <w:rsid w:val="7BD58064"/>
    <w:rsid w:val="7BD66EB4"/>
    <w:rsid w:val="7BD96D83"/>
    <w:rsid w:val="7BDB3D4E"/>
    <w:rsid w:val="7BDDA7EC"/>
    <w:rsid w:val="7BDF20FD"/>
    <w:rsid w:val="7BDFA18A"/>
    <w:rsid w:val="7BE7770D"/>
    <w:rsid w:val="7BE905A9"/>
    <w:rsid w:val="7BED811E"/>
    <w:rsid w:val="7BEDFA14"/>
    <w:rsid w:val="7BEEAD54"/>
    <w:rsid w:val="7BEFAFAF"/>
    <w:rsid w:val="7BEFCDFD"/>
    <w:rsid w:val="7BF1AB51"/>
    <w:rsid w:val="7BF66C30"/>
    <w:rsid w:val="7BF76E2A"/>
    <w:rsid w:val="7BFB2B01"/>
    <w:rsid w:val="7BFB87FC"/>
    <w:rsid w:val="7BFC9376"/>
    <w:rsid w:val="7BFECDC7"/>
    <w:rsid w:val="7BFF1AB2"/>
    <w:rsid w:val="7BFF2E30"/>
    <w:rsid w:val="7BFF3199"/>
    <w:rsid w:val="7BFF8659"/>
    <w:rsid w:val="7BFFEF52"/>
    <w:rsid w:val="7C37D0D1"/>
    <w:rsid w:val="7C3A78BD"/>
    <w:rsid w:val="7C3D3992"/>
    <w:rsid w:val="7C3F9058"/>
    <w:rsid w:val="7C5F8B9F"/>
    <w:rsid w:val="7C610476"/>
    <w:rsid w:val="7C832032"/>
    <w:rsid w:val="7C8E0BFD"/>
    <w:rsid w:val="7C97AC4A"/>
    <w:rsid w:val="7C9A6DFC"/>
    <w:rsid w:val="7C9E50EF"/>
    <w:rsid w:val="7CA36002"/>
    <w:rsid w:val="7CAB2551"/>
    <w:rsid w:val="7CCC2F06"/>
    <w:rsid w:val="7CDF65B0"/>
    <w:rsid w:val="7CF615B4"/>
    <w:rsid w:val="7CF79C91"/>
    <w:rsid w:val="7CFB5D27"/>
    <w:rsid w:val="7CFB5DEA"/>
    <w:rsid w:val="7CFE37EC"/>
    <w:rsid w:val="7CFF8FF6"/>
    <w:rsid w:val="7D1787CF"/>
    <w:rsid w:val="7D3F45E4"/>
    <w:rsid w:val="7D537911"/>
    <w:rsid w:val="7D5F4031"/>
    <w:rsid w:val="7D65554C"/>
    <w:rsid w:val="7D6BADDE"/>
    <w:rsid w:val="7D6F1752"/>
    <w:rsid w:val="7D7E0F0F"/>
    <w:rsid w:val="7D7F9510"/>
    <w:rsid w:val="7D7FBB64"/>
    <w:rsid w:val="7D8775BA"/>
    <w:rsid w:val="7D8BE88E"/>
    <w:rsid w:val="7D8F50C4"/>
    <w:rsid w:val="7D9615AC"/>
    <w:rsid w:val="7D9743AC"/>
    <w:rsid w:val="7D9DEA94"/>
    <w:rsid w:val="7DAA7EF5"/>
    <w:rsid w:val="7DB04828"/>
    <w:rsid w:val="7DB3E564"/>
    <w:rsid w:val="7DB7788E"/>
    <w:rsid w:val="7DBF8CED"/>
    <w:rsid w:val="7DBFFE41"/>
    <w:rsid w:val="7DD722F0"/>
    <w:rsid w:val="7DD7CE37"/>
    <w:rsid w:val="7DDD7063"/>
    <w:rsid w:val="7DDFDBC6"/>
    <w:rsid w:val="7DE5190A"/>
    <w:rsid w:val="7DE729E3"/>
    <w:rsid w:val="7DE8A3CC"/>
    <w:rsid w:val="7DEF0506"/>
    <w:rsid w:val="7DEF7534"/>
    <w:rsid w:val="7DF77E1E"/>
    <w:rsid w:val="7DFA6317"/>
    <w:rsid w:val="7DFB8EA6"/>
    <w:rsid w:val="7DFC28B4"/>
    <w:rsid w:val="7DFD7597"/>
    <w:rsid w:val="7DFE6FAE"/>
    <w:rsid w:val="7DFF3240"/>
    <w:rsid w:val="7DFFB6BE"/>
    <w:rsid w:val="7DFFC2A0"/>
    <w:rsid w:val="7DFFC4B5"/>
    <w:rsid w:val="7E131DBD"/>
    <w:rsid w:val="7E1BCB1C"/>
    <w:rsid w:val="7E3DC58F"/>
    <w:rsid w:val="7E3E2A4F"/>
    <w:rsid w:val="7E3F9353"/>
    <w:rsid w:val="7E4A2AFA"/>
    <w:rsid w:val="7E5B272E"/>
    <w:rsid w:val="7E5B49D4"/>
    <w:rsid w:val="7E5F5918"/>
    <w:rsid w:val="7E5FEC84"/>
    <w:rsid w:val="7E6B057A"/>
    <w:rsid w:val="7E6D23C5"/>
    <w:rsid w:val="7E7429D3"/>
    <w:rsid w:val="7E79C063"/>
    <w:rsid w:val="7E7AF554"/>
    <w:rsid w:val="7E7D5470"/>
    <w:rsid w:val="7E7E1539"/>
    <w:rsid w:val="7E7FC4F4"/>
    <w:rsid w:val="7E7FDBAA"/>
    <w:rsid w:val="7E7FEC56"/>
    <w:rsid w:val="7E846FA4"/>
    <w:rsid w:val="7E955891"/>
    <w:rsid w:val="7E978B5B"/>
    <w:rsid w:val="7EBB132C"/>
    <w:rsid w:val="7EBB576E"/>
    <w:rsid w:val="7EBB65CC"/>
    <w:rsid w:val="7EBB828C"/>
    <w:rsid w:val="7EBF8E72"/>
    <w:rsid w:val="7ED1C129"/>
    <w:rsid w:val="7EDF074B"/>
    <w:rsid w:val="7EDF80C9"/>
    <w:rsid w:val="7EE4F375"/>
    <w:rsid w:val="7EE7E544"/>
    <w:rsid w:val="7EE939F4"/>
    <w:rsid w:val="7EEA4463"/>
    <w:rsid w:val="7EEC1621"/>
    <w:rsid w:val="7EED812C"/>
    <w:rsid w:val="7EEFF602"/>
    <w:rsid w:val="7EF62FB1"/>
    <w:rsid w:val="7EF70E5E"/>
    <w:rsid w:val="7EF92B82"/>
    <w:rsid w:val="7EF98DA3"/>
    <w:rsid w:val="7EF9E90B"/>
    <w:rsid w:val="7EFAEF33"/>
    <w:rsid w:val="7EFAFCFF"/>
    <w:rsid w:val="7EFB1C90"/>
    <w:rsid w:val="7EFDE041"/>
    <w:rsid w:val="7EFE054A"/>
    <w:rsid w:val="7EFE3850"/>
    <w:rsid w:val="7EFEB2FC"/>
    <w:rsid w:val="7EFF976D"/>
    <w:rsid w:val="7F020CAB"/>
    <w:rsid w:val="7F17B5A5"/>
    <w:rsid w:val="7F3298F3"/>
    <w:rsid w:val="7F33E47D"/>
    <w:rsid w:val="7F3D8C28"/>
    <w:rsid w:val="7F3FF1EA"/>
    <w:rsid w:val="7F4EB4DD"/>
    <w:rsid w:val="7F597480"/>
    <w:rsid w:val="7F5FC9A4"/>
    <w:rsid w:val="7F5FF4EC"/>
    <w:rsid w:val="7F65CA92"/>
    <w:rsid w:val="7F6EE5CC"/>
    <w:rsid w:val="7F6F24B3"/>
    <w:rsid w:val="7F723B3C"/>
    <w:rsid w:val="7F72B321"/>
    <w:rsid w:val="7F73CB4D"/>
    <w:rsid w:val="7F75EC0F"/>
    <w:rsid w:val="7F76EF45"/>
    <w:rsid w:val="7F77DED3"/>
    <w:rsid w:val="7F77ED84"/>
    <w:rsid w:val="7F79116B"/>
    <w:rsid w:val="7F7CB371"/>
    <w:rsid w:val="7F7D5608"/>
    <w:rsid w:val="7F7DE6C2"/>
    <w:rsid w:val="7F7E2334"/>
    <w:rsid w:val="7F7EF8C4"/>
    <w:rsid w:val="7F7F3D28"/>
    <w:rsid w:val="7F7F4A59"/>
    <w:rsid w:val="7F854FAF"/>
    <w:rsid w:val="7F857B2A"/>
    <w:rsid w:val="7F8A572F"/>
    <w:rsid w:val="7F8EFB84"/>
    <w:rsid w:val="7F96298E"/>
    <w:rsid w:val="7F9D099D"/>
    <w:rsid w:val="7F9D4C48"/>
    <w:rsid w:val="7F9D87A3"/>
    <w:rsid w:val="7F9DF762"/>
    <w:rsid w:val="7F9ED08E"/>
    <w:rsid w:val="7F9F515C"/>
    <w:rsid w:val="7F9F70F3"/>
    <w:rsid w:val="7FA65889"/>
    <w:rsid w:val="7FA954DB"/>
    <w:rsid w:val="7FAACB60"/>
    <w:rsid w:val="7FAB70FC"/>
    <w:rsid w:val="7FABA921"/>
    <w:rsid w:val="7FACAD0D"/>
    <w:rsid w:val="7FAD2428"/>
    <w:rsid w:val="7FADA845"/>
    <w:rsid w:val="7FADD1AF"/>
    <w:rsid w:val="7FAF4629"/>
    <w:rsid w:val="7FAF889D"/>
    <w:rsid w:val="7FB31142"/>
    <w:rsid w:val="7FB523BA"/>
    <w:rsid w:val="7FB5538D"/>
    <w:rsid w:val="7FB58D86"/>
    <w:rsid w:val="7FB70F75"/>
    <w:rsid w:val="7FB748B5"/>
    <w:rsid w:val="7FB7832B"/>
    <w:rsid w:val="7FB878AA"/>
    <w:rsid w:val="7FBB3D71"/>
    <w:rsid w:val="7FBB8B67"/>
    <w:rsid w:val="7FBC297C"/>
    <w:rsid w:val="7FBDC7C7"/>
    <w:rsid w:val="7FBDCC5E"/>
    <w:rsid w:val="7FBF80C5"/>
    <w:rsid w:val="7FBFB418"/>
    <w:rsid w:val="7FC72763"/>
    <w:rsid w:val="7FC734C2"/>
    <w:rsid w:val="7FCB4BBF"/>
    <w:rsid w:val="7FCC39AA"/>
    <w:rsid w:val="7FCDE337"/>
    <w:rsid w:val="7FCE879E"/>
    <w:rsid w:val="7FCF5CC1"/>
    <w:rsid w:val="7FCF6F1C"/>
    <w:rsid w:val="7FCFC853"/>
    <w:rsid w:val="7FCFF03A"/>
    <w:rsid w:val="7FCFF9CB"/>
    <w:rsid w:val="7FD65B89"/>
    <w:rsid w:val="7FD7474F"/>
    <w:rsid w:val="7FD77511"/>
    <w:rsid w:val="7FD77786"/>
    <w:rsid w:val="7FDA66DD"/>
    <w:rsid w:val="7FDA9136"/>
    <w:rsid w:val="7FDB9570"/>
    <w:rsid w:val="7FDBE0D5"/>
    <w:rsid w:val="7FDBF39D"/>
    <w:rsid w:val="7FDD4223"/>
    <w:rsid w:val="7FDE13C8"/>
    <w:rsid w:val="7FDE9814"/>
    <w:rsid w:val="7FDEE0BD"/>
    <w:rsid w:val="7FDF3B3A"/>
    <w:rsid w:val="7FDF9005"/>
    <w:rsid w:val="7FDF9D36"/>
    <w:rsid w:val="7FDFB998"/>
    <w:rsid w:val="7FDFD714"/>
    <w:rsid w:val="7FE3C8F7"/>
    <w:rsid w:val="7FE55680"/>
    <w:rsid w:val="7FE7458A"/>
    <w:rsid w:val="7FE948CC"/>
    <w:rsid w:val="7FEA452A"/>
    <w:rsid w:val="7FEA75BA"/>
    <w:rsid w:val="7FEACCAB"/>
    <w:rsid w:val="7FECA385"/>
    <w:rsid w:val="7FED2E6F"/>
    <w:rsid w:val="7FED7B49"/>
    <w:rsid w:val="7FEE0EFA"/>
    <w:rsid w:val="7FEE505B"/>
    <w:rsid w:val="7FEF1D07"/>
    <w:rsid w:val="7FEF5C01"/>
    <w:rsid w:val="7FEFAFC4"/>
    <w:rsid w:val="7FEFB40C"/>
    <w:rsid w:val="7FF1FB87"/>
    <w:rsid w:val="7FF3B57B"/>
    <w:rsid w:val="7FF6C7BC"/>
    <w:rsid w:val="7FF6DBDC"/>
    <w:rsid w:val="7FF72EA8"/>
    <w:rsid w:val="7FF7383D"/>
    <w:rsid w:val="7FF738FB"/>
    <w:rsid w:val="7FF7E993"/>
    <w:rsid w:val="7FF82B07"/>
    <w:rsid w:val="7FF90B3C"/>
    <w:rsid w:val="7FF9CF26"/>
    <w:rsid w:val="7FFAA209"/>
    <w:rsid w:val="7FFAE764"/>
    <w:rsid w:val="7FFB2AEC"/>
    <w:rsid w:val="7FFB6BBD"/>
    <w:rsid w:val="7FFBAFE5"/>
    <w:rsid w:val="7FFC4626"/>
    <w:rsid w:val="7FFC49F6"/>
    <w:rsid w:val="7FFC6C12"/>
    <w:rsid w:val="7FFD135B"/>
    <w:rsid w:val="7FFD2694"/>
    <w:rsid w:val="7FFD4512"/>
    <w:rsid w:val="7FFD7EE1"/>
    <w:rsid w:val="7FFDBBEF"/>
    <w:rsid w:val="7FFDEB7D"/>
    <w:rsid w:val="7FFE0CEB"/>
    <w:rsid w:val="7FFE378E"/>
    <w:rsid w:val="7FFE5508"/>
    <w:rsid w:val="7FFE63BB"/>
    <w:rsid w:val="7FFE9B33"/>
    <w:rsid w:val="7FFF3147"/>
    <w:rsid w:val="7FFF3299"/>
    <w:rsid w:val="7FFF338F"/>
    <w:rsid w:val="7FFF41FF"/>
    <w:rsid w:val="7FFF474C"/>
    <w:rsid w:val="7FFF4E41"/>
    <w:rsid w:val="7FFF6CBB"/>
    <w:rsid w:val="7FFF779A"/>
    <w:rsid w:val="7FFF7849"/>
    <w:rsid w:val="7FFF875C"/>
    <w:rsid w:val="7FFFA3AB"/>
    <w:rsid w:val="7FFFD4A2"/>
    <w:rsid w:val="7FFFD9AB"/>
    <w:rsid w:val="81BF43A7"/>
    <w:rsid w:val="81FFD445"/>
    <w:rsid w:val="84EBCAB4"/>
    <w:rsid w:val="8577AAC3"/>
    <w:rsid w:val="8779E509"/>
    <w:rsid w:val="87EF568D"/>
    <w:rsid w:val="87F79F32"/>
    <w:rsid w:val="8ADE4460"/>
    <w:rsid w:val="8B7D212A"/>
    <w:rsid w:val="8BAF60AB"/>
    <w:rsid w:val="8DE395D3"/>
    <w:rsid w:val="8DF55BB7"/>
    <w:rsid w:val="8DFBC14D"/>
    <w:rsid w:val="8F7B8619"/>
    <w:rsid w:val="8FB62678"/>
    <w:rsid w:val="8FBD6FA0"/>
    <w:rsid w:val="8FCFE533"/>
    <w:rsid w:val="8FD5B690"/>
    <w:rsid w:val="8FFDDA22"/>
    <w:rsid w:val="9355B78C"/>
    <w:rsid w:val="93FF616D"/>
    <w:rsid w:val="93FF6DE5"/>
    <w:rsid w:val="952E083A"/>
    <w:rsid w:val="95EA6FA1"/>
    <w:rsid w:val="962DAF9E"/>
    <w:rsid w:val="96F12650"/>
    <w:rsid w:val="96F7B13C"/>
    <w:rsid w:val="96FFBC4A"/>
    <w:rsid w:val="97E3EF44"/>
    <w:rsid w:val="97F71E61"/>
    <w:rsid w:val="97FE06C1"/>
    <w:rsid w:val="986F53F9"/>
    <w:rsid w:val="9ABF2177"/>
    <w:rsid w:val="9AC7E4E3"/>
    <w:rsid w:val="9B2D4384"/>
    <w:rsid w:val="9BCFAF16"/>
    <w:rsid w:val="9BFB30AC"/>
    <w:rsid w:val="9BFC936B"/>
    <w:rsid w:val="9BFEEA8B"/>
    <w:rsid w:val="9C575AE3"/>
    <w:rsid w:val="9C7C8BE2"/>
    <w:rsid w:val="9CD70E76"/>
    <w:rsid w:val="9CF9606F"/>
    <w:rsid w:val="9D7F4E1F"/>
    <w:rsid w:val="9D833D4B"/>
    <w:rsid w:val="9DF503D4"/>
    <w:rsid w:val="9DFB54B7"/>
    <w:rsid w:val="9DFD8346"/>
    <w:rsid w:val="9E4FBD3B"/>
    <w:rsid w:val="9E9738F2"/>
    <w:rsid w:val="9EAFCBA7"/>
    <w:rsid w:val="9EB929D1"/>
    <w:rsid w:val="9EBDDDE2"/>
    <w:rsid w:val="9EDF0E1E"/>
    <w:rsid w:val="9EEF88FA"/>
    <w:rsid w:val="9EF715EF"/>
    <w:rsid w:val="9F7DD3E8"/>
    <w:rsid w:val="9F9F062A"/>
    <w:rsid w:val="9FDD6E40"/>
    <w:rsid w:val="9FF712C6"/>
    <w:rsid w:val="9FF72280"/>
    <w:rsid w:val="9FF83886"/>
    <w:rsid w:val="9FF8F5AE"/>
    <w:rsid w:val="9FF99B0F"/>
    <w:rsid w:val="9FFA4327"/>
    <w:rsid w:val="9FFE0B21"/>
    <w:rsid w:val="9FFE1A8B"/>
    <w:rsid w:val="9FFF2CEA"/>
    <w:rsid w:val="9FFFDFFF"/>
    <w:rsid w:val="A3BD4BA3"/>
    <w:rsid w:val="A3FE35E1"/>
    <w:rsid w:val="A4872B9A"/>
    <w:rsid w:val="A59F8456"/>
    <w:rsid w:val="A5E6A787"/>
    <w:rsid w:val="A5EF715A"/>
    <w:rsid w:val="A5FE55E6"/>
    <w:rsid w:val="A6A1B1A3"/>
    <w:rsid w:val="A6F90B2E"/>
    <w:rsid w:val="A6FE5F26"/>
    <w:rsid w:val="A7BFA721"/>
    <w:rsid w:val="A7D337FE"/>
    <w:rsid w:val="A7DDF2EA"/>
    <w:rsid w:val="A7F3F7D0"/>
    <w:rsid w:val="A7FF9898"/>
    <w:rsid w:val="A7FFAE7D"/>
    <w:rsid w:val="A97B36A3"/>
    <w:rsid w:val="A9FF9C94"/>
    <w:rsid w:val="AA7DBC09"/>
    <w:rsid w:val="AAF5F80E"/>
    <w:rsid w:val="AAFB2824"/>
    <w:rsid w:val="AB7B9381"/>
    <w:rsid w:val="ABBF3D44"/>
    <w:rsid w:val="ABDF284E"/>
    <w:rsid w:val="ABDF62DD"/>
    <w:rsid w:val="ABF6E51F"/>
    <w:rsid w:val="ABFBD2BD"/>
    <w:rsid w:val="AC2F8D43"/>
    <w:rsid w:val="AC767FE5"/>
    <w:rsid w:val="ACFFC23A"/>
    <w:rsid w:val="ADCB6428"/>
    <w:rsid w:val="ADD9452D"/>
    <w:rsid w:val="ADDA54A1"/>
    <w:rsid w:val="ADF7DC42"/>
    <w:rsid w:val="ADFF101C"/>
    <w:rsid w:val="AEAD55EE"/>
    <w:rsid w:val="AEDFD007"/>
    <w:rsid w:val="AEEABAEC"/>
    <w:rsid w:val="AEF55B63"/>
    <w:rsid w:val="AEFF222A"/>
    <w:rsid w:val="AF3BE93E"/>
    <w:rsid w:val="AFB61E0D"/>
    <w:rsid w:val="AFD1C158"/>
    <w:rsid w:val="AFDE98CE"/>
    <w:rsid w:val="AFEB8D81"/>
    <w:rsid w:val="AFEB92AB"/>
    <w:rsid w:val="AFEF985A"/>
    <w:rsid w:val="AFF96A9C"/>
    <w:rsid w:val="AFFBB579"/>
    <w:rsid w:val="AFFF0E54"/>
    <w:rsid w:val="AFFF150A"/>
    <w:rsid w:val="B13F7C8D"/>
    <w:rsid w:val="B19F70FB"/>
    <w:rsid w:val="B1F7DF2C"/>
    <w:rsid w:val="B1FBF891"/>
    <w:rsid w:val="B1FF0218"/>
    <w:rsid w:val="B2FBAA10"/>
    <w:rsid w:val="B2FD5875"/>
    <w:rsid w:val="B2FE6ADD"/>
    <w:rsid w:val="B39FE479"/>
    <w:rsid w:val="B3EF5D07"/>
    <w:rsid w:val="B3EFAF09"/>
    <w:rsid w:val="B3FB6A58"/>
    <w:rsid w:val="B4D777AC"/>
    <w:rsid w:val="B53F9790"/>
    <w:rsid w:val="B5D3120C"/>
    <w:rsid w:val="B5EDF9A0"/>
    <w:rsid w:val="B5F5C9CC"/>
    <w:rsid w:val="B62F6FD0"/>
    <w:rsid w:val="B677937A"/>
    <w:rsid w:val="B69DFE12"/>
    <w:rsid w:val="B6FA1714"/>
    <w:rsid w:val="B6FEE612"/>
    <w:rsid w:val="B74E05C4"/>
    <w:rsid w:val="B7730BFB"/>
    <w:rsid w:val="B77DD223"/>
    <w:rsid w:val="B79FC5CC"/>
    <w:rsid w:val="B7AFFF26"/>
    <w:rsid w:val="B7BE20F3"/>
    <w:rsid w:val="B7BF485A"/>
    <w:rsid w:val="B7DB501C"/>
    <w:rsid w:val="B7DE21A8"/>
    <w:rsid w:val="B7DE62A2"/>
    <w:rsid w:val="B7FD14EB"/>
    <w:rsid w:val="B7FD9D73"/>
    <w:rsid w:val="B7FF71B5"/>
    <w:rsid w:val="B8573E11"/>
    <w:rsid w:val="B8BDBBAB"/>
    <w:rsid w:val="B8FF3646"/>
    <w:rsid w:val="B97FC0A8"/>
    <w:rsid w:val="B989C04A"/>
    <w:rsid w:val="B9A1E7F5"/>
    <w:rsid w:val="B9BF3562"/>
    <w:rsid w:val="BA4F048E"/>
    <w:rsid w:val="BAA945D3"/>
    <w:rsid w:val="BADFD36D"/>
    <w:rsid w:val="BAFD6BE1"/>
    <w:rsid w:val="BAFDD80A"/>
    <w:rsid w:val="BAFF10EB"/>
    <w:rsid w:val="BB56BFB3"/>
    <w:rsid w:val="BB7A5A12"/>
    <w:rsid w:val="BB7FE222"/>
    <w:rsid w:val="BBA6F92F"/>
    <w:rsid w:val="BBA7E552"/>
    <w:rsid w:val="BBB89307"/>
    <w:rsid w:val="BBEF2BFD"/>
    <w:rsid w:val="BBF718EA"/>
    <w:rsid w:val="BBF79212"/>
    <w:rsid w:val="BBFA33E4"/>
    <w:rsid w:val="BBFD05A2"/>
    <w:rsid w:val="BBFEAA56"/>
    <w:rsid w:val="BBFF6BF1"/>
    <w:rsid w:val="BC8EAB29"/>
    <w:rsid w:val="BC972BE3"/>
    <w:rsid w:val="BCAFBED0"/>
    <w:rsid w:val="BCB9A4A6"/>
    <w:rsid w:val="BCBB85CC"/>
    <w:rsid w:val="BCCFE2D7"/>
    <w:rsid w:val="BCDEB688"/>
    <w:rsid w:val="BD6BB1C6"/>
    <w:rsid w:val="BD75A56A"/>
    <w:rsid w:val="BD765215"/>
    <w:rsid w:val="BD7BA3F5"/>
    <w:rsid w:val="BD7F4FB2"/>
    <w:rsid w:val="BD7FA0CB"/>
    <w:rsid w:val="BD9F6600"/>
    <w:rsid w:val="BDCC6952"/>
    <w:rsid w:val="BDCF77D3"/>
    <w:rsid w:val="BDD70126"/>
    <w:rsid w:val="BDD77562"/>
    <w:rsid w:val="BDD81760"/>
    <w:rsid w:val="BDDA6CAD"/>
    <w:rsid w:val="BDE231C9"/>
    <w:rsid w:val="BDEBA709"/>
    <w:rsid w:val="BDEF2E6E"/>
    <w:rsid w:val="BDEFD658"/>
    <w:rsid w:val="BDFECE32"/>
    <w:rsid w:val="BDFF1EAE"/>
    <w:rsid w:val="BDFF7AC8"/>
    <w:rsid w:val="BDFFC435"/>
    <w:rsid w:val="BE534E1C"/>
    <w:rsid w:val="BE5D05CA"/>
    <w:rsid w:val="BE7F85D3"/>
    <w:rsid w:val="BEAE0474"/>
    <w:rsid w:val="BEB886DA"/>
    <w:rsid w:val="BEDD7387"/>
    <w:rsid w:val="BEDDA402"/>
    <w:rsid w:val="BEE7F581"/>
    <w:rsid w:val="BEEA7FC7"/>
    <w:rsid w:val="BEECF424"/>
    <w:rsid w:val="BEEF6871"/>
    <w:rsid w:val="BEFB807E"/>
    <w:rsid w:val="BEFE9050"/>
    <w:rsid w:val="BEFF1B8A"/>
    <w:rsid w:val="BEFF77C4"/>
    <w:rsid w:val="BF1D4F8C"/>
    <w:rsid w:val="BF3B8857"/>
    <w:rsid w:val="BF3D707A"/>
    <w:rsid w:val="BF3E8077"/>
    <w:rsid w:val="BF4674E5"/>
    <w:rsid w:val="BF5F30F6"/>
    <w:rsid w:val="BF6A3A9A"/>
    <w:rsid w:val="BF6C74BE"/>
    <w:rsid w:val="BF73FBC4"/>
    <w:rsid w:val="BF7C598F"/>
    <w:rsid w:val="BF7DD9F6"/>
    <w:rsid w:val="BF7E3501"/>
    <w:rsid w:val="BF7E7E79"/>
    <w:rsid w:val="BF7EEA00"/>
    <w:rsid w:val="BF7F7750"/>
    <w:rsid w:val="BF7FA5C0"/>
    <w:rsid w:val="BF955320"/>
    <w:rsid w:val="BF9DD4F5"/>
    <w:rsid w:val="BF9FDA67"/>
    <w:rsid w:val="BFB37454"/>
    <w:rsid w:val="BFB7150D"/>
    <w:rsid w:val="BFBBC727"/>
    <w:rsid w:val="BFBCE45F"/>
    <w:rsid w:val="BFBE37F3"/>
    <w:rsid w:val="BFBEB30F"/>
    <w:rsid w:val="BFBFBAFE"/>
    <w:rsid w:val="BFCB065D"/>
    <w:rsid w:val="BFDBAA83"/>
    <w:rsid w:val="BFDD58DC"/>
    <w:rsid w:val="BFDF7FDD"/>
    <w:rsid w:val="BFDFA53C"/>
    <w:rsid w:val="BFE3FF37"/>
    <w:rsid w:val="BFE5E30F"/>
    <w:rsid w:val="BFEC77F9"/>
    <w:rsid w:val="BFEE1533"/>
    <w:rsid w:val="BFEF2640"/>
    <w:rsid w:val="BFEF7716"/>
    <w:rsid w:val="BFEF7D7E"/>
    <w:rsid w:val="BFF475C8"/>
    <w:rsid w:val="BFF60082"/>
    <w:rsid w:val="BFF6D5DE"/>
    <w:rsid w:val="BFF7B80F"/>
    <w:rsid w:val="BFF86808"/>
    <w:rsid w:val="BFFA199A"/>
    <w:rsid w:val="BFFA3522"/>
    <w:rsid w:val="BFFD6EEA"/>
    <w:rsid w:val="BFFEEC12"/>
    <w:rsid w:val="BFFF2DF3"/>
    <w:rsid w:val="BFFFB9CF"/>
    <w:rsid w:val="BFFFF3C1"/>
    <w:rsid w:val="C39D1A95"/>
    <w:rsid w:val="C39F6F29"/>
    <w:rsid w:val="C3DF6712"/>
    <w:rsid w:val="C4E7201A"/>
    <w:rsid w:val="C557C505"/>
    <w:rsid w:val="C5F60D49"/>
    <w:rsid w:val="C634B903"/>
    <w:rsid w:val="C67FCC43"/>
    <w:rsid w:val="C6DAD7BA"/>
    <w:rsid w:val="C6FE277D"/>
    <w:rsid w:val="C73E633B"/>
    <w:rsid w:val="C77DD01C"/>
    <w:rsid w:val="C77FD537"/>
    <w:rsid w:val="C78B835F"/>
    <w:rsid w:val="C7AE9C6E"/>
    <w:rsid w:val="C7BDF759"/>
    <w:rsid w:val="C7EE8DF6"/>
    <w:rsid w:val="C7F98CE1"/>
    <w:rsid w:val="C7FA5DB6"/>
    <w:rsid w:val="C8FA65B0"/>
    <w:rsid w:val="CA1F4B7D"/>
    <w:rsid w:val="CAB35BE0"/>
    <w:rsid w:val="CABD96A8"/>
    <w:rsid w:val="CAFB6F71"/>
    <w:rsid w:val="CAFE4A23"/>
    <w:rsid w:val="CB59954A"/>
    <w:rsid w:val="CB7E9138"/>
    <w:rsid w:val="CBFF91AD"/>
    <w:rsid w:val="CBFFEF8E"/>
    <w:rsid w:val="CC3DCEC4"/>
    <w:rsid w:val="CDBE9B34"/>
    <w:rsid w:val="CDD76733"/>
    <w:rsid w:val="CDFE5736"/>
    <w:rsid w:val="CE470EEB"/>
    <w:rsid w:val="CECA625C"/>
    <w:rsid w:val="CEF663CF"/>
    <w:rsid w:val="CEFD42E1"/>
    <w:rsid w:val="CEFFA528"/>
    <w:rsid w:val="CF07FA34"/>
    <w:rsid w:val="CF4F12AB"/>
    <w:rsid w:val="CF77E241"/>
    <w:rsid w:val="CF7FAB6C"/>
    <w:rsid w:val="CFCDA96E"/>
    <w:rsid w:val="CFE282B2"/>
    <w:rsid w:val="CFE3FC47"/>
    <w:rsid w:val="CFEEF850"/>
    <w:rsid w:val="CFF76038"/>
    <w:rsid w:val="CFF7F07B"/>
    <w:rsid w:val="CFF8C634"/>
    <w:rsid w:val="CFFBA1E6"/>
    <w:rsid w:val="D05F558D"/>
    <w:rsid w:val="D0EFA574"/>
    <w:rsid w:val="D17F9E23"/>
    <w:rsid w:val="D23F6838"/>
    <w:rsid w:val="D27F44B2"/>
    <w:rsid w:val="D2F431BA"/>
    <w:rsid w:val="D3B4C2CE"/>
    <w:rsid w:val="D3B90A0F"/>
    <w:rsid w:val="D3ED68ED"/>
    <w:rsid w:val="D4F751FC"/>
    <w:rsid w:val="D53FD852"/>
    <w:rsid w:val="D5665944"/>
    <w:rsid w:val="D5FA177C"/>
    <w:rsid w:val="D5FD0364"/>
    <w:rsid w:val="D63F0DAA"/>
    <w:rsid w:val="D67F689C"/>
    <w:rsid w:val="D6ABA5C5"/>
    <w:rsid w:val="D6ABE222"/>
    <w:rsid w:val="D6FBB289"/>
    <w:rsid w:val="D73BEF1E"/>
    <w:rsid w:val="D73F7D1D"/>
    <w:rsid w:val="D7ABC4CF"/>
    <w:rsid w:val="D7B6575A"/>
    <w:rsid w:val="D7B75D89"/>
    <w:rsid w:val="D7B968EC"/>
    <w:rsid w:val="D7BF0AFC"/>
    <w:rsid w:val="D7BFACF5"/>
    <w:rsid w:val="D7DFAF05"/>
    <w:rsid w:val="D7F79FFD"/>
    <w:rsid w:val="D7FD5646"/>
    <w:rsid w:val="D7FDB768"/>
    <w:rsid w:val="D7FDDBD2"/>
    <w:rsid w:val="D7FDED3B"/>
    <w:rsid w:val="D7FEE488"/>
    <w:rsid w:val="D7FF07EC"/>
    <w:rsid w:val="D7FF5915"/>
    <w:rsid w:val="D85CF05B"/>
    <w:rsid w:val="D8F8FBE0"/>
    <w:rsid w:val="D9744041"/>
    <w:rsid w:val="D97BBC16"/>
    <w:rsid w:val="D97ECA8E"/>
    <w:rsid w:val="D9DF571F"/>
    <w:rsid w:val="D9E78DAB"/>
    <w:rsid w:val="D9FA6D57"/>
    <w:rsid w:val="DA1D9D85"/>
    <w:rsid w:val="DAD584FB"/>
    <w:rsid w:val="DAF73801"/>
    <w:rsid w:val="DAF7FB23"/>
    <w:rsid w:val="DB3D4275"/>
    <w:rsid w:val="DB6E0EA4"/>
    <w:rsid w:val="DB74FE62"/>
    <w:rsid w:val="DB777EA2"/>
    <w:rsid w:val="DB7DFB36"/>
    <w:rsid w:val="DB7F4FFB"/>
    <w:rsid w:val="DBB4F2D3"/>
    <w:rsid w:val="DBBFFA0A"/>
    <w:rsid w:val="DBCD7423"/>
    <w:rsid w:val="DBCF2F5A"/>
    <w:rsid w:val="DBDDD943"/>
    <w:rsid w:val="DBDF8565"/>
    <w:rsid w:val="DBDFEC96"/>
    <w:rsid w:val="DBE614E5"/>
    <w:rsid w:val="DBEEE73E"/>
    <w:rsid w:val="DBEF2058"/>
    <w:rsid w:val="DBF10CDE"/>
    <w:rsid w:val="DBF141DB"/>
    <w:rsid w:val="DBF4D5A9"/>
    <w:rsid w:val="DBF723B0"/>
    <w:rsid w:val="DBFB05F7"/>
    <w:rsid w:val="DBFC1AD8"/>
    <w:rsid w:val="DBFEAD1F"/>
    <w:rsid w:val="DBFFA047"/>
    <w:rsid w:val="DC991AB9"/>
    <w:rsid w:val="DCA77B80"/>
    <w:rsid w:val="DCB4E4F1"/>
    <w:rsid w:val="DCDF4003"/>
    <w:rsid w:val="DCFF8E98"/>
    <w:rsid w:val="DCFF9D7B"/>
    <w:rsid w:val="DD1796E0"/>
    <w:rsid w:val="DD3EDE9B"/>
    <w:rsid w:val="DD3F8AA0"/>
    <w:rsid w:val="DD5E4243"/>
    <w:rsid w:val="DD899EA8"/>
    <w:rsid w:val="DD8F4243"/>
    <w:rsid w:val="DD970FA5"/>
    <w:rsid w:val="DDEFEA38"/>
    <w:rsid w:val="DDF58E91"/>
    <w:rsid w:val="DDF72432"/>
    <w:rsid w:val="DDFDDD12"/>
    <w:rsid w:val="DDFFC60E"/>
    <w:rsid w:val="DE0FDA75"/>
    <w:rsid w:val="DE5FA19D"/>
    <w:rsid w:val="DE7B7926"/>
    <w:rsid w:val="DE9DB9F3"/>
    <w:rsid w:val="DE9F2C04"/>
    <w:rsid w:val="DEBC3150"/>
    <w:rsid w:val="DEBDA0D6"/>
    <w:rsid w:val="DEBDE96B"/>
    <w:rsid w:val="DECC2715"/>
    <w:rsid w:val="DEEF1B5E"/>
    <w:rsid w:val="DEF6C732"/>
    <w:rsid w:val="DEFB913F"/>
    <w:rsid w:val="DEFBB563"/>
    <w:rsid w:val="DEFDEC1A"/>
    <w:rsid w:val="DEFE0C4B"/>
    <w:rsid w:val="DEFF6E96"/>
    <w:rsid w:val="DEFFF07D"/>
    <w:rsid w:val="DEFFF376"/>
    <w:rsid w:val="DF3E2C1C"/>
    <w:rsid w:val="DF4B900A"/>
    <w:rsid w:val="DF5F0CD0"/>
    <w:rsid w:val="DF5FB47A"/>
    <w:rsid w:val="DF66BBB7"/>
    <w:rsid w:val="DF6FFDE4"/>
    <w:rsid w:val="DF77AEDD"/>
    <w:rsid w:val="DF7E0102"/>
    <w:rsid w:val="DF7F291C"/>
    <w:rsid w:val="DF7F628B"/>
    <w:rsid w:val="DF7F917B"/>
    <w:rsid w:val="DF7FFF98"/>
    <w:rsid w:val="DF965509"/>
    <w:rsid w:val="DF99E987"/>
    <w:rsid w:val="DF9FDA6C"/>
    <w:rsid w:val="DFAF45C2"/>
    <w:rsid w:val="DFBF4D86"/>
    <w:rsid w:val="DFBFBD7C"/>
    <w:rsid w:val="DFCE3B9D"/>
    <w:rsid w:val="DFCFFB54"/>
    <w:rsid w:val="DFD92D95"/>
    <w:rsid w:val="DFDFB8D0"/>
    <w:rsid w:val="DFDFEA5C"/>
    <w:rsid w:val="DFE7ED62"/>
    <w:rsid w:val="DFEFB4EB"/>
    <w:rsid w:val="DFEFB534"/>
    <w:rsid w:val="DFEFC8FB"/>
    <w:rsid w:val="DFEFDC39"/>
    <w:rsid w:val="DFF3235E"/>
    <w:rsid w:val="DFF5A1B5"/>
    <w:rsid w:val="DFF5B692"/>
    <w:rsid w:val="DFF6077C"/>
    <w:rsid w:val="DFF76639"/>
    <w:rsid w:val="DFF9A763"/>
    <w:rsid w:val="DFFB8D4D"/>
    <w:rsid w:val="DFFBDFEA"/>
    <w:rsid w:val="DFFC52CC"/>
    <w:rsid w:val="DFFF1895"/>
    <w:rsid w:val="DFFF2178"/>
    <w:rsid w:val="DFFF63DD"/>
    <w:rsid w:val="DFFF75FA"/>
    <w:rsid w:val="DFFF8088"/>
    <w:rsid w:val="DFFFA2BE"/>
    <w:rsid w:val="E0FFF395"/>
    <w:rsid w:val="E17D0E17"/>
    <w:rsid w:val="E1DFEE02"/>
    <w:rsid w:val="E1EFBF4A"/>
    <w:rsid w:val="E1FE8A86"/>
    <w:rsid w:val="E2B37EF7"/>
    <w:rsid w:val="E2B4AD4D"/>
    <w:rsid w:val="E2ED767E"/>
    <w:rsid w:val="E2FB9DB6"/>
    <w:rsid w:val="E377E0D5"/>
    <w:rsid w:val="E37F082E"/>
    <w:rsid w:val="E3AF67AF"/>
    <w:rsid w:val="E3BF5FDD"/>
    <w:rsid w:val="E3DF8F30"/>
    <w:rsid w:val="E3F4DF68"/>
    <w:rsid w:val="E3F6BEDD"/>
    <w:rsid w:val="E3FF90F3"/>
    <w:rsid w:val="E4BB5B71"/>
    <w:rsid w:val="E5BDF1AD"/>
    <w:rsid w:val="E5ED3B61"/>
    <w:rsid w:val="E5F3ABEF"/>
    <w:rsid w:val="E5FE0FC3"/>
    <w:rsid w:val="E5FE5652"/>
    <w:rsid w:val="E5FF1529"/>
    <w:rsid w:val="E66F412A"/>
    <w:rsid w:val="E677187F"/>
    <w:rsid w:val="E67B9C8E"/>
    <w:rsid w:val="E67F9594"/>
    <w:rsid w:val="E69DEA37"/>
    <w:rsid w:val="E6BB83E6"/>
    <w:rsid w:val="E6BF9A36"/>
    <w:rsid w:val="E6DF3658"/>
    <w:rsid w:val="E6FBA10C"/>
    <w:rsid w:val="E6FFEF67"/>
    <w:rsid w:val="E74FA36E"/>
    <w:rsid w:val="E76F9222"/>
    <w:rsid w:val="E77FAEA3"/>
    <w:rsid w:val="E7AF3599"/>
    <w:rsid w:val="E7BFFFBD"/>
    <w:rsid w:val="E7E34130"/>
    <w:rsid w:val="E7E54011"/>
    <w:rsid w:val="E7F6F0E8"/>
    <w:rsid w:val="E7F90AB0"/>
    <w:rsid w:val="E7F9D19D"/>
    <w:rsid w:val="E7FB21B5"/>
    <w:rsid w:val="E7FB813D"/>
    <w:rsid w:val="E7FEB0A2"/>
    <w:rsid w:val="E7FF589E"/>
    <w:rsid w:val="E878C713"/>
    <w:rsid w:val="E88EBF9B"/>
    <w:rsid w:val="E8CD65B2"/>
    <w:rsid w:val="E8CDCA8D"/>
    <w:rsid w:val="E9B524E9"/>
    <w:rsid w:val="E9BF71EC"/>
    <w:rsid w:val="E9BFF676"/>
    <w:rsid w:val="E9CF6834"/>
    <w:rsid w:val="E9CFE418"/>
    <w:rsid w:val="E9DCBF26"/>
    <w:rsid w:val="E9E6BE81"/>
    <w:rsid w:val="E9F97203"/>
    <w:rsid w:val="EA3B13A0"/>
    <w:rsid w:val="EA733BBD"/>
    <w:rsid w:val="EA8A5488"/>
    <w:rsid w:val="EA99F425"/>
    <w:rsid w:val="EAF7F0D4"/>
    <w:rsid w:val="EAFD8C3B"/>
    <w:rsid w:val="EAFFE385"/>
    <w:rsid w:val="EB35BBCA"/>
    <w:rsid w:val="EB625C59"/>
    <w:rsid w:val="EB71DE31"/>
    <w:rsid w:val="EB9D02CF"/>
    <w:rsid w:val="EBAB4853"/>
    <w:rsid w:val="EBBD2931"/>
    <w:rsid w:val="EBCE8BDB"/>
    <w:rsid w:val="EBDB0069"/>
    <w:rsid w:val="EBDB2DE9"/>
    <w:rsid w:val="EBDC907B"/>
    <w:rsid w:val="EBE70802"/>
    <w:rsid w:val="EBEBF595"/>
    <w:rsid w:val="EBFAF540"/>
    <w:rsid w:val="EBFB986E"/>
    <w:rsid w:val="EBFE2B00"/>
    <w:rsid w:val="EBFE8DC1"/>
    <w:rsid w:val="EBFF7D08"/>
    <w:rsid w:val="EBFFAB7B"/>
    <w:rsid w:val="EC7E77F5"/>
    <w:rsid w:val="ECEEA0C4"/>
    <w:rsid w:val="ED75F9FB"/>
    <w:rsid w:val="ED9FFE44"/>
    <w:rsid w:val="EDA7BC30"/>
    <w:rsid w:val="EDB10C39"/>
    <w:rsid w:val="EDDBCE7D"/>
    <w:rsid w:val="EDDE9BEA"/>
    <w:rsid w:val="EDFDA986"/>
    <w:rsid w:val="EDFF19F1"/>
    <w:rsid w:val="EDFF5DB4"/>
    <w:rsid w:val="EDFFC145"/>
    <w:rsid w:val="EE535755"/>
    <w:rsid w:val="EE72944B"/>
    <w:rsid w:val="EE73D196"/>
    <w:rsid w:val="EE783953"/>
    <w:rsid w:val="EE7D01B7"/>
    <w:rsid w:val="EE7E586E"/>
    <w:rsid w:val="EE8FAC37"/>
    <w:rsid w:val="EEB573AA"/>
    <w:rsid w:val="EEBC2D21"/>
    <w:rsid w:val="EEBDBAE4"/>
    <w:rsid w:val="EECFD602"/>
    <w:rsid w:val="EEDBDD0E"/>
    <w:rsid w:val="EEDDE017"/>
    <w:rsid w:val="EEDF78A7"/>
    <w:rsid w:val="EEEF2386"/>
    <w:rsid w:val="EEEF36C4"/>
    <w:rsid w:val="EEEFAA80"/>
    <w:rsid w:val="EEFCA0AB"/>
    <w:rsid w:val="EEFE7D5A"/>
    <w:rsid w:val="EEFF5AB7"/>
    <w:rsid w:val="EF197BAA"/>
    <w:rsid w:val="EF2FE333"/>
    <w:rsid w:val="EF39921E"/>
    <w:rsid w:val="EF3E76D8"/>
    <w:rsid w:val="EF5FE27B"/>
    <w:rsid w:val="EF67CF8B"/>
    <w:rsid w:val="EF707C50"/>
    <w:rsid w:val="EF76DC83"/>
    <w:rsid w:val="EF77CEA5"/>
    <w:rsid w:val="EF78F895"/>
    <w:rsid w:val="EF7B314B"/>
    <w:rsid w:val="EF7BA504"/>
    <w:rsid w:val="EF7DC998"/>
    <w:rsid w:val="EF7F2FC8"/>
    <w:rsid w:val="EF8A1C9E"/>
    <w:rsid w:val="EF8D1EAD"/>
    <w:rsid w:val="EF8E56A7"/>
    <w:rsid w:val="EFAF314F"/>
    <w:rsid w:val="EFAFA05E"/>
    <w:rsid w:val="EFAFF1EA"/>
    <w:rsid w:val="EFB3152A"/>
    <w:rsid w:val="EFB58676"/>
    <w:rsid w:val="EFB78C98"/>
    <w:rsid w:val="EFBC84B0"/>
    <w:rsid w:val="EFBFF8CA"/>
    <w:rsid w:val="EFC71951"/>
    <w:rsid w:val="EFCF9763"/>
    <w:rsid w:val="EFDC35E9"/>
    <w:rsid w:val="EFDC9CD3"/>
    <w:rsid w:val="EFDDD193"/>
    <w:rsid w:val="EFDDFF57"/>
    <w:rsid w:val="EFDE46D8"/>
    <w:rsid w:val="EFDFD80E"/>
    <w:rsid w:val="EFE78399"/>
    <w:rsid w:val="EFEDFFD7"/>
    <w:rsid w:val="EFEF0B79"/>
    <w:rsid w:val="EFEFBE97"/>
    <w:rsid w:val="EFF4A8E8"/>
    <w:rsid w:val="EFF9B819"/>
    <w:rsid w:val="EFFC814E"/>
    <w:rsid w:val="EFFD47BE"/>
    <w:rsid w:val="EFFDD8D0"/>
    <w:rsid w:val="EFFDDE1E"/>
    <w:rsid w:val="EFFE27BA"/>
    <w:rsid w:val="EFFE538B"/>
    <w:rsid w:val="EFFEB118"/>
    <w:rsid w:val="EFFF05FD"/>
    <w:rsid w:val="EFFF3720"/>
    <w:rsid w:val="EFFF6AEC"/>
    <w:rsid w:val="EFFF791B"/>
    <w:rsid w:val="EFFF8640"/>
    <w:rsid w:val="EFFF8C15"/>
    <w:rsid w:val="EFFF8CC6"/>
    <w:rsid w:val="EFFFA371"/>
    <w:rsid w:val="F0B79AC5"/>
    <w:rsid w:val="F107A8CD"/>
    <w:rsid w:val="F1DF4096"/>
    <w:rsid w:val="F1F364AB"/>
    <w:rsid w:val="F1F66EC8"/>
    <w:rsid w:val="F27E9B76"/>
    <w:rsid w:val="F2FF527D"/>
    <w:rsid w:val="F32FD4FB"/>
    <w:rsid w:val="F35B0A5B"/>
    <w:rsid w:val="F36C570F"/>
    <w:rsid w:val="F36F5C70"/>
    <w:rsid w:val="F3736378"/>
    <w:rsid w:val="F379B12D"/>
    <w:rsid w:val="F37B5570"/>
    <w:rsid w:val="F3A3AEB8"/>
    <w:rsid w:val="F3AE5D92"/>
    <w:rsid w:val="F3B73C13"/>
    <w:rsid w:val="F3BBCE10"/>
    <w:rsid w:val="F3BD753B"/>
    <w:rsid w:val="F3CB90A8"/>
    <w:rsid w:val="F3DBE158"/>
    <w:rsid w:val="F3DCE038"/>
    <w:rsid w:val="F3DF2F97"/>
    <w:rsid w:val="F3DFFC33"/>
    <w:rsid w:val="F3E45A8B"/>
    <w:rsid w:val="F3EFAB34"/>
    <w:rsid w:val="F3F3E3D3"/>
    <w:rsid w:val="F3F77777"/>
    <w:rsid w:val="F3F790E9"/>
    <w:rsid w:val="F3FA3B9E"/>
    <w:rsid w:val="F3FA8B41"/>
    <w:rsid w:val="F3FBAD4A"/>
    <w:rsid w:val="F3FEFC70"/>
    <w:rsid w:val="F3FF0A72"/>
    <w:rsid w:val="F3FF93E0"/>
    <w:rsid w:val="F3FFD907"/>
    <w:rsid w:val="F43DB324"/>
    <w:rsid w:val="F48874CE"/>
    <w:rsid w:val="F4BF4587"/>
    <w:rsid w:val="F4FE15F4"/>
    <w:rsid w:val="F4FF874A"/>
    <w:rsid w:val="F50BC6C1"/>
    <w:rsid w:val="F5365D59"/>
    <w:rsid w:val="F54D758D"/>
    <w:rsid w:val="F5757640"/>
    <w:rsid w:val="F577FC81"/>
    <w:rsid w:val="F578C161"/>
    <w:rsid w:val="F57A4229"/>
    <w:rsid w:val="F57B4211"/>
    <w:rsid w:val="F57B841E"/>
    <w:rsid w:val="F57D5D9F"/>
    <w:rsid w:val="F57E8213"/>
    <w:rsid w:val="F59B5F0E"/>
    <w:rsid w:val="F5ACF59F"/>
    <w:rsid w:val="F5BB3A77"/>
    <w:rsid w:val="F5CFE6E1"/>
    <w:rsid w:val="F5D6D7BA"/>
    <w:rsid w:val="F5D6F010"/>
    <w:rsid w:val="F5EF5ABC"/>
    <w:rsid w:val="F5F087E9"/>
    <w:rsid w:val="F5F6527B"/>
    <w:rsid w:val="F5F68896"/>
    <w:rsid w:val="F5F74214"/>
    <w:rsid w:val="F5FE3929"/>
    <w:rsid w:val="F5FF9AE2"/>
    <w:rsid w:val="F5FFA0CF"/>
    <w:rsid w:val="F5FFD0F6"/>
    <w:rsid w:val="F67B0F7F"/>
    <w:rsid w:val="F67D75A5"/>
    <w:rsid w:val="F6DFACDC"/>
    <w:rsid w:val="F6FB716D"/>
    <w:rsid w:val="F6FF1CC0"/>
    <w:rsid w:val="F6FF2212"/>
    <w:rsid w:val="F6FFCE16"/>
    <w:rsid w:val="F71B6415"/>
    <w:rsid w:val="F73A5996"/>
    <w:rsid w:val="F73E6CE1"/>
    <w:rsid w:val="F75E783B"/>
    <w:rsid w:val="F7767EBE"/>
    <w:rsid w:val="F777A869"/>
    <w:rsid w:val="F7791DB9"/>
    <w:rsid w:val="F77973F0"/>
    <w:rsid w:val="F77B074F"/>
    <w:rsid w:val="F77D41BB"/>
    <w:rsid w:val="F78C0A43"/>
    <w:rsid w:val="F7AB9756"/>
    <w:rsid w:val="F7AE8BE9"/>
    <w:rsid w:val="F7B69AC8"/>
    <w:rsid w:val="F7B7AACD"/>
    <w:rsid w:val="F7BA4DB6"/>
    <w:rsid w:val="F7BB6BD8"/>
    <w:rsid w:val="F7BDBC8B"/>
    <w:rsid w:val="F7BEE2B1"/>
    <w:rsid w:val="F7BF8395"/>
    <w:rsid w:val="F7BFA8C9"/>
    <w:rsid w:val="F7CD9FFC"/>
    <w:rsid w:val="F7CEA122"/>
    <w:rsid w:val="F7D5A0C2"/>
    <w:rsid w:val="F7DB27AE"/>
    <w:rsid w:val="F7DE3A74"/>
    <w:rsid w:val="F7DF11AB"/>
    <w:rsid w:val="F7DF62C4"/>
    <w:rsid w:val="F7DF98D7"/>
    <w:rsid w:val="F7DFED71"/>
    <w:rsid w:val="F7E348A0"/>
    <w:rsid w:val="F7E75050"/>
    <w:rsid w:val="F7E8308E"/>
    <w:rsid w:val="F7EB8E3A"/>
    <w:rsid w:val="F7EE0437"/>
    <w:rsid w:val="F7EE2DD2"/>
    <w:rsid w:val="F7EF5190"/>
    <w:rsid w:val="F7EFED07"/>
    <w:rsid w:val="F7F7EAEE"/>
    <w:rsid w:val="F7F93CCA"/>
    <w:rsid w:val="F7FA3D1B"/>
    <w:rsid w:val="F7FB4E4F"/>
    <w:rsid w:val="F7FD3397"/>
    <w:rsid w:val="F7FF1E61"/>
    <w:rsid w:val="F7FF2242"/>
    <w:rsid w:val="F7FFA41F"/>
    <w:rsid w:val="F7FFAB4B"/>
    <w:rsid w:val="F7FFCCC1"/>
    <w:rsid w:val="F8CBE973"/>
    <w:rsid w:val="F8FACF3B"/>
    <w:rsid w:val="F8FC2CA2"/>
    <w:rsid w:val="F8FFEE9B"/>
    <w:rsid w:val="F95B9197"/>
    <w:rsid w:val="F96F02A2"/>
    <w:rsid w:val="F97A14BD"/>
    <w:rsid w:val="F97A1AEC"/>
    <w:rsid w:val="F97FF64A"/>
    <w:rsid w:val="F9A96A9E"/>
    <w:rsid w:val="F9BBCE31"/>
    <w:rsid w:val="F9BE0C8A"/>
    <w:rsid w:val="F9BE5B31"/>
    <w:rsid w:val="F9BE9F9C"/>
    <w:rsid w:val="F9DF263D"/>
    <w:rsid w:val="F9DF5EB0"/>
    <w:rsid w:val="F9EF5BA5"/>
    <w:rsid w:val="F9EF8E91"/>
    <w:rsid w:val="F9F923F5"/>
    <w:rsid w:val="F9FB8645"/>
    <w:rsid w:val="F9FEF724"/>
    <w:rsid w:val="F9FF2AEE"/>
    <w:rsid w:val="FA3BF25A"/>
    <w:rsid w:val="FA3E6383"/>
    <w:rsid w:val="FA3E9C63"/>
    <w:rsid w:val="FA47560A"/>
    <w:rsid w:val="FA4A63A4"/>
    <w:rsid w:val="FA7D3013"/>
    <w:rsid w:val="FA7F84E4"/>
    <w:rsid w:val="FA7FAC1C"/>
    <w:rsid w:val="FABA3428"/>
    <w:rsid w:val="FABF0541"/>
    <w:rsid w:val="FADFD6BC"/>
    <w:rsid w:val="FAE7BE04"/>
    <w:rsid w:val="FAEF722D"/>
    <w:rsid w:val="FAFB6308"/>
    <w:rsid w:val="FAFF1230"/>
    <w:rsid w:val="FB264B21"/>
    <w:rsid w:val="FB37ECE1"/>
    <w:rsid w:val="FB506400"/>
    <w:rsid w:val="FB585440"/>
    <w:rsid w:val="FB69D5D9"/>
    <w:rsid w:val="FB6E935E"/>
    <w:rsid w:val="FB6F6401"/>
    <w:rsid w:val="FB749A16"/>
    <w:rsid w:val="FB7712E5"/>
    <w:rsid w:val="FB78C0EC"/>
    <w:rsid w:val="FB9F1757"/>
    <w:rsid w:val="FB9FF733"/>
    <w:rsid w:val="FBA0D994"/>
    <w:rsid w:val="FBB498E5"/>
    <w:rsid w:val="FBB578EC"/>
    <w:rsid w:val="FBBE96F0"/>
    <w:rsid w:val="FBBEA897"/>
    <w:rsid w:val="FBBF03F8"/>
    <w:rsid w:val="FBBFF351"/>
    <w:rsid w:val="FBCA0433"/>
    <w:rsid w:val="FBCF6A7E"/>
    <w:rsid w:val="FBCF7AF2"/>
    <w:rsid w:val="FBDF68C2"/>
    <w:rsid w:val="FBDFF947"/>
    <w:rsid w:val="FBE2CBA8"/>
    <w:rsid w:val="FBEBB56E"/>
    <w:rsid w:val="FBECB01F"/>
    <w:rsid w:val="FBED824F"/>
    <w:rsid w:val="FBEDB8D6"/>
    <w:rsid w:val="FBEE7AEC"/>
    <w:rsid w:val="FBEFB652"/>
    <w:rsid w:val="FBF3B24D"/>
    <w:rsid w:val="FBF5470B"/>
    <w:rsid w:val="FBF646E8"/>
    <w:rsid w:val="FBF709CC"/>
    <w:rsid w:val="FBF7480F"/>
    <w:rsid w:val="FBF7A000"/>
    <w:rsid w:val="FBF96BE2"/>
    <w:rsid w:val="FBFD0A9B"/>
    <w:rsid w:val="FBFE104D"/>
    <w:rsid w:val="FBFF02B5"/>
    <w:rsid w:val="FBFF26C4"/>
    <w:rsid w:val="FBFF28EC"/>
    <w:rsid w:val="FBFF4ABD"/>
    <w:rsid w:val="FBFF4B96"/>
    <w:rsid w:val="FBFF6B19"/>
    <w:rsid w:val="FBFF9458"/>
    <w:rsid w:val="FBFFA9A0"/>
    <w:rsid w:val="FBFFE32B"/>
    <w:rsid w:val="FC3EA20A"/>
    <w:rsid w:val="FC57D8B3"/>
    <w:rsid w:val="FC9B168C"/>
    <w:rsid w:val="FC9F7F37"/>
    <w:rsid w:val="FC9FB6B9"/>
    <w:rsid w:val="FCAB8C2F"/>
    <w:rsid w:val="FCAE2156"/>
    <w:rsid w:val="FCAFC55C"/>
    <w:rsid w:val="FCCB1502"/>
    <w:rsid w:val="FCD83822"/>
    <w:rsid w:val="FCDFBAA2"/>
    <w:rsid w:val="FCE6DD13"/>
    <w:rsid w:val="FCE7FC33"/>
    <w:rsid w:val="FCED3BC9"/>
    <w:rsid w:val="FCFB3F16"/>
    <w:rsid w:val="FCFE022E"/>
    <w:rsid w:val="FD3F079F"/>
    <w:rsid w:val="FD5768B9"/>
    <w:rsid w:val="FD5F4443"/>
    <w:rsid w:val="FD6D4AB9"/>
    <w:rsid w:val="FD7926E1"/>
    <w:rsid w:val="FD7B03D7"/>
    <w:rsid w:val="FD7C9820"/>
    <w:rsid w:val="FD7DBBE6"/>
    <w:rsid w:val="FD7FBE5D"/>
    <w:rsid w:val="FD899AB9"/>
    <w:rsid w:val="FD97133C"/>
    <w:rsid w:val="FD9DDF7F"/>
    <w:rsid w:val="FD9F4315"/>
    <w:rsid w:val="FD9F6509"/>
    <w:rsid w:val="FDAD4EE6"/>
    <w:rsid w:val="FDB37321"/>
    <w:rsid w:val="FDB72FAA"/>
    <w:rsid w:val="FDB75F67"/>
    <w:rsid w:val="FDB7816C"/>
    <w:rsid w:val="FDB887CC"/>
    <w:rsid w:val="FDB958C4"/>
    <w:rsid w:val="FDBB738D"/>
    <w:rsid w:val="FDBCD5A7"/>
    <w:rsid w:val="FDBE07CB"/>
    <w:rsid w:val="FDBF5D84"/>
    <w:rsid w:val="FDBFD332"/>
    <w:rsid w:val="FDD7DEBE"/>
    <w:rsid w:val="FDDCA2AA"/>
    <w:rsid w:val="FDDD5941"/>
    <w:rsid w:val="FDDF9D4E"/>
    <w:rsid w:val="FDE5AF90"/>
    <w:rsid w:val="FDECC7B6"/>
    <w:rsid w:val="FDED3AD9"/>
    <w:rsid w:val="FDEE13CF"/>
    <w:rsid w:val="FDF3105A"/>
    <w:rsid w:val="FDF7071F"/>
    <w:rsid w:val="FDF71758"/>
    <w:rsid w:val="FDF92DDD"/>
    <w:rsid w:val="FDFB5128"/>
    <w:rsid w:val="FDFD094D"/>
    <w:rsid w:val="FDFE1375"/>
    <w:rsid w:val="FDFED441"/>
    <w:rsid w:val="FDFEEAE6"/>
    <w:rsid w:val="FDFF2768"/>
    <w:rsid w:val="FDFF6860"/>
    <w:rsid w:val="FDFFD977"/>
    <w:rsid w:val="FDFFFA58"/>
    <w:rsid w:val="FE1F8649"/>
    <w:rsid w:val="FE32BA2F"/>
    <w:rsid w:val="FE3F29A1"/>
    <w:rsid w:val="FE3FC8F5"/>
    <w:rsid w:val="FE476EDE"/>
    <w:rsid w:val="FE4F54C9"/>
    <w:rsid w:val="FE4FAB40"/>
    <w:rsid w:val="FE576744"/>
    <w:rsid w:val="FE5F0CED"/>
    <w:rsid w:val="FE7FFD96"/>
    <w:rsid w:val="FE92997E"/>
    <w:rsid w:val="FE9BC9E3"/>
    <w:rsid w:val="FE9E103A"/>
    <w:rsid w:val="FE9FC089"/>
    <w:rsid w:val="FEABFD18"/>
    <w:rsid w:val="FEADA349"/>
    <w:rsid w:val="FEAEC9A6"/>
    <w:rsid w:val="FEB718EB"/>
    <w:rsid w:val="FEB75647"/>
    <w:rsid w:val="FEBD1235"/>
    <w:rsid w:val="FEBD91C9"/>
    <w:rsid w:val="FEBF286E"/>
    <w:rsid w:val="FECB7FCC"/>
    <w:rsid w:val="FECF6C0F"/>
    <w:rsid w:val="FED4A094"/>
    <w:rsid w:val="FED90F87"/>
    <w:rsid w:val="FEDCFE65"/>
    <w:rsid w:val="FEDF4B42"/>
    <w:rsid w:val="FEE71CC8"/>
    <w:rsid w:val="FEE764BB"/>
    <w:rsid w:val="FEE7D4BC"/>
    <w:rsid w:val="FEEA3D2D"/>
    <w:rsid w:val="FEEC22C0"/>
    <w:rsid w:val="FEEE1253"/>
    <w:rsid w:val="FEEF2543"/>
    <w:rsid w:val="FEF62D8C"/>
    <w:rsid w:val="FEF66717"/>
    <w:rsid w:val="FEF69906"/>
    <w:rsid w:val="FEF9E22A"/>
    <w:rsid w:val="FEFB0A02"/>
    <w:rsid w:val="FEFB1A7C"/>
    <w:rsid w:val="FEFB9384"/>
    <w:rsid w:val="FEFC0090"/>
    <w:rsid w:val="FEFE6FF1"/>
    <w:rsid w:val="FEFEB632"/>
    <w:rsid w:val="FEFF0715"/>
    <w:rsid w:val="FEFF0E0A"/>
    <w:rsid w:val="FEFF2CA7"/>
    <w:rsid w:val="FEFF5A54"/>
    <w:rsid w:val="FEFF7BDE"/>
    <w:rsid w:val="FEFF94B1"/>
    <w:rsid w:val="FEFFDFB6"/>
    <w:rsid w:val="FF010C0B"/>
    <w:rsid w:val="FF07F6BF"/>
    <w:rsid w:val="FF1F6AEA"/>
    <w:rsid w:val="FF2AC447"/>
    <w:rsid w:val="FF2BB190"/>
    <w:rsid w:val="FF2F3CE7"/>
    <w:rsid w:val="FF334664"/>
    <w:rsid w:val="FF3B9C82"/>
    <w:rsid w:val="FF3D8537"/>
    <w:rsid w:val="FF3E34C2"/>
    <w:rsid w:val="FF3E95C3"/>
    <w:rsid w:val="FF3F2D7A"/>
    <w:rsid w:val="FF3F3027"/>
    <w:rsid w:val="FF3F4342"/>
    <w:rsid w:val="FF3F6A32"/>
    <w:rsid w:val="FF3FD66E"/>
    <w:rsid w:val="FF3FE77B"/>
    <w:rsid w:val="FF425BFC"/>
    <w:rsid w:val="FF57A41D"/>
    <w:rsid w:val="FF57E853"/>
    <w:rsid w:val="FF59094E"/>
    <w:rsid w:val="FF5A342C"/>
    <w:rsid w:val="FF5BA40D"/>
    <w:rsid w:val="FF5BEB3E"/>
    <w:rsid w:val="FF5FB619"/>
    <w:rsid w:val="FF6EDDD4"/>
    <w:rsid w:val="FF71E238"/>
    <w:rsid w:val="FF751E9A"/>
    <w:rsid w:val="FF7604A0"/>
    <w:rsid w:val="FF7700E0"/>
    <w:rsid w:val="FF77A432"/>
    <w:rsid w:val="FF7B2A3C"/>
    <w:rsid w:val="FF7C76D9"/>
    <w:rsid w:val="FF7EC779"/>
    <w:rsid w:val="FF7EF788"/>
    <w:rsid w:val="FF7F07BA"/>
    <w:rsid w:val="FF7F3466"/>
    <w:rsid w:val="FF7F6895"/>
    <w:rsid w:val="FF7FC2A6"/>
    <w:rsid w:val="FF8E9EE6"/>
    <w:rsid w:val="FF974DF5"/>
    <w:rsid w:val="FF979552"/>
    <w:rsid w:val="FF97AB41"/>
    <w:rsid w:val="FF97E0BF"/>
    <w:rsid w:val="FF991852"/>
    <w:rsid w:val="FF9B0177"/>
    <w:rsid w:val="FF9EA67C"/>
    <w:rsid w:val="FF9F7FDE"/>
    <w:rsid w:val="FFA93E1A"/>
    <w:rsid w:val="FFAB027A"/>
    <w:rsid w:val="FFAEBE6E"/>
    <w:rsid w:val="FFAFAB1A"/>
    <w:rsid w:val="FFB1F677"/>
    <w:rsid w:val="FFB2FD80"/>
    <w:rsid w:val="FFB3D367"/>
    <w:rsid w:val="FFB5293D"/>
    <w:rsid w:val="FFB75409"/>
    <w:rsid w:val="FFB7DEE5"/>
    <w:rsid w:val="FFB88C8A"/>
    <w:rsid w:val="FFBADAB9"/>
    <w:rsid w:val="FFBB13AC"/>
    <w:rsid w:val="FFBF3656"/>
    <w:rsid w:val="FFBF3996"/>
    <w:rsid w:val="FFBF6852"/>
    <w:rsid w:val="FFBFD8F8"/>
    <w:rsid w:val="FFBFE913"/>
    <w:rsid w:val="FFBFFDC2"/>
    <w:rsid w:val="FFCD2051"/>
    <w:rsid w:val="FFD5C148"/>
    <w:rsid w:val="FFD694A7"/>
    <w:rsid w:val="FFD70E6C"/>
    <w:rsid w:val="FFD77729"/>
    <w:rsid w:val="FFD78B07"/>
    <w:rsid w:val="FFDA1A55"/>
    <w:rsid w:val="FFDB43E4"/>
    <w:rsid w:val="FFDB74B7"/>
    <w:rsid w:val="FFDBF1F0"/>
    <w:rsid w:val="FFDD0225"/>
    <w:rsid w:val="FFDDCD48"/>
    <w:rsid w:val="FFDEBAFD"/>
    <w:rsid w:val="FFDF1FD5"/>
    <w:rsid w:val="FFDFA72C"/>
    <w:rsid w:val="FFDFC89F"/>
    <w:rsid w:val="FFE29919"/>
    <w:rsid w:val="FFE7118C"/>
    <w:rsid w:val="FFE74037"/>
    <w:rsid w:val="FFE7E55F"/>
    <w:rsid w:val="FFEB2231"/>
    <w:rsid w:val="FFEB2942"/>
    <w:rsid w:val="FFEC29AB"/>
    <w:rsid w:val="FFED0127"/>
    <w:rsid w:val="FFEE3258"/>
    <w:rsid w:val="FFEEE916"/>
    <w:rsid w:val="FFEF82A5"/>
    <w:rsid w:val="FFEF9313"/>
    <w:rsid w:val="FFEFBC52"/>
    <w:rsid w:val="FFF27050"/>
    <w:rsid w:val="FFF2AB15"/>
    <w:rsid w:val="FFF3498D"/>
    <w:rsid w:val="FFF49CA2"/>
    <w:rsid w:val="FFF52F00"/>
    <w:rsid w:val="FFF543DA"/>
    <w:rsid w:val="FFF544E4"/>
    <w:rsid w:val="FFF60AF6"/>
    <w:rsid w:val="FFF6E516"/>
    <w:rsid w:val="FFF721A7"/>
    <w:rsid w:val="FFF7ABB5"/>
    <w:rsid w:val="FFFA1ED7"/>
    <w:rsid w:val="FFFAF878"/>
    <w:rsid w:val="FFFB0BB5"/>
    <w:rsid w:val="FFFB1BB0"/>
    <w:rsid w:val="FFFB301E"/>
    <w:rsid w:val="FFFB5BA5"/>
    <w:rsid w:val="FFFBD1AC"/>
    <w:rsid w:val="FFFDE8E7"/>
    <w:rsid w:val="FFFEB385"/>
    <w:rsid w:val="FFFED94D"/>
    <w:rsid w:val="FFFF0EDB"/>
    <w:rsid w:val="FFFF1F51"/>
    <w:rsid w:val="FFFF35C5"/>
    <w:rsid w:val="FFFF4BBC"/>
    <w:rsid w:val="FFFF6125"/>
    <w:rsid w:val="FFFF7D6F"/>
    <w:rsid w:val="FFFF8B1F"/>
    <w:rsid w:val="FFFFBEDB"/>
    <w:rsid w:val="FFFFDF79"/>
    <w:rsid w:val="FFFFE38B"/>
    <w:rsid w:val="FFFFE82A"/>
    <w:rsid w:val="FFFFE92E"/>
    <w:rsid w:val="FFFFEB36"/>
    <w:rsid w:val="FFFFED62"/>
    <w:rsid w:val="FFFFF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35"/>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34"/>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Times New Roman" w:hAnsi="Times New Roman" w:eastAsia="宋体" w:cs="Times New Roman"/>
    </w:rPr>
  </w:style>
  <w:style w:type="paragraph" w:styleId="6">
    <w:name w:val="toa heading"/>
    <w:basedOn w:val="1"/>
    <w:next w:val="1"/>
    <w:unhideWhenUsed/>
    <w:qFormat/>
    <w:uiPriority w:val="99"/>
    <w:pPr>
      <w:spacing w:before="120" w:beforeLines="0" w:beforeAutospacing="0"/>
    </w:pPr>
    <w:rPr>
      <w:rFonts w:ascii="Arial" w:hAnsi="Arial"/>
      <w:sz w:val="24"/>
    </w:rPr>
  </w:style>
  <w:style w:type="paragraph" w:styleId="7">
    <w:name w:val="Body Text"/>
    <w:basedOn w:val="1"/>
    <w:next w:val="1"/>
    <w:qFormat/>
    <w:uiPriority w:val="0"/>
  </w:style>
  <w:style w:type="paragraph" w:styleId="8">
    <w:name w:val="Body Text Indent"/>
    <w:basedOn w:val="1"/>
    <w:next w:val="9"/>
    <w:qFormat/>
    <w:uiPriority w:val="0"/>
    <w:pPr>
      <w:ind w:firstLine="200" w:firstLineChars="200"/>
    </w:pPr>
    <w:rPr>
      <w:rFonts w:ascii="Times New Roman" w:hAnsi="Times New Roman"/>
      <w:sz w:val="32"/>
    </w:rPr>
  </w:style>
  <w:style w:type="paragraph" w:styleId="9">
    <w:name w:val="Body Text 2"/>
    <w:basedOn w:val="1"/>
    <w:qFormat/>
    <w:uiPriority w:val="0"/>
    <w:pPr>
      <w:spacing w:after="120" w:afterLines="0" w:line="480" w:lineRule="auto"/>
    </w:pPr>
    <w:rPr>
      <w:rFonts w:eastAsia="方正仿宋简体"/>
      <w:szCs w:val="32"/>
    </w:rPr>
  </w:style>
  <w:style w:type="paragraph" w:styleId="10">
    <w:name w:val="toc 5"/>
    <w:basedOn w:val="1"/>
    <w:next w:val="1"/>
    <w:qFormat/>
    <w:uiPriority w:val="0"/>
    <w:pPr>
      <w:ind w:left="1680" w:leftChars="800"/>
    </w:pPr>
  </w:style>
  <w:style w:type="paragraph" w:styleId="11">
    <w:name w:val="Plain Text"/>
    <w:basedOn w:val="1"/>
    <w:next w:val="12"/>
    <w:unhideWhenUsed/>
    <w:qFormat/>
    <w:uiPriority w:val="99"/>
    <w:rPr>
      <w:rFonts w:ascii="宋体" w:hAnsi="Courier New" w:cs="Courier New"/>
      <w:szCs w:val="21"/>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sz w:val="18"/>
    </w:rPr>
  </w:style>
  <w:style w:type="paragraph" w:styleId="13">
    <w:name w:val="Balloon Text"/>
    <w:basedOn w:val="1"/>
    <w:semiHidden/>
    <w:qFormat/>
    <w:uiPriority w:val="0"/>
    <w:rPr>
      <w:rFonts w:ascii="Calibri" w:hAnsi="Calibri" w:eastAsia="宋体" w:cs="Times New Roman"/>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Normal (Web)"/>
    <w:basedOn w:val="1"/>
    <w:qFormat/>
    <w:uiPriority w:val="0"/>
    <w:rPr>
      <w:sz w:val="24"/>
    </w:rPr>
  </w:style>
  <w:style w:type="paragraph" w:styleId="16">
    <w:name w:val="Title"/>
    <w:basedOn w:val="1"/>
    <w:next w:val="1"/>
    <w:qFormat/>
    <w:uiPriority w:val="0"/>
    <w:pPr>
      <w:spacing w:before="240" w:beforeAutospacing="0" w:after="60" w:afterAutospacing="0"/>
      <w:jc w:val="center"/>
      <w:outlineLvl w:val="0"/>
    </w:pPr>
    <w:rPr>
      <w:rFonts w:ascii="Cambria" w:hAnsi="Cambria" w:eastAsia="宋体"/>
      <w:b/>
      <w:bCs/>
    </w:rPr>
  </w:style>
  <w:style w:type="paragraph" w:styleId="17">
    <w:name w:val="Body Text First Indent"/>
    <w:basedOn w:val="7"/>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paragraph" w:customStyle="1" w:styleId="25">
    <w:name w:val="索引 51"/>
    <w:basedOn w:val="1"/>
    <w:next w:val="1"/>
    <w:qFormat/>
    <w:uiPriority w:val="0"/>
    <w:pPr>
      <w:ind w:left="1680"/>
    </w:pPr>
    <w:rPr>
      <w:rFonts w:ascii="Calibri" w:hAnsi="Calibri" w:eastAsia="宋体" w:cs="Times New Roman"/>
      <w:szCs w:val="24"/>
    </w:rPr>
  </w:style>
  <w:style w:type="character" w:customStyle="1" w:styleId="26">
    <w:name w:val="16"/>
    <w:basedOn w:val="20"/>
    <w:qFormat/>
    <w:uiPriority w:val="0"/>
    <w:rPr>
      <w:rFonts w:hint="default" w:ascii="Times New Roman" w:hAnsi="Times New Roman" w:cs="Times New Roman"/>
    </w:rPr>
  </w:style>
  <w:style w:type="character" w:customStyle="1" w:styleId="27">
    <w:name w:val="15"/>
    <w:basedOn w:val="20"/>
    <w:qFormat/>
    <w:uiPriority w:val="0"/>
    <w:rPr>
      <w:rFonts w:hint="default" w:ascii="Times New Roman" w:hAnsi="Times New Roman" w:eastAsia="宋体" w:cs="Times New Roman"/>
      <w:kern w:val="2"/>
      <w:sz w:val="24"/>
      <w:szCs w:val="24"/>
    </w:rPr>
  </w:style>
  <w:style w:type="character" w:customStyle="1" w:styleId="28">
    <w:name w:val="10"/>
    <w:basedOn w:val="20"/>
    <w:qFormat/>
    <w:uiPriority w:val="0"/>
    <w:rPr>
      <w:rFonts w:hint="default" w:ascii="Times New Roman" w:hAnsi="Times New Roman" w:cs="Times New Roman"/>
    </w:rPr>
  </w:style>
  <w:style w:type="paragraph" w:customStyle="1" w:styleId="29">
    <w:name w:val="正文-公1"/>
    <w:basedOn w:val="1"/>
    <w:qFormat/>
    <w:uiPriority w:val="0"/>
    <w:pPr>
      <w:ind w:firstLine="200" w:firstLineChars="200"/>
    </w:pPr>
    <w:rPr>
      <w:rFonts w:eastAsia="仿宋_GB2312"/>
    </w:rPr>
  </w:style>
  <w:style w:type="character" w:customStyle="1" w:styleId="30">
    <w:name w:val="NormalCharacter"/>
    <w:link w:val="31"/>
    <w:qFormat/>
    <w:uiPriority w:val="0"/>
    <w:rPr>
      <w:rFonts w:ascii="Times New Roman" w:hAnsi="Times New Roman"/>
    </w:rPr>
  </w:style>
  <w:style w:type="paragraph" w:customStyle="1" w:styleId="31">
    <w:name w:val="UserStyle_5"/>
    <w:basedOn w:val="1"/>
    <w:link w:val="30"/>
    <w:qFormat/>
    <w:uiPriority w:val="0"/>
    <w:pPr>
      <w:tabs>
        <w:tab w:val="left" w:pos="360"/>
      </w:tabs>
      <w:textAlignment w:val="baseline"/>
    </w:pPr>
    <w:rPr>
      <w:rFonts w:ascii="Times New Roman" w:hAnsi="Times New Roman"/>
    </w:rPr>
  </w:style>
  <w:style w:type="paragraph" w:customStyle="1" w:styleId="32">
    <w:name w:val="UserStyle_3"/>
    <w:basedOn w:val="1"/>
    <w:link w:val="30"/>
    <w:qFormat/>
    <w:uiPriority w:val="0"/>
    <w:pPr>
      <w:widowControl/>
      <w:spacing w:after="160" w:line="240" w:lineRule="exact"/>
      <w:jc w:val="left"/>
      <w:textAlignment w:val="baseline"/>
    </w:pPr>
    <w:rPr>
      <w:rFonts w:eastAsia="宋体"/>
      <w:sz w:val="24"/>
    </w:rPr>
  </w:style>
  <w:style w:type="paragraph" w:customStyle="1" w:styleId="33">
    <w:name w:val="正文（缩进）"/>
    <w:basedOn w:val="1"/>
    <w:next w:val="1"/>
    <w:qFormat/>
    <w:uiPriority w:val="0"/>
    <w:pPr>
      <w:spacing w:line="594" w:lineRule="exact"/>
      <w:ind w:firstLine="482"/>
    </w:pPr>
    <w:rPr>
      <w:rFonts w:eastAsia="方正仿宋_GBK"/>
    </w:rPr>
  </w:style>
  <w:style w:type="character" w:customStyle="1" w:styleId="34">
    <w:name w:val="标题 3 字符"/>
    <w:basedOn w:val="20"/>
    <w:link w:val="4"/>
    <w:qFormat/>
    <w:uiPriority w:val="9"/>
    <w:rPr>
      <w:rFonts w:hint="eastAsia" w:ascii="宋体" w:hAnsi="宋体" w:eastAsia="宋体" w:cs="宋体"/>
      <w:b/>
      <w:bCs/>
      <w:kern w:val="0"/>
      <w:sz w:val="27"/>
      <w:szCs w:val="27"/>
      <w:lang w:val="en-US" w:eastAsia="zh-CN" w:bidi="ar"/>
    </w:rPr>
  </w:style>
  <w:style w:type="character" w:customStyle="1" w:styleId="35">
    <w:name w:val="标题 2 Char"/>
    <w:link w:val="3"/>
    <w:qFormat/>
    <w:uiPriority w:val="0"/>
    <w:rPr>
      <w:rFonts w:hint="eastAsia" w:ascii="宋体" w:hAnsi="宋体" w:eastAsia="宋体" w:cs="宋体"/>
      <w:b/>
      <w:bCs/>
      <w:kern w:val="0"/>
      <w:sz w:val="36"/>
      <w:szCs w:val="36"/>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68eed997-713b-4e22-8300-74a62162daed</errorID>
      <errorWord xmlns="http://schemas.wps.cn/vas-ai-hub/contract-review">。</errorWord>
      <group xmlns="http://schemas.wps.cn/vas-ai-hub/contract-review">L1_Grammar</group>
      <groupName xmlns="http://schemas.wps.cn/vas-ai-hub/contract-review">语法问题</groupName>
      <ability xmlns="http://schemas.wps.cn/vas-ai-hub/contract-review">L2_Collocation</ability>
      <abilityName xmlns="http://schemas.wps.cn/vas-ai-hub/contract-review">搭配不当</abilityName>
      <candidateList xmlns="http://schemas.wps.cn/vas-ai-hub/contract-review">
        <item xmlns="http://schemas.wps.cn/vas-ai-hub/contract-review">强大。</item>
      </candidateList>
      <explain xmlns="http://schemas.wps.cn/vas-ai-hub/contract-review">句子中可能存在主谓、动宾、定语中心语、状语中心语、补语中心语、关联词搭配不当等问题。</explain>
      <paraID xmlns="http://schemas.wps.cn/vas-ai-hub/contract-review">1AB4F906</paraID>
      <start xmlns="http://schemas.wps.cn/vas-ai-hub/contract-review">23</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ec23f1f3-7f0b-445a-b9c8-3b9a4057620a</errorID>
      <errorWord xmlns="http://schemas.wps.cn/vas-ai-hub/contract-review">10—50亿</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10亿—50亿</item>
      </candidateList>
      <explain xmlns="http://schemas.wps.cn/vas-ai-hub/contract-review">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7B8B2AC0</paraID>
      <start xmlns="http://schemas.wps.cn/vas-ai-hub/contract-review">140</start>
      <end xmlns="http://schemas.wps.cn/vas-ai-hub/contract-review">146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b7d8a636-a200-4f47-a5e6-7cec6715073f</errorID>
      <errorWord xmlns="http://schemas.wps.cn/vas-ai-hub/contract-review">多元社会保障体系</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多层次社会保障体系</item>
      </candidateList>
      <explain xmlns="http://schemas.wps.cn/vas-ai-hub/contract-review">词汇“多层次社会保障体系”在特定场景下为固定表述形式，请确认此处的“多元社会保障体系”是否存在不当。</explain>
      <paraID xmlns="http://schemas.wps.cn/vas-ai-hub/contract-review">77AFD23C</paraID>
      <start xmlns="http://schemas.wps.cn/vas-ai-hub/contract-review">134</start>
      <end xmlns="http://schemas.wps.cn/vas-ai-hub/contract-review">142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57354bd1-db79-42f0-9d5a-f412aad5f3ac</errorID>
      <errorWord xmlns="http://schemas.wps.cn/vas-ai-hub/contract-review">思维定势</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思维定式</item>
      </candidateList>
      <explain xmlns="http://schemas.wps.cn/vas-ai-hub/contract-review">词汇[思维定势]为不规范表述或旧称，其规范书面表述为[思维定式]。</explain>
      <paraID xmlns="http://schemas.wps.cn/vas-ai-hub/contract-review">1C0147A5</paraID>
      <start xmlns="http://schemas.wps.cn/vas-ai-hub/contract-review">28</start>
      <end xmlns="http://schemas.wps.cn/vas-ai-hub/contract-review">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2bf1ca3e-bb19-491c-9815-048d3e0d2fc4</errorID>
      <errorWord xmlns="http://schemas.wps.cn/vas-ai-hub/contract-review">、也</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，也</item>
      </candidateList>
      <explain xmlns="http://schemas.wps.cn/vas-ai-hub/contract-review">连接词前后不宜使用顿号，建议使用逗号。</explain>
      <paraID xmlns="http://schemas.wps.cn/vas-ai-hub/contract-review">5350D5EF</paraID>
      <start xmlns="http://schemas.wps.cn/vas-ai-hub/contract-review">32</start>
      <end xmlns="http://schemas.wps.cn/vas-ai-hub/contract-review">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7a04db78-3993-4670-b26f-e1605608f7ff</errorID>
      <errorWord xmlns="http://schemas.wps.cn/vas-ai-hub/contract-review">、也</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，也</item>
      </candidateList>
      <explain xmlns="http://schemas.wps.cn/vas-ai-hub/contract-review">连接词前后不宜使用顿号，建议使用逗号。</explain>
      <paraID xmlns="http://schemas.wps.cn/vas-ai-hub/contract-review">5350D5EF</paraID>
      <start xmlns="http://schemas.wps.cn/vas-ai-hub/contract-review">43</start>
      <end xmlns="http://schemas.wps.cn/vas-ai-hub/contract-review">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df90e41f-9e65-47a0-83a8-43d8628ea4bc</errorID>
      <errorWord xmlns="http://schemas.wps.cn/vas-ai-hub/contract-review">三线一单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“三线一单”</item>
      </candidateList>
      <explain xmlns="http://schemas.wps.cn/vas-ai-hub/contract-review">注意检查当前固定表述标点是否使用规范。</explain>
      <paraID xmlns="http://schemas.wps.cn/vas-ai-hub/contract-review">2A2E9867</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c9fcdc96-18dc-44c6-b403-c1685303f4c0</errorID>
      <errorWord xmlns="http://schemas.wps.cn/vas-ai-hub/contract-review">零”排放</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“零排放”</item>
      </candidateList>
      <explain xmlns="http://schemas.wps.cn/vas-ai-hub/contract-review"/>
      <paraID xmlns="http://schemas.wps.cn/vas-ai-hub/contract-review">71B5CE83</paraID>
      <start xmlns="http://schemas.wps.cn/vas-ai-hub/contract-review">36</start>
      <end xmlns="http://schemas.wps.cn/vas-ai-hub/contract-review">40</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742d1eb9-3e6a-4afa-b4ab-8d6271c8eb64}">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22763</Words>
  <Characters>23589</Characters>
  <Lines>1</Lines>
  <Paragraphs>1</Paragraphs>
  <TotalTime>20</TotalTime>
  <ScaleCrop>false</ScaleCrop>
  <LinksUpToDate>false</LinksUpToDate>
  <CharactersWithSpaces>23596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2025-11-12T14:58:00Z</dcterms:created>
  <dc:creator>A缺氧乖张</dc:creator>
  <cp:lastModifiedBy>A缺氧乖张</cp:lastModifiedBy>
  <cp:lastPrinted>2026-01-12T22:41:00Z</cp:lastPrinted>
  <dcterms:modified xsi:type="dcterms:W3CDTF">2026-03-02T03:49:48Z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53485C7EA96645409A4AA1052460E8CC_13</vt:lpwstr>
  </property>
  <property fmtid="{D5CDD505-2E9C-101B-9397-08002B2CF9AE}" pid="4" name="KSOTemplateDocerSaveRecord">
    <vt:lpwstr>eyJoZGlkIjoiMGFmNWNkZmM1NWY1NjEzYzFmNmQxYWU5NjliNzg2NTMiLCJ1c2VySWQiOiIzMDE2MjQxOTAifQ==</vt:lpwstr>
  </property>
</Properties>
</file>