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default" w:ascii="Times New Roman" w:hAnsi="Times New Roman" w:eastAsia="方正小标宋_GBK" w:cs="Times New Roman"/>
          <w:snapToGrid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default" w:ascii="Times New Roman" w:hAnsi="Times New Roman" w:eastAsia="方正小标宋_GBK" w:cs="Times New Roman"/>
          <w:snapToGrid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napToGrid w:val="0"/>
          <w:sz w:val="44"/>
          <w:szCs w:val="44"/>
          <w:lang w:eastAsia="zh-CN"/>
        </w:rPr>
      </w:pPr>
      <w:r>
        <w:rPr>
          <w:rFonts w:hint="default" w:ascii="Times New Roman" w:hAnsi="Times New Roman" w:eastAsia="方正小标宋_GBK" w:cs="Times New Roman"/>
          <w:snapToGrid w:val="0"/>
          <w:sz w:val="44"/>
          <w:szCs w:val="44"/>
          <w:lang w:eastAsia="zh-CN"/>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napToGrid w:val="0"/>
          <w:sz w:val="44"/>
          <w:szCs w:val="44"/>
          <w:lang w:eastAsia="zh-CN"/>
        </w:rPr>
      </w:pPr>
      <w:r>
        <w:rPr>
          <w:rFonts w:hint="default" w:ascii="Times New Roman" w:hAnsi="Times New Roman" w:eastAsia="方正小标宋_GBK" w:cs="Times New Roman"/>
          <w:snapToGrid w:val="0"/>
          <w:sz w:val="44"/>
          <w:szCs w:val="44"/>
          <w:lang w:eastAsia="zh-CN"/>
        </w:rPr>
        <w:t>关于印发《</w:t>
      </w:r>
      <w:r>
        <w:rPr>
          <w:rFonts w:hint="default" w:ascii="Times New Roman" w:hAnsi="Times New Roman" w:eastAsia="方正小标宋_GBK" w:cs="Times New Roman"/>
          <w:snapToGrid w:val="0"/>
          <w:sz w:val="44"/>
          <w:szCs w:val="44"/>
          <w:lang w:val="en-US" w:eastAsia="zh-CN"/>
        </w:rPr>
        <w:t>铜梁区废弃农膜回收利用管理办法（试行</w:t>
      </w:r>
      <w:r>
        <w:rPr>
          <w:rFonts w:hint="default" w:ascii="Times New Roman" w:hAnsi="Times New Roman" w:eastAsia="方正小标宋_GBK" w:cs="Times New Roman"/>
          <w:snapToGrid w:val="0"/>
          <w:sz w:val="44"/>
          <w:szCs w:val="44"/>
          <w:lang w:val="en-US" w:eastAsia="zh-CN"/>
        </w:rPr>
        <w:t>）</w:t>
      </w:r>
      <w:r>
        <w:rPr>
          <w:rFonts w:hint="default" w:ascii="Times New Roman" w:hAnsi="Times New Roman" w:eastAsia="方正小标宋_GBK" w:cs="Times New Roman"/>
          <w:snapToGrid w:val="0"/>
          <w:sz w:val="44"/>
          <w:szCs w:val="44"/>
          <w:lang w:eastAsia="zh-CN"/>
        </w:rPr>
        <w:t>》的通知</w:t>
      </w:r>
    </w:p>
    <w:p>
      <w:pPr>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铜府办发〔2024〕</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号</w:t>
      </w:r>
    </w:p>
    <w:p>
      <w:pPr>
        <w:ind w:firstLine="420" w:firstLineChars="200"/>
        <w:rPr>
          <w:rFonts w:hint="default" w:ascii="Times New Roman" w:hAnsi="Times New Roman" w:cs="Times New Roman"/>
          <w:snapToGrid w:val="0"/>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lang w:val="en-US"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lang w:val="en-US" w:eastAsia="zh-CN"/>
        </w:rPr>
        <w:t>《铜梁区废弃农膜回收利用管理办法（试行）》已经区</w:t>
      </w:r>
      <w:r>
        <w:rPr>
          <w:rFonts w:hint="default" w:ascii="Times New Roman" w:hAnsi="Times New Roman" w:eastAsia="方正仿宋_GBK" w:cs="Times New Roman"/>
          <w:snapToGrid w:val="0"/>
          <w:sz w:val="32"/>
          <w:szCs w:val="32"/>
        </w:rPr>
        <w:t>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2024年</w:t>
      </w:r>
      <w:r>
        <w:rPr>
          <w:rFonts w:hint="default" w:ascii="Times New Roman" w:hAnsi="Times New Roman" w:eastAsia="方正仿宋_GBK" w:cs="Times New Roman"/>
          <w:snapToGrid w:val="0"/>
          <w:sz w:val="32"/>
          <w:szCs w:val="32"/>
          <w:lang w:val="en-US" w:eastAsia="zh-CN"/>
        </w:rPr>
        <w:t>11</w:t>
      </w:r>
      <w:r>
        <w:rPr>
          <w:rFonts w:hint="default" w:ascii="Times New Roman" w:hAnsi="Times New Roman" w:eastAsia="方正仿宋_GBK" w:cs="Times New Roman"/>
          <w:snapToGrid w:val="0"/>
          <w:sz w:val="32"/>
          <w:szCs w:val="32"/>
        </w:rPr>
        <w:t>月</w:t>
      </w:r>
      <w:r>
        <w:rPr>
          <w:rFonts w:hint="default" w:ascii="Times New Roman" w:hAnsi="Times New Roman" w:eastAsia="方正仿宋_GBK" w:cs="Times New Roman"/>
          <w:snapToGrid w:val="0"/>
          <w:sz w:val="32"/>
          <w:szCs w:val="32"/>
          <w:lang w:val="en-US" w:eastAsia="zh-CN"/>
        </w:rPr>
        <w:t>27</w:t>
      </w:r>
      <w:r>
        <w:rPr>
          <w:rFonts w:hint="default" w:ascii="Times New Roman" w:hAnsi="Times New Roman" w:eastAsia="方正仿宋_GBK" w:cs="Times New Roman"/>
          <w:snapToGrid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铜梁区废弃农膜回收利用管理办法（试行）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第一条</w:t>
      </w:r>
      <w:r>
        <w:rPr>
          <w:rFonts w:hint="default" w:ascii="Times New Roman" w:hAnsi="Times New Roman" w:eastAsia="方正仿宋_GBK" w:cs="Times New Roman"/>
          <w:snapToGrid w:val="0"/>
          <w:sz w:val="32"/>
          <w:szCs w:val="32"/>
          <w:lang w:val="en-US" w:eastAsia="zh-CN"/>
        </w:rPr>
        <w:t xml:space="preserve">  为切实减少农业面源污染，保护农业生态环境，促进农业可持续发展，加快推进全区废弃农膜回收利用工作，根据《中华人民共和国土壤污染防治法》和《重庆市人民政府办公厅关于印发重庆市废弃农膜回收利用管理办法（试行）的通知》（渝府办发〔2019〕57号）等精神，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第二条</w:t>
      </w:r>
      <w:r>
        <w:rPr>
          <w:rFonts w:hint="default" w:ascii="Times New Roman" w:hAnsi="Times New Roman" w:eastAsia="方正仿宋_GBK" w:cs="Times New Roman"/>
          <w:snapToGrid w:val="0"/>
          <w:sz w:val="32"/>
          <w:szCs w:val="32"/>
          <w:lang w:val="en-US" w:eastAsia="zh-CN"/>
        </w:rPr>
        <w:t xml:space="preserve">  在本区行政区域内从事废弃农膜回收利用活动并享受财政资金补助的企业，应当遵守本办法。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第三条</w:t>
      </w:r>
      <w:r>
        <w:rPr>
          <w:rFonts w:hint="default" w:ascii="Times New Roman" w:hAnsi="Times New Roman" w:eastAsia="方正仿宋_GBK" w:cs="Times New Roman"/>
          <w:snapToGrid w:val="0"/>
          <w:sz w:val="32"/>
          <w:szCs w:val="32"/>
          <w:lang w:val="en-US" w:eastAsia="zh-CN"/>
        </w:rPr>
        <w:t xml:space="preserve">  废弃农膜是指废弃农用地膜（含烟草种植用膜）和农用棚膜，以及种子、肥料、饲料塑料包装袋，聚乙烯育秧盆、营养杯、聚乙烯滴灌管、水带等。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第四条</w:t>
      </w:r>
      <w:r>
        <w:rPr>
          <w:rFonts w:hint="default" w:ascii="Times New Roman" w:hAnsi="Times New Roman" w:eastAsia="方正仿宋_GBK" w:cs="Times New Roman"/>
          <w:snapToGrid w:val="0"/>
          <w:sz w:val="32"/>
          <w:szCs w:val="32"/>
          <w:lang w:val="en-US" w:eastAsia="zh-CN"/>
        </w:rPr>
        <w:t xml:space="preserve">  废弃农膜回收利用遵循“政府主导、市场运作、企业主体、公众参与、以奖代补”的原则。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第五条</w:t>
      </w:r>
      <w:r>
        <w:rPr>
          <w:rFonts w:hint="default" w:ascii="Times New Roman" w:hAnsi="Times New Roman" w:eastAsia="方正仿宋_GBK" w:cs="Times New Roman"/>
          <w:snapToGrid w:val="0"/>
          <w:sz w:val="32"/>
          <w:szCs w:val="32"/>
          <w:lang w:val="en-US" w:eastAsia="zh-CN"/>
        </w:rPr>
        <w:t xml:space="preserve">  当年废弃农膜回收利用目标任务，以调查实际使用量为基础，按照回收利用使用率测算任务量报市级相关部门，最终以市级相关部门下达的任务量为准。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pacing w:val="11"/>
          <w:sz w:val="32"/>
          <w:szCs w:val="32"/>
          <w:lang w:val="en-US" w:eastAsia="zh-CN"/>
        </w:rPr>
      </w:pPr>
      <w:r>
        <w:rPr>
          <w:rFonts w:hint="eastAsia" w:ascii="方正黑体_GBK" w:hAnsi="方正黑体_GBK" w:eastAsia="方正黑体_GBK" w:cs="方正黑体_GBK"/>
          <w:snapToGrid w:val="0"/>
          <w:sz w:val="32"/>
          <w:szCs w:val="32"/>
          <w:lang w:val="en-US" w:eastAsia="zh-CN"/>
        </w:rPr>
        <w:t>第六条</w:t>
      </w:r>
      <w:r>
        <w:rPr>
          <w:rFonts w:hint="default" w:ascii="Times New Roman" w:hAnsi="Times New Roman" w:eastAsia="方正仿宋_GBK" w:cs="Times New Roman"/>
          <w:snapToGrid w:val="0"/>
          <w:sz w:val="32"/>
          <w:szCs w:val="32"/>
          <w:lang w:val="en-US" w:eastAsia="zh-CN"/>
        </w:rPr>
        <w:t xml:space="preserve">  区级财政做好废弃农膜回收利用所需经费资金保障；各镇街应</w:t>
      </w:r>
      <w:r>
        <w:rPr>
          <w:rFonts w:hint="default" w:ascii="Times New Roman" w:hAnsi="Times New Roman" w:eastAsia="方正仿宋_GBK" w:cs="Times New Roman"/>
          <w:snapToGrid w:val="0"/>
          <w:spacing w:val="11"/>
          <w:sz w:val="32"/>
          <w:szCs w:val="32"/>
          <w:lang w:val="en-US" w:eastAsia="zh-CN"/>
        </w:rPr>
        <w:t>当加强对废弃农膜回收利用工作的组织、领导和协调。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第七条</w:t>
      </w:r>
      <w:r>
        <w:rPr>
          <w:rFonts w:hint="default" w:ascii="Times New Roman" w:hAnsi="Times New Roman" w:eastAsia="方正仿宋_GBK" w:cs="Times New Roman"/>
          <w:snapToGrid w:val="0"/>
          <w:sz w:val="32"/>
          <w:szCs w:val="32"/>
          <w:lang w:val="en-US" w:eastAsia="zh-CN"/>
        </w:rPr>
        <w:t xml:space="preserve">  区供销联社会同区级有关部门按照职责分工，共同做好全区废弃农膜回收利用工作。各镇街做好本行政区域的废弃农膜回收利用工作。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供销联社负责指导各镇街废弃农膜回收利用网络体系建设和废弃农膜回收、贮运及加工利用，加强农膜应用和残留污染基础数据统计，对各镇街及回收网点下达回收利用年度目标任务，督促、收集、报送、通报废弃农膜回收利用实施进展情况，组织对回收利用推广任务完成情况开展督查和绩效评估，加强区级有关部门间工作协调配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区农业农村委、区科技局、区烟草专卖局负责引导农户（含烟农）和各类新型农业经营主体科学使用农膜，并及时捡拾交售所产生的废弃农膜，严禁随意弃置、掩埋或焚烧。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区市场监管局、区公安局、区农业农村委、区经济信息委负责加大农膜市场监管与执法力度，禁止生产销售不符合国家标准、行业标准的农用地膜和棚膜，依法查处违法生产销售不合格农膜行为。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区生态环境局负责监督指导废弃农膜利用加工企业建设。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区财政局会同区供销联社负责资金预算管理，组织资金预算编制和执行，按程序核拨资金，开展资金绩效管理和财政资金监督检查等。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区发展改革委、区科技局、区生态环境局、区农业农村委配合区供销联社开展废弃农膜回收利用监督检查等工作。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第八条</w:t>
      </w:r>
      <w:r>
        <w:rPr>
          <w:rFonts w:hint="default" w:ascii="Times New Roman" w:hAnsi="Times New Roman" w:eastAsia="方正仿宋_GBK" w:cs="Times New Roman"/>
          <w:snapToGrid w:val="0"/>
          <w:sz w:val="32"/>
          <w:szCs w:val="32"/>
          <w:lang w:val="en-US" w:eastAsia="zh-CN"/>
        </w:rPr>
        <w:t xml:space="preserve">  各镇街按照辖区负责制的原则，利用挂图、视频、科普读物，通过村组干部会、群众大会、院坝会以及电视、广播、微信、公众号等形式，进村入户对废弃农膜污染危害进行深入宣传，提高公众对废弃农膜回收利用的意识和能力；积极引导、督促农户和农业经营主体及时捡拾交售废弃农膜，严禁随意丢弃、掩埋或焚烧；推广加厚和可降解地膜，普及土壤污染防治相关知识，营造废弃农膜回收利用浓厚氛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第二章  回收利用体系建设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第九条</w:t>
      </w:r>
      <w:r>
        <w:rPr>
          <w:rFonts w:hint="default" w:ascii="Times New Roman" w:hAnsi="Times New Roman" w:eastAsia="方正仿宋_GBK" w:cs="Times New Roman"/>
          <w:snapToGrid w:val="0"/>
          <w:sz w:val="32"/>
          <w:szCs w:val="32"/>
          <w:lang w:val="en-US" w:eastAsia="zh-CN"/>
        </w:rPr>
        <w:t xml:space="preserve">  建立“村、镇（街道）回收转运—区集中分拣贮运—区域性加工”模式，构建销售、回收、利用、推广为一体的废弃农膜回收利用网络体系。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第十条</w:t>
      </w:r>
      <w:r>
        <w:rPr>
          <w:rFonts w:hint="default" w:ascii="Times New Roman" w:hAnsi="Times New Roman" w:eastAsia="方正仿宋_GBK" w:cs="Times New Roman"/>
          <w:snapToGrid w:val="0"/>
          <w:sz w:val="32"/>
          <w:szCs w:val="32"/>
          <w:lang w:val="en-US" w:eastAsia="zh-CN"/>
        </w:rPr>
        <w:t xml:space="preserve">  废弃农膜回收网点和贮运中心布局，应与农资经营、庄稼医院、农村社区综合服务社、场镇再生资源回收网点相结合。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第十一条</w:t>
      </w:r>
      <w:r>
        <w:rPr>
          <w:rFonts w:hint="default" w:ascii="Times New Roman" w:hAnsi="Times New Roman" w:eastAsia="方正仿宋_GBK" w:cs="Times New Roman"/>
          <w:snapToGrid w:val="0"/>
          <w:sz w:val="32"/>
          <w:szCs w:val="32"/>
          <w:lang w:val="en-US" w:eastAsia="zh-CN"/>
        </w:rPr>
        <w:t xml:space="preserve">  废弃农膜回收采取现金收购、以旧换新、以物易物等方式。做到明码标价，回收标准制度上墙，开收据建台账，店面整洁、堆放规范、及时转运。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第十二条</w:t>
      </w:r>
      <w:r>
        <w:rPr>
          <w:rFonts w:hint="default" w:ascii="Times New Roman" w:hAnsi="Times New Roman" w:eastAsia="方正仿宋_GBK" w:cs="Times New Roman"/>
          <w:snapToGrid w:val="0"/>
          <w:sz w:val="32"/>
          <w:szCs w:val="32"/>
          <w:lang w:val="en-US" w:eastAsia="zh-CN"/>
        </w:rPr>
        <w:t xml:space="preserve">  各镇（街道）、村（涉农社区）落实专人督导废弃农膜回收工作。村（涉农社区）督导员与镇（街道）签订包片回收责任书，经考核合格的村（涉农社区），按每村每年1200元的标准享受财政资金补助。安排村（涉农社区）督导员时，应首先安排能够胜任工作的脱贫人口（含监测对象）或村保洁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第十三条</w:t>
      </w:r>
      <w:r>
        <w:rPr>
          <w:rFonts w:hint="default" w:ascii="Times New Roman" w:hAnsi="Times New Roman" w:eastAsia="方正仿宋_GBK" w:cs="Times New Roman"/>
          <w:snapToGrid w:val="0"/>
          <w:sz w:val="32"/>
          <w:szCs w:val="32"/>
          <w:lang w:val="en-US" w:eastAsia="zh-CN"/>
        </w:rPr>
        <w:t xml:space="preserve">  本着节约运输费用和价格优先原则，废弃农膜利用加工采取就近按区域集中加工。鼓励新建加工企业，避免二次污染。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第十四条</w:t>
      </w:r>
      <w:r>
        <w:rPr>
          <w:rFonts w:hint="default" w:ascii="Times New Roman" w:hAnsi="Times New Roman" w:eastAsia="方正仿宋_GBK" w:cs="Times New Roman"/>
          <w:snapToGrid w:val="0"/>
          <w:sz w:val="32"/>
          <w:szCs w:val="32"/>
          <w:lang w:val="en-US" w:eastAsia="zh-CN"/>
        </w:rPr>
        <w:t xml:space="preserve">  回收加工企业由区废弃农膜回收利用牵头部门依法依规、公平竞争选择确定，并报市供销合作社备案。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第十五条</w:t>
      </w:r>
      <w:r>
        <w:rPr>
          <w:rFonts w:hint="default" w:ascii="Times New Roman" w:hAnsi="Times New Roman" w:eastAsia="方正仿宋_GBK" w:cs="Times New Roman"/>
          <w:snapToGrid w:val="0"/>
          <w:sz w:val="32"/>
          <w:szCs w:val="32"/>
          <w:lang w:val="en-US" w:eastAsia="zh-CN"/>
        </w:rPr>
        <w:t xml:space="preserve">  回收企业应具备以下基本条件：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（一）在区内具备合法再生资源回收经营资格及独立承担民事责任的能力；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（二）在本区域内有较为完善的回收网络；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（三）具有完善的企业管理制度；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（四）具备与回收规模相适应的分拣贮运能力；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（五）近3年内未被列入严重违法失信企业名单；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（六）法律法规规章规定的其他条件。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第十六条  加工企业应具备以下基本条件：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（一）在区内具备合法塑料加工经营资格及独立承担民事责任的能力；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（二）取得本区排放污染物许可证资质；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（三）具有完善的生产、安全、仓储管理制度；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（四）年加工能力至少能满足我区的回收量；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（五）近3年内未被列入严重违法失信企业名单；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napToGrid w:val="0"/>
          <w:sz w:val="32"/>
          <w:szCs w:val="32"/>
          <w:lang w:val="en-US" w:eastAsia="zh-CN"/>
        </w:rPr>
      </w:pPr>
      <w:r>
        <w:rPr>
          <w:rFonts w:hint="eastAsia" w:ascii="方正仿宋_GBK" w:hAnsi="方正仿宋_GBK" w:eastAsia="方正仿宋_GBK" w:cs="方正仿宋_GBK"/>
          <w:snapToGrid w:val="0"/>
          <w:sz w:val="32"/>
          <w:szCs w:val="32"/>
          <w:lang w:val="en-US" w:eastAsia="zh-CN"/>
        </w:rPr>
        <w:t>（六）法律法规规章规定的其他条件。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第十七条</w:t>
      </w:r>
      <w:r>
        <w:rPr>
          <w:rFonts w:hint="default" w:ascii="Times New Roman" w:hAnsi="Times New Roman" w:eastAsia="方正仿宋_GBK" w:cs="Times New Roman"/>
          <w:snapToGrid w:val="0"/>
          <w:sz w:val="32"/>
          <w:szCs w:val="32"/>
          <w:lang w:val="en-US" w:eastAsia="zh-CN"/>
        </w:rPr>
        <w:t xml:space="preserve">  回收加工企业应履行以下义务：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（一）诚信守法经营，财务制度健全、账务处理规范；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（二）根据承担的任务量，制定回收加工细化实施方案；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（三）公平交易，不得故意压低收购价格，无正当理由不得拒收；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（四）按时报送进度和台账，做到账账相符、账实相符；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（五）建立健全回收加工档案资料和佐证材料，保存期不低于5年；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（六）积极配合验收，主动提供相关台账单据、证明材料等。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第十八条</w:t>
      </w:r>
      <w:r>
        <w:rPr>
          <w:rFonts w:hint="default" w:ascii="Times New Roman" w:hAnsi="Times New Roman" w:eastAsia="方正仿宋_GBK" w:cs="Times New Roman"/>
          <w:snapToGrid w:val="0"/>
          <w:sz w:val="32"/>
          <w:szCs w:val="32"/>
          <w:lang w:val="en-US" w:eastAsia="zh-CN"/>
        </w:rPr>
        <w:t xml:space="preserve">  回收加工企业与区废弃农膜回收利用牵头部门签订回收加工协议，约定年度目标任务量、推进进度、验收、资金补助标准、违约责任等事项。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第十九条</w:t>
      </w:r>
      <w:r>
        <w:rPr>
          <w:rFonts w:hint="default" w:ascii="Times New Roman" w:hAnsi="Times New Roman" w:eastAsia="方正仿宋_GBK" w:cs="Times New Roman"/>
          <w:snapToGrid w:val="0"/>
          <w:sz w:val="32"/>
          <w:szCs w:val="32"/>
          <w:lang w:val="en-US" w:eastAsia="zh-CN"/>
        </w:rPr>
        <w:t xml:space="preserve">  废弃农膜回收利用实行台账管理和月报、季通报制度。回收企业于每月20日前向区供销联社报送进度报表，区供销联社汇总后于当月22日前报市供销合作社；每季度结束后10个工作日内，区供销联社向区生态环境局、区农业农村委和各镇（街道）通报全区进度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第二十条</w:t>
      </w:r>
      <w:r>
        <w:rPr>
          <w:rFonts w:hint="default" w:ascii="Times New Roman" w:hAnsi="Times New Roman" w:eastAsia="方正仿宋_GBK" w:cs="Times New Roman"/>
          <w:snapToGrid w:val="0"/>
          <w:sz w:val="32"/>
          <w:szCs w:val="32"/>
          <w:lang w:val="en-US" w:eastAsia="zh-CN"/>
        </w:rPr>
        <w:t xml:space="preserve">  建立区、镇（街道）废弃农膜回收利用目标责任制、市场交易结算制、回收加工可溯源制等，促进回收利用制度化、规范化。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第二十一条</w:t>
      </w:r>
      <w:r>
        <w:rPr>
          <w:rFonts w:hint="default" w:ascii="Times New Roman" w:hAnsi="Times New Roman" w:eastAsia="方正仿宋_GBK" w:cs="Times New Roman"/>
          <w:snapToGrid w:val="0"/>
          <w:sz w:val="32"/>
          <w:szCs w:val="32"/>
          <w:lang w:val="en-US" w:eastAsia="zh-CN"/>
        </w:rPr>
        <w:t xml:space="preserve">  各镇（街道）要组织不定期检查，区供销联社每季度会同区级有关部门组成联合工作组对目标任务完成情况开展督查。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第二十二条</w:t>
      </w:r>
      <w:r>
        <w:rPr>
          <w:rFonts w:hint="default" w:ascii="Times New Roman" w:hAnsi="Times New Roman" w:eastAsia="方正仿宋_GBK" w:cs="Times New Roman"/>
          <w:snapToGrid w:val="0"/>
          <w:sz w:val="32"/>
          <w:szCs w:val="32"/>
          <w:lang w:val="en-US" w:eastAsia="zh-CN"/>
        </w:rPr>
        <w:t xml:space="preserve">  将各类新型农业经营主体依法依规及时捡拾交售其生产过程中所产生的废弃农膜，作为安排农业项目资金的必要条件之一。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第二十三条</w:t>
      </w:r>
      <w:r>
        <w:rPr>
          <w:rFonts w:hint="default" w:ascii="Times New Roman" w:hAnsi="Times New Roman" w:eastAsia="方正仿宋_GBK" w:cs="Times New Roman"/>
          <w:snapToGrid w:val="0"/>
          <w:sz w:val="32"/>
          <w:szCs w:val="32"/>
          <w:lang w:val="en-US" w:eastAsia="zh-CN"/>
        </w:rPr>
        <w:t xml:space="preserve">  废弃农膜回收加工企业依法纳入“信用重庆”体系。规范回收交易结算程序，防止伪造台账、虚报数量和回收区外废弃农膜骗取财政补助资金。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第二十四条</w:t>
      </w:r>
      <w:r>
        <w:rPr>
          <w:rFonts w:hint="default" w:ascii="Times New Roman" w:hAnsi="Times New Roman" w:eastAsia="方正仿宋_GBK" w:cs="Times New Roman"/>
          <w:snapToGrid w:val="0"/>
          <w:sz w:val="32"/>
          <w:szCs w:val="32"/>
          <w:lang w:val="en-US" w:eastAsia="zh-CN"/>
        </w:rPr>
        <w:t xml:space="preserve">  加强农用地膜应用和残留污染的基础数据管理，建立地膜污染监测网络，开展地膜残留调查和回收利用率测算，构建底数清楚、可溯源的大数据综合管理平台。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第四章  资金政策支持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第二十五条</w:t>
      </w:r>
      <w:r>
        <w:rPr>
          <w:rFonts w:hint="default" w:ascii="Times New Roman" w:hAnsi="Times New Roman" w:eastAsia="方正仿宋_GBK" w:cs="Times New Roman"/>
          <w:snapToGrid w:val="0"/>
          <w:sz w:val="32"/>
          <w:szCs w:val="32"/>
          <w:lang w:val="en-US" w:eastAsia="zh-CN"/>
        </w:rPr>
        <w:t xml:space="preserve">  市级财政资金主要补助回收企业回收网点、贮运中心建设，劳务、运输、村（涉农社区）督导员费用，加工企业环保排放（技改）、基础设施建设，推广加厚、可降解地膜等；区级财政资金主要补助废弃农膜回收利用宣传培训等；镇街财政资金主要用于补充宣传、村（涉农社区）督导员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第二十六条</w:t>
      </w:r>
      <w:r>
        <w:rPr>
          <w:rFonts w:hint="default" w:ascii="Times New Roman" w:hAnsi="Times New Roman" w:eastAsia="方正仿宋_GBK" w:cs="Times New Roman"/>
          <w:snapToGrid w:val="0"/>
          <w:sz w:val="32"/>
          <w:szCs w:val="32"/>
          <w:lang w:val="en-US" w:eastAsia="zh-CN"/>
        </w:rPr>
        <w:t xml:space="preserve">  将废弃农膜回收利用纳入循环经济规划，由区级有关部门在项目建设、回收利用技术研发和推广方面给予资金支持。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第二十七条</w:t>
      </w:r>
      <w:r>
        <w:rPr>
          <w:rFonts w:hint="default" w:ascii="Times New Roman" w:hAnsi="Times New Roman" w:eastAsia="方正仿宋_GBK" w:cs="Times New Roman"/>
          <w:snapToGrid w:val="0"/>
          <w:sz w:val="32"/>
          <w:szCs w:val="32"/>
          <w:lang w:val="en-US" w:eastAsia="zh-CN"/>
        </w:rPr>
        <w:t xml:space="preserve">  区废弃农膜回收利用牵头部门会同有关部门研究制定落实支持用地、用电、用水、信贷等优惠政策，扶持从事废弃农膜再利用企业；依法依规落实国家环境保护、资源综合利用方面的税收优惠政策。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 xml:space="preserve"> 法律责任</w:t>
      </w:r>
    </w:p>
    <w:p>
      <w:pPr>
        <w:pStyle w:val="2"/>
        <w:numPr>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第二十八条</w:t>
      </w:r>
      <w:r>
        <w:rPr>
          <w:rFonts w:hint="default" w:ascii="Times New Roman" w:hAnsi="Times New Roman" w:eastAsia="方正仿宋_GBK" w:cs="Times New Roman"/>
          <w:snapToGrid w:val="0"/>
          <w:sz w:val="32"/>
          <w:szCs w:val="32"/>
          <w:lang w:val="en-US" w:eastAsia="zh-CN"/>
        </w:rPr>
        <w:t xml:space="preserve">  回收加工企业有下列情形之一的，由区供销联社会同有关部门取消其回收资格、扣减补助资金，并承担相应的法律责任：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（一）无正当理由拒收废弃农膜和故意压低收购价格的；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（二）台账、账务档案、佐证材料不健全的；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（三）伪造台账报送虚假数据，与事实不符的；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（四）回收加工区外废弃农膜套取财政补助资金的；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pacing w:val="-11"/>
          <w:sz w:val="32"/>
          <w:szCs w:val="32"/>
          <w:lang w:val="en-US" w:eastAsia="zh-CN"/>
        </w:rPr>
      </w:pPr>
      <w:r>
        <w:rPr>
          <w:rFonts w:hint="default" w:ascii="Times New Roman" w:hAnsi="Times New Roman" w:eastAsia="方正仿宋_GBK" w:cs="Times New Roman"/>
          <w:snapToGrid w:val="0"/>
          <w:sz w:val="32"/>
          <w:szCs w:val="32"/>
          <w:lang w:val="en-US" w:eastAsia="zh-CN"/>
        </w:rPr>
        <w:t>（五）恶意</w:t>
      </w:r>
      <w:r>
        <w:rPr>
          <w:rFonts w:hint="default" w:ascii="Times New Roman" w:hAnsi="Times New Roman" w:eastAsia="方正仿宋_GBK" w:cs="Times New Roman"/>
          <w:snapToGrid w:val="0"/>
          <w:spacing w:val="-11"/>
          <w:sz w:val="32"/>
          <w:szCs w:val="32"/>
          <w:lang w:val="en-US" w:eastAsia="zh-CN"/>
        </w:rPr>
        <w:t>串通第三方机构出具虚假报告骗取财政补助资金的。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第二十九条</w:t>
      </w:r>
      <w:r>
        <w:rPr>
          <w:rFonts w:hint="default" w:ascii="Times New Roman" w:hAnsi="Times New Roman" w:eastAsia="方正仿宋_GBK" w:cs="Times New Roman"/>
          <w:snapToGrid w:val="0"/>
          <w:sz w:val="32"/>
          <w:szCs w:val="32"/>
          <w:lang w:val="en-US" w:eastAsia="zh-CN"/>
        </w:rPr>
        <w:t xml:space="preserve">  负责废弃农膜财政资金管理的部门、单位及工作人员，在资金分配、审批、拨付、管理中存在违法违纪行为的，按照“谁审批、谁负责”的原则，依照相关法律法规规定严肃追责。具体使用补助资金的单位、组织或个人存在骗取、截留、挪用等行为的，由主管部门会同财政部门追回补助资金；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 xml:space="preserve">  附  则</w:t>
      </w:r>
    </w:p>
    <w:p>
      <w:pPr>
        <w:pStyle w:val="2"/>
        <w:numPr>
          <w:numId w:val="0"/>
        </w:numPr>
        <w:ind w:left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0" w:name="_GoBack"/>
      <w:r>
        <w:rPr>
          <w:rFonts w:hint="eastAsia" w:ascii="方正黑体_GBK" w:hAnsi="方正黑体_GBK" w:eastAsia="方正黑体_GBK" w:cs="方正黑体_GBK"/>
          <w:snapToGrid w:val="0"/>
          <w:sz w:val="32"/>
          <w:szCs w:val="32"/>
          <w:lang w:val="en-US" w:eastAsia="zh-CN"/>
        </w:rPr>
        <w:t>第三十条</w:t>
      </w:r>
      <w:bookmarkEnd w:id="0"/>
      <w:r>
        <w:rPr>
          <w:rFonts w:hint="default" w:ascii="Times New Roman" w:hAnsi="Times New Roman" w:eastAsia="方正仿宋_GBK" w:cs="Times New Roman"/>
          <w:snapToGrid w:val="0"/>
          <w:sz w:val="32"/>
          <w:szCs w:val="32"/>
          <w:lang w:val="en-US" w:eastAsia="zh-CN"/>
        </w:rPr>
        <w:t xml:space="preserve">  本办法自印发之日起施行。原《重庆市铜梁区人民政府办公室关于印发铜梁区废弃农膜回收利用管理办法（试行）的通知》（铜府办〔2019〕68号）同时废止。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sectPr>
      <w:headerReference r:id="rId3" w:type="default"/>
      <w:footerReference r:id="rId4" w:type="default"/>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26599"/>
    <w:multiLevelType w:val="singleLevel"/>
    <w:tmpl w:val="24D26599"/>
    <w:lvl w:ilvl="0" w:tentative="0">
      <w:start w:val="5"/>
      <w:numFmt w:val="chineseCounting"/>
      <w:suff w:val="space"/>
      <w:lvlText w:val="第%1章"/>
      <w:lvlJc w:val="left"/>
      <w:rPr>
        <w:rFonts w:hint="eastAsia"/>
      </w:rPr>
    </w:lvl>
  </w:abstractNum>
  <w:abstractNum w:abstractNumId="1">
    <w:nsid w:val="50CD1844"/>
    <w:multiLevelType w:val="multilevel"/>
    <w:tmpl w:val="50CD1844"/>
    <w:lvl w:ilvl="0" w:tentative="0">
      <w:start w:val="1"/>
      <w:numFmt w:val="decimal"/>
      <w:suff w:val="nothing"/>
      <w:lvlText w:val="%1."/>
      <w:lvlJc w:val="left"/>
      <w:pPr>
        <w:ind w:left="7840" w:firstLine="0"/>
      </w:pPr>
      <w:rPr>
        <w:rFonts w:hint="eastAsia"/>
      </w:rPr>
    </w:lvl>
    <w:lvl w:ilvl="1" w:tentative="0">
      <w:start w:val="1"/>
      <w:numFmt w:val="decimal"/>
      <w:pStyle w:val="6"/>
      <w:lvlText w:val="%1.%2."/>
      <w:lvlJc w:val="left"/>
      <w:pPr>
        <w:ind w:left="142"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9F25D3"/>
    <w:rsid w:val="021A1572"/>
    <w:rsid w:val="02FA4E0E"/>
    <w:rsid w:val="04032DF5"/>
    <w:rsid w:val="041C42DA"/>
    <w:rsid w:val="04B679C3"/>
    <w:rsid w:val="05D72A40"/>
    <w:rsid w:val="05F07036"/>
    <w:rsid w:val="06E00104"/>
    <w:rsid w:val="073C03F9"/>
    <w:rsid w:val="07AC177E"/>
    <w:rsid w:val="07D370CD"/>
    <w:rsid w:val="080F63D8"/>
    <w:rsid w:val="09341458"/>
    <w:rsid w:val="09767B83"/>
    <w:rsid w:val="098254C2"/>
    <w:rsid w:val="09884013"/>
    <w:rsid w:val="09967664"/>
    <w:rsid w:val="0A766EDE"/>
    <w:rsid w:val="0AD64BE8"/>
    <w:rsid w:val="0B0661FE"/>
    <w:rsid w:val="0B0912D7"/>
    <w:rsid w:val="0B976FCC"/>
    <w:rsid w:val="0E025194"/>
    <w:rsid w:val="11824DD5"/>
    <w:rsid w:val="12CF2A40"/>
    <w:rsid w:val="13DF798C"/>
    <w:rsid w:val="152D2DCA"/>
    <w:rsid w:val="1533741A"/>
    <w:rsid w:val="17B6384F"/>
    <w:rsid w:val="187168EA"/>
    <w:rsid w:val="196673CA"/>
    <w:rsid w:val="19745F40"/>
    <w:rsid w:val="19C120F9"/>
    <w:rsid w:val="1AF66DC3"/>
    <w:rsid w:val="1B2F4AEE"/>
    <w:rsid w:val="1B8C003C"/>
    <w:rsid w:val="1BEF0734"/>
    <w:rsid w:val="1CF734C9"/>
    <w:rsid w:val="1DE659C1"/>
    <w:rsid w:val="1DEC284C"/>
    <w:rsid w:val="1DEE74B5"/>
    <w:rsid w:val="1E6523AC"/>
    <w:rsid w:val="20482968"/>
    <w:rsid w:val="21E9722C"/>
    <w:rsid w:val="22440422"/>
    <w:rsid w:val="22BB4BBB"/>
    <w:rsid w:val="23CC5006"/>
    <w:rsid w:val="24F15E75"/>
    <w:rsid w:val="25896190"/>
    <w:rsid w:val="25AD3C7D"/>
    <w:rsid w:val="25C056C0"/>
    <w:rsid w:val="288C40A9"/>
    <w:rsid w:val="2AEB3417"/>
    <w:rsid w:val="2C526646"/>
    <w:rsid w:val="2DC67B08"/>
    <w:rsid w:val="2E014089"/>
    <w:rsid w:val="2ECC35A1"/>
    <w:rsid w:val="306F1715"/>
    <w:rsid w:val="30C13596"/>
    <w:rsid w:val="31A15F24"/>
    <w:rsid w:val="31CA44AE"/>
    <w:rsid w:val="324A1681"/>
    <w:rsid w:val="32D61F8D"/>
    <w:rsid w:val="330C5393"/>
    <w:rsid w:val="34DF0957"/>
    <w:rsid w:val="35661FB7"/>
    <w:rsid w:val="35F81499"/>
    <w:rsid w:val="360610FF"/>
    <w:rsid w:val="36303833"/>
    <w:rsid w:val="36FB1DF0"/>
    <w:rsid w:val="38DE6A92"/>
    <w:rsid w:val="391660F9"/>
    <w:rsid w:val="395347B5"/>
    <w:rsid w:val="396731FD"/>
    <w:rsid w:val="39A232A0"/>
    <w:rsid w:val="39E745AA"/>
    <w:rsid w:val="3B5A6BBB"/>
    <w:rsid w:val="3D713351"/>
    <w:rsid w:val="3E755D77"/>
    <w:rsid w:val="3E984CED"/>
    <w:rsid w:val="3EDA13A6"/>
    <w:rsid w:val="3FE00DF1"/>
    <w:rsid w:val="402C2282"/>
    <w:rsid w:val="412459B4"/>
    <w:rsid w:val="417B75E9"/>
    <w:rsid w:val="42AD3F1A"/>
    <w:rsid w:val="42F058B7"/>
    <w:rsid w:val="436109F6"/>
    <w:rsid w:val="44006E99"/>
    <w:rsid w:val="441A38D4"/>
    <w:rsid w:val="44423BB8"/>
    <w:rsid w:val="44F72757"/>
    <w:rsid w:val="4504239D"/>
    <w:rsid w:val="4554136E"/>
    <w:rsid w:val="461C0ABE"/>
    <w:rsid w:val="472A0ACE"/>
    <w:rsid w:val="47FE4616"/>
    <w:rsid w:val="48AC01DD"/>
    <w:rsid w:val="4A6A3863"/>
    <w:rsid w:val="4BC77339"/>
    <w:rsid w:val="4BEE59A3"/>
    <w:rsid w:val="4C9236C5"/>
    <w:rsid w:val="4E250A85"/>
    <w:rsid w:val="4ED04598"/>
    <w:rsid w:val="4FFD4925"/>
    <w:rsid w:val="505C172E"/>
    <w:rsid w:val="506405EA"/>
    <w:rsid w:val="50D9757B"/>
    <w:rsid w:val="52121C11"/>
    <w:rsid w:val="526D0619"/>
    <w:rsid w:val="52F46F0B"/>
    <w:rsid w:val="532B6A10"/>
    <w:rsid w:val="53D8014D"/>
    <w:rsid w:val="55CA4FA2"/>
    <w:rsid w:val="55E064E0"/>
    <w:rsid w:val="55F76E75"/>
    <w:rsid w:val="572C6D10"/>
    <w:rsid w:val="5868053D"/>
    <w:rsid w:val="586C730B"/>
    <w:rsid w:val="592E4E03"/>
    <w:rsid w:val="5B015277"/>
    <w:rsid w:val="5B0C7363"/>
    <w:rsid w:val="5C551B68"/>
    <w:rsid w:val="5D791EF1"/>
    <w:rsid w:val="5DC34279"/>
    <w:rsid w:val="5F771F41"/>
    <w:rsid w:val="5FBD3641"/>
    <w:rsid w:val="5FCD688E"/>
    <w:rsid w:val="5FF9BDAA"/>
    <w:rsid w:val="5FFE5333"/>
    <w:rsid w:val="60665074"/>
    <w:rsid w:val="608816D1"/>
    <w:rsid w:val="609B0859"/>
    <w:rsid w:val="60EF4E7F"/>
    <w:rsid w:val="63C03711"/>
    <w:rsid w:val="64672DB6"/>
    <w:rsid w:val="648B0A32"/>
    <w:rsid w:val="650F50D0"/>
    <w:rsid w:val="65B576DE"/>
    <w:rsid w:val="665233C1"/>
    <w:rsid w:val="665B6306"/>
    <w:rsid w:val="66D542D2"/>
    <w:rsid w:val="68F8387C"/>
    <w:rsid w:val="69AC0D42"/>
    <w:rsid w:val="6AA06749"/>
    <w:rsid w:val="6AD9688B"/>
    <w:rsid w:val="6C74230A"/>
    <w:rsid w:val="6CEA2CFC"/>
    <w:rsid w:val="6D0E3F22"/>
    <w:rsid w:val="73885167"/>
    <w:rsid w:val="744E4660"/>
    <w:rsid w:val="74514836"/>
    <w:rsid w:val="74EB7577"/>
    <w:rsid w:val="753355A2"/>
    <w:rsid w:val="759F1C61"/>
    <w:rsid w:val="769F2DE8"/>
    <w:rsid w:val="76FDEB7C"/>
    <w:rsid w:val="770B7588"/>
    <w:rsid w:val="77F74B8B"/>
    <w:rsid w:val="7924080A"/>
    <w:rsid w:val="79AB5024"/>
    <w:rsid w:val="79C65162"/>
    <w:rsid w:val="79D70BF9"/>
    <w:rsid w:val="7BB0353C"/>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unhideWhenUsed/>
    <w:qFormat/>
    <w:uiPriority w:val="9"/>
    <w:pPr>
      <w:keepNext/>
      <w:keepLines/>
      <w:numPr>
        <w:ilvl w:val="1"/>
        <w:numId w:val="1"/>
      </w:numPr>
      <w:outlineLvl w:val="1"/>
    </w:pPr>
    <w:rPr>
      <w:rFonts w:ascii="Cambria" w:hAnsi="Cambria" w:eastAsia="宋体" w:cs="Times New Roman"/>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4"/>
    <w:qFormat/>
    <w:uiPriority w:val="0"/>
    <w:pPr>
      <w:spacing w:after="120" w:afterLines="0"/>
    </w:pPr>
    <w:rPr>
      <w:rFonts w:eastAsia="方正仿宋_GBK"/>
      <w:kern w:val="2"/>
      <w:sz w:val="32"/>
      <w:lang w:val="en-US" w:eastAsia="zh-CN" w:bidi="ar-SA"/>
    </w:rPr>
  </w:style>
  <w:style w:type="paragraph" w:styleId="4">
    <w:name w:val="Body Text Indent"/>
    <w:basedOn w:val="1"/>
    <w:next w:val="3"/>
    <w:uiPriority w:val="0"/>
    <w:pPr>
      <w:spacing w:after="120" w:afterLines="0"/>
      <w:ind w:left="420" w:leftChars="200"/>
    </w:pPr>
    <w:rPr>
      <w:rFonts w:eastAsia="宋体"/>
      <w:sz w:val="21"/>
    </w:rPr>
  </w:style>
  <w:style w:type="paragraph" w:styleId="8">
    <w:name w:val="annotation text"/>
    <w:basedOn w:val="1"/>
    <w:qFormat/>
    <w:uiPriority w:val="0"/>
    <w:pPr>
      <w:jc w:val="left"/>
    </w:pPr>
  </w:style>
  <w:style w:type="paragraph" w:styleId="9">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Char Char Char Char"/>
    <w:basedOn w:val="1"/>
    <w:link w:val="13"/>
    <w:qFormat/>
    <w:uiPriority w:val="0"/>
    <w:pPr>
      <w:widowControl/>
      <w:spacing w:after="160" w:afterLines="0" w:line="240" w:lineRule="exact"/>
      <w:jc w:val="left"/>
    </w:pPr>
    <w:rPr>
      <w:rFonts w:eastAsia="宋体"/>
      <w:kern w:val="2"/>
      <w:sz w:val="24"/>
      <w:szCs w:val="24"/>
      <w:lang w:val="en-US" w:eastAsia="zh-CN" w:bidi="ar-SA"/>
    </w:rPr>
  </w:style>
  <w:style w:type="character" w:styleId="15">
    <w:name w:val="Strong"/>
    <w:basedOn w:val="13"/>
    <w:qFormat/>
    <w:uiPriority w:val="0"/>
    <w:rPr>
      <w:b/>
      <w:bCs/>
    </w:rPr>
  </w:style>
  <w:style w:type="character" w:styleId="16">
    <w:name w:val="page number"/>
    <w:basedOn w:val="13"/>
    <w:qFormat/>
    <w:uiPriority w:val="0"/>
  </w:style>
  <w:style w:type="table" w:styleId="18">
    <w:name w:val="Table Grid"/>
    <w:basedOn w:val="1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9">
    <w:name w:val="Char Char Char Char Char Char Char"/>
    <w:basedOn w:val="1"/>
    <w:link w:val="13"/>
    <w:qFormat/>
    <w:uiPriority w:val="0"/>
  </w:style>
  <w:style w:type="paragraph" w:customStyle="1" w:styleId="20">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1">
    <w:name w:val="p0"/>
    <w:basedOn w:val="1"/>
    <w:qFormat/>
    <w:uiPriority w:val="0"/>
    <w:pPr>
      <w:widowControl/>
    </w:pPr>
    <w:rPr>
      <w:rFonts w:ascii="Calibri" w:hAnsi="Calibri" w:eastAsia="宋体" w:cs="宋体"/>
      <w:kern w:val="0"/>
      <w:szCs w:val="32"/>
    </w:rPr>
  </w:style>
  <w:style w:type="character" w:customStyle="1" w:styleId="22">
    <w:name w:val="font51"/>
    <w:basedOn w:val="13"/>
    <w:qFormat/>
    <w:uiPriority w:val="0"/>
    <w:rPr>
      <w:rFonts w:hint="eastAsia" w:ascii="宋体" w:hAnsi="宋体" w:cs="宋体"/>
      <w:color w:val="000000"/>
      <w:sz w:val="16"/>
      <w:szCs w:val="16"/>
      <w:u w:val="none"/>
    </w:rPr>
  </w:style>
  <w:style w:type="character" w:customStyle="1" w:styleId="23">
    <w:name w:val="font61"/>
    <w:basedOn w:val="13"/>
    <w:qFormat/>
    <w:uiPriority w:val="0"/>
    <w:rPr>
      <w:rFonts w:hint="eastAsia" w:ascii="方正仿宋_GBK" w:hAnsi="方正仿宋_GBK" w:eastAsia="方正仿宋_GBK" w:cs="方正仿宋_GBK"/>
      <w:color w:val="000000"/>
      <w:sz w:val="16"/>
      <w:szCs w:val="16"/>
      <w:u w:val="none"/>
    </w:rPr>
  </w:style>
  <w:style w:type="paragraph" w:customStyle="1" w:styleId="24">
    <w:name w:val="默认"/>
    <w:qFormat/>
    <w:uiPriority w:val="0"/>
    <w:rPr>
      <w:rFonts w:ascii="Helvetica" w:hAnsi="Helvetica" w:eastAsia="Helvetica" w:cs="Helvetica"/>
      <w:color w:val="000000"/>
      <w:kern w:val="0"/>
      <w:sz w:val="22"/>
      <w:szCs w:val="22"/>
      <w:lang w:val="en-US" w:eastAsia="zh-CN" w:bidi="ar-SA"/>
    </w:rPr>
  </w:style>
  <w:style w:type="paragraph" w:customStyle="1" w:styleId="25">
    <w:name w:val="UserStyle_4"/>
    <w:qFormat/>
    <w:uiPriority w:val="0"/>
    <w:pPr>
      <w:textAlignment w:val="baseline"/>
    </w:pPr>
    <w:rPr>
      <w:rFonts w:ascii="Helvetica" w:hAnsi="Helvetica" w:eastAsia="宋体"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4</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2024-12-02T02:44:06Z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