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印发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《重庆市铜梁区“三线一单”生态环境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分区管控调整方案（2023年）》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的通知</w:t>
      </w:r>
    </w:p>
    <w:p>
      <w:pPr>
        <w:tabs>
          <w:tab w:val="left" w:pos="7521"/>
        </w:tabs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铜府发〔2024〕7号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各镇人民政府、街道办事处，区政府各部门，有关单位：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现将《重庆市铜梁区“三线一单”生态环境分区管控调整方案（2023年）》印发给你们，请认真抓好贯彻落实。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4467" w:firstLineChars="13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重庆市铜梁区人民政府</w:t>
      </w:r>
    </w:p>
    <w:p>
      <w:pPr>
        <w:spacing w:line="579" w:lineRule="exact"/>
        <w:ind w:firstLine="5062" w:firstLineChars="1582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2024年6月18日 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重庆市铜梁区“三线一单”生态环境分区</w:t>
      </w: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管控调整方案（2023年）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“三线一单”（生态保护红线、环境质量底线、资源利用上线和生态环境准入清单）生态环境分区管控制度，是新时代贯彻落实习近平生态文明思想、深入打好污染防治攻坚战、加强生态环境源头防控的重要举措。为推动实现生态环境分区域差异化精准管控，落实“十四五”环境管理目标和国土空间规划要求，衔接最新“三区三线”成果，提升成果时效性和针对性，结合我区实际系统调整“三线一单”生态环境分区管控成果，形成与我区高质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量发展和高水平保护相适应的“三线一单”生态环境分区管控体系。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一、调整原则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（一）坚持底线约束。坚持以生态功能不降低、环境质量不下降、资源环境承载能力不突破为底线，落实生态环境分区管控硬约束，严格禁止降低要求、弱化管控的调整。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强化空间管控。结合“十四五”环境管理目标和国土空间规划成果，优化调整生态保护红线及一般生态空间、环境质量底线、资源利用上线的生态环境管控要求，完善以环境管控单元为基础的空间管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突出分类准入。以调整后的环境管控单元为单位，从空间布局约束、污染物排放管控、环境风险防控、资源利用效率等维度，优化调整全区生态环境准入清单，强化刚性约束，突出生态环境准入清单的针对性、有效性、实用性和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Toc24215755"/>
      <w:r>
        <w:rPr>
          <w:rFonts w:hint="default" w:ascii="Times New Roman" w:hAnsi="Times New Roman" w:eastAsia="方正仿宋_GBK" w:cs="Times New Roman"/>
          <w:sz w:val="32"/>
          <w:szCs w:val="32"/>
        </w:rPr>
        <w:t>到2025年，生态系统质量和稳定性进一步提升，生产生活方式绿色转型成效显著，能源资源利用效率不断提高，生态环境质量持续改善，主要污染物排放总量持续减少，环境突出问题得到有效治理，环境风险得到有效管控，生态环境治理体系和治理能力现代化水平明显提升，城乡人居环境更加优美，长江上游重要生态屏障更加巩固，推进美丽铜梁建设取得重大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到2035年，广泛形成绿色生产生活方式，节约资源和保护生态环境的空间格局、产业结构总体形成，碳排放达峰后稳中有降，生态环境根本好转，长江上游重要生态屏障全面筑牢，产城景文深度融合，美丽铜梁基本建成，实现人与自然和谐共生，建成实力雄厚、特色鲜明、城乡融合、生态宜居、人民幸福的“双百”城市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三、调整要求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环境管控单元调整要求。以系统化集成为基础，基于生态保护红线与一般生态空间、水环境管控分区、大气环境管控分区、土壤环境风险管控分区、资源管控分区等调整结果，科学调整优先、重点和一般三类环境管控单元，分区分类实施精细化管控，将部分重点管控单元进一步细分。原则上优先保护单元的空间格局应保持基本稳定，重点管控单元的空间格局应与环境治理格局相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生态环境准入清单调整要求。生态环境准入清单管理要求应保持一定的延续性，保持“市级总体管控要求—区县总体管控要求—单元管控要求”三个层级框架，以区域生态环境质量改善为核心，聚焦生态环境准入清单实施中发现的问题，坚持目标和问题导向，调整全区生态环境准入清单。产业准入和生态环境管理相关的法律法规、政策文件等新增、修订、废止的，依法依规同步调整生态环境准入清单；环境要素分区管控要求调整的，同步调整生态环境准入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四、调整结果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（一）环境管控单元调整结果。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调整后，全区环境管控单元个数不发生改变，仍为17个。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优先保护单元：由10个调整为8个，面积占比由17.89%调整为15.70%，较上一轮减少2.19%。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重点管控单元：由4个调整为6个，面积占比由47.12%调整为48.50%，较上一轮增加1.38%。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一般管控单元：个数不发生改变，仍为3个，面积占比由34.99%调整为35.80%，较上一轮增加0.81%。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（二）生态环境准入清单调整结果。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区结合调整后环境管控单元的生态环境主要特征、突出问题和环境质量目标，以改善生态环境质量为导向，提出了具有针对性、可操作性的管控要求。调整后，全区总体管控要求共21条，引用重庆市总体管控要求9条，在原总体管控要求基础上删除2条、修改6条、新增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五、实施保障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（一）组织保障。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区生态环境局牵头组织全区“三线一单”发布、实施、更新调整和宣传工作，区级有关部门、单位和镇街结合本单位职能职责做好全区“三线一单”实施工作，并积极参与评估、更新调整和宣传工作。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（二）资金、技术保障。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区生态环境局牵头组建长期稳定的专业技术团队，区财政局安排专项财政资金，切实保障“三线一单”实施、评估、更新调整、数据应用和维护等工作。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w w:val="90"/>
          <w:sz w:val="32"/>
          <w:szCs w:val="32"/>
        </w:rPr>
        <w:t>1.重庆市铜梁区环境管控单元调整结果分布图（2023年）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84" w:leftChars="760" w:hanging="288" w:hangingChars="100"/>
        <w:textAlignment w:val="auto"/>
        <w:rPr>
          <w:rFonts w:hint="default" w:ascii="Times New Roman" w:hAnsi="Times New Roman" w:eastAsia="方正仿宋_GBK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0"/>
          <w:sz w:val="32"/>
          <w:szCs w:val="32"/>
        </w:rPr>
        <w:t>2.重庆市铜梁区环境管控单元调整结果统计表（2023年）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84" w:leftChars="760" w:hanging="288" w:hangingChars="100"/>
        <w:textAlignment w:val="auto"/>
        <w:rPr>
          <w:rFonts w:hint="default" w:ascii="Times New Roman" w:hAnsi="Times New Roman" w:eastAsia="方正仿宋_GBK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0"/>
          <w:sz w:val="32"/>
          <w:szCs w:val="32"/>
        </w:rPr>
        <w:t>3.重庆市铜梁区生态环境准入清单总体管控要求（2023年）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pStyle w:val="5"/>
        <w:rPr>
          <w:rFonts w:hint="eastAsi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255270</wp:posOffset>
            </wp:positionV>
            <wp:extent cx="5367655" cy="7295515"/>
            <wp:effectExtent l="0" t="0" r="4445" b="635"/>
            <wp:wrapNone/>
            <wp:docPr id="3" name="图片 3" descr="铜梁制图（大气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铜梁制图（大气）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729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  <w:bookmarkStart w:id="1" w:name="_GoBack"/>
      <w:bookmarkEnd w:id="1"/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>
      <w:pPr>
        <w:rPr>
          <w:rFonts w:hint="eastAsia"/>
        </w:rPr>
      </w:pPr>
      <w:r>
        <w:rPr>
          <w:rFonts w:hint="eastAsia" w:ascii="方正小标宋_GBK" w:eastAsia="方正小标宋_GBK"/>
          <w:sz w:val="36"/>
          <w:szCs w:val="36"/>
        </w:rPr>
        <w:t>重庆市铜梁区环境管控单元调整结果统计表（2023年）</w:t>
      </w:r>
    </w:p>
    <w:tbl>
      <w:tblPr>
        <w:tblStyle w:val="13"/>
        <w:tblW w:w="89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4141"/>
        <w:gridCol w:w="1636"/>
        <w:gridCol w:w="10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环境管控单元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环境管控单元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环境管控单元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分类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pacing w:val="-6"/>
                <w:kern w:val="0"/>
                <w:sz w:val="24"/>
                <w:szCs w:val="24"/>
                <w:lang w:bidi="ar"/>
              </w:rPr>
              <w:t>面积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铜梁区安居镇涪江安居提水工程水源地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优先保护单元1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211.08km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铜梁区双寨水库水源地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优先保护单元2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重庆毓青山国家森林公园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优先保护单元3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重庆市西温泉山森林公园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优先保护单元4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重庆铜梁安居国家湿地公园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优先保护单元5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铜梁区生态保护红线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优先保护单元6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西温泉－巴岳山风景名胜区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优先保护单元7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ZH50015110008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铜梁区一般生态空间-水土保持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优先保护单元8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ZH50015120001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铜梁区工业城镇重点管控单元－城区片区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重点管控单元1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650.31km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ZH50015120002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铜梁区工业城镇重点管控单元－旧县片区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重点管控单元2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ZH50015120003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梁区工业城镇重点管控单元－大庙片区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重点管控单元3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ZH50015120004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铜梁区工业城镇重点管控单元－其他镇域片区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重点管控单元4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ZH50015120005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铜梁区重点管控单元-小安溪段家塘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重点管控单元5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ZH50015120006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铜梁区重点管控单元-淮远河众志桥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重点管控单元6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ZH50015130001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铜梁区一般管控单元-平滩河寿桥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一般管控单元1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480.30km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ZH50015130002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铜梁区一般管控单元－琼江安居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一般管控单元2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ZH50015130003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铜梁区一般管控单元－琼江中和铜梁段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一般管控单元3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pStyle w:val="5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  <w:sectPr>
          <w:type w:val="continuous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5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重庆市铜梁区生态环境准入清单总体管控要求（2023年）</w:t>
      </w:r>
    </w:p>
    <w:tbl>
      <w:tblPr>
        <w:tblStyle w:val="13"/>
        <w:tblpPr w:leftFromText="180" w:rightFromText="180" w:vertAnchor="text" w:horzAnchor="page" w:tblpX="1662" w:tblpY="312"/>
        <w:tblOverlap w:val="never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pacing w:val="-6"/>
                <w:sz w:val="24"/>
              </w:rPr>
            </w:pPr>
            <w:r>
              <w:rPr>
                <w:rFonts w:ascii="Times New Roman" w:hAnsi="Times New Roman" w:eastAsia="方正黑体_GBK"/>
                <w:bCs/>
                <w:spacing w:val="-6"/>
                <w:sz w:val="24"/>
              </w:rPr>
              <w:t>管控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pacing w:val="-6"/>
                <w:sz w:val="24"/>
              </w:rPr>
            </w:pPr>
            <w:r>
              <w:rPr>
                <w:rFonts w:ascii="Times New Roman" w:hAnsi="Times New Roman" w:eastAsia="方正黑体_GBK"/>
                <w:bCs/>
                <w:spacing w:val="-6"/>
                <w:sz w:val="24"/>
              </w:rPr>
              <w:t>类别</w:t>
            </w:r>
          </w:p>
        </w:tc>
        <w:tc>
          <w:tcPr>
            <w:tcW w:w="8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pacing w:val="-6"/>
                <w:sz w:val="24"/>
              </w:rPr>
            </w:pPr>
            <w:r>
              <w:rPr>
                <w:rFonts w:ascii="Times New Roman" w:hAnsi="Times New Roman" w:eastAsia="方正黑体_GBK"/>
                <w:bCs/>
                <w:spacing w:val="-6"/>
                <w:sz w:val="24"/>
              </w:rPr>
              <w:t>总体管控要求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空间布局约束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深入贯彻习近平生态文明思想，筑牢长江上游重要生态屏障，推动优势区域重点发展、生态功能区重点保护、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instrText xml:space="preserve"> HYPERLINK "http://guihuayun.com/baike/%E5%9F%8E%E4%B9%A1%E8%9E%8D%E5%90%88%E5%8F%91%E5%B1%95" \t "http://www.gui-hua.com/post/_blank" </w:instrTex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fldChar w:fldCharType="separate"/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城乡融合发展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，优化重点区域、流域、产业的空间布局。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 xml:space="preserve"> 禁止在合规园区外新建、扩建化工、建材、制浆造纸等高污染项目（高污染项目严格按照《环境保护综合名录》“高污染”产品名录执行）。新建、改建、扩建“两高”项目须符合生态环境保护法律法规和相关法定规划，满足重点污染物排放总量控制、碳排放达峰目标、生态环境准入清单、相关规划环评和相应行业建设项目环境准入条件、环评文件审批原则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第三条  新建、扩建电镀企业应布设在依法合规设立并经过规划环评的产业园区（铜梁高新区）。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第四条  有效规范空间开发秩序，合理控制空间开发强度，切实将各类开发活动限制在资源环境承载能力之内，为构建高效协调可持续的国土空间开发格局奠定坚实基础。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第五条  以减少邻避效应为出发点，优化工业用地空间布局，严格产业准入。推动铜梁高新区白土坝片区产业提档转型升级，未来重点发展科技研发、工业服务等生产性服务业；以铜梁高新区姜家岩片区紧邻金川大道、龙安大道一侧工业用地为重点区域，严格产业准入，邻近居住用地的地块不宜入驻铸造、表面处理等大气污染较重、噪声大或其他易扰民的工业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第六条  以不新增用地规模、不增加污染物排放总量、不增大环境风险为原则，有序引导镇街工业减污降碳绿色发展。镇域内现有零散工业用地内允许建设“零土地”（不涉及新征建设用地）技术改造升级且“两不增”（不增加污染物排放总量、不增大环境风险）的建设项目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鼓励现有工业项目搬入工业集聚区。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污染物排放控制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严格落实国家及我市大气污染防控相关要求，对大气环境质量未达标地区，新建、改扩建项目实施更严格的污染物排放总量控制要求。严格落实区域削减要求，所在区域、流域控制单元环境质量未达到国家或者地方环境质量标准的，建设项目需提出有效的区域削减方案，主要污染物实行区域倍量削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工业集聚区应当按照有关规定配套建设相应的污水集中处理设施，安装自动监测设备，工业集聚区内的企业向污水集中处理设施排放工业废水的，应当按照国家有关规定进行预处理，达到集中处理设施处理工艺要求后方可排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widowControl w:val="0"/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固体废物污染环境防治坚持减量化、资源化和无害化的原则。产生工业固体废物的单位应当建立健全工业固体废物产生、收集、贮存、运输、利用、处置全过程的污染环境防治责任制度，建立工业固体废物管理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widowControl w:val="0"/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建设分类投放、分类收集、分类运输、分类处理的生活垃圾处理系统。合理布局生活垃圾分类收集站点，完善分类运输系统，加快补齐分类收集转运设施能力短板。强化“无废城市”制度、技术、市场、监管、全民行动“五大体系”建设，推进城市固体废物精细化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4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严格按照国家及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重庆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市有关规定，对水泥熟料行业新建、扩建项目实行产能等量或减量置换。国家或地方已出台超低排放要求的“两高”行业建设项目应满足超低排放要求。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新、改、扩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建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重点行业（电镀行业）重点重金属污染物排放执行“等量替代”原则；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禁止新建、扩建铅蓄电池制造项目。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第十三条  以工业涂装、塑料零件及其他塑料制品制造、新型储能等行业为抓手，深化挥发性有机物治理。推动工业涂装持续提升低（无）VOCs含量、低反应活性的原辅材料替代比例；提升塑料零件及其他塑料制品制造行业废物治理水平；新建、改建、扩建涉VOCs的项目，加强源头控制，无特别规定的需使用低（无）VOCs含量的原辅料，加强废气收集，安装高效治理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numPr>
                <w:ilvl w:val="0"/>
                <w:numId w:val="6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以水泥、砖瓦、陶瓷等建材行业为重点，深入推进废气治理设施升级改造。深入推进燃煤锅炉、工业窑炉、水泥、砖瓦等重点行业废气治理措施设施升级改造；推进水泥、烧结砖瓦窑企业开展错峰生产，有序推动小、微型砖瓦窑企业关停或转型升级改造；推进重点工业企业燃煤锅炉清洁能源替代，禁止新建20蒸吨/小时以下的燃煤锅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第十五条  以农村生活污水、农业种植、畜禽养殖和水产养殖为重点，推进农村面源污染防治。梯次推进农村生活污水治理，提高农村生活污水治理率。加快推进畜禽粪污综合利用和无害化处理设施建设，推进畜禽养殖场雨污分流、干湿分离改造。以30亩以上专用池塘养殖场为治理重点，梯次推进尾水治理措施。以化肥减量和农药减量为重点，从源头强化规模农业种植污染防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第十六条  以提高污水收集处理率为核心，推进污水处理厂提标扩建和完善污水管网。推进新东城污水处理厂提标改造工程；以小安溪流域范围内大庙镇、永嘉镇、石鱼镇等城镇污水处理厂提标改造为重点，有序推进乡镇生活污水处理设施提标改造，在有条件的区域推进尾水深度治理及资源化利用；进一步完善中心城区、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各镇街场镇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污水管网，加快推进污水管网新建、老旧管网改造及雨污分流改造等工程。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环境风险防控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第十七条  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深入开展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淮远河、小安溪等重点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流域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和城市级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zh-CN" w:bidi="ar"/>
              </w:rPr>
              <w:t>饮用水源突发环境事件风险评估，建立区域突发环境事件风险评估数据信息获取与动态更新机制。落实企业突发环境事件风险评估制度，推进突发环境事件风险分类分级管理，严格监管重大突发环境事件风险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资源利用效率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widowControl w:val="0"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实施能源领域碳达峰碳中和行动，科学有序推动能源生产消费方式绿色低碳变革。实施可再生能源替代，减少化石能源消费。加强产业布局和能耗“双控”政策衔接，促进重点用能领域用能结构优化和能效提升。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widowControl w:val="0"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 xml:space="preserve"> 鼓励企业对标能耗限额标准先进值或国际先进水平，加快主要产品工艺升级与绿色化改造，推动工业窑炉、锅炉、电机、压缩机、泵、变压器等重点用能设备系统节能改造。推动现有企业、产业园生产过程清洁化转型，精准提升市场主体绿色低碳水平，引导园区低碳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第二十条  新建、扩建“两高”项目应采用先进适用的工艺技术和装备，单位产品物耗、能耗、水耗等达到清洁生产先进水平。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widowControl w:val="0"/>
              <w:snapToGrid w:val="0"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"/>
              </w:rPr>
              <w:t>第二十一条  提升工业、城镇生活、农业节水能力，推进再生水循环利用，提高水资源利用效率。加强工业节水改造，限制高耗水行业发展，积极推动工业废水资源化利用，鼓励和引导工业企业中水回用。加强城镇节水，开展公共建筑节水改造、城镇供水管网漏损治理工程。强化农业节水增效，加强石梁水库、双寨水库等中型灌区续建配套与节水改造，加强农业水利基础设施建设，完善农田灌排工程体系。深入挖掘非常规水资源开发利用潜力，推进再生水、雨水等非常规水资源的开发利用。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sectPr>
      <w:type w:val="continuous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631AA"/>
    <w:multiLevelType w:val="singleLevel"/>
    <w:tmpl w:val="886631AA"/>
    <w:lvl w:ilvl="0" w:tentative="0">
      <w:start w:val="1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B4CAFDF9"/>
    <w:multiLevelType w:val="singleLevel"/>
    <w:tmpl w:val="B4CAFDF9"/>
    <w:lvl w:ilvl="0" w:tentative="0">
      <w:start w:val="12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B5811937"/>
    <w:multiLevelType w:val="singleLevel"/>
    <w:tmpl w:val="B5811937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C413BB48"/>
    <w:multiLevelType w:val="singleLevel"/>
    <w:tmpl w:val="C413BB48"/>
    <w:lvl w:ilvl="0" w:tentative="0">
      <w:start w:val="14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FC2D2F9B"/>
    <w:multiLevelType w:val="singleLevel"/>
    <w:tmpl w:val="FC2D2F9B"/>
    <w:lvl w:ilvl="0" w:tentative="0">
      <w:start w:val="18"/>
      <w:numFmt w:val="chineseCounting"/>
      <w:suff w:val="space"/>
      <w:lvlText w:val="第%1条"/>
      <w:lvlJc w:val="left"/>
      <w:rPr>
        <w:rFonts w:hint="eastAsia"/>
      </w:rPr>
    </w:lvl>
  </w:abstractNum>
  <w:abstractNum w:abstractNumId="5">
    <w:nsid w:val="1E0BE254"/>
    <w:multiLevelType w:val="singleLevel"/>
    <w:tmpl w:val="1E0BE254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6">
    <w:nsid w:val="50CD1844"/>
    <w:multiLevelType w:val="multilevel"/>
    <w:tmpl w:val="50CD1844"/>
    <w:lvl w:ilvl="0" w:tentative="0">
      <w:start w:val="1"/>
      <w:numFmt w:val="decimal"/>
      <w:suff w:val="nothing"/>
      <w:lvlText w:val="%1."/>
      <w:lvlJc w:val="left"/>
      <w:pPr>
        <w:ind w:left="7840" w:firstLine="0"/>
      </w:pPr>
      <w:rPr>
        <w:rFonts w:hint="eastAsia"/>
      </w:rPr>
    </w:lvl>
    <w:lvl w:ilvl="1" w:tentative="0">
      <w:start w:val="1"/>
      <w:numFmt w:val="decimal"/>
      <w:pStyle w:val="2"/>
      <w:lvlText w:val="%1.%2.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19F25D3"/>
    <w:rsid w:val="021A1572"/>
    <w:rsid w:val="04032DF5"/>
    <w:rsid w:val="041C42DA"/>
    <w:rsid w:val="04B679C3"/>
    <w:rsid w:val="05D72A40"/>
    <w:rsid w:val="05F07036"/>
    <w:rsid w:val="06E00104"/>
    <w:rsid w:val="073C03F9"/>
    <w:rsid w:val="07D370CD"/>
    <w:rsid w:val="080F63D8"/>
    <w:rsid w:val="09341458"/>
    <w:rsid w:val="09767B83"/>
    <w:rsid w:val="098254C2"/>
    <w:rsid w:val="0A766EDE"/>
    <w:rsid w:val="0AD64BE8"/>
    <w:rsid w:val="0B0912D7"/>
    <w:rsid w:val="0B976FCC"/>
    <w:rsid w:val="0E025194"/>
    <w:rsid w:val="11824DD5"/>
    <w:rsid w:val="12CF2A40"/>
    <w:rsid w:val="13DF798C"/>
    <w:rsid w:val="152D2DCA"/>
    <w:rsid w:val="1533741A"/>
    <w:rsid w:val="17B6384F"/>
    <w:rsid w:val="187168EA"/>
    <w:rsid w:val="196673CA"/>
    <w:rsid w:val="19745F40"/>
    <w:rsid w:val="19C120F9"/>
    <w:rsid w:val="1AF66DC3"/>
    <w:rsid w:val="1B2F4AEE"/>
    <w:rsid w:val="1BEF0734"/>
    <w:rsid w:val="1CF734C9"/>
    <w:rsid w:val="1DE659C1"/>
    <w:rsid w:val="1DEC284C"/>
    <w:rsid w:val="1DEE74B5"/>
    <w:rsid w:val="1E6523AC"/>
    <w:rsid w:val="20482968"/>
    <w:rsid w:val="21E9722C"/>
    <w:rsid w:val="22440422"/>
    <w:rsid w:val="22BB4BBB"/>
    <w:rsid w:val="23CC5006"/>
    <w:rsid w:val="24F15E75"/>
    <w:rsid w:val="25AD3C7D"/>
    <w:rsid w:val="25C056C0"/>
    <w:rsid w:val="2AEB3417"/>
    <w:rsid w:val="2C526646"/>
    <w:rsid w:val="2E014089"/>
    <w:rsid w:val="2ECC35A1"/>
    <w:rsid w:val="306F1715"/>
    <w:rsid w:val="30C13596"/>
    <w:rsid w:val="31A15F24"/>
    <w:rsid w:val="31CA44AE"/>
    <w:rsid w:val="324A1681"/>
    <w:rsid w:val="32D61F8D"/>
    <w:rsid w:val="330C5393"/>
    <w:rsid w:val="35661FB7"/>
    <w:rsid w:val="35F81499"/>
    <w:rsid w:val="360610FF"/>
    <w:rsid w:val="36303833"/>
    <w:rsid w:val="36FB1DF0"/>
    <w:rsid w:val="391660F9"/>
    <w:rsid w:val="395347B5"/>
    <w:rsid w:val="396731FD"/>
    <w:rsid w:val="39A232A0"/>
    <w:rsid w:val="39E745AA"/>
    <w:rsid w:val="3B5A6BBB"/>
    <w:rsid w:val="3D713351"/>
    <w:rsid w:val="3E755D77"/>
    <w:rsid w:val="3E984CED"/>
    <w:rsid w:val="3EDA13A6"/>
    <w:rsid w:val="3FE00DF1"/>
    <w:rsid w:val="402C2282"/>
    <w:rsid w:val="412459B4"/>
    <w:rsid w:val="417B75E9"/>
    <w:rsid w:val="42AD3F1A"/>
    <w:rsid w:val="42F058B7"/>
    <w:rsid w:val="436109F6"/>
    <w:rsid w:val="441A38D4"/>
    <w:rsid w:val="44423BB8"/>
    <w:rsid w:val="44F72757"/>
    <w:rsid w:val="4504239D"/>
    <w:rsid w:val="4554136E"/>
    <w:rsid w:val="461C0ABE"/>
    <w:rsid w:val="47FE4616"/>
    <w:rsid w:val="48AC01DD"/>
    <w:rsid w:val="4A6A3863"/>
    <w:rsid w:val="4BC77339"/>
    <w:rsid w:val="4BEE59A3"/>
    <w:rsid w:val="4C9236C5"/>
    <w:rsid w:val="4E250A85"/>
    <w:rsid w:val="4ED04598"/>
    <w:rsid w:val="4FFD4925"/>
    <w:rsid w:val="505C172E"/>
    <w:rsid w:val="506405EA"/>
    <w:rsid w:val="50D9757B"/>
    <w:rsid w:val="52121C11"/>
    <w:rsid w:val="526D0619"/>
    <w:rsid w:val="52F46F0B"/>
    <w:rsid w:val="532B6A10"/>
    <w:rsid w:val="53D8014D"/>
    <w:rsid w:val="55CA4FA2"/>
    <w:rsid w:val="55E064E0"/>
    <w:rsid w:val="55F76E75"/>
    <w:rsid w:val="572C6D10"/>
    <w:rsid w:val="5868053D"/>
    <w:rsid w:val="586C730B"/>
    <w:rsid w:val="592E4E03"/>
    <w:rsid w:val="5B015277"/>
    <w:rsid w:val="5B0C7363"/>
    <w:rsid w:val="5C551B68"/>
    <w:rsid w:val="5D791EF1"/>
    <w:rsid w:val="5DC34279"/>
    <w:rsid w:val="5FCD688E"/>
    <w:rsid w:val="5FF9BDAA"/>
    <w:rsid w:val="5FFE5333"/>
    <w:rsid w:val="608816D1"/>
    <w:rsid w:val="609B0859"/>
    <w:rsid w:val="60EF4E7F"/>
    <w:rsid w:val="63C03711"/>
    <w:rsid w:val="64672DB6"/>
    <w:rsid w:val="648B0A32"/>
    <w:rsid w:val="650F50D0"/>
    <w:rsid w:val="65B576DE"/>
    <w:rsid w:val="665233C1"/>
    <w:rsid w:val="665B6306"/>
    <w:rsid w:val="66D542D2"/>
    <w:rsid w:val="68F8387C"/>
    <w:rsid w:val="69AC0D42"/>
    <w:rsid w:val="6AA06749"/>
    <w:rsid w:val="6AD9688B"/>
    <w:rsid w:val="6C74230A"/>
    <w:rsid w:val="6CEA2CFC"/>
    <w:rsid w:val="6D0E3F22"/>
    <w:rsid w:val="73885167"/>
    <w:rsid w:val="744E4660"/>
    <w:rsid w:val="74514836"/>
    <w:rsid w:val="753355A2"/>
    <w:rsid w:val="759F1C61"/>
    <w:rsid w:val="769F2DE8"/>
    <w:rsid w:val="76FDEB7C"/>
    <w:rsid w:val="77F74B8B"/>
    <w:rsid w:val="7924080A"/>
    <w:rsid w:val="79C65162"/>
    <w:rsid w:val="79D70BF9"/>
    <w:rsid w:val="7BB0353C"/>
    <w:rsid w:val="7C9011D9"/>
    <w:rsid w:val="7CF3074F"/>
    <w:rsid w:val="7DC651C5"/>
    <w:rsid w:val="7DF350ED"/>
    <w:rsid w:val="7EE23F9F"/>
    <w:rsid w:val="7F7574E4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link w:val="11"/>
    <w:semiHidden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eastAsia="方正仿宋_GBK"/>
      <w:kern w:val="2"/>
      <w:sz w:val="32"/>
      <w:lang w:val="en-US" w:eastAsia="zh-CN" w:bidi="ar-SA"/>
    </w:rPr>
  </w:style>
  <w:style w:type="paragraph" w:styleId="6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har Char Char Char"/>
    <w:basedOn w:val="1"/>
    <w:link w:val="10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character" w:styleId="12">
    <w:name w:val="Strong"/>
    <w:basedOn w:val="10"/>
    <w:qFormat/>
    <w:uiPriority w:val="0"/>
    <w:rPr>
      <w:b/>
      <w:bCs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cs="宋体"/>
      <w:color w:val="000000"/>
      <w:sz w:val="16"/>
      <w:szCs w:val="16"/>
      <w:u w:val="none"/>
    </w:rPr>
  </w:style>
  <w:style w:type="character" w:customStyle="1" w:styleId="17">
    <w:name w:val="font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3348</Words>
  <Characters>3474</Characters>
  <Lines>1</Lines>
  <Paragraphs>1</Paragraphs>
  <TotalTime>3</TotalTime>
  <ScaleCrop>false</ScaleCrop>
  <LinksUpToDate>false</LinksUpToDate>
  <CharactersWithSpaces>3542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2024-07-01T02:24:03Z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BB06FF69E224481EBDC57754CF217EA4</vt:lpwstr>
  </property>
</Properties>
</file>