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关于调整铜梁区安溪镇黄荆沟地下水等9个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镇级集中式饮用水水源地保护区的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通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 xml:space="preserve">  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铜府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各镇人民政府、街道办事处，区政府各部门，有关单位：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为规范集中式饮用水水源地管理，结合我区实际合理布局饮用水水源地，按照《重庆市生态环境局关于公布实施涪陵等区县（经开区）集中式饮用水水源地保护区的函》（渝环函〔2024〕23号）要求，决定调整铜梁区安溪镇黄荆沟地下水等9个镇级集中式饮用水水源地保护区，现依法公布实施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附件：铜梁区安溪镇黄荆沟地下水等9个镇级集中式饮用水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440" w:firstLineChars="45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水源地保护区调整方案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重庆市铜梁区人民政府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2024年4月3日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0" w:firstLineChars="0"/>
        <w:textAlignment w:val="auto"/>
        <w:outlineLvl w:val="9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铜梁区安溪镇黄荆沟地下水等9个镇级集中式饮用水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水源地保护区调整方案</w:t>
      </w:r>
    </w:p>
    <w:tbl>
      <w:tblPr>
        <w:tblStyle w:val="11"/>
        <w:tblW w:w="130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505"/>
        <w:gridCol w:w="489"/>
        <w:gridCol w:w="913"/>
        <w:gridCol w:w="913"/>
        <w:gridCol w:w="914"/>
        <w:gridCol w:w="811"/>
        <w:gridCol w:w="1676"/>
        <w:gridCol w:w="2986"/>
        <w:gridCol w:w="151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tblHeader/>
          <w:jc w:val="center"/>
        </w:trPr>
        <w:tc>
          <w:tcPr>
            <w:tcW w:w="6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  <w:t>区县名称</w:t>
            </w:r>
          </w:p>
        </w:tc>
        <w:tc>
          <w:tcPr>
            <w:tcW w:w="5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  <w:t>序号</w:t>
            </w:r>
          </w:p>
        </w:tc>
        <w:tc>
          <w:tcPr>
            <w:tcW w:w="4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  <w:t>状态</w:t>
            </w:r>
          </w:p>
        </w:tc>
        <w:tc>
          <w:tcPr>
            <w:tcW w:w="9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  <w:t>水厂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  <w:t>名称</w:t>
            </w:r>
          </w:p>
        </w:tc>
        <w:tc>
          <w:tcPr>
            <w:tcW w:w="9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  <w:t>水源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  <w:t>名称</w:t>
            </w:r>
          </w:p>
        </w:tc>
        <w:tc>
          <w:tcPr>
            <w:tcW w:w="9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  <w:t>水源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  <w:t>类型</w:t>
            </w:r>
          </w:p>
        </w:tc>
        <w:tc>
          <w:tcPr>
            <w:tcW w:w="8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  <w:t>水源所在镇(街道)</w:t>
            </w:r>
          </w:p>
        </w:tc>
        <w:tc>
          <w:tcPr>
            <w:tcW w:w="78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  <w:t>保护区范围划分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tblHeader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</w:pPr>
          </w:p>
        </w:tc>
        <w:tc>
          <w:tcPr>
            <w:tcW w:w="5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</w:pPr>
          </w:p>
        </w:tc>
        <w:tc>
          <w:tcPr>
            <w:tcW w:w="4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</w:pPr>
          </w:p>
        </w:tc>
        <w:tc>
          <w:tcPr>
            <w:tcW w:w="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</w:pPr>
          </w:p>
        </w:tc>
        <w:tc>
          <w:tcPr>
            <w:tcW w:w="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</w:pPr>
          </w:p>
        </w:tc>
        <w:tc>
          <w:tcPr>
            <w:tcW w:w="9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</w:pPr>
          </w:p>
        </w:tc>
        <w:tc>
          <w:tcPr>
            <w:tcW w:w="46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  <w:t>一级保护区</w:t>
            </w:r>
          </w:p>
        </w:tc>
        <w:tc>
          <w:tcPr>
            <w:tcW w:w="3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  <w:t>二级保护区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tblHeader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</w:pPr>
          </w:p>
        </w:tc>
        <w:tc>
          <w:tcPr>
            <w:tcW w:w="5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</w:pPr>
          </w:p>
        </w:tc>
        <w:tc>
          <w:tcPr>
            <w:tcW w:w="4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</w:pPr>
          </w:p>
        </w:tc>
        <w:tc>
          <w:tcPr>
            <w:tcW w:w="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</w:pPr>
          </w:p>
        </w:tc>
        <w:tc>
          <w:tcPr>
            <w:tcW w:w="9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</w:pPr>
          </w:p>
        </w:tc>
        <w:tc>
          <w:tcPr>
            <w:tcW w:w="9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  <w:t>水域范围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  <w:t>陆域范围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  <w:t>水域范围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lang w:bidi="ar"/>
              </w:rPr>
              <w:t>陆域范围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66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jc w:val="both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区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2"/>
              <w:rPr>
                <w:rFonts w:hint="eastAsia" w:eastAsia="方正仿宋_GBK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区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区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jc w:val="both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0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调整前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安溪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水厂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黄荆沟地下水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地下水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安溪镇</w:t>
            </w:r>
          </w:p>
        </w:tc>
        <w:tc>
          <w:tcPr>
            <w:tcW w:w="4662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以取水点为圆心，半径为30米的圆形区域。</w:t>
            </w:r>
          </w:p>
        </w:tc>
        <w:tc>
          <w:tcPr>
            <w:tcW w:w="3221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以取水点为圆心，半径30-300米的区域。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调整后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安溪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水厂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黄荆沟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河流型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安溪镇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取水口下游100米至上游1000米的通道水域。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一级保护区水域边界纵深50米范围内的陆域，但不超过流域分水岭范围，陆域沿岸长度与一级保护区水域长度相同。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取水口上游1000米至通道末端整个水域。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一级保护区陆域外，取水口</w:t>
            </w:r>
            <w:r>
              <w:rPr>
                <w:rFonts w:hint="default" w:ascii="Times New Roman" w:hAnsi="Times New Roman" w:eastAsia="方正仿宋_GBK" w:cs="Times New Roman"/>
                <w:kern w:val="0"/>
                <w:lang w:bidi="ar"/>
              </w:rPr>
              <w:t>对应的高程线</w:t>
            </w:r>
            <w:r>
              <w:rPr>
                <w:rFonts w:hint="default" w:ascii="Times New Roman" w:hAnsi="Times New Roman" w:eastAsia="方正仿宋_GBK" w:cs="Times New Roman"/>
              </w:rPr>
              <w:t>以上的整个区域。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0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调整前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虎峰自来水厂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东山地下水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地下水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虎峰镇</w:t>
            </w:r>
          </w:p>
        </w:tc>
        <w:tc>
          <w:tcPr>
            <w:tcW w:w="4662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以开采井为圆心，半径为30米的圆形区域。</w:t>
            </w:r>
          </w:p>
        </w:tc>
        <w:tc>
          <w:tcPr>
            <w:tcW w:w="3221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以开采井为圆心，半径为30-100米的环形区域。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调整后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虎峰自来水厂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水鸭村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河流型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虎峰镇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取水口下游5米至上游源头的通道水域。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一级保护区水域边界纵深50米范围内的陆域，但不超过流域分水岭范围，陆域沿岸长度不包括一级保护区水域下游部分。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/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一级保护区陆域外，取水口</w:t>
            </w:r>
            <w:r>
              <w:rPr>
                <w:rFonts w:hint="default" w:ascii="Times New Roman" w:hAnsi="Times New Roman" w:eastAsia="方正仿宋_GBK" w:cs="Times New Roman"/>
                <w:kern w:val="0"/>
                <w:lang w:bidi="ar"/>
              </w:rPr>
              <w:t>对应的高程线</w:t>
            </w:r>
            <w:r>
              <w:rPr>
                <w:rFonts w:hint="default" w:ascii="Times New Roman" w:hAnsi="Times New Roman" w:eastAsia="方正仿宋_GBK" w:cs="Times New Roman"/>
              </w:rPr>
              <w:t>以上的整个区域。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0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调整前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虎峰双龙片区供水工程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双龙煤场水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地下水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虎峰镇</w:t>
            </w:r>
          </w:p>
        </w:tc>
        <w:tc>
          <w:tcPr>
            <w:tcW w:w="4662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以取水点为圆心，半径为30米的圆形区域。</w:t>
            </w:r>
          </w:p>
        </w:tc>
        <w:tc>
          <w:tcPr>
            <w:tcW w:w="3221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以取水点为圆心，半径30-300米的区域。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调整后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虎峰双龙片区供水工程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双龙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片区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河流型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虎峰镇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取水口下游100米至上游1000米的通道水域。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一级保护区水域边界纵深50米范围内的陆域，但不超过流域分水岭范围，陆域沿岸长度与一级保护区水域长度相同。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取水口上游1000米至通道末端整个水域。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一级保护区陆域外，取水口</w:t>
            </w:r>
            <w:r>
              <w:rPr>
                <w:rFonts w:hint="default" w:ascii="Times New Roman" w:hAnsi="Times New Roman" w:eastAsia="方正仿宋_GBK" w:cs="Times New Roman"/>
                <w:kern w:val="0"/>
                <w:lang w:bidi="ar"/>
              </w:rPr>
              <w:t>对应的高程线</w:t>
            </w:r>
            <w:r>
              <w:rPr>
                <w:rFonts w:hint="default" w:ascii="Times New Roman" w:hAnsi="Times New Roman" w:eastAsia="方正仿宋_GBK" w:cs="Times New Roman"/>
              </w:rPr>
              <w:t>以上的整个区域。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0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4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调整前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蒲吕岚峰供水站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新联村溶洞水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地下水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蒲吕街道</w:t>
            </w:r>
          </w:p>
        </w:tc>
        <w:tc>
          <w:tcPr>
            <w:tcW w:w="4662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以取水点为圆心，半径为30米的圆形区域。</w:t>
            </w:r>
          </w:p>
        </w:tc>
        <w:tc>
          <w:tcPr>
            <w:tcW w:w="3221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以取水点为圆心，半径30-300米的区域。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调整后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蒲吕岚峰供水站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新联村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湖库型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蒲吕街道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多年平均水位对应高程线以下的全部水域。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以取水口为圆心，半径为30米的区域。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/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以取水口为圆心，半径30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</w:rPr>
              <w:t>300米的区域。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0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5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调整前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旧县镇自来水厂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长河平坝煤洞水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地下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</w:rPr>
              <w:t>水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旧县镇</w:t>
            </w:r>
          </w:p>
        </w:tc>
        <w:tc>
          <w:tcPr>
            <w:tcW w:w="4662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以取水点为圆心，半径为30米的圆形区域。</w:t>
            </w:r>
          </w:p>
        </w:tc>
        <w:tc>
          <w:tcPr>
            <w:tcW w:w="3221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以取水点为圆心，半径30-300米的区域。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调整后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旧县街道自来水厂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长河村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河流型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旧县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街道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取水口下游10米至上游1000米的通道水域。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一级保护区水域边界纵深50米的陆域范围，但不超过流域分水岭；陆域沿岸长度与一级保护区水域长度相同。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取水口上游1000米至通道末端的整个水域。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一级保护区陆域外，取水口</w:t>
            </w:r>
            <w:r>
              <w:rPr>
                <w:rFonts w:hint="default" w:ascii="Times New Roman" w:hAnsi="Times New Roman" w:eastAsia="方正仿宋_GBK" w:cs="Times New Roman"/>
                <w:kern w:val="0"/>
                <w:lang w:bidi="ar"/>
              </w:rPr>
              <w:t>对应的高程线</w:t>
            </w:r>
            <w:r>
              <w:rPr>
                <w:rFonts w:hint="default" w:ascii="Times New Roman" w:hAnsi="Times New Roman" w:eastAsia="方正仿宋_GBK" w:cs="Times New Roman"/>
              </w:rPr>
              <w:t>以上的整个区域。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0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6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调整前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永嘉供水站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响水岩水库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水库型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永嘉镇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lang w:bidi="ar"/>
              </w:rPr>
              <w:t>多年平均水位</w:t>
            </w:r>
            <w:r>
              <w:rPr>
                <w:rFonts w:hint="default" w:ascii="Times New Roman" w:hAnsi="Times New Roman" w:eastAsia="方正仿宋_GBK" w:cs="Times New Roman"/>
              </w:rPr>
              <w:t>线以下的全部水域。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取水口侧</w:t>
            </w:r>
            <w:r>
              <w:rPr>
                <w:rFonts w:hint="default" w:ascii="Times New Roman" w:hAnsi="Times New Roman" w:eastAsia="方正仿宋_GBK" w:cs="Times New Roman"/>
                <w:kern w:val="0"/>
                <w:lang w:bidi="ar"/>
              </w:rPr>
              <w:t>多年平均水位</w:t>
            </w:r>
            <w:r>
              <w:rPr>
                <w:rFonts w:hint="default" w:ascii="Times New Roman" w:hAnsi="Times New Roman" w:eastAsia="方正仿宋_GBK" w:cs="Times New Roman"/>
              </w:rPr>
              <w:t>线以上200米范围内的陆域。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/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整个汇水区域。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调整后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永嘉供水站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响水岩水库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水库型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永嘉镇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多年平均水位对应的高程线以下的全部水域。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一级保护区水域外200米范围内的陆域，南侧以堤坝为边界，但不超过流域分水岭范围。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/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一级保护区以外水平距离2000米范围内的陆域，但不超过道路排水沟及山脊线范围。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7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调整前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维新营基村供水工程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河坝水库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水库型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维新镇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lang w:bidi="ar"/>
              </w:rPr>
              <w:t>多年平均水位</w:t>
            </w:r>
            <w:r>
              <w:rPr>
                <w:rFonts w:hint="default" w:ascii="Times New Roman" w:hAnsi="Times New Roman" w:eastAsia="方正仿宋_GBK" w:cs="Times New Roman"/>
              </w:rPr>
              <w:t>线以下的全部水域。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取水口侧</w:t>
            </w:r>
            <w:r>
              <w:rPr>
                <w:rFonts w:hint="default" w:ascii="Times New Roman" w:hAnsi="Times New Roman" w:eastAsia="方正仿宋_GBK" w:cs="Times New Roman"/>
                <w:kern w:val="0"/>
                <w:lang w:bidi="ar"/>
              </w:rPr>
              <w:t>多年平均水位</w:t>
            </w:r>
            <w:r>
              <w:rPr>
                <w:rFonts w:hint="default" w:ascii="Times New Roman" w:hAnsi="Times New Roman" w:eastAsia="方正仿宋_GBK" w:cs="Times New Roman"/>
              </w:rPr>
              <w:t>线以上200米范围内的陆域。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/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整个汇水区域。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调整后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维新营基村供水工程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河坝水库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水库型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维新镇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多年平均水位对应的高程线以下的全部水域。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一级保护区水域外200米范围内的陆域，西南侧以堤坝为边界，但不超过流域分水岭范围。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/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一级保护区以外水平距离2000米范围内的陆域，但不超过道路排水沟及山脊线范围。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8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调整前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福果供水站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拦河埝水库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水库型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福果镇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lang w:bidi="ar"/>
              </w:rPr>
              <w:t>多年平均水位</w:t>
            </w:r>
            <w:r>
              <w:rPr>
                <w:rFonts w:hint="default" w:ascii="Times New Roman" w:hAnsi="Times New Roman" w:eastAsia="方正仿宋_GBK" w:cs="Times New Roman"/>
              </w:rPr>
              <w:t>线以下的全部水域。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取水口侧</w:t>
            </w:r>
            <w:r>
              <w:rPr>
                <w:rFonts w:hint="default" w:ascii="Times New Roman" w:hAnsi="Times New Roman" w:eastAsia="方正仿宋_GBK" w:cs="Times New Roman"/>
                <w:kern w:val="0"/>
                <w:lang w:bidi="ar"/>
              </w:rPr>
              <w:t>多年平均水位</w:t>
            </w:r>
            <w:r>
              <w:rPr>
                <w:rFonts w:hint="default" w:ascii="Times New Roman" w:hAnsi="Times New Roman" w:eastAsia="方正仿宋_GBK" w:cs="Times New Roman"/>
              </w:rPr>
              <w:t>线以上200米范围内的陆域。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/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整个汇水区域。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调整后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福果供水站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拦河埝水库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水库型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福果镇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多年平均水位对应的高程线以下的全部水域。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一级保护区水域外200米范围内的陆域，东侧以堤坝为边界，但不超过流域分水岭范围。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/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一级保护区以外水平距离2000米范围内的陆域，但不超过道路排水沟及山脊线范围。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9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调整前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太平供水站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胜利水库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水库型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太平镇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多年平均水位线以下的全部水域。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取水口侧多年平均水位线以上200米范围内的陆域。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/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整个汇水区域。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调整后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太平供水站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胜利水库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水库型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太平镇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多年平均水位对应的高程线以下的全部水域。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一级保护区水域外200米范围内的陆域，陆域沿岸长度与一级保护区水域长度相同，但不超过流域分水岭范围。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/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一级保护区以外水平距离2000米范围内的陆域，但不超过道路排水沟及山脊线范围。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6838" w:h="11906" w:orient="landscape"/>
      <w:pgMar w:top="1587" w:right="1962" w:bottom="1474" w:left="184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3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3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AyHIUAgAAFQQAAA4AAABkcnMvZTJvRG9jLnhtbK1Ty47TMBTdI/EP&#10;lvc0adG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vr/I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RcDIc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207010</wp:posOffset>
              </wp:positionV>
              <wp:extent cx="8268970" cy="0"/>
              <wp:effectExtent l="0" t="10795" r="17780" b="1778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6897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16.3pt;height:0pt;width:651.1pt;z-index:251663360;mso-width-relative:page;mso-height-relative:page;" filled="f" stroked="t" coordsize="21600,21600" o:gfxdata="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wZ7rP0wAAAAcBAAAPAAAAAAAAAAEAIAAAACIAAABkcnMvZG93&#10;bnJldi54bWxQSwECFAAUAAAACACHTuJAgfEC9swBAABmAwAADgAAAAAAAAABACAAAAAiAQAAZHJz&#10;L2Uyb0RvYy54bWxQSwUGAAAAAAYABgBZAQAAY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3"/>
      <w:wordWrap w:val="0"/>
      <w:jc w:val="right"/>
      <w:rPr>
        <w:rFonts w:hint="eastAsia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EeSs1AAAAAgBAAAPAAAAAAAAAAEAIAAA&#10;ACIAAABkcnMvZG93bnJldi54bWxQSwECFAAUAAAACACHTuJA4+4xGdcBAABvAwAADgAAAAAAAAAB&#10;ACAAAAAjAQAAZHJzL2Uyb0RvYy54bWxQSwUGAAAAAAYABgBZAQAAb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375920</wp:posOffset>
              </wp:positionV>
              <wp:extent cx="8268970" cy="0"/>
              <wp:effectExtent l="0" t="10795" r="17780" b="1778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26897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75pt;margin-top:29.6pt;height:0pt;width:651.1pt;z-index:251662336;mso-width-relative:page;mso-height-relative:page;" filled="f" stroked="t" coordsize="21600,21600" o:gfxdata="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WcoGu1gAAAAkBAAAPAAAAAAAAAAEA&#10;IAAAACIAAABkcnMvZG93bnJldi54bWxQSwECFAAUAAAACACHTuJAwSdGldgBAABvAwAADgAAAAAA&#10;AAABACAAAAAlAQAAZHJzL2Uyb0RvYy54bWxQSwUGAAAAAAYABgBZAQAAb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2" name="图片 2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0C2B8B"/>
    <w:rsid w:val="019E71BD"/>
    <w:rsid w:val="021A1572"/>
    <w:rsid w:val="041C42DA"/>
    <w:rsid w:val="04B679C3"/>
    <w:rsid w:val="05F07036"/>
    <w:rsid w:val="05F34402"/>
    <w:rsid w:val="06E00104"/>
    <w:rsid w:val="080F63D8"/>
    <w:rsid w:val="09341458"/>
    <w:rsid w:val="098254C2"/>
    <w:rsid w:val="0A464D49"/>
    <w:rsid w:val="0A766EDE"/>
    <w:rsid w:val="0AD64BE8"/>
    <w:rsid w:val="0B0912D7"/>
    <w:rsid w:val="0E025194"/>
    <w:rsid w:val="152D2DCA"/>
    <w:rsid w:val="1788336B"/>
    <w:rsid w:val="187168EA"/>
    <w:rsid w:val="196673CA"/>
    <w:rsid w:val="1B2F4AEE"/>
    <w:rsid w:val="1CF734C9"/>
    <w:rsid w:val="1DEC284C"/>
    <w:rsid w:val="1DEE74B5"/>
    <w:rsid w:val="1E6523AC"/>
    <w:rsid w:val="22440422"/>
    <w:rsid w:val="22BB4BBB"/>
    <w:rsid w:val="26D51668"/>
    <w:rsid w:val="2AEB3417"/>
    <w:rsid w:val="31A15F24"/>
    <w:rsid w:val="324A1681"/>
    <w:rsid w:val="330C5393"/>
    <w:rsid w:val="360610FF"/>
    <w:rsid w:val="36FB1DF0"/>
    <w:rsid w:val="395347B5"/>
    <w:rsid w:val="39A232A0"/>
    <w:rsid w:val="39E745AA"/>
    <w:rsid w:val="3B5A6BBB"/>
    <w:rsid w:val="3DFF4A90"/>
    <w:rsid w:val="3EDA13A6"/>
    <w:rsid w:val="3FB5C357"/>
    <w:rsid w:val="40611E0F"/>
    <w:rsid w:val="417B75E9"/>
    <w:rsid w:val="42F058B7"/>
    <w:rsid w:val="436109F6"/>
    <w:rsid w:val="441A38D4"/>
    <w:rsid w:val="4504239D"/>
    <w:rsid w:val="47F5418D"/>
    <w:rsid w:val="47FA3D9F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8AE7E41"/>
    <w:rsid w:val="5CB91BDF"/>
    <w:rsid w:val="5D662AF3"/>
    <w:rsid w:val="5D791EF1"/>
    <w:rsid w:val="5DC34279"/>
    <w:rsid w:val="5DDF1C65"/>
    <w:rsid w:val="5FCD688E"/>
    <w:rsid w:val="5FF9BDAA"/>
    <w:rsid w:val="5FFE5333"/>
    <w:rsid w:val="5FFFE0E2"/>
    <w:rsid w:val="608816D1"/>
    <w:rsid w:val="60EF4E7F"/>
    <w:rsid w:val="648B0A32"/>
    <w:rsid w:val="665233C1"/>
    <w:rsid w:val="69AC0D42"/>
    <w:rsid w:val="6AD9688B"/>
    <w:rsid w:val="6CA8499D"/>
    <w:rsid w:val="6D0E3F22"/>
    <w:rsid w:val="6EF7471E"/>
    <w:rsid w:val="6F6F27E5"/>
    <w:rsid w:val="735A32FB"/>
    <w:rsid w:val="74323DDB"/>
    <w:rsid w:val="744E4660"/>
    <w:rsid w:val="753355A2"/>
    <w:rsid w:val="759F1C61"/>
    <w:rsid w:val="769F2DE8"/>
    <w:rsid w:val="76FDEB7C"/>
    <w:rsid w:val="79C65162"/>
    <w:rsid w:val="7B4C4B79"/>
    <w:rsid w:val="7C9011D9"/>
    <w:rsid w:val="7DC651C5"/>
    <w:rsid w:val="7DF350ED"/>
    <w:rsid w:val="7F7E28B5"/>
    <w:rsid w:val="7F9DA0E8"/>
    <w:rsid w:val="7FCC2834"/>
    <w:rsid w:val="7FF6A4EF"/>
    <w:rsid w:val="92DD1CEF"/>
    <w:rsid w:val="E6B6DFC0"/>
    <w:rsid w:val="EAF9DBA1"/>
    <w:rsid w:val="ED7F476D"/>
    <w:rsid w:val="F05B4F69"/>
    <w:rsid w:val="F49FD0B0"/>
    <w:rsid w:val="F6DF28D1"/>
    <w:rsid w:val="F97D9566"/>
    <w:rsid w:val="FDFF411C"/>
    <w:rsid w:val="FDFFF85A"/>
    <w:rsid w:val="FF5F0C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3">
    <w:name w:val="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2021-09-13T18:41:00Z</dcterms:created>
  <dc:creator>t</dc:creator>
  <cp:lastModifiedBy>ZHANGLIAN</cp:lastModifiedBy>
  <cp:lastPrinted>2022-05-14T16:46:00Z</cp:lastPrinted>
  <dcterms:modified xsi:type="dcterms:W3CDTF">2024-04-22T07:18:55Z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8CDEACF27C3210378A5A136652F33BE8</vt:lpwstr>
  </property>
</Properties>
</file>