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40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5F261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 xml:space="preserve">  </w:t>
      </w:r>
    </w:p>
    <w:p w14:paraId="41F0F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重庆市铜梁区人民政府办公室</w:t>
      </w:r>
    </w:p>
    <w:p w14:paraId="21BE5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关于印发《铜梁区促进农民工就近就业三年</w:t>
      </w:r>
    </w:p>
    <w:p w14:paraId="29141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行动实施方案（2025-2027年）》的通知</w:t>
      </w:r>
    </w:p>
    <w:p w14:paraId="7E14C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铜府办发〔2025〕28号</w:t>
      </w:r>
    </w:p>
    <w:p w14:paraId="2D555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outlineLvl w:val="9"/>
        <w:rPr>
          <w:rFonts w:hint="eastAsia" w:ascii="Times New Roman" w:hAnsi="Times New Roman" w:eastAsia="仿宋" w:cs="MS Gothic"/>
          <w:sz w:val="32"/>
          <w:szCs w:val="32"/>
        </w:rPr>
      </w:pPr>
    </w:p>
    <w:p w14:paraId="136D8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各镇人民政府、街道办事处，区政府各部门，有关单位：</w:t>
      </w:r>
    </w:p>
    <w:p w14:paraId="16E9E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《铜梁区促进农民工就近就业三年行动实施方案（2025-2027年）》已经区第十八届人民政府第155次常务会议审议通过，现印发给你们，请认真贯彻执行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5D5A2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54D965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269E3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重庆市铜梁区人民政府办公室</w:t>
      </w:r>
    </w:p>
    <w:p w14:paraId="7DC5776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2025年12月12日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</w:p>
    <w:p w14:paraId="3617B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18DD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962" w:right="1474" w:bottom="1848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（此件公开发布）</w:t>
      </w:r>
    </w:p>
    <w:p w14:paraId="3E3BA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</w:p>
    <w:p w14:paraId="11ABB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铜梁区促进农民工就近就业三年行动实施方案</w:t>
      </w:r>
    </w:p>
    <w:p w14:paraId="210CD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（2025-2027年）</w:t>
      </w:r>
    </w:p>
    <w:p w14:paraId="3DB78A5F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textAlignment w:val="auto"/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​</w:t>
      </w:r>
    </w:p>
    <w:p w14:paraId="13A793DB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/>
          <w:snapToGrid w:val="0"/>
          <w:sz w:val="32"/>
          <w:szCs w:val="32"/>
        </w:rPr>
      </w:pPr>
      <w:r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  <w:t>为深入贯彻落实党中央、国务院关于稳就业保民生决策部署，落实市委市政府、区委区政府关于农民工工作有关要求，积极应对农民工就业创业面临的形势挑战，切实保障农民工等重点群体稳定就业，助力经济社会高质量发展，制定本方案。</w:t>
      </w:r>
    </w:p>
    <w:p w14:paraId="42D55006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/>
          <w:snapToGrid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napToGrid w:val="0"/>
          <w:sz w:val="32"/>
          <w:szCs w:val="32"/>
          <w:lang w:val="en-US" w:eastAsia="zh-CN"/>
        </w:rPr>
        <w:t>一、总体要求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  <w:t>​</w:t>
      </w:r>
    </w:p>
    <w:p w14:paraId="08E70BE4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/>
          <w:snapToGrid w:val="0"/>
          <w:sz w:val="32"/>
          <w:szCs w:val="32"/>
        </w:rPr>
      </w:pPr>
      <w:r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  <w:t>以提升农民工就业质量和稳定性为核心，以拓宽就业渠道、强化就业服务、深化技能培训、加大创业支持、保障劳动权益为重点，强化政策协同，进一步健全工作机制，压实工作责任，推动农民工就业更加充分、更高质量、更有尊严、更可持续。2025-2027年，全区每年新增农民工就近就业7000人以上</w:t>
      </w:r>
      <w:r>
        <w:rPr>
          <w:rFonts w:hint="eastAsia" w:ascii="Times New Roman" w:hAnsi="Times New Roman" w:eastAsia="方正仿宋_GBK"/>
          <w:snapToGrid w:val="0"/>
          <w:sz w:val="32"/>
          <w:szCs w:val="32"/>
          <w:lang w:val="en-US" w:eastAsia="zh-CN"/>
        </w:rPr>
        <w:t>，总量保持稳定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  <w:t>。</w:t>
      </w:r>
    </w:p>
    <w:p w14:paraId="34D15834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napToGrid w:val="0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napToGrid w:val="0"/>
          <w:sz w:val="32"/>
          <w:szCs w:val="32"/>
          <w:lang w:val="en-US" w:eastAsia="zh-CN"/>
        </w:rPr>
        <w:t>二、重点任务​</w:t>
      </w:r>
    </w:p>
    <w:p w14:paraId="32801584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/>
          <w:snapToGrid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napToGrid w:val="0"/>
          <w:sz w:val="32"/>
          <w:szCs w:val="32"/>
          <w:lang w:val="en-US" w:eastAsia="zh-CN"/>
        </w:rPr>
        <w:t>（一）实施就业容量拓展行动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  <w:t>。持续壮大“33618”现代制造业集群，围绕我区“</w:t>
      </w:r>
      <w:r>
        <w:rPr>
          <w:rFonts w:hint="eastAsia" w:ascii="Times New Roman" w:hAnsi="Times New Roman" w:eastAsia="方正仿宋_GBK"/>
          <w:snapToGrid w:val="0"/>
          <w:sz w:val="32"/>
          <w:szCs w:val="32"/>
          <w:lang w:val="en-US" w:eastAsia="zh-CN"/>
        </w:rPr>
        <w:t>2+3+N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  <w:t>”产业发展，推动产业上下游协作，提供更多高质量就业岗位。大力发展</w:t>
      </w:r>
      <w:r>
        <w:rPr>
          <w:rFonts w:hint="eastAsia" w:ascii="Times New Roman" w:hAnsi="Times New Roman" w:eastAsia="方正仿宋_GBK"/>
          <w:snapToGrid w:val="0"/>
          <w:sz w:val="32"/>
          <w:szCs w:val="32"/>
          <w:lang w:val="en-US" w:eastAsia="zh-CN"/>
        </w:rPr>
        <w:t>新型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  <w:t>储能、现代物流、智能制造、智能装备等</w:t>
      </w:r>
      <w:r>
        <w:rPr>
          <w:rFonts w:hint="eastAsia" w:ascii="Times New Roman" w:hAnsi="Times New Roman" w:eastAsia="方正仿宋_GBK"/>
          <w:snapToGrid w:val="0"/>
          <w:sz w:val="32"/>
          <w:szCs w:val="32"/>
          <w:lang w:val="en-US" w:eastAsia="zh-CN"/>
        </w:rPr>
        <w:t>重点产业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  <w:t>，支持家政、养老、育幼、文化、旅游等生活性服务业发展，每年新吸纳农民工就业3000人以上。加快发展农产品加工、农村电商等乡村新产业新业态，做精乡土特色产业，打造农业全产业链，增加乡村就业岗位，每年新吸纳农民工就业2500人以上。持续开展“把老乡留在老家”专项行动，印发</w:t>
      </w:r>
      <w:r>
        <w:rPr>
          <w:rFonts w:hint="eastAsia" w:ascii="Times New Roman" w:hAnsi="Times New Roman" w:eastAsia="方正仿宋_GBK"/>
          <w:snapToGrid w:val="0"/>
          <w:sz w:val="32"/>
          <w:szCs w:val="32"/>
          <w:lang w:val="en-US" w:eastAsia="zh-CN"/>
        </w:rPr>
        <w:t>致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  <w:t>农民工朋友的一封信，组织返乡农民工到高新区企业参观考察。加大政策宣传，</w:t>
      </w:r>
      <w:r>
        <w:rPr>
          <w:rFonts w:hint="default" w:ascii="Times New Roman" w:hAnsi="Times New Roman" w:eastAsia="方正仿宋_GBK"/>
          <w:snapToGrid w:val="0"/>
          <w:sz w:val="32"/>
          <w:szCs w:val="32"/>
        </w:rPr>
        <w:t>引导铜梁籍人士返乡就业创业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  <w:t>每年新增返乡就业创业1500人以上。落实就业补贴、税收优惠等减负稳岗扩就业政策，大力推广“直补快办”“免申快享”等便捷申领模式，支持企业稳岗扩岗，吸纳更多农民工就业。（区发展改革委、区经济信息委、区商务委、区农业农村委、区文化旅游委、区人力社保局、区税务局</w:t>
      </w:r>
      <w:r>
        <w:rPr>
          <w:rFonts w:hint="eastAsia" w:ascii="Times New Roman" w:hAnsi="Times New Roman" w:eastAsia="方正仿宋_GBK"/>
          <w:snapToGrid w:val="0"/>
          <w:sz w:val="32"/>
          <w:szCs w:val="32"/>
          <w:lang w:val="en-US" w:eastAsia="zh-CN"/>
        </w:rPr>
        <w:t>、高新区管委会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  <w:t>等按职责分工负责）</w:t>
      </w:r>
    </w:p>
    <w:p w14:paraId="59578C5A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/>
          <w:snapToGrid w:val="0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napToGrid w:val="0"/>
          <w:sz w:val="32"/>
          <w:szCs w:val="32"/>
          <w:lang w:val="en-US" w:eastAsia="zh-CN"/>
        </w:rPr>
        <w:t>（二）实施就近岗位开发行动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  <w:t>。深入实施以工代赈，挖掘农业农村基础设施项目和政府投资重点工程项目的用工潜力，扩大劳务报酬发放规模，力争每年带动就业800人以上。鼓励依托自身产业基础，建设机械加工、特色农产品、文旅产品生产等劳动密集型就业帮扶车间，促进农民工“家门口”就业。</w:t>
      </w:r>
      <w:r>
        <w:rPr>
          <w:rFonts w:hint="eastAsia" w:ascii="Times New Roman" w:hAnsi="Times New Roman" w:eastAsia="方正仿宋_GBK"/>
          <w:snapToGrid w:val="0"/>
          <w:sz w:val="32"/>
          <w:szCs w:val="32"/>
          <w:lang w:val="en-US" w:eastAsia="zh-CN"/>
        </w:rPr>
        <w:t>加强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  <w:t>就业帮扶车间建设，鼓励依托自身产业基础，建设机械加工、特色农产品、文旅产品生产等劳动密集型就业帮扶车间，促进农民工“家门口”就业。围绕公共服务、社会事业和公共管理等县域公共服务短板领域，适度拓展城乡公益性岗位开发范围，每年公益性岗位数量保持在1000人以上。（区发展改革委、区经济信息委、区住房城乡建委、区农业农村委、区人力社保局、区财政局等按职责分工负责）</w:t>
      </w:r>
    </w:p>
    <w:p w14:paraId="1013005E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snapToGrid w:val="0"/>
          <w:sz w:val="32"/>
          <w:szCs w:val="32"/>
          <w:lang w:val="en-US" w:eastAsia="zh-CN"/>
        </w:rPr>
        <w:t>（三）实施灵活就业支持行动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  <w:t>。支持农民工参与平台经济，充分利用</w:t>
      </w:r>
      <w:r>
        <w:rPr>
          <w:rFonts w:hint="eastAsia" w:ascii="Times New Roman" w:hAnsi="Times New Roman" w:eastAsia="方正仿宋_GBK"/>
          <w:snapToGrid w:val="0"/>
          <w:sz w:val="32"/>
          <w:szCs w:val="32"/>
          <w:lang w:val="en-US" w:eastAsia="zh-CN"/>
        </w:rPr>
        <w:t>外卖平台、网络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  <w:t>平台</w:t>
      </w:r>
      <w:r>
        <w:rPr>
          <w:rFonts w:hint="eastAsia" w:ascii="Times New Roman" w:hAnsi="Times New Roman" w:eastAsia="方正仿宋_GBK"/>
          <w:snapToGrid w:val="0"/>
          <w:sz w:val="32"/>
          <w:szCs w:val="32"/>
          <w:lang w:val="en-US" w:eastAsia="zh-CN"/>
        </w:rPr>
        <w:t>等，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  <w:t>通过新就业形态实现就近就业。依托智慧人力资源市场、零工市场（驿站）等就业载体，广泛收集非全日制用工、临时性和阶段性用工等信息，为劳动者提供现场招聘、技能培训、权益保障等综合服务。强化政策</w:t>
      </w:r>
      <w:r>
        <w:rPr>
          <w:rFonts w:hint="eastAsia" w:ascii="Times New Roman" w:hAnsi="Times New Roman" w:eastAsia="方正仿宋_GBK"/>
          <w:snapToGrid w:val="0"/>
          <w:sz w:val="32"/>
          <w:szCs w:val="32"/>
          <w:lang w:val="en-US" w:eastAsia="zh-CN"/>
        </w:rPr>
        <w:t>支撑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  <w:t>，对符合条件的家政服务从业者、个体工商户雇工、商贩、网约车驾驶员等灵活就业的农民工</w:t>
      </w:r>
      <w:r>
        <w:rPr>
          <w:rFonts w:hint="eastAsia" w:ascii="Times New Roman" w:hAnsi="Times New Roman" w:eastAsia="方正仿宋_GBK"/>
          <w:snapToGrid w:val="0"/>
          <w:sz w:val="32"/>
          <w:szCs w:val="32"/>
          <w:lang w:val="en-US" w:eastAsia="zh-CN"/>
        </w:rPr>
        <w:t>严格落实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  <w:t>社会保险补贴等</w:t>
      </w:r>
      <w:r>
        <w:rPr>
          <w:rFonts w:hint="eastAsia" w:ascii="Times New Roman" w:hAnsi="Times New Roman" w:eastAsia="方正仿宋_GBK"/>
          <w:snapToGrid w:val="0"/>
          <w:sz w:val="32"/>
          <w:szCs w:val="32"/>
          <w:lang w:val="en-US" w:eastAsia="zh-CN"/>
        </w:rPr>
        <w:t>政策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  <w:t>。（区商务委、区交通运输委、区人力社保局、区财政局等按职责分工负责）</w:t>
      </w:r>
    </w:p>
    <w:p w14:paraId="61D70EC9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/>
          <w:snapToGrid w:val="0"/>
          <w:sz w:val="32"/>
          <w:szCs w:val="32"/>
          <w:lang w:eastAsia="zh-CN"/>
        </w:rPr>
      </w:pPr>
      <w:r>
        <w:rPr>
          <w:rFonts w:hint="default" w:ascii="方正楷体_GBK" w:hAnsi="方正楷体_GBK" w:eastAsia="方正楷体_GBK" w:cs="方正楷体_GBK"/>
          <w:snapToGrid w:val="0"/>
          <w:sz w:val="32"/>
          <w:szCs w:val="32"/>
          <w:lang w:val="en-US" w:eastAsia="zh-CN"/>
        </w:rPr>
        <w:t>（四）实施劳务品牌培育行动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  <w:t>。进一步加强我区劳务品牌建设，推动实现更加充分更高质量就业</w:t>
      </w:r>
      <w:r>
        <w:rPr>
          <w:rFonts w:hint="eastAsia" w:ascii="Times New Roman" w:hAnsi="Times New Roman" w:eastAsia="方正仿宋_GBK"/>
          <w:snapToGrid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  <w:t>结合我区文化特色、产业基础等优势，</w:t>
      </w:r>
      <w:r>
        <w:rPr>
          <w:rFonts w:hint="eastAsia" w:ascii="Times New Roman" w:hAnsi="Times New Roman" w:eastAsia="方正仿宋_GBK"/>
          <w:snapToGrid w:val="0"/>
          <w:sz w:val="32"/>
          <w:szCs w:val="32"/>
          <w:lang w:val="en-US" w:eastAsia="zh-CN"/>
        </w:rPr>
        <w:t>积极培育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  <w:t>带动就业能力强的</w:t>
      </w:r>
      <w:r>
        <w:rPr>
          <w:rFonts w:hint="eastAsia" w:ascii="Times New Roman" w:hAnsi="Times New Roman" w:eastAsia="方正仿宋_GBK"/>
          <w:snapToGrid w:val="0"/>
          <w:sz w:val="32"/>
          <w:szCs w:val="32"/>
          <w:lang w:val="en-US" w:eastAsia="zh-CN"/>
        </w:rPr>
        <w:t>市级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  <w:t>劳务品牌。加强政策配套，积极宣传实施家政品牌培育计划，聚合</w:t>
      </w:r>
      <w:r>
        <w:rPr>
          <w:rFonts w:hint="eastAsia" w:ascii="Times New Roman" w:hAnsi="Times New Roman" w:eastAsia="方正仿宋_GBK"/>
          <w:snapToGrid w:val="0"/>
          <w:sz w:val="32"/>
          <w:szCs w:val="32"/>
          <w:lang w:val="en-US" w:eastAsia="zh-CN"/>
        </w:rPr>
        <w:t>优势企业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  <w:t>，打造</w:t>
      </w:r>
      <w:r>
        <w:rPr>
          <w:rFonts w:hint="eastAsia" w:ascii="Times New Roman" w:hAnsi="Times New Roman" w:eastAsia="方正仿宋_GBK"/>
          <w:snapToGrid w:val="0"/>
          <w:sz w:val="32"/>
          <w:szCs w:val="32"/>
          <w:lang w:val="en-US" w:eastAsia="zh-CN"/>
        </w:rPr>
        <w:t>“铜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  <w:t>嫂</w:t>
      </w:r>
      <w:r>
        <w:rPr>
          <w:rFonts w:hint="eastAsia" w:ascii="Times New Roman" w:hAnsi="Times New Roman" w:eastAsia="方正仿宋_GBK"/>
          <w:snapToGrid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  <w:t>等家政品牌，提升家政服务业吸纳农民工就业的能力。（区人力社保局、区农业农村委、区经济信息委、区商务委、区文化旅游委、区财政局等按职责分工负责）</w:t>
      </w:r>
    </w:p>
    <w:p w14:paraId="226F1877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/>
          <w:snapToGrid w:val="0"/>
          <w:sz w:val="32"/>
          <w:szCs w:val="32"/>
          <w:lang w:eastAsia="zh-CN"/>
        </w:rPr>
      </w:pPr>
      <w:r>
        <w:rPr>
          <w:rFonts w:hint="default" w:ascii="方正楷体_GBK" w:hAnsi="方正楷体_GBK" w:eastAsia="方正楷体_GBK" w:cs="方正楷体_GBK"/>
          <w:snapToGrid w:val="0"/>
          <w:sz w:val="32"/>
          <w:szCs w:val="32"/>
          <w:lang w:val="en-US" w:eastAsia="zh-CN"/>
        </w:rPr>
        <w:t>（五）实施系列招聘对接行动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  <w:t>。积极开展“春暖农民工”“春风行动”“就业援助月”“民营企业服务月”“金秋招聘月”等公共就业服务专项活动，创新举办“人才夜市”“直播带岗”等活动，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eastAsia="zh-CN"/>
        </w:rPr>
        <w:t>针对高校毕业生、退役军人、脱贫人口等重点群体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  <w:t>常态化组织“小而精、专而优”的专场招聘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  <w:t>每年开展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eastAsia="zh-CN"/>
        </w:rPr>
        <w:t>招聘活动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  <w:t>100场以上。推广使用“渝职聘”“铜梁就业”线上平台，收集发布就业创业政策、岗位信息。发挥劳务经纪人、就业服务专员等基层队伍作用，为农民工提供政策宣传、就业咨询等服务。（区人力社保局、区经济信息委、区商务委等按职责分工负责）​</w:t>
      </w:r>
    </w:p>
    <w:p w14:paraId="260305A6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/>
          <w:snapToGrid w:val="0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napToGrid w:val="0"/>
          <w:sz w:val="32"/>
          <w:szCs w:val="32"/>
          <w:lang w:val="en-US" w:eastAsia="zh-CN"/>
        </w:rPr>
        <w:t>（六）实施返乡创业扶持行动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  <w:t>。健全招商项目落地全程服务机制，有力有序做好融资、用工、用地各类生产要素保障。深化创业领域“放管服”改革，优化营商环境。加大创业扶持力度，</w:t>
      </w:r>
      <w:r>
        <w:rPr>
          <w:rFonts w:hint="eastAsia" w:ascii="Times New Roman" w:hAnsi="Times New Roman" w:eastAsia="方正仿宋_GBK"/>
          <w:snapToGrid w:val="0"/>
          <w:sz w:val="32"/>
          <w:szCs w:val="32"/>
          <w:lang w:val="en-US" w:eastAsia="zh-CN"/>
        </w:rPr>
        <w:t>落实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  <w:t>创业担保贷款贴息</w:t>
      </w:r>
      <w:r>
        <w:rPr>
          <w:rFonts w:hint="eastAsia" w:ascii="Times New Roman" w:hAnsi="Times New Roman" w:eastAsia="方正仿宋_GBK"/>
          <w:snapToGrid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  <w:t>一次性创业补贴</w:t>
      </w:r>
      <w:r>
        <w:rPr>
          <w:rFonts w:hint="eastAsia" w:ascii="Times New Roman" w:hAnsi="Times New Roman" w:eastAsia="方正仿宋_GBK"/>
          <w:snapToGrid w:val="0"/>
          <w:sz w:val="32"/>
          <w:szCs w:val="32"/>
          <w:lang w:val="en-US" w:eastAsia="zh-CN"/>
        </w:rPr>
        <w:t>等创业扶持政策，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  <w:t>破解小微企业和个体创业者创业起步资金紧缺的瓶颈</w:t>
      </w:r>
      <w:r>
        <w:rPr>
          <w:rFonts w:hint="eastAsia" w:ascii="Times New Roman" w:hAnsi="Times New Roman" w:eastAsia="方正仿宋_GBK"/>
          <w:snapToGrid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  <w:t>鼓励社会各方充分利用老旧商业设施、仓储设施、闲置楼宇、过剩商业地产、闲置厂房等资源，以多种形式</w:t>
      </w:r>
      <w:r>
        <w:rPr>
          <w:rFonts w:hint="eastAsia" w:ascii="Times New Roman" w:hAnsi="Times New Roman" w:eastAsia="方正仿宋_GBK"/>
          <w:snapToGrid w:val="0"/>
          <w:sz w:val="32"/>
          <w:szCs w:val="32"/>
          <w:lang w:val="en-US" w:eastAsia="zh-CN"/>
        </w:rPr>
        <w:t>建设，引导符合条件的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  <w:t>主体</w:t>
      </w:r>
      <w:r>
        <w:rPr>
          <w:rFonts w:hint="eastAsia" w:ascii="Times New Roman" w:hAnsi="Times New Roman" w:eastAsia="方正仿宋_GBK"/>
          <w:snapToGrid w:val="0"/>
          <w:sz w:val="32"/>
          <w:szCs w:val="32"/>
          <w:lang w:val="en-US" w:eastAsia="zh-CN"/>
        </w:rPr>
        <w:t>积极申报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  <w:t>市级创业孵化基地（园区）</w:t>
      </w:r>
      <w:r>
        <w:rPr>
          <w:rFonts w:hint="eastAsia" w:ascii="Times New Roman" w:hAnsi="Times New Roman" w:eastAsia="方正仿宋_GBK"/>
          <w:snapToGrid w:val="0"/>
          <w:sz w:val="32"/>
          <w:szCs w:val="32"/>
          <w:lang w:val="en-US" w:eastAsia="zh-CN"/>
        </w:rPr>
        <w:t>，助推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  <w:t>创业孵化基地（园区）可持续发展</w:t>
      </w:r>
      <w:r>
        <w:rPr>
          <w:rFonts w:hint="eastAsia" w:ascii="Times New Roman" w:hAnsi="Times New Roman" w:eastAsia="方正仿宋_GBK"/>
          <w:snapToGrid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  <w:t>完善农民工返乡创业“导师库”“项目库”，促进要素资源高效流通对接，为返乡创业企业持续提供开业指导、政策咨询、品牌培育、宣传推广等“一站式”服务。（区发展改革委、区商务委、区农业农村委、区人力社保局、区财政局</w:t>
      </w:r>
      <w:r>
        <w:rPr>
          <w:rFonts w:hint="eastAsia" w:ascii="Times New Roman" w:hAnsi="Times New Roman" w:eastAsia="方正仿宋_GBK"/>
          <w:snapToGrid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  <w:t>区市场监管局、区工商联等按职责分工负责）</w:t>
      </w:r>
    </w:p>
    <w:p w14:paraId="65CDADA2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snapToGrid w:val="0"/>
          <w:sz w:val="32"/>
          <w:szCs w:val="32"/>
          <w:lang w:val="en-US" w:eastAsia="zh-CN"/>
        </w:rPr>
        <w:t>（七）实施技能素质提升行动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  <w:t>。完善终身职业技能培训体系，强化“培训+产业”“培训+评价”“培训+就业”联动，每年开展新型学徒制高技能人才、农民工职业技能培训2000人次以上。做好失业农民工转岗技能培训，以适应新的产业用工需求。实施企业职工学历技能双提升计划，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eastAsia="zh-CN"/>
        </w:rPr>
        <w:t>每年开展新型学徒制培训200人以上、学</w:t>
      </w:r>
      <w:r>
        <w:rPr>
          <w:rFonts w:hint="default" w:ascii="Times New Roman" w:hAnsi="Times New Roman" w:eastAsia="方正仿宋_GBK"/>
          <w:snapToGrid w:val="0"/>
          <w:spacing w:val="6"/>
          <w:sz w:val="32"/>
          <w:szCs w:val="32"/>
          <w:lang w:eastAsia="zh-CN"/>
        </w:rPr>
        <w:t>历提升100人以上。发挥“巴渝工匠”乡村驿站作用，为农民工提供便捷化、扁平化、实用化的短期技能培训。鼓励农民工培训后参加职业技能等级评价，每年获得相关职业工种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eastAsia="zh-CN"/>
        </w:rPr>
        <w:t>证书1500人次以上</w:t>
      </w:r>
      <w:r>
        <w:rPr>
          <w:rFonts w:hint="eastAsia" w:ascii="Times New Roman" w:hAnsi="Times New Roman" w:eastAsia="方正仿宋_GBK"/>
          <w:snapToGrid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eastAsia="zh-CN"/>
        </w:rPr>
        <w:t>高级工300人次以上。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  <w:t>（区人力社保局、区农业农村委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  <w:t>区总工会等按职责分工负责）</w:t>
      </w:r>
    </w:p>
    <w:p w14:paraId="5A1FA0D5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/>
          <w:snapToGrid w:val="0"/>
          <w:sz w:val="32"/>
          <w:szCs w:val="32"/>
          <w:lang w:eastAsia="zh-CN"/>
        </w:rPr>
      </w:pPr>
      <w:r>
        <w:rPr>
          <w:rFonts w:hint="default" w:ascii="方正楷体_GBK" w:hAnsi="方正楷体_GBK" w:eastAsia="方正楷体_GBK" w:cs="方正楷体_GBK"/>
          <w:snapToGrid w:val="0"/>
          <w:sz w:val="32"/>
          <w:szCs w:val="32"/>
          <w:lang w:val="en-US" w:eastAsia="zh-CN"/>
        </w:rPr>
        <w:t>（八）实施困难农民工帮扶行动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  <w:t>。健全大龄农民工就业帮扶机制，广泛筹集适合大龄农民工的保安保洁、仓库管理、小区物业秩序维护、工厂物料整理员等岗位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  <w:t>开展送岗上门活动。根据大龄农民工就业需求和企业用工需要，指导企业合理安排工作岗位，定期开展职业健康体检。及时做好生活困难农民工的社会救助工</w:t>
      </w:r>
      <w:r>
        <w:rPr>
          <w:rFonts w:hint="default" w:ascii="Times New Roman" w:hAnsi="Times New Roman" w:eastAsia="方正仿宋_GBK"/>
          <w:snapToGrid w:val="0"/>
          <w:spacing w:val="6"/>
          <w:sz w:val="32"/>
          <w:szCs w:val="32"/>
          <w:lang w:val="en-US" w:eastAsia="zh-CN"/>
        </w:rPr>
        <w:t>作。为登记失业</w:t>
      </w:r>
      <w:r>
        <w:rPr>
          <w:rFonts w:hint="eastAsia" w:ascii="Times New Roman" w:hAnsi="Times New Roman" w:eastAsia="方正仿宋_GBK"/>
          <w:snapToGrid w:val="0"/>
          <w:spacing w:val="6"/>
          <w:sz w:val="32"/>
          <w:szCs w:val="32"/>
          <w:lang w:val="en-US" w:eastAsia="zh-CN"/>
        </w:rPr>
        <w:t>的每位脱贫人口</w:t>
      </w:r>
      <w:r>
        <w:rPr>
          <w:rFonts w:hint="default" w:ascii="Times New Roman" w:hAnsi="Times New Roman" w:eastAsia="方正仿宋_GBK"/>
          <w:snapToGrid w:val="0"/>
          <w:spacing w:val="6"/>
          <w:sz w:val="32"/>
          <w:szCs w:val="32"/>
          <w:lang w:val="en-US" w:eastAsia="zh-CN"/>
        </w:rPr>
        <w:t>提供至少1次政策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  <w:t>宣介、1次职业指导、3次岗位推送、1次就业培训推荐，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eastAsia="zh-CN"/>
        </w:rPr>
        <w:t>每年帮扶农民工1000人次以上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  <w:t>。（区人力社保局、区卫生健康委、区民政局等按职责分工负责）​</w:t>
      </w:r>
    </w:p>
    <w:p w14:paraId="429B253D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/>
          <w:snapToGrid w:val="0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napToGrid w:val="0"/>
          <w:sz w:val="32"/>
          <w:szCs w:val="32"/>
          <w:lang w:val="en-US" w:eastAsia="zh-CN"/>
        </w:rPr>
        <w:t>（九）实施劳动权益维护行动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  <w:t>。推动社保高质量扩面，开展社保政策宣传，动员引导未参保人员参保、中断缴费人员接续缴费、有条件的人员提高参保缴费档次。全面落实超龄人员工伤保险参保专项政策，推进建设施工项目参加工伤保险。推进新就业形态人员职业伤害保障试点，针对平台企业和从业人员开展职业伤害预防，从源头上预防职业伤害事故发生。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eastAsia="zh-CN"/>
        </w:rPr>
        <w:t>发挥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  <w:t>“零工驿站”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eastAsia="zh-CN"/>
        </w:rPr>
        <w:t>作用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  <w:t>，督促平台企业落实新就业形态劳动者休息和劳动报酬权益，确保平台劳动规则公平透明。开展劳动者合法权益法律援助，为符合条件的农民工在维护权益各环节提供精准、便捷、优质的法律援助服务。深入推进治理欠薪工作，集中纠治欠薪违法行为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eastAsia="zh-CN"/>
        </w:rPr>
        <w:t>，实现欠薪投诉立案办结率达98%以上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  <w:t>。强化农民工工资争议案件优先受理，快调速裁农民工工资争议案件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eastAsia="zh-CN"/>
        </w:rPr>
        <w:t>，劳动争议案件结案率达97%以上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  <w:t>。（区司法局、区人力社保局、区住房城乡建委、区交通运输委等按职责分工负责）</w:t>
      </w:r>
    </w:p>
    <w:p w14:paraId="61166EB6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snapToGrid w:val="0"/>
          <w:sz w:val="32"/>
          <w:szCs w:val="32"/>
          <w:lang w:val="en-US" w:eastAsia="zh-CN"/>
        </w:rPr>
        <w:t>（十）实施公共服务保障行动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  <w:t>。修订完善产业人才支持政策，</w:t>
      </w:r>
      <w:r>
        <w:rPr>
          <w:rFonts w:hint="eastAsia" w:ascii="Times New Roman" w:hAnsi="Times New Roman" w:eastAsia="方正仿宋_GBK"/>
          <w:snapToGrid w:val="0"/>
          <w:sz w:val="32"/>
          <w:szCs w:val="32"/>
          <w:lang w:val="en-US" w:eastAsia="zh-CN"/>
        </w:rPr>
        <w:t>迭代升级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eastAsia="zh-CN"/>
        </w:rPr>
        <w:t>用工保障十条措施，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  <w:t>为来铜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eastAsia="zh-CN"/>
        </w:rPr>
        <w:t>农民工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eastAsia="zh-CN"/>
        </w:rPr>
        <w:t>安居落户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  <w:t>、子女入学、医疗保障等方面提供有力支持。为符合条件的农民工落户提供便捷，推动有意愿的进城农民工在城区落户。畅通入学通道，确保农民工随迁子女“应入尽入”，将农民工随迁子女与城市居民子女同等编班、同等享受教育资源、同等参加各种教育活动。强化公租房的基本住房保障能力。围绕农民工住房需求，紧靠商业商务区、产业园区、校区、院区（医院），打造保障性租赁住房。积极推动配售型保障性住房建设，将农民工纳入配售对象范围。优化住房公积金缴存使用机制，加大租购住房使用支持力度，满足农民工多样化需求。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eastAsia="zh-CN"/>
        </w:rPr>
        <w:t>帮助农民工更好融入城市，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  <w:t>每年开展农民工新市民培训300人次以上。积极参与“重庆农民工日”等活动，为农民工集中提供公共服务。持续实施流动文化进村项目，丰富农民工精神文化生活。加强工会驿站建设，组织开展典型推选活动。（区公安局、区教委、区人力社保局、区住房城乡建委、区文化旅游委、区总工会等按职责分工负责）</w:t>
      </w:r>
    </w:p>
    <w:p w14:paraId="7DEF54FA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napToGrid w:val="0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napToGrid w:val="0"/>
          <w:sz w:val="32"/>
          <w:szCs w:val="32"/>
          <w:lang w:val="en-US" w:eastAsia="zh-CN"/>
        </w:rPr>
        <w:t>三、保障措施​</w:t>
      </w:r>
    </w:p>
    <w:p w14:paraId="4A163BE3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/>
          <w:snapToGrid w:val="0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napToGrid w:val="0"/>
          <w:sz w:val="32"/>
          <w:szCs w:val="32"/>
          <w:lang w:val="en-US" w:eastAsia="zh-CN"/>
        </w:rPr>
        <w:t>（一）加强组织领导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  <w:t>。建立由区人力社保局牵头、区级有关部门参与的农民工就近就业工作部门联席会议制度，通报工作进展，研究解决重难点问题。区级有关部门要按照职责分工推进落实，形成工作合力。各镇街要落实属地责任，细化实化政策措施，保证各项工作落实落地。​</w:t>
      </w:r>
    </w:p>
    <w:p w14:paraId="75C4C5A5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/>
          <w:snapToGrid w:val="0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napToGrid w:val="0"/>
          <w:sz w:val="32"/>
          <w:szCs w:val="32"/>
          <w:lang w:val="en-US" w:eastAsia="zh-CN"/>
        </w:rPr>
        <w:t>（二）做好数据监测</w:t>
      </w:r>
      <w:r>
        <w:rPr>
          <w:rFonts w:hint="default" w:ascii="Times New Roman" w:hAnsi="Times New Roman" w:eastAsia="方正仿宋_GBK"/>
          <w:snapToGrid w:val="0"/>
          <w:sz w:val="32"/>
          <w:szCs w:val="32"/>
          <w:lang w:val="en-US" w:eastAsia="zh-CN"/>
        </w:rPr>
        <w:t>。发挥村（社区）劳务经纪人作用，开展人力资源信息库更新，综合采用大数据监测、部门信息调度、问卷调查等方式，依托公共就业服务平台、劳务经纪人等实时掌握农民工返乡返岗信息、外出务工和本地就业规模、行业分布等情况，做到人员底数清、参保情况清、服务需求清。​</w:t>
      </w:r>
    </w:p>
    <w:p w14:paraId="5C49888D"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firstLine="640" w:firstLineChars="200"/>
        <w:textAlignment w:val="auto"/>
        <w:rPr>
          <w:rFonts w:hint="default"/>
          <w:lang w:eastAsia="zh-CN"/>
        </w:rPr>
        <w:sectPr>
          <w:pgSz w:w="11906" w:h="16838"/>
          <w:pgMar w:top="1962" w:right="1474" w:bottom="1848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default" w:ascii="方正楷体_GBK" w:hAnsi="方正楷体_GBK" w:eastAsia="方正楷体_GBK" w:cs="方正楷体_GBK"/>
          <w:b w:val="0"/>
          <w:bCs w:val="0"/>
          <w:snapToGrid w:val="0"/>
          <w:sz w:val="32"/>
          <w:szCs w:val="32"/>
          <w:lang w:val="en-US" w:eastAsia="zh-CN"/>
        </w:rPr>
        <w:t>（三）强化宣传引导</w:t>
      </w:r>
      <w:r>
        <w:rPr>
          <w:rFonts w:hint="default" w:ascii="Times New Roman" w:hAnsi="Times New Roman" w:eastAsia="方正仿宋_GBK"/>
          <w:b w:val="0"/>
          <w:bCs w:val="0"/>
          <w:snapToGrid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snapToGrid w:val="0"/>
          <w:kern w:val="2"/>
          <w:sz w:val="32"/>
          <w:szCs w:val="32"/>
          <w:lang w:val="en-US" w:eastAsia="zh-CN" w:bidi="ar-SA"/>
        </w:rPr>
        <w:t>充分运用传统媒体和新兴媒体，开展“引老乡、回家乡、建家乡”主题宣传，讲好农民工返乡创业、就近就业故事，及时回应社会关切，推动形成全社会共同关心支持农民工就近就业的良好氛围。</w:t>
      </w:r>
      <w:bookmarkStart w:id="0" w:name="_GoBack"/>
      <w:bookmarkEnd w:id="0"/>
    </w:p>
    <w:p w14:paraId="0C2FE678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" w:lineRule="exact"/>
        <w:textAlignment w:val="auto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type w:val="continuous"/>
      <w:pgSz w:w="11906" w:h="16838"/>
      <w:pgMar w:top="1474" w:right="1848" w:bottom="1587" w:left="1962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9" w:usb3="00000000" w:csb0="000001F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Times Newer Roman">
    <w:altName w:val="Times New Roman"/>
    <w:panose1 w:val="00000500000000000000"/>
    <w:charset w:val="00"/>
    <w:family w:val="auto"/>
    <w:pitch w:val="default"/>
    <w:sig w:usb0="00000000" w:usb1="00000000" w:usb2="00000000" w:usb3="00000000" w:csb0="0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95A13">
    <w:pPr>
      <w:pStyle w:val="11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-173990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E85499">
                          <w:pPr>
                            <w:pStyle w:val="10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7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LmeI+dYAAAAI&#10;AQAADwAAAGRycy9kb3ducmV2LnhtbE2PzU7DMBCE70i8g7VI3Fq7oQpRiFOJinBEouHA0Y23SYp/&#10;IttNw9uznOC2uzOa/abaLdawGUMcvZOwWQtg6DqvR9dL+GibVQEsJuW0Mt6hhG+MsKtvbypVan91&#10;7zgfUs8oxMVSSRhSmkrOYzegVXHtJ3SknXywKtEaeq6DulK4NTwTIudWjY4+DGrC/YDd1+FiJeyb&#10;tg0zxmA+8bV5OL89b/FlkfL+biOegCVc0p8ZfvEJHWpiOvqL05EZCVQkSVhlj1tgJGdFQZcjDbnI&#10;gdcV/1+g/gFQSwMEFAAAAAgAh07iQOsAOHoxAgAAYwQAAA4AAABkcnMvZTJvRG9jLnhtbK1US44T&#10;MRDdI3EHy3vSSRCjKEpnFCYKQoqYkQJi7bjdaUv+yXbSHQ4AN2DFhj3nyjl47k8GDSxmwcZddpVf&#10;1XtV7sVtoxU5CR+kNTmdjMaUCMNtIc0hp58+bl7NKAmRmYIpa0ROzyLQ2+XLF4vazcXUVlYVwhOA&#10;mDCvXU6rGN08ywKvhGZhZJ0wcJbWaxax9Yes8KwGulbZdDy+yWrrC+ctFyHgdN05aY/onwNoy1Jy&#10;sbb8qIWJHaoXikVQCpV0gS7bastS8HhflkFEonIKprFdkQT2Pq3ZcsHmB89cJXlfAntOCU84aSYN&#10;kl6h1iwycvTyLygtubfBlnHErc46Iq0iYDEZP9FmVzEnWi6QOrir6OH/wfIPpwdPZIFJmFBimEbH&#10;L9+/XX78uvz8SnAGgWoX5ojbOUTG5q1tEDycBxwm3k3pdfqCEYEf8p6v8oomEp4uzaaz2RguDt+w&#10;AX72eN35EN8Jq0kycurRv1ZWdtqG2IUOISmbsRupVNtDZUid05vXb8bthasH4MogRyLRFZus2Oyb&#10;ntneFmcQ87abjeD4RiL5loX4wDyGAQXjucR7LKWySGJ7i5LK+i//Ok/x6BG8lNQYrpwavCVK1HuD&#10;3gEwDoYfjP1gmKO+s5hWtAO1tCYu+KgGs/RWf8YbWqUccDHDkSmncTDvYjfgeINcrFZt0NF5eai6&#10;C5g8x+LW7BxPaZKQwa2OEWK2GieBOlV63TB7bZf6d5KG+899G/X4b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5niPnWAAAACAEAAA8AAAAAAAAAAQAgAAAAIgAAAGRycy9kb3ducmV2LnhtbFBL&#10;AQIUABQAAAAIAIdO4kDrADh6MQIAAGM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E85499">
                    <w:pPr>
                      <w:pStyle w:val="10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52070</wp:posOffset>
              </wp:positionH>
              <wp:positionV relativeFrom="paragraph">
                <wp:posOffset>123190</wp:posOffset>
              </wp:positionV>
              <wp:extent cx="5616575" cy="1905"/>
              <wp:effectExtent l="0" t="10795" r="3175" b="15875"/>
              <wp:wrapNone/>
              <wp:docPr id="13" name="直接连接符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4.1pt;margin-top:9.7pt;height:0.15pt;width:442.25pt;z-index:251661312;mso-width-relative:page;mso-height-relative:page;" filled="f" stroked="t" coordsize="21600,21600" o:gfxdata="UEsDBAoAAAAAAIdO4kAAAAAAAAAAAAAAAAAEAAAAZHJzL1BLAwQUAAAACACHTuJAOdiKUtMAAAAH&#10;AQAADwAAAGRycy9kb3ducmV2LnhtbE2OvU7DMBSFdyTewbpIbNSpQTQNcSoRiQkYaMvuxm4cNb62&#10;bDcpb8/tBOP50Tlfvbm4kU0mpsGjhOWiAGaw83rAXsJ+9/ZQAktZoVajRyPhxyTYNLc3taq0n/HL&#10;TNvcMxrBVCkJNudQcZ46a5xKCx8MUnb00alMMvZcRzXTuBu5KIpn7tSA9GBVMK013Wl7dhLa9yBa&#10;+7mbo3hNH/30OIbj6VvK+7tl8QIsm0v+K8MVn9ChIaaDP6NObJRQCiqSvX4CRnG5Fitgh6uxAt7U&#10;/D9/8wtQSwMEFAAAAAgAh07iQK02yK7qAQAAtwMAAA4AAABkcnMvZTJvRG9jLnhtbK1TzY7TMBC+&#10;I/EOlu80aVHLbtR0D1stFwSVgAeYOk5iyX/yeJv2JXgBJG5w4sidt2F5DMZO6MJy2QM5OOP5+Tzf&#10;5/H66mg0O8iAytmaz2clZ9IK1yjb1fz9u5tnF5xhBNuAdlbW/CSRX22ePlkPvpIL1zvdyMAIxGI1&#10;+Jr3MfqqKFD00gDOnJeWgq0LBiJtQ1c0AQZCN7pYlOWqGFxofHBCIpJ3Owb5hBgeA+jaVgm5deLW&#10;SBtH1CA1RKKEvfLIN7nbtpUivmlblJHpmhPTmFc6hOx9WovNGqougO+VmFqAx7TwgJMBZenQM9QW&#10;IrDboP6BMkoEh66NM+FMMRLJihCLeflAm7c9eJm5kNToz6Lj/4MVrw+7wFRDk/CcMwuGbvzu47cf&#10;Hz7//P6J1ruvXxhFSKbBY0XZ13YXph36XUicj20w6U9s2DFLezpLK4+RCXIuV/PV8sWSM0Gx+WW5&#10;TJDFfa0PGF9KZ1gyaq6VTcShgsMrjGPq75Tktu5GaU1+qLRlQ80X9CV0oIlsaRLINJ5Yoe04A93R&#10;qIsYMiQ6rZpUnqoxdPtrHdgB0oCUy/nlYursr7R09hawH/NyKKVBZVSk16CVqflFmb6pWluilyQb&#10;RUrW3jWnrF32031mAabZSwPz5z5X37+3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52IpS0wAA&#10;AAcBAAAPAAAAAAAAAAEAIAAAACIAAABkcnMvZG93bnJldi54bWxQSwECFAAUAAAACACHTuJArTbI&#10;ruoBAAC3AwAADgAAAAAAAAABACAAAAAi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64973409">
    <w:pPr>
      <w:pStyle w:val="11"/>
      <w:ind w:firstLine="3654" w:firstLineChars="13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铜梁区人民政府办公室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 xml:space="preserve"> 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    </w:t>
    </w:r>
  </w:p>
  <w:p w14:paraId="576D18E0">
    <w:pPr>
      <w:pStyle w:val="11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231C6">
    <w:pPr>
      <w:pStyle w:val="11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-173990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41F84E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7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LmeI+dYAAAAI&#10;AQAADwAAAGRycy9kb3ducmV2LnhtbE2PzU7DMBCE70i8g7VI3Fq7oQpRiFOJinBEouHA0Y23SYp/&#10;IttNw9uznOC2uzOa/abaLdawGUMcvZOwWQtg6DqvR9dL+GibVQEsJuW0Mt6hhG+MsKtvbypVan91&#10;7zgfUs8oxMVSSRhSmkrOYzegVXHtJ3SknXywKtEaeq6DulK4NTwTIudWjY4+DGrC/YDd1+FiJeyb&#10;tg0zxmA+8bV5OL89b/FlkfL+biOegCVc0p8ZfvEJHWpiOvqL05EZCVQkSVhlj1tgJGdFQZcjDbnI&#10;gdcV/1+g/gFQSwMEFAAAAAgAh07iQH+OrREyAgAAYQQAAA4AAABkcnMvZTJvRG9jLnhtbK1UzY7T&#10;MBC+I/EOlu80aVFX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3k7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Z4j51gAAAAgBAAAPAAAAAAAAAAEAIAAAACIAAABkcnMvZG93bnJldi54bWxQ&#10;SwECFAAUAAAACACHTuJAf46tET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41F84E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69215</wp:posOffset>
              </wp:positionH>
              <wp:positionV relativeFrom="paragraph">
                <wp:posOffset>140335</wp:posOffset>
              </wp:positionV>
              <wp:extent cx="8384540" cy="5080"/>
              <wp:effectExtent l="0" t="10795" r="16510" b="12700"/>
              <wp:wrapNone/>
              <wp:docPr id="10" name="直接连接符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384540" cy="508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5.45pt;margin-top:11.05pt;height:0.4pt;width:660.2pt;z-index:251660288;mso-width-relative:page;mso-height-relative:page;" filled="f" stroked="t" coordsize="21600,21600" o:gfxdata="UEsDBAoAAAAAAIdO4kAAAAAAAAAAAAAAAAAEAAAAZHJzL1BLAwQUAAAACACHTuJADExHKtQAAAAJ&#10;AQAADwAAAGRycy9kb3ducmV2LnhtbE2PwU7DMBBE70j8g7VI3KgdR0I0xKlEJE7AgRbubuzGUe21&#10;ZbtJ+XucExxnZzT7pt1dnSWzjmnyKKDaMCAaB68mHAV8HV4fnoCkLFFJ61EL+NEJdt3tTSsb5Rf8&#10;1PM+j6SUYGqkAJNzaChNg9FOpo0PGot38tHJXGQcqYpyKeXOUs7YI3VywvLByKB7o4fz/uIE9G+B&#10;9+bjsET+kt7HubbhdP4W4v6uYs9Asr7mvzCs+AUdusJ09BdUidii2bYkBXBeAVn9uq5qIMf1sgXa&#10;tfT/gu4XUEsDBBQAAAAIAIdO4kBOTxO46gEAALcDAAAOAAAAZHJzL2Uyb0RvYy54bWytU82O0zAQ&#10;viPxDpbvNGnZohI13cNWywVBJeABpo6TWPKfPN6mfQleAIkbnDhy523YfQzGTujCctkDOTjj+fnG&#10;3+fx+vJoNDvIgMrZms9nJWfSCtco29X8w/vrZyvOMIJtQDsra36SyC83T5+sB1/JheudbmRgBGKx&#10;GnzN+xh9VRQoemkAZ85LS8HWBQORtqErmgADoRtdLMryRTG40PjghEQk73YM8gkxPAbQta0ScuvE&#10;jZE2jqhBaohECXvlkW/yadtWivi2bVFGpmtOTGNeqQnZ+7QWmzVUXQDfKzEdAR5zhAecDChLTc9Q&#10;W4jAboL6B8ooERy6Ns6EM8VIJCtCLOblA23e9eBl5kJSoz+Ljv8PVrw57AJTDU0CSWLB0I3ffvr+&#10;8+OXux+fab399pVRhGQaPFaUfWV3Ydqh34XE+dgGk/7Ehh2ztKeztPIYmSDn6vnqYnlBLQTFluUq&#10;Qxb3tT5gfCWdYcmouVY2EYcKDq8xUj9K/Z2S3NZdK63z5WnLhpov6FsSOtBEtjQJZBpPrNB2nIHu&#10;aNRFDBkSnVZNKk9AGLr9lQ7sAGlAyuX85SKRpXZ/paXeW8B+zMuhcXSMivQatDJEsUzfVK0tgSTJ&#10;RpGStXfNKWuX/XSfuc00e2lg/tzn6vv3tvk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DExHKtQA&#10;AAAJAQAADwAAAAAAAAABACAAAAAiAAAAZHJzL2Rvd25yZXYueG1sUEsBAhQAFAAAAAgAh07iQE5P&#10;E7jqAQAAtwMAAA4AAAAAAAAAAQAgAAAAIwEAAGRycy9lMm9Eb2MueG1sUEsFBgAAAAAGAAYAWQEA&#10;AH8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134C128F">
    <w:pPr>
      <w:pStyle w:val="11"/>
      <w:ind w:firstLine="8714" w:firstLineChars="3100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铜梁区人民政府办公室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 </w:t>
    </w:r>
  </w:p>
  <w:p w14:paraId="6E299EC4">
    <w:pPr>
      <w:pStyle w:val="11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962BA">
    <w:pPr>
      <w:pStyle w:val="11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8" name="直接连接符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60288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Sv7C48gEAAL0DAAAOAAAAZHJzL2Uyb0RvYy54bWytU81uEzEQ&#10;viPxDpbvZDfbJqSrbHpoVC4IIkEfwPHau5b8J4+bTV6CF0DiBieO3HkbymMw9i4tlEsP+GCPPeNv&#10;/H0zXl8ejSYHEUA529D5rKREWO5aZbuG3ry/frGiBCKzLdPOioaeBNDLzfNn68HXonK9060IBEEs&#10;1INvaB+jr4sCeC8Mg5nzwqJTumBYxG3oijawAdGNLqqyXBaDC60PjgsAPN2OTjohhqcAOikVF1vH&#10;b42wcUQNQrOIlKBXHugmv1ZKweNbKUFEohuKTGOeMQna+zQXmzWru8B8r/j0BPaUJzziZJiymPQe&#10;assiI7dB/QNlFA8OnIwz7kwxEsmKIIt5+Uibdz3zInNBqcHfiw7/D5a/OewCUW1DseyWGSz43cdv&#10;Pz58/vn9E853X7+QVRJp8FBj7JXdhWkHfhcS46MMJq3IhRwbej4/O1stUN4TQi7PVy8njcUxEo7+&#10;xbIqMYASjgHZVzxg+ADxlXCGJKOhWtlEn9Xs8Boi5sXQ3yHp2LprpXUuobZkaGiFI0Ez7EuJ/YCm&#10;8cgNbEcJ0x02PI8hQ4LTqk3XExCEbn+lAzmw1CblYn5RJdKY7q+wlHvLoB/jsmtsIKMi/gmtDHIu&#10;05hua4sgSbpRrGTtXXvKGuZzrGpOM3Vgaps/9/n2w6/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Er+wuP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33774518">
    <w:pPr>
      <w:pStyle w:val="11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9" name="图片 9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铜梁区人民政府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91DAD">
    <w:pPr>
      <w:pStyle w:val="11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</w:p>
  <w:p w14:paraId="6D799D58">
    <w:pPr>
      <w:pStyle w:val="11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-466725</wp:posOffset>
              </wp:positionH>
              <wp:positionV relativeFrom="paragraph">
                <wp:posOffset>393700</wp:posOffset>
              </wp:positionV>
              <wp:extent cx="9078595" cy="21590"/>
              <wp:effectExtent l="0" t="0" r="0" b="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9078595" cy="2159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36.75pt;margin-top:31pt;height:1.7pt;width:714.85pt;z-index:251659264;mso-width-relative:page;mso-height-relative:page;" filled="f" stroked="t" coordsize="21600,21600" o:gfxdata="UEsDBAoAAAAAAIdO4kAAAAAAAAAAAAAAAAAEAAAAZHJzL1BLAwQUAAAACACHTuJAxrmQWdcAAAAK&#10;AQAADwAAAGRycy9kb3ducmV2LnhtbE2PsU7DMBCGdyTewTokttapQwIKcSoRiQkYaGF3YzeOap8t&#10;203K2+NOMN7dp/++v91erCGzCnFyyGGzLoAoHJyccOTwtX9dPQGJSaAUxqHi8KMibLvbm1Y00i34&#10;qeZdGkkOwdgIDjol31AaB62siGvnFebb0QUrUh7DSGUQSw63hrKiqKkVE+YPWnjVazWcdmfLoX/z&#10;rNcf+yWwl/g+zqXxx9M35/d3m+IZSFKX9AfDVT+rQ5edDu6MMhLDYfVYVhnlULPc6QqUVc2AHPKm&#10;egDatfR/he4XUEsDBBQAAAAIAIdO4kDfRAEq9gEAAMEDAAAOAAAAZHJzL2Uyb0RvYy54bWytU8uO&#10;0zAU3SPxD5b3NEmnnUmjprOYatggqAR8gOs4iSW/5Otp2p/gB5DYwYole/6G4TO4dsK82MyCLJxr&#10;3+tzfY6P15dHrchBeJDW1LSY5ZQIw20jTVfTjx+uX5WUQGCmYcoaUdOTAHq5efliPbhKzG1vVSM8&#10;QRAD1eBq2ofgqiwD3gvNYGadMJhsrdcs4NR3WePZgOhaZfM8P88G6xvnLRcAuLodk3RC9M8BtG0r&#10;udhafqOFCSOqF4oFpAS9dEA36bRtK3h417YgAlE1RaYhjdgE430cs82aVZ1nrpd8OgJ7zhGecNJM&#10;Gmx6B7VlgZEbL/+B0pJ7C7YNM251NhJJiiCLIn+izfueOZG4oNTg7kSH/wfL3x52nsimpgtKDNN4&#10;4beff/z69PX3zy843n7/RhZRpMFBhbVXZuenGbidj4yPrdfxj1zIEWGKs7NyifKealqeL8qLSWNx&#10;DIRjfpVflMvVkhKOBfNiuUr57B7HeQivhdUkBjVV0kQJWMUObyBgbyz9WxKXjb2WSqVrVIYMiIlf&#10;hGfozRY9gaF2yA9MRwlTHZqeB58gwSrZxO0RCHy3v1KeHFi0Sr4sVvNIHNs9Kou9twz6sS6lRhNp&#10;GfBdKKmRdx6/abcyCBLlGwWL0d42p6RjWsebTW0mF0brPJyn3fcvb/M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xrmQWdcAAAAKAQAADwAAAAAAAAABACAAAAAiAAAAZHJzL2Rvd25yZXYueG1sUEsB&#10;AhQAFAAAAAgAh07iQN9EASr2AQAAwQMAAA4AAAAAAAAAAQAgAAAAJgEAAGRycy9lMm9Eb2MueG1s&#10;UEsFBgAAAAAGAAYAWQEAAI4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铜梁区人民政府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yZWQwZmVlY2JmOWNkNGQ0MmZlMTAzZjQyZDUxOWYifQ=="/>
  </w:docVars>
  <w:rsids>
    <w:rsidRoot w:val="00172A27"/>
    <w:rsid w:val="019E71BD"/>
    <w:rsid w:val="021A1572"/>
    <w:rsid w:val="041C42DA"/>
    <w:rsid w:val="04B679C3"/>
    <w:rsid w:val="05F07036"/>
    <w:rsid w:val="06E00104"/>
    <w:rsid w:val="0798685F"/>
    <w:rsid w:val="080F63D8"/>
    <w:rsid w:val="09341458"/>
    <w:rsid w:val="098254C2"/>
    <w:rsid w:val="09F204B1"/>
    <w:rsid w:val="09FB3B28"/>
    <w:rsid w:val="0A766EDE"/>
    <w:rsid w:val="0AC352A3"/>
    <w:rsid w:val="0AD64BE8"/>
    <w:rsid w:val="0B0912D7"/>
    <w:rsid w:val="0B976FCC"/>
    <w:rsid w:val="0CAA0BCF"/>
    <w:rsid w:val="0D046532"/>
    <w:rsid w:val="0E025194"/>
    <w:rsid w:val="0F5F7F15"/>
    <w:rsid w:val="10923E54"/>
    <w:rsid w:val="11335637"/>
    <w:rsid w:val="12B24C7F"/>
    <w:rsid w:val="12FE3A23"/>
    <w:rsid w:val="12FF78F4"/>
    <w:rsid w:val="13DF798C"/>
    <w:rsid w:val="147C617F"/>
    <w:rsid w:val="152D2DCA"/>
    <w:rsid w:val="1533741A"/>
    <w:rsid w:val="17203520"/>
    <w:rsid w:val="1804388A"/>
    <w:rsid w:val="187168EA"/>
    <w:rsid w:val="187D472C"/>
    <w:rsid w:val="193261D5"/>
    <w:rsid w:val="196673CA"/>
    <w:rsid w:val="19745F40"/>
    <w:rsid w:val="19C120F9"/>
    <w:rsid w:val="1AF66DC3"/>
    <w:rsid w:val="1B2F4AEE"/>
    <w:rsid w:val="1CF734C9"/>
    <w:rsid w:val="1D61352C"/>
    <w:rsid w:val="1DD714D2"/>
    <w:rsid w:val="1DE659C1"/>
    <w:rsid w:val="1DEC284C"/>
    <w:rsid w:val="1DEE74B5"/>
    <w:rsid w:val="1E6523AC"/>
    <w:rsid w:val="1E8E6529"/>
    <w:rsid w:val="1F6828FA"/>
    <w:rsid w:val="201A32E4"/>
    <w:rsid w:val="20A61B9E"/>
    <w:rsid w:val="20D02F14"/>
    <w:rsid w:val="22440422"/>
    <w:rsid w:val="22806203"/>
    <w:rsid w:val="22BB4BBB"/>
    <w:rsid w:val="235A2EF8"/>
    <w:rsid w:val="23CC5006"/>
    <w:rsid w:val="23D34A58"/>
    <w:rsid w:val="25AD3C7D"/>
    <w:rsid w:val="26357304"/>
    <w:rsid w:val="265A2427"/>
    <w:rsid w:val="2AEB3417"/>
    <w:rsid w:val="2C2952EE"/>
    <w:rsid w:val="2CB2345D"/>
    <w:rsid w:val="2E870919"/>
    <w:rsid w:val="2ECC35A1"/>
    <w:rsid w:val="306F1715"/>
    <w:rsid w:val="319A5492"/>
    <w:rsid w:val="31A15F24"/>
    <w:rsid w:val="31CA44AE"/>
    <w:rsid w:val="32285F6F"/>
    <w:rsid w:val="324A1681"/>
    <w:rsid w:val="329233DC"/>
    <w:rsid w:val="32A03609"/>
    <w:rsid w:val="330C5393"/>
    <w:rsid w:val="33122EA7"/>
    <w:rsid w:val="35D02BA5"/>
    <w:rsid w:val="35F81499"/>
    <w:rsid w:val="360610FF"/>
    <w:rsid w:val="36FB1DF0"/>
    <w:rsid w:val="390C2146"/>
    <w:rsid w:val="395347B5"/>
    <w:rsid w:val="39A232A0"/>
    <w:rsid w:val="39E745AA"/>
    <w:rsid w:val="3A094042"/>
    <w:rsid w:val="3A414072"/>
    <w:rsid w:val="3B5A6BBB"/>
    <w:rsid w:val="3BF845BC"/>
    <w:rsid w:val="3D6A7D83"/>
    <w:rsid w:val="3E984CED"/>
    <w:rsid w:val="3ECB4852"/>
    <w:rsid w:val="3EDA13A6"/>
    <w:rsid w:val="3FCE0156"/>
    <w:rsid w:val="3FD339BE"/>
    <w:rsid w:val="3FE00DF1"/>
    <w:rsid w:val="40F303D9"/>
    <w:rsid w:val="41790595"/>
    <w:rsid w:val="417B75E9"/>
    <w:rsid w:val="4267663F"/>
    <w:rsid w:val="42AD3F1A"/>
    <w:rsid w:val="42F058B7"/>
    <w:rsid w:val="436109F6"/>
    <w:rsid w:val="441A38D4"/>
    <w:rsid w:val="442D2AF7"/>
    <w:rsid w:val="44F56185"/>
    <w:rsid w:val="44F72757"/>
    <w:rsid w:val="4504239D"/>
    <w:rsid w:val="4554136E"/>
    <w:rsid w:val="461C0ABE"/>
    <w:rsid w:val="46853538"/>
    <w:rsid w:val="47FE4616"/>
    <w:rsid w:val="48267B26"/>
    <w:rsid w:val="48EF0765"/>
    <w:rsid w:val="48FD385A"/>
    <w:rsid w:val="490B5F77"/>
    <w:rsid w:val="4ABC2CA3"/>
    <w:rsid w:val="4B616FD2"/>
    <w:rsid w:val="4BC77339"/>
    <w:rsid w:val="4BEE59A3"/>
    <w:rsid w:val="4C9236C5"/>
    <w:rsid w:val="4D3B2BA3"/>
    <w:rsid w:val="4D496C1F"/>
    <w:rsid w:val="4E1D5E24"/>
    <w:rsid w:val="4E250A85"/>
    <w:rsid w:val="4FEB6B02"/>
    <w:rsid w:val="4FFD4925"/>
    <w:rsid w:val="505C172E"/>
    <w:rsid w:val="506405EA"/>
    <w:rsid w:val="50D9757B"/>
    <w:rsid w:val="5264494A"/>
    <w:rsid w:val="52F46F0B"/>
    <w:rsid w:val="532B6A10"/>
    <w:rsid w:val="534E1882"/>
    <w:rsid w:val="53D8014D"/>
    <w:rsid w:val="54161C73"/>
    <w:rsid w:val="549C03CB"/>
    <w:rsid w:val="55E064E0"/>
    <w:rsid w:val="55F76E75"/>
    <w:rsid w:val="572C6D10"/>
    <w:rsid w:val="58250E63"/>
    <w:rsid w:val="58BD669C"/>
    <w:rsid w:val="5A424708"/>
    <w:rsid w:val="5AB622C2"/>
    <w:rsid w:val="5C551B68"/>
    <w:rsid w:val="5D791EF1"/>
    <w:rsid w:val="5D7F0889"/>
    <w:rsid w:val="5DC34279"/>
    <w:rsid w:val="5EC62C14"/>
    <w:rsid w:val="5FCD688E"/>
    <w:rsid w:val="5FF9BDAA"/>
    <w:rsid w:val="5FFE5333"/>
    <w:rsid w:val="608816D1"/>
    <w:rsid w:val="60EF4E7F"/>
    <w:rsid w:val="648B0A32"/>
    <w:rsid w:val="650F50D0"/>
    <w:rsid w:val="659375C8"/>
    <w:rsid w:val="65B576DE"/>
    <w:rsid w:val="65F30067"/>
    <w:rsid w:val="66095515"/>
    <w:rsid w:val="665233C1"/>
    <w:rsid w:val="665B6306"/>
    <w:rsid w:val="67BA52E0"/>
    <w:rsid w:val="68996CA3"/>
    <w:rsid w:val="689E42BA"/>
    <w:rsid w:val="69AC0D42"/>
    <w:rsid w:val="6AA06749"/>
    <w:rsid w:val="6AD9688B"/>
    <w:rsid w:val="6B862059"/>
    <w:rsid w:val="6C870C65"/>
    <w:rsid w:val="6D0E3F22"/>
    <w:rsid w:val="6DA53BC1"/>
    <w:rsid w:val="6DDD7632"/>
    <w:rsid w:val="6FB82179"/>
    <w:rsid w:val="70BD5DD1"/>
    <w:rsid w:val="718129CA"/>
    <w:rsid w:val="72E9064D"/>
    <w:rsid w:val="737808EF"/>
    <w:rsid w:val="744E4660"/>
    <w:rsid w:val="74514836"/>
    <w:rsid w:val="753355A2"/>
    <w:rsid w:val="759F1C61"/>
    <w:rsid w:val="769F2DE8"/>
    <w:rsid w:val="76FDEB7C"/>
    <w:rsid w:val="77C27899"/>
    <w:rsid w:val="77F74B8B"/>
    <w:rsid w:val="78DD498A"/>
    <w:rsid w:val="7924080A"/>
    <w:rsid w:val="79371594"/>
    <w:rsid w:val="798E2CBF"/>
    <w:rsid w:val="79C65162"/>
    <w:rsid w:val="7ADD3367"/>
    <w:rsid w:val="7BDF0A19"/>
    <w:rsid w:val="7BE20509"/>
    <w:rsid w:val="7C9011D9"/>
    <w:rsid w:val="7CF35CED"/>
    <w:rsid w:val="7D5176F5"/>
    <w:rsid w:val="7DC651C5"/>
    <w:rsid w:val="7DE14E7C"/>
    <w:rsid w:val="7DF350ED"/>
    <w:rsid w:val="7F875650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iPriority w:val="0"/>
    <w:pPr>
      <w:keepNext/>
      <w:keepLines/>
      <w:spacing w:before="100" w:beforeLines="0" w:after="100" w:afterLines="0" w:line="360" w:lineRule="auto"/>
      <w:outlineLvl w:val="1"/>
    </w:pPr>
    <w:rPr>
      <w:rFonts w:ascii="Arial" w:hAnsi="Arial" w:eastAsia="黑体"/>
      <w:b/>
      <w:bCs/>
      <w:szCs w:val="32"/>
    </w:rPr>
  </w:style>
  <w:style w:type="paragraph" w:styleId="2">
    <w:name w:val="heading 4"/>
    <w:basedOn w:val="3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sz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qFormat/>
    <w:uiPriority w:val="0"/>
    <w:pPr>
      <w:suppressAutoHyphens/>
      <w:ind w:left="420" w:leftChars="200"/>
    </w:pPr>
    <w:rPr>
      <w:rFonts w:ascii="Calibri" w:hAnsi="Calibri" w:eastAsia="宋体"/>
      <w:sz w:val="21"/>
      <w:szCs w:val="24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qFormat/>
    <w:uiPriority w:val="0"/>
    <w:pPr>
      <w:spacing w:after="120" w:afterLines="0"/>
    </w:pPr>
    <w:rPr>
      <w:rFonts w:eastAsia="方正仿宋_GBK"/>
      <w:kern w:val="2"/>
      <w:sz w:val="32"/>
      <w:lang w:val="en-US" w:eastAsia="zh-CN" w:bidi="ar-SA"/>
    </w:rPr>
  </w:style>
  <w:style w:type="paragraph" w:customStyle="1" w:styleId="7">
    <w:name w:val="默认"/>
    <w:qFormat/>
    <w:uiPriority w:val="0"/>
    <w:rPr>
      <w:rFonts w:ascii="Helvetica" w:hAnsi="Helvetica" w:eastAsia="Helvetica" w:cs="Times New Roman"/>
      <w:color w:val="000000"/>
      <w:sz w:val="22"/>
      <w:szCs w:val="22"/>
      <w:lang w:val="en-US" w:eastAsia="zh-CN" w:bidi="ar-SA"/>
    </w:rPr>
  </w:style>
  <w:style w:type="paragraph" w:styleId="8">
    <w:name w:val="Body Text Indent"/>
    <w:basedOn w:val="1"/>
    <w:qFormat/>
    <w:uiPriority w:val="0"/>
    <w:pPr>
      <w:ind w:firstLine="640" w:firstLineChars="200"/>
    </w:pPr>
    <w:rPr>
      <w:rFonts w:ascii="方正仿宋_GBK" w:eastAsia="方正仿宋_GBK"/>
      <w:sz w:val="32"/>
      <w:szCs w:val="24"/>
    </w:rPr>
  </w:style>
  <w:style w:type="paragraph" w:styleId="9">
    <w:name w:val="Balloon Text"/>
    <w:basedOn w:val="1"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"/>
    <w:basedOn w:val="6"/>
    <w:qFormat/>
    <w:uiPriority w:val="0"/>
    <w:pPr>
      <w:spacing w:line="500" w:lineRule="exact"/>
      <w:ind w:firstLine="420"/>
    </w:pPr>
    <w:rPr>
      <w:sz w:val="28"/>
    </w:rPr>
  </w:style>
  <w:style w:type="character" w:styleId="16">
    <w:name w:val="Strong"/>
    <w:basedOn w:val="15"/>
    <w:qFormat/>
    <w:uiPriority w:val="0"/>
    <w:rPr>
      <w:b/>
      <w:bCs/>
    </w:rPr>
  </w:style>
  <w:style w:type="paragraph" w:customStyle="1" w:styleId="17">
    <w:name w:val="图表目录1"/>
    <w:basedOn w:val="18"/>
    <w:next w:val="1"/>
    <w:qFormat/>
    <w:uiPriority w:val="0"/>
    <w:pPr>
      <w:ind w:left="200" w:leftChars="200" w:hanging="200" w:hangingChars="200"/>
    </w:pPr>
  </w:style>
  <w:style w:type="paragraph" w:customStyle="1" w:styleId="18">
    <w:name w:val="Normal New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customStyle="1" w:styleId="19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20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21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customStyle="1" w:styleId="22">
    <w:name w:val="Body Text First Indent 2"/>
    <w:basedOn w:val="23"/>
    <w:qFormat/>
    <w:uiPriority w:val="0"/>
    <w:pPr>
      <w:ind w:firstLine="420"/>
    </w:pPr>
    <w:rPr>
      <w:rFonts w:ascii="Calibri" w:hAnsi="Calibri" w:eastAsia="宋体" w:cs="黑体"/>
      <w:kern w:val="2"/>
      <w:sz w:val="21"/>
      <w:szCs w:val="24"/>
    </w:rPr>
  </w:style>
  <w:style w:type="paragraph" w:customStyle="1" w:styleId="23">
    <w:name w:val="Body Text Indent"/>
    <w:basedOn w:val="1"/>
    <w:qFormat/>
    <w:uiPriority w:val="0"/>
    <w:pPr>
      <w:spacing w:after="120" w:afterLines="0"/>
      <w:ind w:left="420" w:leftChars="200"/>
    </w:pPr>
  </w:style>
  <w:style w:type="character" w:customStyle="1" w:styleId="24">
    <w:name w:val="font01"/>
    <w:basedOn w:val="15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paragraph" w:customStyle="1" w:styleId="25">
    <w:name w:val="Char Char Char Char"/>
    <w:basedOn w:val="1"/>
    <w:qFormat/>
    <w:uiPriority w:val="0"/>
    <w:pPr>
      <w:widowControl/>
      <w:spacing w:after="160" w:afterLines="0" w:line="240" w:lineRule="exact"/>
      <w:jc w:val="left"/>
    </w:pPr>
    <w:rPr>
      <w:rFonts w:eastAsia="宋体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83e08808-c5d6-4da0-afd8-07cdbed1c913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13BA2A91</paraID>
      <start>3</start>
      <end>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bb06bb-8d7c-4365-ba45-8df69a9dbf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1256</Words>
  <Characters>1321</Characters>
  <Lines>1</Lines>
  <Paragraphs>1</Paragraphs>
  <TotalTime>0</TotalTime>
  <ScaleCrop>false</ScaleCrop>
  <LinksUpToDate>false</LinksUpToDate>
  <CharactersWithSpaces>1330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蒋立成</cp:lastModifiedBy>
  <cp:lastPrinted>2022-05-12T00:46:00Z</cp:lastPrinted>
  <dcterms:modified xsi:type="dcterms:W3CDTF">2026-02-02T01:20:23Z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BB06FF69E224481EBDC57754CF217EA4</vt:lpwstr>
  </property>
  <property fmtid="{D5CDD505-2E9C-101B-9397-08002B2CF9AE}" pid="4" name="KSOTemplateDocerSaveRecord">
    <vt:lpwstr>eyJoZGlkIjoiYWU4MmZiZDA3ZTI5OTI5MDlmNjRiZDQ0Y2NmOGZmMzgiLCJ1c2VySWQiOiI0ODgwMTU3NjEifQ==</vt:lpwstr>
  </property>
</Properties>
</file>