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cs="Times New Roman"/>
          <w:color w:val="000000"/>
          <w:sz w:val="44"/>
          <w:szCs w:val="44"/>
        </w:rPr>
      </w:pPr>
      <w:r>
        <w:rPr>
          <w:rFonts w:hint="default" w:ascii="Times New Roman" w:hAnsi="Times New Roman" w:eastAsia="方正小标宋_GBK" w:cs="Times New Roman"/>
          <w:color w:val="000000"/>
          <w:kern w:val="0"/>
          <w:sz w:val="44"/>
          <w:szCs w:val="44"/>
          <w:lang w:bidi="ar"/>
        </w:rPr>
        <w:t>重庆市铜梁区人民政府办公室</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关于健全重特大疾病医疗保险和救助制度的</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000000"/>
          <w:kern w:val="0"/>
          <w:sz w:val="44"/>
          <w:szCs w:val="44"/>
          <w:lang w:bidi="ar"/>
        </w:rPr>
      </w:pPr>
      <w:r>
        <w:rPr>
          <w:rFonts w:hint="default" w:ascii="Times New Roman" w:hAnsi="Times New Roman" w:eastAsia="方正小标宋_GBK" w:cs="Times New Roman"/>
          <w:kern w:val="0"/>
          <w:sz w:val="44"/>
          <w:szCs w:val="44"/>
        </w:rPr>
        <w:t>实施意见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铜府办发〔2023〕13号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务院办公厅关于健全重特大疾病医疗保险和救助制度的意见》（国办发〔2021〕42号）、《重庆市人民政府办公厅关于健全重特大疾病医疗保险和救助制度的实施意见》（渝府办发〔2022〕116号）精神，巩固拓展医疗保障脱贫攻坚成果，进一步减轻困难群众和大病患者医疗费用负担，经区政府同意，现提出如下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学习贯彻党的二十大精神，全面落实习近平总书记对重庆提出的重要指示要求，认真落实市委六届二次全会精神和区委十六届四次全会精神，坚持以人民为中心，坚持共同富裕方向，坚持应保尽保、保障基本，尽力而为、量力而行，推动民生改善更可持续。建立健全防范和化解因病致贫返贫长效机制，强化基本医保、大病保险、医疗救助（以下统称三重制度）综合保障，实事求是确定困难群众医疗保障待遇标准。健全完善统一规范的医疗救助制度，探索推进医疗救助制度市级统筹。促进三重制度综合保障与慈善救助、商业健康保险等协同发展、有效衔接，构建政府主导、多方参与的多层次医疗保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（一）科学确定医疗救助对象范围。</w:t>
      </w:r>
      <w:r>
        <w:rPr>
          <w:rFonts w:hint="default" w:ascii="Times New Roman" w:hAnsi="Times New Roman" w:eastAsia="方正仿宋_GBK" w:cs="Times New Roman"/>
          <w:sz w:val="32"/>
          <w:szCs w:val="32"/>
        </w:rPr>
        <w:t>医疗救助公平覆盖医疗费用负担较重的困难职工和城乡居民，根据救助对象类别实施分类救助。对低保对象、特困人员、低保边缘家庭成员和纳入监测范围的农村易返贫致贫人口，按规定给予救助。对不符合低保、特困人员救助供养或低保边缘家庭条件，但因高额医疗费用支出导致家庭基本生活出现严重困难的大病患者（以下称因病致贫重病患者，具体认定办法按照市民政局、市医保局等市级部门相关规定执行），根据实际给予一定救助。我区规定的其他特殊困难人员，按上述救助对象类别给予相应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（二）强化三重制度综合保障。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1.确保</w:t>
      </w:r>
      <w:r>
        <w:rPr>
          <w:rFonts w:hint="default" w:ascii="Times New Roman" w:hAnsi="Times New Roman" w:eastAsia="方正仿宋_GBK" w:cs="Times New Roman"/>
          <w:spacing w:val="-4"/>
          <w:sz w:val="32"/>
          <w:szCs w:val="32"/>
        </w:rPr>
        <w:t>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90%给予定额资助，对返贫致贫人口、纳入监测范围的农村易返贫致贫人口和低保边缘家庭成员按照70%给予定额资助；救助对象自愿参加城乡居民基本医保二档的，统一按照参加城乡居民基本医保一档个人缴费标准的100%给予资助。适应人口流动和参保需求变化，按照救助对象认定地资助参保原则，为救助对象提供多元化参保缴费方式，确保其及时参保、应保尽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促进三重制度互补衔接。发挥基本医保主体保障功能，严格执行基本医保支付范围和标准，实施公平适度保障；增强大病保险减负功能，特困人员、低保对象和返贫致贫人口大病保险起付线降低50%，报销比例提高5个百分点，不设封顶线；夯实医疗救助托底保障功能，按照“先保险后救助”的原则，对基本医保、大病保险等支付后个人医疗费用负担仍然较重的救助对象按规定实施救助，合力防范因病致贫返贫风险。完善农村易返贫致贫人口医保帮扶措施，推动实现巩固拓展医疗保障脱贫攻坚成果同乡村振兴有效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（三）夯实医疗救助托底保障。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明确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除国家和市级另有明确规定</w:t>
      </w:r>
      <w:r>
        <w:rPr>
          <w:rFonts w:hint="default" w:ascii="Times New Roman" w:hAnsi="Times New Roman" w:eastAsia="方正仿宋_GBK" w:cs="Times New Roman"/>
          <w:spacing w:val="-6"/>
          <w:sz w:val="32"/>
          <w:szCs w:val="32"/>
        </w:rPr>
        <w:t>外，不得自行制定或用变通的方法擅自扩大医疗救助费用保障范围。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合理确定医疗救助水平。根据经济社会发展水平、群众健康需求、医疗救助基金支撑能力，按照救助对象家庭困难情况，采取“病种”和“费用”相结合的方式，开展重特大疾病医疗救助。按“病种”享受医疗救助的特殊疾病范围按照《重庆市人民政府关于进一步完善城乡医疗救助制度的意见》（渝府发〔2012〕78号）</w:t>
      </w:r>
      <w:r>
        <w:rPr>
          <w:rFonts w:hint="default" w:ascii="Times New Roman" w:hAnsi="Times New Roman" w:eastAsia="方正仿宋_GBK" w:cs="Times New Roman"/>
          <w:spacing w:val="-6"/>
          <w:sz w:val="32"/>
          <w:szCs w:val="32"/>
        </w:rPr>
        <w:t>中规定的医疗救助重特大疾病病种范围执行，如有调整，从其规定。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救助对象患特殊疾病，在定点医药机构发生住院费用或门诊治疗费用的，经基本医保、大病保险报销后的政策范围内费用，按比例给予救助。其中，对特困人员、低保对象按80%的比例救助，对返贫致贫人口、低保边缘家庭成员、纳入监测范围的农村易返贫致贫人口、因病致贫重病患者按70%的比例救助。年度救助限额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救助对象患特殊疾病以外的其他疾病，在二级及以上医疗机构一次性住院发生医保政策范围内费用超过3万元的，经基本医保、大病保险报销后的政策范围内费用，按特殊疾病的救助比例给予救助。年度救助限额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统筹完善托底保障措施。加强门诊慢性病、特殊疾病救助保障，门诊和住院救助共用年度救助限额，统筹资金使用，着力减轻救助对象门诊慢性病、特殊疾病医疗费用负担。对规范转诊且在市内就医的救助对象，其单次住院或因重特大疾病门诊治疗的费用，经三重制度综合保障后政策范围内个人自付费用仍然较重的，分类给予倾斜救助。其中，特困人员达2000元以上的，按60%的比例救助；低保对象达3000元以上的，按55%的比例救助；其他救助对象达5000元以上的，按50%的比例救助。年度救助限额2万元，不计入重特大疾病医疗救助年度限额。通过明确诊疗方案、规范诊疗等措施降低医疗成本，合理控制困难群众政策范围内自付费用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（四）建立健全防范和化解因病致贫返贫长效机制。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强化高额医疗费用支出预警监测。实施医疗救助对象信息动态管理。健全因病致贫返贫预警机制，落实防止因病返贫致贫动态监测和精准帮扶工作机制，发挥区民政局、区医保局、区乡村振兴局等部门信息监测平台作用，做好因病致贫返贫预警风险监测，重点监测经基本医保、大病保险等支付后个人年度医疗费用负担仍然较重的特困人员、低保对象、低保边缘家庭成员和农村易返贫致贫人口，做到及时预警。加强区民政局、区卫生健康委、区医保局、区乡村振兴局等部门间信息共享和核查比对，协同做好风险研判和处置。加强对监测人群的动态管理，符合条件的及时纳入救助范围，做到精准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依申请落实综合保障政策。完善依申请救助机制，畅通医疗救助申请渠道，增强救助时效性。已认定为特困人员、低保对象、低保边缘家庭成员、因病致贫重病患者和纳入监测范围的农村易返贫致贫人口直接获得医疗救助。具有多重身份的救助对象，按照就高不重复原则给予医疗救助。加强部门工作协同，全面对接社会救助经办服务，简化申请、审核、救助金给付流程。区民政局或区乡村振兴局等部门每月1日（法定节假日顺延），将当月在册救助对象名单共享区医保局。区政府规定的其他特殊困难人员，由区民政局或区乡村振兴局等部门按职责做好申请受理、对象认定、分办转办、信息共享及结果反馈等工作，对符合条件的按规定给予医疗救助。强化医疗救助、临时救助、慈善救助等综合性保障措施，精准实施分层分类帮扶。综合救助水平根据家庭经济状况、个人实际费用负担情况合理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（五）积极引导慈善等社会力量参与救助保障。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市经济社会发展水平和各方承受能力，落实罕见病用药保障机制，整合医疗保障、社会救助、慈善帮扶等资源，实施综合保障。建立慈善参与激励机制，落实相应税收优惠、费用减免等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（六）优化经办流程和综合服务管理。</w:t>
      </w:r>
      <w:r>
        <w:rPr>
          <w:rFonts w:hint="default" w:ascii="Times New Roman" w:hAnsi="Times New Roman" w:eastAsia="方正仿宋_GBK" w:cs="Times New Roman"/>
          <w:sz w:val="32"/>
          <w:szCs w:val="32"/>
        </w:rPr>
        <w:t>细化完善救助服务事项清单，出台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区内定点医疗机构住院，实行“先诊疗后付费”，全面免除其住院押金。做好异地就医、异地安置和异地转诊救助对象登记备案、就医结算，按规定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w:t>
      </w:r>
      <w:r>
        <w:rPr>
          <w:rFonts w:hint="default" w:ascii="Times New Roman" w:hAnsi="Times New Roman" w:eastAsia="方正仿宋_GBK" w:cs="Times New Roman"/>
          <w:sz w:val="32"/>
          <w:szCs w:val="32"/>
        </w:rPr>
        <w:t>各镇街、相关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（二）加强部门协同。</w:t>
      </w:r>
      <w:r>
        <w:rPr>
          <w:rFonts w:hint="default" w:ascii="Times New Roman" w:hAnsi="Times New Roman" w:eastAsia="方正仿宋_GBK" w:cs="Times New Roman"/>
          <w:sz w:val="32"/>
          <w:szCs w:val="32"/>
        </w:rPr>
        <w:t>建立健全部门协同机制，加强医疗保障、社会救助、医疗卫生制度政策及经办服务统筹协调。区医保局要统筹推进医疗保险、医疗救助制度改革和管理工作，落实好医疗保障政策。区民政局要做好低保对象、特困人员、低保边缘家庭成员等救助对象认定工作，会同有关部门做好因病致贫重病患者认定和相关信息共享工作，支持慈善救助发展。区财政局要按规定做好资金支持。区卫生健康委要强化对医疗机构的行业管理，规范诊疗路径，促进分级诊疗。区税务局要做好基本医保保费征缴相关工作。区金融发展中心要加强对商业保险机构承办大病保险的行业监管，规范商业健康保险发展。区乡村振兴局要做好农村易返贫致贫人口监测和信息共享。区总工会要做好职工医疗互助和罹患大病困难职工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（三）加强基金预算管理。</w:t>
      </w:r>
      <w:r>
        <w:rPr>
          <w:rFonts w:hint="default" w:ascii="Times New Roman" w:hAnsi="Times New Roman" w:eastAsia="方正仿宋_GBK" w:cs="Times New Roman"/>
          <w:sz w:val="32"/>
          <w:szCs w:val="32"/>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bookmarkStart w:id="0" w:name="_GoBack"/>
      <w:r>
        <w:rPr>
          <w:rFonts w:hint="eastAsia" w:ascii="方正楷体_GBK" w:hAnsi="方正楷体_GBK" w:eastAsia="方正楷体_GBK" w:cs="方正楷体_GBK"/>
          <w:sz w:val="32"/>
          <w:szCs w:val="32"/>
        </w:rPr>
        <w:t>（四）加强基层能力建设。</w:t>
      </w:r>
      <w:bookmarkEnd w:id="0"/>
      <w:r>
        <w:rPr>
          <w:rFonts w:hint="default" w:ascii="Times New Roman" w:hAnsi="Times New Roman" w:eastAsia="方正仿宋_GBK" w:cs="Times New Roman"/>
          <w:sz w:val="32"/>
          <w:szCs w:val="32"/>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本实施意见自2023年7月1日起施行。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ind w:firstLine="420" w:firstLineChars="20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2023年5月26日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ind w:firstLine="420" w:firstLineChars="200"/>
        <w:rPr>
          <w:rFonts w:hint="default" w:ascii="Times New Roman" w:hAnsi="Times New Roman" w:cs="Times New Roman"/>
        </w:rPr>
      </w:pPr>
    </w:p>
    <w:p>
      <w:pPr>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032DF5"/>
    <w:rsid w:val="041C42DA"/>
    <w:rsid w:val="04B679C3"/>
    <w:rsid w:val="05D72A40"/>
    <w:rsid w:val="05F07036"/>
    <w:rsid w:val="06E00104"/>
    <w:rsid w:val="07D370CD"/>
    <w:rsid w:val="080F63D8"/>
    <w:rsid w:val="09341458"/>
    <w:rsid w:val="09767B83"/>
    <w:rsid w:val="098254C2"/>
    <w:rsid w:val="0A766EDE"/>
    <w:rsid w:val="0AD64BE8"/>
    <w:rsid w:val="0B0912D7"/>
    <w:rsid w:val="0B976FCC"/>
    <w:rsid w:val="0E025194"/>
    <w:rsid w:val="13DF798C"/>
    <w:rsid w:val="152D2DCA"/>
    <w:rsid w:val="1533741A"/>
    <w:rsid w:val="17B6384F"/>
    <w:rsid w:val="17F81566"/>
    <w:rsid w:val="187168EA"/>
    <w:rsid w:val="196673CA"/>
    <w:rsid w:val="19745F40"/>
    <w:rsid w:val="19C120F9"/>
    <w:rsid w:val="1AF66DC3"/>
    <w:rsid w:val="1B2F4AEE"/>
    <w:rsid w:val="1BEF0734"/>
    <w:rsid w:val="1CF734C9"/>
    <w:rsid w:val="1DE659C1"/>
    <w:rsid w:val="1DEC284C"/>
    <w:rsid w:val="1DEE74B5"/>
    <w:rsid w:val="1E6523AC"/>
    <w:rsid w:val="21E9722C"/>
    <w:rsid w:val="22440422"/>
    <w:rsid w:val="22BB4BBB"/>
    <w:rsid w:val="23CC5006"/>
    <w:rsid w:val="24F15E75"/>
    <w:rsid w:val="25AD3C7D"/>
    <w:rsid w:val="25C056C0"/>
    <w:rsid w:val="2AEB3417"/>
    <w:rsid w:val="2C526646"/>
    <w:rsid w:val="2D920DB8"/>
    <w:rsid w:val="2E014089"/>
    <w:rsid w:val="2ECC35A1"/>
    <w:rsid w:val="306F1715"/>
    <w:rsid w:val="31A15F24"/>
    <w:rsid w:val="31CA44AE"/>
    <w:rsid w:val="324A1681"/>
    <w:rsid w:val="330C5393"/>
    <w:rsid w:val="35661FB7"/>
    <w:rsid w:val="359945AA"/>
    <w:rsid w:val="35F81499"/>
    <w:rsid w:val="360610FF"/>
    <w:rsid w:val="36303833"/>
    <w:rsid w:val="36FB1DF0"/>
    <w:rsid w:val="391660F9"/>
    <w:rsid w:val="395347B5"/>
    <w:rsid w:val="39A232A0"/>
    <w:rsid w:val="39E745AA"/>
    <w:rsid w:val="39F41F73"/>
    <w:rsid w:val="3B5A6BBB"/>
    <w:rsid w:val="3E984CED"/>
    <w:rsid w:val="3EDA13A6"/>
    <w:rsid w:val="3FE00DF1"/>
    <w:rsid w:val="417B75E9"/>
    <w:rsid w:val="42AD3F1A"/>
    <w:rsid w:val="42F058B7"/>
    <w:rsid w:val="436109F6"/>
    <w:rsid w:val="441A38D4"/>
    <w:rsid w:val="44F72757"/>
    <w:rsid w:val="4504239D"/>
    <w:rsid w:val="4554136E"/>
    <w:rsid w:val="461C0ABE"/>
    <w:rsid w:val="47FE4616"/>
    <w:rsid w:val="4BC77339"/>
    <w:rsid w:val="4BEE59A3"/>
    <w:rsid w:val="4C9236C5"/>
    <w:rsid w:val="4E250A85"/>
    <w:rsid w:val="4FFD4925"/>
    <w:rsid w:val="505C172E"/>
    <w:rsid w:val="506405EA"/>
    <w:rsid w:val="50D9757B"/>
    <w:rsid w:val="52121C11"/>
    <w:rsid w:val="52F46F0B"/>
    <w:rsid w:val="532B6A10"/>
    <w:rsid w:val="53D8014D"/>
    <w:rsid w:val="55E064E0"/>
    <w:rsid w:val="55F76E75"/>
    <w:rsid w:val="572C6D10"/>
    <w:rsid w:val="586C730B"/>
    <w:rsid w:val="5B015277"/>
    <w:rsid w:val="5C551B68"/>
    <w:rsid w:val="5D791EF1"/>
    <w:rsid w:val="5DC34279"/>
    <w:rsid w:val="5FCD688E"/>
    <w:rsid w:val="5FF9BDAA"/>
    <w:rsid w:val="5FFE5333"/>
    <w:rsid w:val="608816D1"/>
    <w:rsid w:val="609B0859"/>
    <w:rsid w:val="60EF4E7F"/>
    <w:rsid w:val="63C03711"/>
    <w:rsid w:val="64672DB6"/>
    <w:rsid w:val="648B0A32"/>
    <w:rsid w:val="650F50D0"/>
    <w:rsid w:val="65B576DE"/>
    <w:rsid w:val="665233C1"/>
    <w:rsid w:val="665B6306"/>
    <w:rsid w:val="68F8387C"/>
    <w:rsid w:val="69AC0D42"/>
    <w:rsid w:val="6AA06749"/>
    <w:rsid w:val="6AD9688B"/>
    <w:rsid w:val="6CEA2CFC"/>
    <w:rsid w:val="6D0E3F22"/>
    <w:rsid w:val="744E4660"/>
    <w:rsid w:val="74514836"/>
    <w:rsid w:val="753355A2"/>
    <w:rsid w:val="759F1C61"/>
    <w:rsid w:val="769F2DE8"/>
    <w:rsid w:val="76FDEB7C"/>
    <w:rsid w:val="77F74B8B"/>
    <w:rsid w:val="7924080A"/>
    <w:rsid w:val="79C65162"/>
    <w:rsid w:val="79D70BF9"/>
    <w:rsid w:val="7C9011D9"/>
    <w:rsid w:val="7CF3074F"/>
    <w:rsid w:val="7DC651C5"/>
    <w:rsid w:val="7DF350ED"/>
    <w:rsid w:val="7EE23F9F"/>
    <w:rsid w:val="7F7574E4"/>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link w:val="10"/>
    <w:semiHidden/>
    <w:qFormat/>
    <w:uiPriority w:val="0"/>
    <w:rPr>
      <w:rFonts w:eastAsia="宋体"/>
      <w:kern w:val="2"/>
      <w:sz w:val="24"/>
      <w:szCs w:val="24"/>
      <w:lang w:val="en-US" w:eastAsia="zh-CN" w:bidi="ar-SA"/>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eastAsia="方正仿宋_GBK"/>
      <w:kern w:val="2"/>
      <w:sz w:val="32"/>
      <w:lang w:val="en-US" w:eastAsia="zh-CN" w:bidi="ar-SA"/>
    </w:rPr>
  </w:style>
  <w:style w:type="paragraph" w:styleId="4">
    <w:name w:val="annotation text"/>
    <w:basedOn w:val="1"/>
    <w:qFormat/>
    <w:uiPriority w:val="0"/>
    <w:pPr>
      <w:jc w:val="left"/>
    </w:pPr>
  </w:style>
  <w:style w:type="paragraph" w:styleId="5">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Char Char Char Char"/>
    <w:basedOn w:val="1"/>
    <w:link w:val="9"/>
    <w:qFormat/>
    <w:uiPriority w:val="0"/>
    <w:pPr>
      <w:widowControl/>
      <w:spacing w:after="160" w:afterLines="0" w:line="240" w:lineRule="exact"/>
      <w:jc w:val="left"/>
    </w:pPr>
    <w:rPr>
      <w:rFonts w:eastAsia="宋体"/>
      <w:kern w:val="2"/>
      <w:sz w:val="24"/>
      <w:szCs w:val="24"/>
      <w:lang w:val="en-US" w:eastAsia="zh-CN" w:bidi="ar-SA"/>
    </w:rPr>
  </w:style>
  <w:style w:type="character" w:styleId="11">
    <w:name w:val="Strong"/>
    <w:basedOn w:val="9"/>
    <w:qFormat/>
    <w:uiPriority w:val="0"/>
    <w:rPr>
      <w:b/>
      <w:bCs/>
    </w:rPr>
  </w:style>
  <w:style w:type="paragraph" w:customStyle="1" w:styleId="13">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font51"/>
    <w:basedOn w:val="9"/>
    <w:qFormat/>
    <w:uiPriority w:val="0"/>
    <w:rPr>
      <w:rFonts w:hint="eastAsia" w:ascii="宋体" w:hAnsi="宋体" w:cs="宋体"/>
      <w:color w:val="000000"/>
      <w:sz w:val="16"/>
      <w:szCs w:val="16"/>
      <w:u w:val="none"/>
    </w:rPr>
  </w:style>
  <w:style w:type="character" w:customStyle="1" w:styleId="16">
    <w:name w:val="font61"/>
    <w:basedOn w:val="9"/>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2</TotalTime>
  <ScaleCrop>false</ScaleCrop>
  <LinksUpToDate>false</LinksUpToDate>
  <CharactersWithSpaces>3542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2023-05-29T02:26:52Z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