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_GBK" w:cs="Times New Roman"/>
          <w:sz w:val="44"/>
          <w:szCs w:val="44"/>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right="0" w:rightChars="0"/>
        <w:jc w:val="center"/>
        <w:textAlignment w:val="auto"/>
        <w:rPr>
          <w:rFonts w:hint="eastAsia" w:eastAsia="方正小标宋_GBK"/>
          <w:sz w:val="44"/>
          <w:szCs w:val="44"/>
        </w:rPr>
      </w:pPr>
      <w:r>
        <w:rPr>
          <w:rFonts w:hint="eastAsia" w:eastAsia="方正小标宋_GBK"/>
          <w:sz w:val="44"/>
          <w:szCs w:val="44"/>
        </w:rPr>
        <w:t>重庆市铜梁区人民政府办公室</w:t>
      </w:r>
    </w:p>
    <w:p>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right="0" w:rightChars="0"/>
        <w:jc w:val="center"/>
        <w:textAlignment w:val="auto"/>
        <w:rPr>
          <w:rFonts w:hint="eastAsia" w:eastAsia="方正小标宋_GBK"/>
          <w:sz w:val="44"/>
          <w:szCs w:val="44"/>
        </w:rPr>
      </w:pPr>
      <w:r>
        <w:rPr>
          <w:rFonts w:hint="eastAsia" w:eastAsia="方正小标宋_GBK"/>
          <w:sz w:val="44"/>
          <w:szCs w:val="44"/>
        </w:rPr>
        <w:t>关于印发重庆市铜梁区声环境功能区划分调整方案的通知</w:t>
      </w:r>
    </w:p>
    <w:p>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right="0" w:rightChars="0"/>
        <w:jc w:val="center"/>
        <w:textAlignment w:val="auto"/>
        <w:rPr>
          <w:rFonts w:hint="eastAsia" w:ascii="Times New Roman" w:hAnsi="Times New Roman" w:eastAsia="方正仿宋_GBK" w:cs="Times New Roman"/>
          <w:b w:val="0"/>
          <w:bCs w:val="0"/>
          <w:color w:val="auto"/>
          <w:kern w:val="0"/>
          <w:sz w:val="32"/>
          <w:szCs w:val="32"/>
        </w:rPr>
      </w:pPr>
      <w:r>
        <w:rPr>
          <w:rFonts w:hint="eastAsia" w:ascii="Times New Roman" w:hAnsi="Times New Roman" w:eastAsia="方正仿宋_GBK" w:cs="Times New Roman"/>
          <w:b w:val="0"/>
          <w:bCs w:val="0"/>
          <w:color w:val="auto"/>
          <w:kern w:val="0"/>
          <w:sz w:val="32"/>
          <w:szCs w:val="32"/>
        </w:rPr>
        <w:t>铜府办〔2023〕</w:t>
      </w:r>
      <w:r>
        <w:rPr>
          <w:rFonts w:hint="eastAsia" w:ascii="Times New Roman" w:hAnsi="Times New Roman" w:eastAsia="方正仿宋_GBK" w:cs="Times New Roman"/>
          <w:b w:val="0"/>
          <w:bCs w:val="0"/>
          <w:color w:val="auto"/>
          <w:kern w:val="0"/>
          <w:sz w:val="32"/>
          <w:szCs w:val="32"/>
          <w:lang w:val="en-US" w:eastAsia="zh-CN"/>
        </w:rPr>
        <w:t>17</w:t>
      </w:r>
      <w:r>
        <w:rPr>
          <w:rFonts w:hint="eastAsia" w:ascii="Times New Roman" w:hAnsi="Times New Roman" w:eastAsia="方正仿宋_GBK" w:cs="Times New Roman"/>
          <w:b w:val="0"/>
          <w:bCs w:val="0"/>
          <w:color w:val="auto"/>
          <w:kern w:val="0"/>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p>
    <w:p>
      <w:pPr>
        <w:rPr>
          <w:rFonts w:hint="eastAsia" w:ascii="方正仿宋_GBK" w:hAnsi="方正仿宋_GBK" w:eastAsia="方正仿宋_GBK" w:cs="方正仿宋_GBK"/>
          <w:snapToGrid w:val="0"/>
          <w:sz w:val="32"/>
          <w:szCs w:val="32"/>
        </w:rPr>
      </w:pPr>
      <w:r>
        <w:rPr>
          <w:rFonts w:hint="eastAsia" w:ascii="方正仿宋_GBK" w:hAnsi="方正仿宋_GBK" w:eastAsia="方正仿宋_GBK" w:cs="方正仿宋_GBK"/>
          <w:snapToGrid w:val="0"/>
          <w:sz w:val="32"/>
          <w:szCs w:val="32"/>
        </w:rPr>
        <w:t>各镇人民政府、街道办事处，区政府各部门，有关单位：</w:t>
      </w:r>
    </w:p>
    <w:p>
      <w:pPr>
        <w:ind w:firstLine="640" w:firstLineChars="200"/>
        <w:rPr>
          <w:rFonts w:hint="eastAsia" w:ascii="方正仿宋_GBK" w:hAnsi="方正仿宋_GBK" w:eastAsia="方正仿宋_GBK" w:cs="方正仿宋_GBK"/>
          <w:snapToGrid w:val="0"/>
          <w:sz w:val="32"/>
          <w:szCs w:val="32"/>
        </w:rPr>
      </w:pPr>
      <w:r>
        <w:rPr>
          <w:rFonts w:hint="eastAsia" w:ascii="方正仿宋_GBK" w:hAnsi="方正仿宋_GBK" w:eastAsia="方正仿宋_GBK" w:cs="方正仿宋_GBK"/>
          <w:snapToGrid w:val="0"/>
          <w:sz w:val="32"/>
          <w:szCs w:val="32"/>
        </w:rPr>
        <w:t>《重庆市铜梁区声环境功能区划分调整方案》已经区政府同意，现印发给你们，请认真贯彻执行。</w:t>
      </w:r>
    </w:p>
    <w:p>
      <w:pPr>
        <w:ind w:firstLine="640" w:firstLineChars="200"/>
        <w:rPr>
          <w:rFonts w:hint="eastAsia" w:ascii="方正仿宋_GBK" w:hAnsi="方正仿宋_GBK" w:eastAsia="方正仿宋_GBK" w:cs="方正仿宋_GBK"/>
          <w:snapToGrid w:val="0"/>
          <w:sz w:val="32"/>
          <w:szCs w:val="32"/>
        </w:rPr>
      </w:pPr>
    </w:p>
    <w:p>
      <w:pPr>
        <w:pStyle w:val="3"/>
        <w:rPr>
          <w:rFonts w:hint="eastAsia"/>
        </w:rPr>
      </w:pPr>
    </w:p>
    <w:p>
      <w:pPr>
        <w:spacing w:line="550" w:lineRule="exact"/>
        <w:ind w:firstLine="420" w:firstLineChars="200"/>
        <w:rPr>
          <w:rFonts w:hint="default" w:ascii="Times New Roman" w:hAnsi="Times New Roman" w:eastAsia="方正仿宋_GBK" w:cs="Times New Roman"/>
          <w:snapToGrid w:val="0"/>
          <w:sz w:val="32"/>
          <w:szCs w:val="32"/>
        </w:rPr>
      </w:pPr>
      <w:r>
        <w:rPr>
          <w:snapToGrid w:val="0"/>
          <w:szCs w:val="32"/>
        </w:rPr>
        <w:t xml:space="preserve">                     </w:t>
      </w:r>
      <w:r>
        <w:rPr>
          <w:rFonts w:hint="default" w:ascii="Times New Roman" w:hAnsi="Times New Roman" w:eastAsia="方正仿宋_GBK" w:cs="Times New Roman"/>
          <w:snapToGrid w:val="0"/>
          <w:sz w:val="32"/>
          <w:szCs w:val="32"/>
        </w:rPr>
        <w:t xml:space="preserve">  </w:t>
      </w:r>
      <w:r>
        <w:rPr>
          <w:rFonts w:hint="eastAsia" w:ascii="Times New Roman" w:hAnsi="Times New Roman" w:eastAsia="方正仿宋_GBK" w:cs="Times New Roman"/>
          <w:snapToGrid w:val="0"/>
          <w:sz w:val="32"/>
          <w:szCs w:val="32"/>
          <w:lang w:val="en-US" w:eastAsia="zh-CN"/>
        </w:rPr>
        <w:t xml:space="preserve">        </w:t>
      </w:r>
      <w:r>
        <w:rPr>
          <w:rFonts w:hint="default" w:ascii="Times New Roman" w:hAnsi="Times New Roman" w:eastAsia="方正仿宋_GBK" w:cs="Times New Roman"/>
          <w:snapToGrid w:val="0"/>
          <w:sz w:val="32"/>
          <w:szCs w:val="32"/>
        </w:rPr>
        <w:t>重庆市铜梁区人民政府办公室</w:t>
      </w:r>
    </w:p>
    <w:p>
      <w:pPr>
        <w:spacing w:line="550" w:lineRule="exact"/>
        <w:ind w:firstLine="640" w:firstLineChars="200"/>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 xml:space="preserve">                            2023年4月21日</w:t>
      </w:r>
    </w:p>
    <w:p>
      <w:pPr>
        <w:ind w:firstLine="640" w:firstLineChars="200"/>
        <w:rPr>
          <w:rFonts w:hint="eastAsia" w:ascii="方正仿宋_GBK" w:hAnsi="方正仿宋_GBK" w:eastAsia="方正仿宋_GBK" w:cs="方正仿宋_GBK"/>
          <w:snapToGrid w:val="0"/>
          <w:sz w:val="32"/>
          <w:szCs w:val="32"/>
        </w:rPr>
      </w:pPr>
      <w:r>
        <w:rPr>
          <w:rFonts w:hint="eastAsia" w:ascii="方正仿宋_GBK" w:hAnsi="方正仿宋_GBK" w:eastAsia="方正仿宋_GBK" w:cs="方正仿宋_GBK"/>
          <w:snapToGrid w:val="0"/>
          <w:sz w:val="32"/>
          <w:szCs w:val="32"/>
        </w:rPr>
        <w:t>（此件公开发布）</w:t>
      </w:r>
    </w:p>
    <w:p>
      <w:pPr>
        <w:adjustRightInd w:val="0"/>
        <w:snapToGrid w:val="0"/>
        <w:spacing w:line="550" w:lineRule="exact"/>
        <w:jc w:val="center"/>
        <w:rPr>
          <w:rFonts w:eastAsia="方正小标宋_GBK"/>
          <w:bCs/>
          <w:color w:val="000000"/>
          <w:sz w:val="44"/>
          <w:szCs w:val="44"/>
        </w:rPr>
      </w:pPr>
    </w:p>
    <w:p>
      <w:pPr>
        <w:adjustRightInd w:val="0"/>
        <w:snapToGrid w:val="0"/>
        <w:spacing w:line="550" w:lineRule="exact"/>
        <w:jc w:val="center"/>
        <w:rPr>
          <w:rFonts w:eastAsia="方正小标宋_GBK"/>
          <w:bCs/>
          <w:color w:val="000000"/>
          <w:sz w:val="44"/>
          <w:szCs w:val="44"/>
        </w:rPr>
      </w:pPr>
    </w:p>
    <w:p>
      <w:pPr>
        <w:adjustRightInd w:val="0"/>
        <w:snapToGrid w:val="0"/>
        <w:spacing w:line="550" w:lineRule="exact"/>
        <w:jc w:val="center"/>
        <w:rPr>
          <w:rFonts w:eastAsia="方正小标宋_GBK"/>
          <w:bCs/>
          <w:color w:val="000000"/>
          <w:sz w:val="44"/>
          <w:szCs w:val="44"/>
        </w:rPr>
      </w:pPr>
    </w:p>
    <w:p>
      <w:pPr>
        <w:adjustRightInd w:val="0"/>
        <w:snapToGrid w:val="0"/>
        <w:spacing w:line="550" w:lineRule="exact"/>
        <w:jc w:val="center"/>
        <w:rPr>
          <w:rFonts w:eastAsia="方正小标宋_GBK"/>
          <w:bCs/>
          <w:color w:val="000000"/>
          <w:sz w:val="44"/>
          <w:szCs w:val="44"/>
        </w:rPr>
      </w:pPr>
    </w:p>
    <w:p>
      <w:pPr>
        <w:adjustRightInd w:val="0"/>
        <w:snapToGrid w:val="0"/>
        <w:spacing w:line="550" w:lineRule="exact"/>
        <w:jc w:val="center"/>
        <w:rPr>
          <w:rFonts w:eastAsia="方正小标宋_GBK"/>
          <w:bCs/>
          <w:color w:val="000000"/>
          <w:sz w:val="44"/>
          <w:szCs w:val="44"/>
        </w:rPr>
      </w:pPr>
    </w:p>
    <w:p>
      <w:pPr>
        <w:adjustRightInd w:val="0"/>
        <w:snapToGrid w:val="0"/>
        <w:spacing w:line="550" w:lineRule="exact"/>
        <w:jc w:val="center"/>
        <w:rPr>
          <w:rFonts w:eastAsia="方正小标宋_GBK"/>
          <w:bCs/>
          <w:color w:val="000000"/>
          <w:sz w:val="44"/>
          <w:szCs w:val="44"/>
        </w:rPr>
      </w:pPr>
    </w:p>
    <w:p>
      <w:pPr>
        <w:adjustRightInd w:val="0"/>
        <w:snapToGrid w:val="0"/>
        <w:spacing w:line="550" w:lineRule="exact"/>
        <w:jc w:val="center"/>
        <w:rPr>
          <w:rFonts w:eastAsia="方正小标宋_GBK"/>
          <w:bCs/>
          <w:color w:val="000000"/>
          <w:sz w:val="44"/>
          <w:szCs w:val="44"/>
        </w:rPr>
      </w:pPr>
      <w:r>
        <w:rPr>
          <w:rFonts w:eastAsia="方正小标宋_GBK"/>
          <w:bCs/>
          <w:color w:val="000000"/>
          <w:sz w:val="44"/>
          <w:szCs w:val="44"/>
        </w:rPr>
        <w:t>重庆市铜梁区声环境功能区划分调整方案</w:t>
      </w:r>
    </w:p>
    <w:p>
      <w:pPr>
        <w:spacing w:line="550" w:lineRule="exact"/>
        <w:ind w:firstLine="420" w:firstLineChars="200"/>
        <w:rPr>
          <w:snapToGrid w:val="0"/>
          <w:szCs w:val="32"/>
        </w:rPr>
      </w:pPr>
      <w:bookmarkStart w:id="0" w:name="_Toc7560"/>
      <w:bookmarkStart w:id="1" w:name="_Toc529870664"/>
      <w:bookmarkStart w:id="2" w:name="_Toc530476250"/>
      <w:bookmarkStart w:id="3" w:name="_Toc529778225"/>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声环境功能区是加强噪声污染防治、改善声环境质量的重要依据。随着铜梁区城市面积不断扩大，城市路网不断扩张，城市内部用地结构调整，2018年印发的《重庆市铜梁区声环境功能区划方案》已不适应当前声环境管理需求。为加强铜梁区噪声污染防治和监督管理，根据《重庆市生态环境局办公室关于进一步做好声环境功能区划分调整工作的通知》（渝环办〔2022〕42号）等要求，结合铜梁区城市发展现状和建设规划，制定本方案。</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snapToGrid w:val="0"/>
          <w:sz w:val="32"/>
          <w:szCs w:val="32"/>
        </w:rPr>
      </w:pPr>
      <w:bookmarkStart w:id="4" w:name="_Toc9752"/>
      <w:r>
        <w:rPr>
          <w:rFonts w:hint="eastAsia" w:ascii="方正黑体_GBK" w:hAnsi="方正黑体_GBK" w:eastAsia="方正黑体_GBK" w:cs="方正黑体_GBK"/>
          <w:snapToGrid w:val="0"/>
          <w:sz w:val="32"/>
          <w:szCs w:val="32"/>
        </w:rPr>
        <w:t>一、总则</w:t>
      </w:r>
      <w:bookmarkEnd w:id="0"/>
      <w:bookmarkEnd w:id="1"/>
      <w:bookmarkEnd w:id="2"/>
      <w:bookmarkEnd w:id="3"/>
      <w:bookmarkEnd w:id="4"/>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楷体_GBK" w:hAnsi="方正楷体_GBK" w:eastAsia="方正楷体_GBK" w:cs="方正楷体_GBK"/>
          <w:snapToGrid w:val="0"/>
          <w:sz w:val="32"/>
          <w:szCs w:val="32"/>
        </w:rPr>
      </w:pPr>
      <w:bookmarkStart w:id="5" w:name="_Toc529778226"/>
      <w:bookmarkStart w:id="6" w:name="_Toc2381"/>
      <w:bookmarkStart w:id="7" w:name="_Toc529870665"/>
      <w:bookmarkStart w:id="8" w:name="_Toc530476251"/>
      <w:bookmarkStart w:id="9" w:name="_Toc3639"/>
      <w:r>
        <w:rPr>
          <w:rFonts w:hint="eastAsia" w:ascii="方正楷体_GBK" w:hAnsi="方正楷体_GBK" w:eastAsia="方正楷体_GBK" w:cs="方正楷体_GBK"/>
          <w:snapToGrid w:val="0"/>
          <w:sz w:val="32"/>
          <w:szCs w:val="32"/>
        </w:rPr>
        <w:t>（一）</w:t>
      </w:r>
      <w:bookmarkEnd w:id="5"/>
      <w:bookmarkEnd w:id="6"/>
      <w:bookmarkEnd w:id="7"/>
      <w:bookmarkEnd w:id="8"/>
      <w:r>
        <w:rPr>
          <w:rFonts w:hint="eastAsia" w:ascii="方正楷体_GBK" w:hAnsi="方正楷体_GBK" w:eastAsia="方正楷体_GBK" w:cs="方正楷体_GBK"/>
          <w:snapToGrid w:val="0"/>
          <w:sz w:val="32"/>
          <w:szCs w:val="32"/>
        </w:rPr>
        <w:t>指导思想</w:t>
      </w:r>
      <w:bookmarkEnd w:id="9"/>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以习近平新时代中国特色社会主义思想为指导，深学笃用习近平生态文明思想，全面贯彻党的二十大精神，认真落实习近平总书记对重庆的重要指示要求，完整、准确、全面贯彻新发展理念，积极服务和融入新发展格局，以提高声环境质量为核心，综合考虑城市建设规划和用地现状，科学合理调整铜梁区声环境功能区，全面提升全区噪声污染防治和声环境质量管理水平，努力建设宁静舒适的生活环境。</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楷体_GBK" w:hAnsi="方正楷体_GBK" w:eastAsia="方正楷体_GBK" w:cs="方正楷体_GBK"/>
          <w:snapToGrid w:val="0"/>
          <w:sz w:val="32"/>
          <w:szCs w:val="32"/>
        </w:rPr>
      </w:pPr>
      <w:bookmarkStart w:id="10" w:name="_Toc530476252"/>
      <w:bookmarkStart w:id="11" w:name="_Toc13206"/>
      <w:bookmarkStart w:id="12" w:name="_Toc529870666"/>
      <w:bookmarkStart w:id="13" w:name="_Toc529778227"/>
      <w:bookmarkStart w:id="14" w:name="_Toc24641"/>
      <w:r>
        <w:rPr>
          <w:rFonts w:hint="eastAsia" w:ascii="方正楷体_GBK" w:hAnsi="方正楷体_GBK" w:eastAsia="方正楷体_GBK" w:cs="方正楷体_GBK"/>
          <w:snapToGrid w:val="0"/>
          <w:sz w:val="32"/>
          <w:szCs w:val="32"/>
        </w:rPr>
        <w:t>（二）基本原则</w:t>
      </w:r>
      <w:bookmarkEnd w:id="10"/>
      <w:bookmarkEnd w:id="11"/>
      <w:bookmarkEnd w:id="12"/>
      <w:bookmarkEnd w:id="13"/>
      <w:bookmarkEnd w:id="14"/>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坚持依法调整。根据国家和重庆市相关法律法规规章、技术标准，科学合理调整声环境功能区，调整中不能随意降低声环境功能区级别和管控要求，有效控制噪声影响程度和范围，切实维护声环境功能区调整的严肃性。</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坚持以人为本。顺应人民群众对宁静宜居生活的向往，注重加强对噪声敏感人群和以居民住宅、医疗卫生、文化教育、科研设计、行政办公为主要功能的噪声敏感建筑物及其集中区域的保护，提高城市宜居生活水平。</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坚持统筹兼顾。以现行声环境功能区划为基础，加强与国土空间规划衔接，综合考虑区域经济社会发展现状、规划用地属性、用地现状、声环境质量现状，遵循城乡建设和发展的客观规律，因地制宜、统筹兼顾，合理调整声环境功能区。</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坚持务实管用。要明确区划单元的地理边界、坐标，将声环境功能区落地、上图、入库，力求“划得实、管得住”，使声环境功能区划分调整方案成为环境监测、质量评估、环评审批、行政执法等环境日常管理和城市用地规划、交通规划等空间管制的参考，增强保护实效。</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楷体_GBK" w:hAnsi="方正楷体_GBK" w:eastAsia="方正楷体_GBK" w:cs="方正楷体_GBK"/>
          <w:snapToGrid w:val="0"/>
          <w:sz w:val="32"/>
          <w:szCs w:val="32"/>
        </w:rPr>
      </w:pPr>
      <w:bookmarkStart w:id="15" w:name="_Toc529870667"/>
      <w:bookmarkStart w:id="16" w:name="_Toc32162"/>
      <w:bookmarkStart w:id="17" w:name="_Toc530476253"/>
      <w:bookmarkStart w:id="18" w:name="_Toc529778228"/>
      <w:bookmarkStart w:id="19" w:name="_Toc32676"/>
      <w:r>
        <w:rPr>
          <w:rFonts w:hint="eastAsia" w:ascii="方正楷体_GBK" w:hAnsi="方正楷体_GBK" w:eastAsia="方正楷体_GBK" w:cs="方正楷体_GBK"/>
          <w:snapToGrid w:val="0"/>
          <w:sz w:val="32"/>
          <w:szCs w:val="32"/>
        </w:rPr>
        <w:t>（三）划分调整依据</w:t>
      </w:r>
      <w:bookmarkEnd w:id="15"/>
      <w:bookmarkEnd w:id="16"/>
      <w:bookmarkEnd w:id="17"/>
      <w:bookmarkEnd w:id="18"/>
      <w:bookmarkEnd w:id="19"/>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1.《声环境质量标准》（GB3096-2008）</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2.《声环境功能区划分技术规范》（GB/T15190-2014）</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3.《环境专题空间数据加工处理技术规范》（HJ927-2017）</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4.《城市用地分类与规划建设用地标准》（GB50137-2011）</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5.《重庆市声环境功能区划分技术规范实施细则（试行）》（渝环〔2015〕429号）</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6.《环境保护部办公厅关于加强和规范声环境功能区划分管理工作的通知》（环办大气函〔2017〕1709号）</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7.《重庆市生态环境局办公室关于进一步做好声环境功能区划分调整工作的通知》（渝环办〔2022〕42号）</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8.《重庆市铜梁区人民政府办公室关于印发重庆市铜梁区综合交通运输“十四五”发展规划的通知》（铜府办〔2022〕11号）</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楷体_GBK" w:hAnsi="方正楷体_GBK" w:eastAsia="方正楷体_GBK" w:cs="方正楷体_GBK"/>
          <w:snapToGrid w:val="0"/>
          <w:sz w:val="32"/>
          <w:szCs w:val="32"/>
        </w:rPr>
      </w:pPr>
      <w:bookmarkStart w:id="20" w:name="_Toc20412"/>
      <w:bookmarkStart w:id="21" w:name="_Toc529778229"/>
      <w:bookmarkStart w:id="22" w:name="_Toc529870668"/>
      <w:bookmarkStart w:id="23" w:name="_Toc747"/>
      <w:bookmarkStart w:id="24" w:name="_Toc530476254"/>
      <w:r>
        <w:rPr>
          <w:rFonts w:hint="eastAsia" w:ascii="方正楷体_GBK" w:hAnsi="方正楷体_GBK" w:eastAsia="方正楷体_GBK" w:cs="方正楷体_GBK"/>
          <w:snapToGrid w:val="0"/>
          <w:sz w:val="32"/>
          <w:szCs w:val="32"/>
        </w:rPr>
        <w:t>（四）适用范围</w:t>
      </w:r>
      <w:bookmarkEnd w:id="20"/>
      <w:bookmarkEnd w:id="21"/>
      <w:bookmarkEnd w:id="22"/>
      <w:bookmarkEnd w:id="23"/>
      <w:bookmarkEnd w:id="24"/>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本方案适用范围为铜梁区行政管辖区，包括中心城区、建制镇和其他区域。</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中心城区：铜梁中心城区规划建设用地范围，包括巴川、南城、东城、蒲吕4个街道，以及旧县街道、庆隆镇部分区域。</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建制镇：包括大庙镇、安居镇、平滩镇、太平镇、侣俸镇、虎峰镇6个镇的镇区规划建设用地范围。</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其他区域：除已划分的中心城区、建制镇的规划建设用地范围以外的其他区域。</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snapToGrid w:val="0"/>
          <w:sz w:val="32"/>
          <w:szCs w:val="32"/>
        </w:rPr>
      </w:pPr>
      <w:bookmarkStart w:id="25" w:name="_Toc529870670"/>
      <w:bookmarkStart w:id="26" w:name="_Toc530476256"/>
      <w:bookmarkStart w:id="27" w:name="_Toc529778231"/>
      <w:bookmarkStart w:id="28" w:name="_Toc16719"/>
      <w:r>
        <w:rPr>
          <w:rFonts w:hint="eastAsia" w:ascii="方正黑体_GBK" w:hAnsi="方正黑体_GBK" w:eastAsia="方正黑体_GBK" w:cs="方正黑体_GBK"/>
          <w:snapToGrid w:val="0"/>
          <w:sz w:val="32"/>
          <w:szCs w:val="32"/>
        </w:rPr>
        <w:t>二、声环境功能区划分类别及管控要求</w:t>
      </w:r>
      <w:bookmarkEnd w:id="25"/>
      <w:bookmarkEnd w:id="26"/>
      <w:bookmarkEnd w:id="27"/>
      <w:bookmarkEnd w:id="28"/>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根据《声环境质量标准》（GB3096-2008），声环境功能区分为0类、1类、2类、3类、4类共五个类别，不同类别的声环境功能区适用不同的声环境质量标准。</w:t>
      </w:r>
    </w:p>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sz w:val="32"/>
          <w:szCs w:val="32"/>
        </w:rPr>
      </w:pPr>
      <w:r>
        <w:rPr>
          <w:rFonts w:hint="eastAsia" w:ascii="方正黑体_GBK" w:hAnsi="方正黑体_GBK" w:eastAsia="方正黑体_GBK" w:cs="方正黑体_GBK"/>
          <w:sz w:val="24"/>
          <w:szCs w:val="24"/>
        </w:rPr>
        <w:t xml:space="preserve">表2-1  </w:t>
      </w:r>
      <w:r>
        <w:rPr>
          <w:rFonts w:hint="eastAsia" w:ascii="方正黑体_GBK" w:hAnsi="方正黑体_GBK" w:eastAsia="方正黑体_GBK" w:cs="方正黑体_GBK"/>
          <w:bCs/>
          <w:color w:val="000000"/>
          <w:sz w:val="24"/>
          <w:szCs w:val="24"/>
        </w:rPr>
        <w:t>各类声环境功能区类别</w:t>
      </w:r>
    </w:p>
    <w:tbl>
      <w:tblPr>
        <w:tblStyle w:val="14"/>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6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234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类别</w:t>
            </w:r>
          </w:p>
        </w:tc>
        <w:tc>
          <w:tcPr>
            <w:tcW w:w="672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0类声环境功能区</w:t>
            </w:r>
          </w:p>
        </w:tc>
        <w:tc>
          <w:tcPr>
            <w:tcW w:w="672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康复疗养区等特别需要安静的区域。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1类声环境功能区</w:t>
            </w:r>
          </w:p>
        </w:tc>
        <w:tc>
          <w:tcPr>
            <w:tcW w:w="672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以居民住宅、医疗卫生、文化教育、科研设计、行政办公为主要功能，需要保持安静的区域。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2类声环境功能区</w:t>
            </w:r>
          </w:p>
        </w:tc>
        <w:tc>
          <w:tcPr>
            <w:tcW w:w="672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以商业金融、集市贸易为主要功能，或者居住、商业、工业混杂，需要维护住宅安静的区域。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3类声环境功能区</w:t>
            </w:r>
          </w:p>
        </w:tc>
        <w:tc>
          <w:tcPr>
            <w:tcW w:w="672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以工业生产、仓储物流为主要功能，需要防止工业噪声对周围环境产生严重影响的区域。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4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4类声环境功能区</w:t>
            </w:r>
          </w:p>
        </w:tc>
        <w:tc>
          <w:tcPr>
            <w:tcW w:w="6720" w:type="dxa"/>
            <w:noWrap w:val="0"/>
            <w:vAlign w:val="center"/>
          </w:tcPr>
          <w:p>
            <w:pPr>
              <w:keepNext w:val="0"/>
              <w:keepLines w:val="0"/>
              <w:pageBreakBefore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交通干线两侧一定距离之内，需要防止交通噪声对周围环境产生严重影响的区域，包括4a类和4b类两种类型。4a为高速公路、一级公路、二级公路、城市快速路、城市主干路、城市次干路、城市轨道交通（地面段）、内河航道两侧区域；4b类为铁路干线两侧区域。</w:t>
            </w:r>
          </w:p>
        </w:tc>
      </w:tr>
    </w:tbl>
    <w:p>
      <w:pPr>
        <w:keepNext w:val="0"/>
        <w:keepLines w:val="0"/>
        <w:pageBreakBefore w:val="0"/>
        <w:kinsoku/>
        <w:wordWrap/>
        <w:overflowPunct/>
        <w:topLinePunct w:val="0"/>
        <w:autoSpaceDE/>
        <w:autoSpaceDN/>
        <w:bidi w:val="0"/>
        <w:spacing w:line="600" w:lineRule="exact"/>
        <w:ind w:firstLine="480" w:firstLineChars="200"/>
        <w:textAlignment w:val="auto"/>
        <w:rPr>
          <w:rFonts w:hint="default" w:ascii="Times New Roman" w:hAnsi="Times New Roman" w:eastAsia="方正仿宋_GBK" w:cs="Times New Roman"/>
          <w:snapToGrid w:val="0"/>
          <w:sz w:val="24"/>
          <w:szCs w:val="24"/>
        </w:rPr>
      </w:pPr>
      <w:r>
        <w:rPr>
          <w:rFonts w:hint="default" w:ascii="Times New Roman" w:hAnsi="Times New Roman" w:eastAsia="方正仿宋_GBK" w:cs="Times New Roman"/>
          <w:snapToGrid w:val="0"/>
          <w:sz w:val="24"/>
          <w:szCs w:val="24"/>
        </w:rPr>
        <w:t>各类声环境功能区适用环境噪声等效声级限值见表2-2。</w:t>
      </w:r>
    </w:p>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bCs/>
          <w:color w:val="000000"/>
          <w:sz w:val="24"/>
          <w:szCs w:val="24"/>
        </w:rPr>
      </w:pPr>
      <w:r>
        <w:rPr>
          <w:rFonts w:hint="eastAsia" w:ascii="方正黑体_GBK" w:hAnsi="方正黑体_GBK" w:eastAsia="方正黑体_GBK" w:cs="方正黑体_GBK"/>
          <w:bCs/>
          <w:color w:val="000000"/>
          <w:sz w:val="24"/>
          <w:szCs w:val="24"/>
        </w:rPr>
        <w:t>表2-2  各类声环境功能区适用的声环境质量评价标准     单位：dB（A）</w:t>
      </w:r>
    </w:p>
    <w:tbl>
      <w:tblPr>
        <w:tblStyle w:val="13"/>
        <w:tblW w:w="9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581"/>
        <w:gridCol w:w="3229"/>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760"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声环境功能区类别</w:t>
            </w:r>
          </w:p>
        </w:tc>
        <w:tc>
          <w:tcPr>
            <w:tcW w:w="6463" w:type="dxa"/>
            <w:gridSpan w:val="2"/>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声环境质量评价标准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2760"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p>
        </w:tc>
        <w:tc>
          <w:tcPr>
            <w:tcW w:w="3229"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昼间</w:t>
            </w:r>
          </w:p>
        </w:tc>
        <w:tc>
          <w:tcPr>
            <w:tcW w:w="3234"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760" w:type="dxa"/>
            <w:gridSpan w:val="2"/>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0</w:t>
            </w:r>
          </w:p>
        </w:tc>
        <w:tc>
          <w:tcPr>
            <w:tcW w:w="3229"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≤50</w:t>
            </w:r>
          </w:p>
        </w:tc>
        <w:tc>
          <w:tcPr>
            <w:tcW w:w="3234"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760" w:type="dxa"/>
            <w:gridSpan w:val="2"/>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 xml:space="preserve">1 </w:t>
            </w:r>
          </w:p>
        </w:tc>
        <w:tc>
          <w:tcPr>
            <w:tcW w:w="3229"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≤55</w:t>
            </w:r>
          </w:p>
        </w:tc>
        <w:tc>
          <w:tcPr>
            <w:tcW w:w="3234"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2760" w:type="dxa"/>
            <w:gridSpan w:val="2"/>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w:t>
            </w:r>
          </w:p>
        </w:tc>
        <w:tc>
          <w:tcPr>
            <w:tcW w:w="3229"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≤60</w:t>
            </w:r>
          </w:p>
        </w:tc>
        <w:tc>
          <w:tcPr>
            <w:tcW w:w="3234"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760" w:type="dxa"/>
            <w:gridSpan w:val="2"/>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w:t>
            </w:r>
          </w:p>
        </w:tc>
        <w:tc>
          <w:tcPr>
            <w:tcW w:w="3229"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≤65</w:t>
            </w:r>
          </w:p>
        </w:tc>
        <w:tc>
          <w:tcPr>
            <w:tcW w:w="3234"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17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w:t>
            </w:r>
          </w:p>
        </w:tc>
        <w:tc>
          <w:tcPr>
            <w:tcW w:w="1581"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4a</w:t>
            </w:r>
          </w:p>
        </w:tc>
        <w:tc>
          <w:tcPr>
            <w:tcW w:w="3229"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≤70</w:t>
            </w:r>
          </w:p>
        </w:tc>
        <w:tc>
          <w:tcPr>
            <w:tcW w:w="3234"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117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sz w:val="24"/>
                <w:szCs w:val="24"/>
              </w:rPr>
            </w:pPr>
          </w:p>
        </w:tc>
        <w:tc>
          <w:tcPr>
            <w:tcW w:w="1581"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4b</w:t>
            </w:r>
          </w:p>
        </w:tc>
        <w:tc>
          <w:tcPr>
            <w:tcW w:w="3229"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≤70</w:t>
            </w:r>
          </w:p>
        </w:tc>
        <w:tc>
          <w:tcPr>
            <w:tcW w:w="3234" w:type="dxa"/>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≤60</w:t>
            </w:r>
          </w:p>
        </w:tc>
      </w:tr>
    </w:tbl>
    <w:p>
      <w:pPr>
        <w:keepNext w:val="0"/>
        <w:keepLines w:val="0"/>
        <w:pageBreakBefore w:val="0"/>
        <w:kinsoku/>
        <w:wordWrap/>
        <w:overflowPunct/>
        <w:topLinePunct w:val="0"/>
        <w:autoSpaceDE/>
        <w:autoSpaceDN/>
        <w:bidi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注：“昼间”是指6:00至22:00之间的时段，该时段执行昼间标准；“夜间”是指22:00至次日6:00之间的时段，该时段执行夜间标准。</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snapToGrid w:val="0"/>
          <w:sz w:val="32"/>
          <w:szCs w:val="32"/>
        </w:rPr>
      </w:pPr>
      <w:r>
        <w:rPr>
          <w:rFonts w:hint="eastAsia" w:ascii="方正黑体_GBK" w:hAnsi="方正黑体_GBK" w:eastAsia="方正黑体_GBK" w:cs="方正黑体_GBK"/>
          <w:snapToGrid w:val="0"/>
          <w:sz w:val="32"/>
          <w:szCs w:val="32"/>
        </w:rPr>
        <w:t>三、声环境功能区划分调整方法及标准</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根据《声环境功能区划分技术规范》（GB/T15190-2014）、《重庆市声环境功能区划分技术规范实施细则（试行）》（渝环</w:t>
      </w:r>
      <w:r>
        <w:rPr>
          <w:rFonts w:hint="default" w:ascii="Times New Roman" w:hAnsi="Times New Roman" w:eastAsia="方正仿宋_GBK" w:cs="Times New Roman"/>
          <w:snapToGrid w:val="0"/>
          <w:spacing w:val="-6"/>
          <w:sz w:val="32"/>
          <w:szCs w:val="32"/>
        </w:rPr>
        <w:t>〔2015〕429号），按0类、1类、3类、2类的顺序确定区划单元的声环境功能区类型，在此基础上调整划定4类声环境功能区。</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29" w:name="_Toc13987"/>
      <w:bookmarkStart w:id="30" w:name="_Toc20812"/>
      <w:bookmarkStart w:id="31" w:name="_Toc19666"/>
      <w:bookmarkStart w:id="32" w:name="_Toc5505"/>
      <w:r>
        <w:rPr>
          <w:rFonts w:hint="eastAsia" w:ascii="方正楷体_GBK" w:hAnsi="方正楷体_GBK" w:eastAsia="方正楷体_GBK" w:cs="方正楷体_GBK"/>
          <w:snapToGrid w:val="0"/>
          <w:sz w:val="32"/>
          <w:szCs w:val="32"/>
        </w:rPr>
        <w:t>（一）调整划定0类声环境功能区</w:t>
      </w:r>
      <w:bookmarkEnd w:id="29"/>
      <w:bookmarkEnd w:id="30"/>
      <w:bookmarkEnd w:id="31"/>
      <w:bookmarkEnd w:id="32"/>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将用地性质为康复疗养区等特别需要安静的区划单元纳入0类声环境功能区，区域内及区域周围应当没有明显的噪声源，区域边界明确。</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33" w:name="_Toc31149"/>
      <w:bookmarkStart w:id="34" w:name="_Toc13844"/>
      <w:bookmarkStart w:id="35" w:name="_Toc18464"/>
      <w:bookmarkStart w:id="36" w:name="_Toc26992"/>
      <w:r>
        <w:rPr>
          <w:rFonts w:hint="eastAsia" w:ascii="方正楷体_GBK" w:hAnsi="方正楷体_GBK" w:eastAsia="方正楷体_GBK" w:cs="方正楷体_GBK"/>
          <w:snapToGrid w:val="0"/>
          <w:sz w:val="32"/>
          <w:szCs w:val="32"/>
        </w:rPr>
        <w:t>（二）调整划定1类声环境功能区</w:t>
      </w:r>
      <w:bookmarkEnd w:id="33"/>
      <w:bookmarkEnd w:id="34"/>
      <w:bookmarkEnd w:id="35"/>
      <w:bookmarkEnd w:id="36"/>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将用地现状已形成一定规模或已明确规划为居民住宅、医疗卫生、文化教育、科研设计、行政办公用地的区划单元，或者虽兼有其他用地性质但上述用地占地率≥70%的区划单元，纳入1类声环境功能区。</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37" w:name="_Toc59"/>
      <w:bookmarkStart w:id="38" w:name="_Toc18500"/>
      <w:bookmarkStart w:id="39" w:name="_Toc23503"/>
      <w:bookmarkStart w:id="40" w:name="_Toc30842"/>
      <w:r>
        <w:rPr>
          <w:rFonts w:hint="eastAsia" w:ascii="方正楷体_GBK" w:hAnsi="方正楷体_GBK" w:eastAsia="方正楷体_GBK" w:cs="方正楷体_GBK"/>
          <w:snapToGrid w:val="0"/>
          <w:sz w:val="32"/>
          <w:szCs w:val="32"/>
        </w:rPr>
        <w:t>（三）调整划定3类声环境功能区</w:t>
      </w:r>
      <w:bookmarkEnd w:id="37"/>
      <w:bookmarkEnd w:id="38"/>
      <w:bookmarkEnd w:id="39"/>
      <w:bookmarkEnd w:id="40"/>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将用地现状已形成一定</w:t>
      </w:r>
      <w:r>
        <w:rPr>
          <w:rFonts w:hint="default" w:ascii="Times New Roman" w:hAnsi="Times New Roman" w:eastAsia="方正仿宋_GBK" w:cs="Times New Roman"/>
          <w:snapToGrid w:val="0"/>
          <w:spacing w:val="4"/>
          <w:sz w:val="32"/>
          <w:szCs w:val="32"/>
        </w:rPr>
        <w:t>规模或已明确为工业生产、仓储物流等用地，或工业生产、仓储物流等用地占地率大于≥70%的区划单元，纳入3类声环境功能区。</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41" w:name="_Toc197"/>
      <w:bookmarkStart w:id="42" w:name="_Toc17291"/>
      <w:bookmarkStart w:id="43" w:name="_Toc31644"/>
      <w:bookmarkStart w:id="44" w:name="_Toc24007"/>
      <w:r>
        <w:rPr>
          <w:rFonts w:hint="eastAsia" w:ascii="方正楷体_GBK" w:hAnsi="方正楷体_GBK" w:eastAsia="方正楷体_GBK" w:cs="方正楷体_GBK"/>
          <w:snapToGrid w:val="0"/>
          <w:sz w:val="32"/>
          <w:szCs w:val="32"/>
        </w:rPr>
        <w:t>（四）调整划定2类声环境功能区</w:t>
      </w:r>
      <w:bookmarkEnd w:id="41"/>
      <w:bookmarkEnd w:id="42"/>
      <w:bookmarkEnd w:id="43"/>
      <w:bookmarkEnd w:id="44"/>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将用地现状已形成一定规模或已明确为商业金融、集市贸易等用地，或者居住、商业、工业用地混杂，需要维护住宅安静的区划单元，或者在划定的0、1、3类声环境功能区以外居住、商业、工业混杂区域，纳入2类声环境功能区。</w:t>
      </w:r>
      <w:bookmarkStart w:id="45" w:name="_Toc30548"/>
      <w:bookmarkStart w:id="46" w:name="_Toc32147"/>
      <w:bookmarkStart w:id="47" w:name="_Toc20987"/>
      <w:bookmarkStart w:id="48" w:name="_Toc31320"/>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eastAsia" w:ascii="方正楷体_GBK" w:hAnsi="方正楷体_GBK" w:eastAsia="方正楷体_GBK" w:cs="方正楷体_GBK"/>
          <w:snapToGrid w:val="0"/>
          <w:sz w:val="32"/>
          <w:szCs w:val="32"/>
        </w:rPr>
        <w:t>（五）调整划定4类声环境功能区</w:t>
      </w:r>
      <w:bookmarkEnd w:id="45"/>
      <w:bookmarkEnd w:id="46"/>
      <w:bookmarkEnd w:id="47"/>
      <w:bookmarkEnd w:id="48"/>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将交通干线两侧一定距离之内，需要防止交通噪声对周围环境产生严重影响的区域，纳入4类声环境功能区。包括4a类和4b类两种类型：4a类为高</w:t>
      </w:r>
      <w:r>
        <w:rPr>
          <w:rFonts w:hint="default" w:ascii="Times New Roman" w:hAnsi="Times New Roman" w:eastAsia="方正仿宋_GBK" w:cs="Times New Roman"/>
          <w:snapToGrid w:val="0"/>
          <w:spacing w:val="10"/>
          <w:sz w:val="32"/>
          <w:szCs w:val="32"/>
        </w:rPr>
        <w:t>速公路、一级公路、二级公路、城市快速路、城市主干路、城市次干路、城市轨道交通（地面段）；4b类为铁路干线两侧区域。</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1.4a类声环境功能区划分</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（1）城市区域内高速公路、城市快速路、城市主干路、一级公路、二级公路、城市次干路、城市轨道交通（地面段）、内河航道两侧一定距离参照表3-1纳入为4a类声环境功能区。</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2）临街建筑4类功能区的划分。当临街建筑（交通干线边界线至临街建筑的距离小于表3-1中的划分距离）高于三层楼房以上（含三层）时，将临街建筑面向交通干线一侧至交通干线边界线的区域纳入为4a类声环境功能区。</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2.4b类声环境功能区划分</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城市区域内铁路两侧一定距离参照表3-1划定4b类声环境功能区，对于4a类与4b类声环境功能区重叠区域，纳入为4b类声环境功能区。</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3.交通服务区域功能区划分</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铁路和城市轨道交通（地面）场站、公交枢纽、港口场站、高速公路服务区等具有一定规模的交通服务区域，纳入为4a类或4b类声环境功能区。</w:t>
      </w:r>
    </w:p>
    <w:p>
      <w:pPr>
        <w:keepNext w:val="0"/>
        <w:keepLines w:val="0"/>
        <w:pageBreakBefore w:val="0"/>
        <w:kinsoku/>
        <w:wordWrap/>
        <w:overflowPunct/>
        <w:topLinePunct w:val="0"/>
        <w:autoSpaceDE/>
        <w:autoSpaceDN/>
        <w:bidi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bCs/>
          <w:color w:val="000000"/>
          <w:sz w:val="24"/>
          <w:szCs w:val="24"/>
        </w:rPr>
        <w:t>表3-1 交通</w:t>
      </w:r>
      <w:r>
        <w:rPr>
          <w:rFonts w:hint="eastAsia" w:ascii="方正黑体_GBK" w:hAnsi="方正黑体_GBK" w:eastAsia="方正黑体_GBK" w:cs="方正黑体_GBK"/>
          <w:sz w:val="24"/>
          <w:szCs w:val="24"/>
        </w:rPr>
        <w:t>干线相邻区域4类功能区距离</w:t>
      </w:r>
    </w:p>
    <w:tbl>
      <w:tblPr>
        <w:tblStyle w:val="13"/>
        <w:tblW w:w="86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690"/>
        <w:gridCol w:w="2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源强类型</w:t>
            </w:r>
          </w:p>
        </w:tc>
        <w:tc>
          <w:tcPr>
            <w:tcW w:w="2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划分距离（m）</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rPr>
              <w:t>相邻功能区类型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restar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高速公路、城市快速路、城市轨道交通（钢轨-地面段）、铁路</w:t>
            </w: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55</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40</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2类区</w:t>
            </w:r>
          </w:p>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25</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restar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一级公路、城市主干路、内河航道</w:t>
            </w: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35</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2类区</w:t>
            </w:r>
          </w:p>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20</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restar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二级公路、城市次干路、城市轨道交通（胶轨-地面段）</w:t>
            </w: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45</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30</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15</w:t>
            </w:r>
          </w:p>
        </w:tc>
        <w:tc>
          <w:tcPr>
            <w:tcW w:w="2691"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snapToGrid w:val="0"/>
              <w:spacing w:line="600" w:lineRule="exact"/>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3类区</w:t>
            </w:r>
          </w:p>
        </w:tc>
      </w:tr>
    </w:tbl>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snapToGrid w:val="0"/>
          <w:sz w:val="32"/>
          <w:szCs w:val="32"/>
        </w:rPr>
      </w:pPr>
      <w:bookmarkStart w:id="49" w:name="_Toc15817"/>
      <w:r>
        <w:rPr>
          <w:rFonts w:hint="eastAsia" w:ascii="方正黑体_GBK" w:hAnsi="方正黑体_GBK" w:eastAsia="方正黑体_GBK" w:cs="方正黑体_GBK"/>
          <w:snapToGrid w:val="0"/>
          <w:sz w:val="32"/>
          <w:szCs w:val="32"/>
        </w:rPr>
        <w:t>四、声环境功能区划调整结果</w:t>
      </w:r>
      <w:bookmarkEnd w:id="49"/>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50" w:name="_Toc12871"/>
      <w:r>
        <w:rPr>
          <w:rFonts w:hint="eastAsia" w:ascii="方正楷体_GBK" w:hAnsi="方正楷体_GBK" w:eastAsia="方正楷体_GBK" w:cs="方正楷体_GBK"/>
          <w:snapToGrid w:val="0"/>
          <w:sz w:val="32"/>
          <w:szCs w:val="32"/>
        </w:rPr>
        <w:t>（一）铜梁区调整结果</w:t>
      </w:r>
      <w:bookmarkEnd w:id="50"/>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重庆市铜梁区声环境功能区调整为21个声环境功能区（4类声环境功能区不单独进行编号），区划总面积70.26</w:t>
      </w:r>
      <w:r>
        <w:rPr>
          <w:rFonts w:hint="default" w:ascii="Times New Roman" w:hAnsi="Times New Roman" w:eastAsia="方正仿宋_GBK" w:cs="Times New Roman"/>
          <w:sz w:val="32"/>
          <w:szCs w:val="32"/>
        </w:rPr>
        <w:t xml:space="preserve"> 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napToGrid w:val="0"/>
          <w:sz w:val="32"/>
          <w:szCs w:val="32"/>
        </w:rPr>
        <w:t>。其中，因铜梁区内无成熟0类声环境功能区地块，暂无0类声环境功能区；1类声环境功能区（4个）面积为6.78</w:t>
      </w:r>
      <w:r>
        <w:rPr>
          <w:rFonts w:hint="default" w:ascii="Times New Roman" w:hAnsi="Times New Roman" w:eastAsia="方正仿宋_GBK" w:cs="Times New Roman"/>
          <w:sz w:val="32"/>
          <w:szCs w:val="32"/>
        </w:rPr>
        <w:t xml:space="preserve"> 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napToGrid w:val="0"/>
          <w:sz w:val="32"/>
          <w:szCs w:val="32"/>
        </w:rPr>
        <w:t>，占区划总面积的9.65%；2类声环境功能区（12个）面积为29.97</w:t>
      </w:r>
      <w:r>
        <w:rPr>
          <w:rFonts w:hint="default" w:ascii="Times New Roman" w:hAnsi="Times New Roman" w:eastAsia="方正仿宋_GBK" w:cs="Times New Roman"/>
          <w:sz w:val="32"/>
          <w:szCs w:val="32"/>
        </w:rPr>
        <w:t xml:space="preserve"> 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napToGrid w:val="0"/>
          <w:sz w:val="32"/>
          <w:szCs w:val="32"/>
        </w:rPr>
        <w:t>，占区划总面积的42.66%；3类声环境功能区（5个）面积为24.99</w:t>
      </w:r>
      <w:r>
        <w:rPr>
          <w:rFonts w:hint="default" w:ascii="Times New Roman" w:hAnsi="Times New Roman" w:eastAsia="方正仿宋_GBK" w:cs="Times New Roman"/>
          <w:sz w:val="32"/>
          <w:szCs w:val="32"/>
        </w:rPr>
        <w:t xml:space="preserve"> 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napToGrid w:val="0"/>
          <w:sz w:val="32"/>
          <w:szCs w:val="32"/>
        </w:rPr>
        <w:t>，占区划总面积的35.57%；4类声环境功能区面积8.52</w:t>
      </w:r>
      <w:r>
        <w:rPr>
          <w:rFonts w:hint="default" w:ascii="Times New Roman" w:hAnsi="Times New Roman" w:eastAsia="方正仿宋_GBK" w:cs="Times New Roman"/>
          <w:sz w:val="32"/>
          <w:szCs w:val="32"/>
        </w:rPr>
        <w:t xml:space="preserve"> 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napToGrid w:val="0"/>
          <w:sz w:val="32"/>
          <w:szCs w:val="32"/>
        </w:rPr>
        <w:t>，占区划总面积的12.12%，全部为4a类声环境功能区，无4b类声环境功能区。</w:t>
      </w:r>
    </w:p>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bCs/>
          <w:color w:val="000000"/>
          <w:sz w:val="24"/>
          <w:szCs w:val="24"/>
        </w:rPr>
        <w:t>表4-1 铜梁区声环境功能区各类面积统计表</w:t>
      </w:r>
    </w:p>
    <w:tbl>
      <w:tblPr>
        <w:tblStyle w:val="13"/>
        <w:tblW w:w="9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4"/>
        <w:gridCol w:w="2300"/>
        <w:gridCol w:w="1791"/>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3344"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类型</w:t>
            </w:r>
          </w:p>
        </w:tc>
        <w:tc>
          <w:tcPr>
            <w:tcW w:w="230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区划单元数量</w:t>
            </w:r>
          </w:p>
        </w:tc>
        <w:tc>
          <w:tcPr>
            <w:tcW w:w="1791"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面积（km</w:t>
            </w:r>
            <w:r>
              <w:rPr>
                <w:rFonts w:hint="eastAsia" w:ascii="方正黑体_GBK" w:hAnsi="方正黑体_GBK" w:eastAsia="方正黑体_GBK" w:cs="方正黑体_GBK"/>
                <w:sz w:val="24"/>
                <w:szCs w:val="24"/>
                <w:vertAlign w:val="superscript"/>
              </w:rPr>
              <w:t>2</w:t>
            </w:r>
            <w:r>
              <w:rPr>
                <w:rFonts w:hint="eastAsia" w:ascii="方正黑体_GBK" w:hAnsi="方正黑体_GBK" w:eastAsia="方正黑体_GBK" w:cs="方正黑体_GBK"/>
                <w:sz w:val="24"/>
                <w:szCs w:val="24"/>
              </w:rPr>
              <w:t>）</w:t>
            </w:r>
          </w:p>
        </w:tc>
        <w:tc>
          <w:tcPr>
            <w:tcW w:w="1792"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44"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1类声环境功能区</w:t>
            </w:r>
          </w:p>
        </w:tc>
        <w:tc>
          <w:tcPr>
            <w:tcW w:w="230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w:t>
            </w:r>
          </w:p>
        </w:tc>
        <w:tc>
          <w:tcPr>
            <w:tcW w:w="1791"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6.78</w:t>
            </w:r>
          </w:p>
        </w:tc>
        <w:tc>
          <w:tcPr>
            <w:tcW w:w="1792"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 xml:space="preserve">9.65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44"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2类声环境功能区</w:t>
            </w:r>
          </w:p>
        </w:tc>
        <w:tc>
          <w:tcPr>
            <w:tcW w:w="230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12</w:t>
            </w:r>
          </w:p>
        </w:tc>
        <w:tc>
          <w:tcPr>
            <w:tcW w:w="1791"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29.97</w:t>
            </w:r>
          </w:p>
        </w:tc>
        <w:tc>
          <w:tcPr>
            <w:tcW w:w="1792"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 xml:space="preserve">42.66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44"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3类声环境功能区</w:t>
            </w:r>
          </w:p>
        </w:tc>
        <w:tc>
          <w:tcPr>
            <w:tcW w:w="230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w:t>
            </w:r>
          </w:p>
        </w:tc>
        <w:tc>
          <w:tcPr>
            <w:tcW w:w="1791"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24.99</w:t>
            </w:r>
          </w:p>
        </w:tc>
        <w:tc>
          <w:tcPr>
            <w:tcW w:w="1792"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 xml:space="preserve">35.57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44"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4类声环境功能区</w:t>
            </w:r>
          </w:p>
        </w:tc>
        <w:tc>
          <w:tcPr>
            <w:tcW w:w="230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w:t>
            </w:r>
          </w:p>
        </w:tc>
        <w:tc>
          <w:tcPr>
            <w:tcW w:w="1791"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8.52</w:t>
            </w:r>
          </w:p>
        </w:tc>
        <w:tc>
          <w:tcPr>
            <w:tcW w:w="1792"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 xml:space="preserve">12.12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44"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合计</w:t>
            </w:r>
          </w:p>
        </w:tc>
        <w:tc>
          <w:tcPr>
            <w:tcW w:w="230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21</w:t>
            </w:r>
          </w:p>
        </w:tc>
        <w:tc>
          <w:tcPr>
            <w:tcW w:w="1791"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70.26</w:t>
            </w:r>
          </w:p>
        </w:tc>
        <w:tc>
          <w:tcPr>
            <w:tcW w:w="1792"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100</w:t>
            </w:r>
          </w:p>
        </w:tc>
      </w:tr>
    </w:tbl>
    <w:p>
      <w:pPr>
        <w:keepNext w:val="0"/>
        <w:keepLines w:val="0"/>
        <w:pageBreakBefore w:val="0"/>
        <w:kinsoku/>
        <w:wordWrap/>
        <w:overflowPunct/>
        <w:topLinePunct w:val="0"/>
        <w:autoSpaceDE/>
        <w:autoSpaceDN/>
        <w:bidi w:val="0"/>
        <w:adjustRightInd w:val="0"/>
        <w:spacing w:line="600" w:lineRule="exac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注：4类声环境功能区面积不含交通干线本身。</w:t>
      </w:r>
      <w:bookmarkStart w:id="51" w:name="_Toc24352"/>
    </w:p>
    <w:p>
      <w:pPr>
        <w:keepNext w:val="0"/>
        <w:keepLines w:val="0"/>
        <w:pageBreakBefore w:val="0"/>
        <w:kinsoku/>
        <w:wordWrap/>
        <w:overflowPunct/>
        <w:topLinePunct w:val="0"/>
        <w:autoSpaceDE/>
        <w:autoSpaceDN/>
        <w:bidi w:val="0"/>
        <w:adjustRightInd w:val="0"/>
        <w:spacing w:line="600" w:lineRule="exact"/>
        <w:ind w:firstLine="640" w:firstLineChars="200"/>
        <w:textAlignment w:val="auto"/>
        <w:rPr>
          <w:rFonts w:hint="default" w:ascii="Times New Roman" w:hAnsi="Times New Roman" w:eastAsia="方正仿宋_GBK" w:cs="Times New Roman"/>
          <w:bCs/>
          <w:sz w:val="32"/>
          <w:szCs w:val="32"/>
        </w:rPr>
      </w:pPr>
      <w:r>
        <w:rPr>
          <w:rFonts w:hint="eastAsia" w:ascii="方正楷体_GBK" w:hAnsi="方正楷体_GBK" w:eastAsia="方正楷体_GBK" w:cs="方正楷体_GBK"/>
          <w:bCs/>
          <w:sz w:val="32"/>
          <w:szCs w:val="32"/>
        </w:rPr>
        <w:t>（二）中心城区调整结果</w:t>
      </w:r>
      <w:bookmarkEnd w:id="51"/>
      <w:r>
        <w:rPr>
          <w:rFonts w:hint="eastAsia" w:ascii="方正楷体_GBK" w:hAnsi="方正楷体_GBK" w:eastAsia="方正楷体_GBK" w:cs="方正楷体_GBK"/>
          <w:bCs/>
          <w:sz w:val="32"/>
          <w:szCs w:val="32"/>
        </w:rPr>
        <w:t>。</w:t>
      </w:r>
      <w:r>
        <w:rPr>
          <w:rFonts w:hint="default" w:ascii="Times New Roman" w:hAnsi="Times New Roman" w:eastAsia="方正仿宋_GBK" w:cs="Times New Roman"/>
          <w:bCs/>
          <w:sz w:val="32"/>
          <w:szCs w:val="32"/>
        </w:rPr>
        <w:t>中心城区调整为13个声环境功能区（4类声环境功能区不单独进行编号），区划总面积61.06</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bCs/>
          <w:sz w:val="32"/>
          <w:szCs w:val="32"/>
        </w:rPr>
        <w:t>。其中，1类声环境功能区4个，面积6.78</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bCs/>
          <w:sz w:val="32"/>
          <w:szCs w:val="32"/>
        </w:rPr>
        <w:t>，占区划总面积的11.11%；2类声环境功能区6个，面积24.04</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bCs/>
          <w:sz w:val="32"/>
          <w:szCs w:val="32"/>
        </w:rPr>
        <w:t>，占区划总面积的39.37%；3类声环境功能区3个，面积22.35</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bCs/>
          <w:sz w:val="32"/>
          <w:szCs w:val="32"/>
        </w:rPr>
        <w:t>，占区划总面积的36.60%；4a类声环境功能区面积7.89</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bCs/>
          <w:sz w:val="32"/>
          <w:szCs w:val="32"/>
        </w:rPr>
        <w:t>，占区划总面积的12.92%，无4b类声环境功能区。</w:t>
      </w:r>
    </w:p>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bCs/>
          <w:color w:val="000000"/>
          <w:sz w:val="32"/>
          <w:szCs w:val="32"/>
        </w:rPr>
      </w:pPr>
      <w:r>
        <w:rPr>
          <w:rFonts w:hint="eastAsia" w:ascii="方正黑体_GBK" w:hAnsi="方正黑体_GBK" w:eastAsia="方正黑体_GBK" w:cs="方正黑体_GBK"/>
          <w:bCs/>
          <w:color w:val="000000"/>
          <w:sz w:val="24"/>
          <w:szCs w:val="24"/>
        </w:rPr>
        <w:t>表4-2 铜梁区中心城区声环境功能区各类面积统计表</w:t>
      </w:r>
    </w:p>
    <w:tbl>
      <w:tblPr>
        <w:tblStyle w:val="13"/>
        <w:tblW w:w="92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307"/>
        <w:gridCol w:w="2307"/>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类型</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区划单元数量</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面积（km</w:t>
            </w:r>
            <w:r>
              <w:rPr>
                <w:rFonts w:hint="eastAsia" w:ascii="方正黑体_GBK" w:hAnsi="方正黑体_GBK" w:eastAsia="方正黑体_GBK" w:cs="方正黑体_GBK"/>
                <w:sz w:val="24"/>
                <w:szCs w:val="24"/>
                <w:vertAlign w:val="superscript"/>
              </w:rPr>
              <w:t>2</w:t>
            </w:r>
            <w:r>
              <w:rPr>
                <w:rFonts w:hint="eastAsia" w:ascii="方正黑体_GBK" w:hAnsi="方正黑体_GBK" w:eastAsia="方正黑体_GBK" w:cs="方正黑体_GBK"/>
                <w:sz w:val="24"/>
                <w:szCs w:val="24"/>
              </w:rPr>
              <w:t>）</w:t>
            </w:r>
          </w:p>
        </w:tc>
        <w:tc>
          <w:tcPr>
            <w:tcW w:w="230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1类声环境功能区</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6.78 </w:t>
            </w:r>
          </w:p>
        </w:tc>
        <w:tc>
          <w:tcPr>
            <w:tcW w:w="230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11.11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2类声环境功能区</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24.04 </w:t>
            </w:r>
          </w:p>
        </w:tc>
        <w:tc>
          <w:tcPr>
            <w:tcW w:w="230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3类声环境功能区</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22.35 </w:t>
            </w:r>
          </w:p>
        </w:tc>
        <w:tc>
          <w:tcPr>
            <w:tcW w:w="230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36.60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4类声环境功能区</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7.89 </w:t>
            </w:r>
          </w:p>
        </w:tc>
        <w:tc>
          <w:tcPr>
            <w:tcW w:w="230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合计</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13</w:t>
            </w:r>
          </w:p>
        </w:tc>
        <w:tc>
          <w:tcPr>
            <w:tcW w:w="2307"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61.06</w:t>
            </w:r>
          </w:p>
        </w:tc>
        <w:tc>
          <w:tcPr>
            <w:tcW w:w="230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100</w:t>
            </w:r>
          </w:p>
        </w:tc>
      </w:tr>
    </w:tbl>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注：4类声环境功能区面积不含交通干线本身。</w:t>
      </w:r>
    </w:p>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bCs/>
          <w:color w:val="000000"/>
          <w:sz w:val="24"/>
          <w:szCs w:val="24"/>
        </w:rPr>
      </w:pPr>
      <w:r>
        <w:rPr>
          <w:rFonts w:hint="eastAsia" w:ascii="方正黑体_GBK" w:hAnsi="方正黑体_GBK" w:eastAsia="方正黑体_GBK" w:cs="方正黑体_GBK"/>
          <w:bCs/>
          <w:color w:val="000000"/>
          <w:sz w:val="24"/>
          <w:szCs w:val="24"/>
        </w:rPr>
        <w:t>表4-3 铜梁区中心城区声环境功能区调整结果</w:t>
      </w:r>
    </w:p>
    <w:tbl>
      <w:tblPr>
        <w:tblStyle w:val="13"/>
        <w:tblW w:w="9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223"/>
        <w:gridCol w:w="978"/>
        <w:gridCol w:w="1405"/>
        <w:gridCol w:w="3652"/>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区划单元编码</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声环境功能类型</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适用</w:t>
            </w:r>
          </w:p>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区域</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主要用地类型</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区划单元范围描述</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面积（km</w:t>
            </w:r>
            <w:r>
              <w:rPr>
                <w:rFonts w:hint="default" w:ascii="Times New Roman" w:hAnsi="Times New Roman" w:eastAsia="方正仿宋_GBK" w:cs="Times New Roman"/>
                <w:sz w:val="24"/>
                <w:szCs w:val="24"/>
                <w:vertAlign w:val="superscript"/>
              </w:rPr>
              <w:t>2</w:t>
            </w:r>
            <w:r>
              <w:rPr>
                <w:rFonts w:hint="default" w:ascii="Times New Roman" w:hAnsi="Times New Roman" w:eastAsia="方正仿宋_GBK"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5001511L001</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居住文教区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居住、科研教育、公园</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巴川街道：重庆传媒职业学院、铜梁职业教育中心、普罗旺斯国际公馆、紫金华庭等片区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5001511L002</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居住文教区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居住、行政办公、公园</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巴川街道：雪庵公园等片区</w:t>
            </w:r>
          </w:p>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6"/>
                <w:sz w:val="24"/>
                <w:szCs w:val="24"/>
              </w:rPr>
              <w:t>南城街道：重庆铜梁一中、外国语实验小学、罗曼山等片区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1.21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5001511L003</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居住文教区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居住、公园、行政办公</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东城街道：人民公园、金龙小学、来新居水岸国际、宋家湾、何家湾片区</w:t>
            </w:r>
          </w:p>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南城街道：聚星村片区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5001511L004</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居住文教区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居住、医疗卫生用地</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南城街道：妇女儿童医院等片区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0.54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5001512L001</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商住工混杂区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居住、商业、工业混杂</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巴川街道：书香门第、北国风光、北城蓝湖、龙都花园、城市星都、龙都时代广场等片区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5001512L002</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商住工混杂区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居住、商业、工业混杂</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东城街道：美丽泽京爱尚里、东和时光、玉泉家园、耀阳龙泉香、双远凤凰郡、铜梁区物流园、光伦商贸园、电子园公寓等片区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5001512L003</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商住工混杂区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居住、商业、工业混杂</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南城街道：淮远古镇、双远淮远丽景、四季花城、龙城御景、龙轩大地、岳阳馨居、锦天水岸、全民健身中心等片区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8.37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5001512L004</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商住工混杂区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居住、商业混杂用地</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pacing w:val="-6"/>
                <w:sz w:val="24"/>
                <w:szCs w:val="24"/>
              </w:rPr>
            </w:pPr>
            <w:r>
              <w:rPr>
                <w:rFonts w:hint="default" w:ascii="Times New Roman" w:hAnsi="Times New Roman" w:eastAsia="方正仿宋_GBK" w:cs="Times New Roman"/>
                <w:spacing w:val="-6"/>
                <w:sz w:val="24"/>
                <w:szCs w:val="24"/>
              </w:rPr>
              <w:t>南城街道：聚星村、梯子村等片区</w:t>
            </w:r>
          </w:p>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庆隆镇：同康村片区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5.45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5001512L005</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商住工混杂区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居住、商业混杂用地</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蒲吕街道：蒲吕安置房、龙山小区、龙山名居、天泰龙山上院、蒲吕公寓等片区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5001512L006</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商住工混杂区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居住、商业混杂用地</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6"/>
                <w:sz w:val="24"/>
                <w:szCs w:val="24"/>
              </w:rPr>
              <w:t>旧县街道：旧县街道办事处办公楼、旧县中学、旧县中心卫生院等片区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5001513L001</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工业区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工业用地</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南城街道：白土坝工业园区片区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6" w:hRule="atLeast"/>
        </w:trPr>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5001513L002</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工业区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工业用地</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pacing w:val="-6"/>
                <w:sz w:val="24"/>
                <w:szCs w:val="24"/>
              </w:rPr>
            </w:pPr>
            <w:r>
              <w:rPr>
                <w:rFonts w:hint="default" w:ascii="Times New Roman" w:hAnsi="Times New Roman" w:eastAsia="方正仿宋_GBK" w:cs="Times New Roman"/>
                <w:spacing w:val="-6"/>
                <w:sz w:val="24"/>
                <w:szCs w:val="24"/>
              </w:rPr>
              <w:t>东城街道：金龙工业园、姜家岩工业园区、梁祝村、飞凤村等片区</w:t>
            </w:r>
          </w:p>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蒲吕街道：蒲吕工业园、龙山村、石虎村、平安村等片区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20.86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5001513L003</w:t>
            </w:r>
          </w:p>
        </w:tc>
        <w:tc>
          <w:tcPr>
            <w:tcW w:w="122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w:t>
            </w:r>
          </w:p>
        </w:tc>
        <w:tc>
          <w:tcPr>
            <w:tcW w:w="978"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工业区</w:t>
            </w:r>
          </w:p>
        </w:tc>
        <w:tc>
          <w:tcPr>
            <w:tcW w:w="1405"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工业用地</w:t>
            </w:r>
          </w:p>
        </w:tc>
        <w:tc>
          <w:tcPr>
            <w:tcW w:w="3652" w:type="dxa"/>
            <w:noWrap w:val="0"/>
            <w:vAlign w:val="center"/>
          </w:tcPr>
          <w:p>
            <w:pPr>
              <w:keepNext w:val="0"/>
              <w:keepLines w:val="0"/>
              <w:pageBreakBefore w:val="0"/>
              <w:kinsoku/>
              <w:wordWrap/>
              <w:overflowPunct/>
              <w:topLinePunct w:val="0"/>
              <w:autoSpaceDE/>
              <w:autoSpaceDN/>
              <w:bidi w:val="0"/>
              <w:adjustRightInd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旧县街道：永兴村片区</w:t>
            </w:r>
          </w:p>
        </w:tc>
        <w:tc>
          <w:tcPr>
            <w:tcW w:w="1003"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8" w:type="dxa"/>
            <w:noWrap w:val="0"/>
            <w:vAlign w:val="center"/>
          </w:tcPr>
          <w:p>
            <w:pPr>
              <w:pStyle w:val="22"/>
              <w:keepNext w:val="0"/>
              <w:keepLines w:val="0"/>
              <w:pageBreakBefore w:val="0"/>
              <w:kinsoku/>
              <w:wordWrap/>
              <w:overflowPunct/>
              <w:topLinePunct w:val="0"/>
              <w:autoSpaceDE/>
              <w:autoSpaceDN/>
              <w:bidi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w:t>
            </w:r>
          </w:p>
        </w:tc>
        <w:tc>
          <w:tcPr>
            <w:tcW w:w="1223" w:type="dxa"/>
            <w:noWrap w:val="0"/>
            <w:vAlign w:val="center"/>
          </w:tcPr>
          <w:p>
            <w:pPr>
              <w:pStyle w:val="22"/>
              <w:keepNext w:val="0"/>
              <w:keepLines w:val="0"/>
              <w:pageBreakBefore w:val="0"/>
              <w:kinsoku/>
              <w:wordWrap/>
              <w:overflowPunct/>
              <w:topLinePunct w:val="0"/>
              <w:autoSpaceDE/>
              <w:autoSpaceDN/>
              <w:bidi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4a类</w:t>
            </w:r>
          </w:p>
        </w:tc>
        <w:tc>
          <w:tcPr>
            <w:tcW w:w="978" w:type="dxa"/>
            <w:noWrap w:val="0"/>
            <w:vAlign w:val="center"/>
          </w:tcPr>
          <w:p>
            <w:pPr>
              <w:pStyle w:val="22"/>
              <w:keepNext w:val="0"/>
              <w:keepLines w:val="0"/>
              <w:pageBreakBefore w:val="0"/>
              <w:kinsoku/>
              <w:wordWrap/>
              <w:overflowPunct/>
              <w:topLinePunct w:val="0"/>
              <w:autoSpaceDE/>
              <w:autoSpaceDN/>
              <w:bidi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交通道路</w:t>
            </w:r>
          </w:p>
        </w:tc>
        <w:tc>
          <w:tcPr>
            <w:tcW w:w="1405" w:type="dxa"/>
            <w:noWrap w:val="0"/>
            <w:vAlign w:val="center"/>
          </w:tcPr>
          <w:p>
            <w:pPr>
              <w:pStyle w:val="22"/>
              <w:keepNext w:val="0"/>
              <w:keepLines w:val="0"/>
              <w:pageBreakBefore w:val="0"/>
              <w:kinsoku/>
              <w:wordWrap/>
              <w:overflowPunct/>
              <w:topLinePunct w:val="0"/>
              <w:autoSpaceDE/>
              <w:autoSpaceDN/>
              <w:bidi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交通用地</w:t>
            </w:r>
          </w:p>
        </w:tc>
        <w:tc>
          <w:tcPr>
            <w:tcW w:w="3652" w:type="dxa"/>
            <w:noWrap w:val="0"/>
            <w:vAlign w:val="center"/>
          </w:tcPr>
          <w:p>
            <w:pPr>
              <w:pStyle w:val="22"/>
              <w:keepNext w:val="0"/>
              <w:keepLines w:val="0"/>
              <w:pageBreakBefore w:val="0"/>
              <w:kinsoku/>
              <w:wordWrap/>
              <w:overflowPunct/>
              <w:topLinePunct w:val="0"/>
              <w:autoSpaceDE/>
              <w:autoSpaceDN/>
              <w:bidi w:val="0"/>
              <w:spacing w:line="600" w:lineRule="exact"/>
              <w:jc w:val="both"/>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中心城区</w:t>
            </w:r>
          </w:p>
        </w:tc>
        <w:tc>
          <w:tcPr>
            <w:tcW w:w="1003" w:type="dxa"/>
            <w:noWrap w:val="0"/>
            <w:vAlign w:val="center"/>
          </w:tcPr>
          <w:p>
            <w:pPr>
              <w:pStyle w:val="22"/>
              <w:keepNext w:val="0"/>
              <w:keepLines w:val="0"/>
              <w:pageBreakBefore w:val="0"/>
              <w:kinsoku/>
              <w:wordWrap/>
              <w:overflowPunct/>
              <w:topLinePunct w:val="0"/>
              <w:autoSpaceDE/>
              <w:autoSpaceDN/>
              <w:bidi w:val="0"/>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7.89</w:t>
            </w:r>
          </w:p>
        </w:tc>
      </w:tr>
    </w:tbl>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52" w:name="_Toc31880"/>
      <w:r>
        <w:rPr>
          <w:rFonts w:hint="eastAsia" w:ascii="方正楷体_GBK" w:hAnsi="方正楷体_GBK" w:eastAsia="方正楷体_GBK" w:cs="方正楷体_GBK"/>
          <w:snapToGrid w:val="0"/>
          <w:sz w:val="32"/>
          <w:szCs w:val="32"/>
        </w:rPr>
        <w:t>（三）建制镇调整结果</w:t>
      </w:r>
      <w:bookmarkEnd w:id="52"/>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建制镇包括大庙镇、安居镇、平滩镇、太平镇、侣俸镇、虎峰镇6个镇，区划面积为9.20km²。其中，大庙镇、侣俸镇规划有工业集中区，其余建制镇镇区主要以商住混合区为主。</w:t>
      </w:r>
    </w:p>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bCs/>
          <w:color w:val="000000"/>
          <w:sz w:val="24"/>
          <w:szCs w:val="24"/>
        </w:rPr>
      </w:pPr>
      <w:r>
        <w:rPr>
          <w:rFonts w:hint="eastAsia" w:ascii="方正黑体_GBK" w:hAnsi="方正黑体_GBK" w:eastAsia="方正黑体_GBK" w:cs="方正黑体_GBK"/>
          <w:bCs/>
          <w:color w:val="000000"/>
          <w:sz w:val="24"/>
          <w:szCs w:val="24"/>
        </w:rPr>
        <w:t>表4-4 建制镇声环境功能区各类面积统计表</w:t>
      </w:r>
    </w:p>
    <w:tbl>
      <w:tblPr>
        <w:tblStyle w:val="1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类型</w:t>
            </w:r>
          </w:p>
        </w:tc>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面积（km</w:t>
            </w:r>
            <w:r>
              <w:rPr>
                <w:rFonts w:hint="eastAsia" w:ascii="方正黑体_GBK" w:hAnsi="方正黑体_GBK" w:eastAsia="方正黑体_GBK" w:cs="方正黑体_GBK"/>
                <w:sz w:val="24"/>
                <w:szCs w:val="24"/>
                <w:vertAlign w:val="superscript"/>
              </w:rPr>
              <w:t>2</w:t>
            </w:r>
            <w:r>
              <w:rPr>
                <w:rFonts w:hint="eastAsia" w:ascii="方正黑体_GBK" w:hAnsi="方正黑体_GBK" w:eastAsia="方正黑体_GBK" w:cs="方正黑体_GBK"/>
                <w:sz w:val="24"/>
                <w:szCs w:val="24"/>
              </w:rPr>
              <w:t>）</w:t>
            </w:r>
          </w:p>
        </w:tc>
        <w:tc>
          <w:tcPr>
            <w:tcW w:w="3020" w:type="dxa"/>
            <w:noWrap w:val="0"/>
            <w:vAlign w:val="top"/>
          </w:tcPr>
          <w:p>
            <w:pPr>
              <w:keepNext w:val="0"/>
              <w:keepLines w:val="0"/>
              <w:pageBreakBefore w:val="0"/>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1类声环境功能区</w:t>
            </w:r>
          </w:p>
        </w:tc>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w:t>
            </w:r>
          </w:p>
        </w:tc>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2类声环境功能区</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5.93</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 xml:space="preserve">64.46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3类声环境功能区</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2.64</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 xml:space="preserve">28.69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4类声环境功能区</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0.63</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 xml:space="preserve">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020" w:type="dxa"/>
            <w:noWrap w:val="0"/>
            <w:vAlign w:val="center"/>
          </w:tcPr>
          <w:p>
            <w:pPr>
              <w:keepNext w:val="0"/>
              <w:keepLines w:val="0"/>
              <w:pageBreakBefore w:val="0"/>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合计</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9.2</w:t>
            </w:r>
            <w:r>
              <w:rPr>
                <w:rFonts w:hint="default" w:ascii="Times New Roman" w:hAnsi="Times New Roman" w:eastAsia="方正仿宋_GBK" w:cs="Times New Roman"/>
                <w:sz w:val="24"/>
                <w:szCs w:val="24"/>
                <w:lang w:bidi="ar"/>
              </w:rPr>
              <w:t>0</w:t>
            </w:r>
          </w:p>
        </w:tc>
        <w:tc>
          <w:tcPr>
            <w:tcW w:w="3020" w:type="dxa"/>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color w:val="000000"/>
                <w:sz w:val="24"/>
                <w:szCs w:val="24"/>
                <w:lang w:bidi="ar"/>
              </w:rPr>
              <w:t>100</w:t>
            </w:r>
          </w:p>
        </w:tc>
      </w:tr>
    </w:tbl>
    <w:p>
      <w:pPr>
        <w:keepNext w:val="0"/>
        <w:keepLines w:val="0"/>
        <w:pageBreakBefore w:val="0"/>
        <w:kinsoku/>
        <w:wordWrap/>
        <w:overflowPunct/>
        <w:topLinePunct w:val="0"/>
        <w:autoSpaceDE/>
        <w:autoSpaceDN/>
        <w:bidi w:val="0"/>
        <w:spacing w:line="600" w:lineRule="exact"/>
        <w:jc w:val="center"/>
        <w:textAlignment w:val="auto"/>
        <w:rPr>
          <w:rFonts w:hint="eastAsia" w:ascii="方正黑体_GBK" w:hAnsi="方正黑体_GBK" w:eastAsia="方正黑体_GBK" w:cs="方正黑体_GBK"/>
          <w:bCs/>
          <w:color w:val="000000"/>
          <w:sz w:val="24"/>
          <w:szCs w:val="24"/>
        </w:rPr>
      </w:pPr>
      <w:r>
        <w:rPr>
          <w:rFonts w:hint="eastAsia" w:ascii="方正黑体_GBK" w:hAnsi="方正黑体_GBK" w:eastAsia="方正黑体_GBK" w:cs="方正黑体_GBK"/>
          <w:bCs/>
          <w:color w:val="000000"/>
          <w:sz w:val="24"/>
          <w:szCs w:val="24"/>
        </w:rPr>
        <w:t>表4-5 建制镇声环境功能区划分调整结果</w:t>
      </w:r>
    </w:p>
    <w:tbl>
      <w:tblPr>
        <w:tblStyle w:val="13"/>
        <w:tblW w:w="8967" w:type="dxa"/>
        <w:tblInd w:w="93" w:type="dxa"/>
        <w:tblLayout w:type="fixed"/>
        <w:tblCellMar>
          <w:top w:w="0" w:type="dxa"/>
          <w:left w:w="108" w:type="dxa"/>
          <w:bottom w:w="0" w:type="dxa"/>
          <w:right w:w="108" w:type="dxa"/>
        </w:tblCellMar>
      </w:tblPr>
      <w:tblGrid>
        <w:gridCol w:w="977"/>
        <w:gridCol w:w="1245"/>
        <w:gridCol w:w="1710"/>
        <w:gridCol w:w="2355"/>
        <w:gridCol w:w="1657"/>
        <w:gridCol w:w="1023"/>
      </w:tblGrid>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lang w:bidi="ar"/>
              </w:rPr>
              <w:t>区划单元编码</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lang w:bidi="ar"/>
              </w:rPr>
              <w:t>声环境功能类型</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lang w:bidi="ar"/>
              </w:rPr>
              <w:t>适用区域</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lang w:bidi="ar"/>
              </w:rPr>
              <w:t>主要用地类型</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lang w:bidi="ar"/>
              </w:rPr>
              <w:t>区划单元范围描述</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eastAsia"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sz w:val="24"/>
                <w:szCs w:val="24"/>
                <w:lang w:bidi="ar"/>
              </w:rPr>
              <w:t>面积（km</w:t>
            </w:r>
            <w:r>
              <w:rPr>
                <w:rStyle w:val="23"/>
                <w:rFonts w:hint="eastAsia" w:ascii="方正黑体_GBK" w:hAnsi="方正黑体_GBK" w:eastAsia="方正黑体_GBK" w:cs="方正黑体_GBK"/>
                <w:sz w:val="24"/>
                <w:szCs w:val="24"/>
                <w:lang w:bidi="ar"/>
              </w:rPr>
              <w:t>2</w:t>
            </w:r>
            <w:r>
              <w:rPr>
                <w:rStyle w:val="24"/>
                <w:rFonts w:hint="eastAsia" w:ascii="方正黑体_GBK" w:hAnsi="方正黑体_GBK" w:eastAsia="方正黑体_GBK" w:cs="方正黑体_GBK"/>
                <w:sz w:val="24"/>
                <w:szCs w:val="24"/>
                <w:lang w:bidi="ar"/>
              </w:rPr>
              <w:t>）</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5001512L007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商住工混杂区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居住、商业混杂用地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安居镇场镇</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2.84</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5001512L008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商住工混杂区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居住、商业混杂用地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太平镇场镇</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0.38</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5001512L0109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商住工混杂区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居住、商业混杂用地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侣俸镇场镇</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0.37</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5001512L010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商住工混杂区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居住、商业混杂用地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平滩镇场镇</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0.43</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5001512L011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商住工混杂区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居住、商业混杂用地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虎峰镇场镇</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0.5</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5001512L012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商住工混杂区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居住、商业混杂用地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大庙镇场镇</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1.41</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5001513L004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3</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工业区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工业用地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大庙镇场镇</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2.44</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lang w:bidi="ar"/>
              </w:rPr>
            </w:pPr>
            <w:r>
              <w:rPr>
                <w:rFonts w:hint="default" w:ascii="Times New Roman" w:hAnsi="Times New Roman" w:eastAsia="方正仿宋_GBK" w:cs="Times New Roman"/>
                <w:color w:val="000000"/>
                <w:sz w:val="24"/>
                <w:szCs w:val="24"/>
                <w:lang w:bidi="ar"/>
              </w:rPr>
              <w:t>5001513L005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lang w:bidi="ar"/>
              </w:rPr>
            </w:pPr>
            <w:r>
              <w:rPr>
                <w:rFonts w:hint="default" w:ascii="Times New Roman" w:hAnsi="Times New Roman" w:eastAsia="方正仿宋_GBK" w:cs="Times New Roman"/>
                <w:color w:val="000000"/>
                <w:sz w:val="24"/>
                <w:szCs w:val="24"/>
                <w:lang w:bidi="ar"/>
              </w:rPr>
              <w:t>3</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lang w:bidi="ar"/>
              </w:rPr>
            </w:pPr>
            <w:r>
              <w:rPr>
                <w:rFonts w:hint="default" w:ascii="Times New Roman" w:hAnsi="Times New Roman" w:eastAsia="方正仿宋_GBK" w:cs="Times New Roman"/>
                <w:color w:val="000000"/>
                <w:sz w:val="24"/>
                <w:szCs w:val="24"/>
                <w:lang w:bidi="ar"/>
              </w:rPr>
              <w:t>工业区</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lang w:bidi="ar"/>
              </w:rPr>
            </w:pPr>
            <w:r>
              <w:rPr>
                <w:rFonts w:hint="default" w:ascii="Times New Roman" w:hAnsi="Times New Roman" w:eastAsia="方正仿宋_GBK" w:cs="Times New Roman"/>
                <w:color w:val="000000"/>
                <w:sz w:val="24"/>
                <w:szCs w:val="24"/>
                <w:lang w:bidi="ar"/>
              </w:rPr>
              <w:t>工业用地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lang w:bidi="ar"/>
              </w:rPr>
            </w:pPr>
            <w:r>
              <w:rPr>
                <w:rFonts w:hint="default" w:ascii="Times New Roman" w:hAnsi="Times New Roman" w:eastAsia="方正仿宋_GBK" w:cs="Times New Roman"/>
                <w:color w:val="000000"/>
                <w:sz w:val="24"/>
                <w:szCs w:val="24"/>
                <w:lang w:bidi="ar"/>
              </w:rPr>
              <w:t>侣俸镇小微企业园</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lang w:bidi="ar"/>
              </w:rPr>
            </w:pPr>
            <w:r>
              <w:rPr>
                <w:rFonts w:hint="default" w:ascii="Times New Roman" w:hAnsi="Times New Roman" w:eastAsia="方正仿宋_GBK" w:cs="Times New Roman"/>
                <w:color w:val="000000"/>
                <w:sz w:val="24"/>
                <w:szCs w:val="24"/>
                <w:lang w:bidi="ar"/>
              </w:rPr>
              <w:t>0.2</w:t>
            </w:r>
          </w:p>
        </w:tc>
      </w:tr>
      <w:tr>
        <w:tblPrEx>
          <w:tblLayout w:type="fixed"/>
          <w:tblCellMar>
            <w:top w:w="0" w:type="dxa"/>
            <w:left w:w="108" w:type="dxa"/>
            <w:bottom w:w="0" w:type="dxa"/>
            <w:right w:w="108" w:type="dxa"/>
          </w:tblCellMar>
        </w:tblPrEx>
        <w:tc>
          <w:tcPr>
            <w:tcW w:w="9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4a</w:t>
            </w:r>
            <w:r>
              <w:rPr>
                <w:rStyle w:val="25"/>
                <w:rFonts w:hint="default" w:ascii="Times New Roman" w:hAnsi="Times New Roman" w:eastAsia="方正仿宋_GBK" w:cs="Times New Roman"/>
                <w:sz w:val="24"/>
                <w:szCs w:val="24"/>
                <w:lang w:bidi="ar"/>
              </w:rPr>
              <w:t>类</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交通道路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交通用地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镇区</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pacing w:line="600" w:lineRule="exact"/>
              <w:jc w:val="center"/>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lang w:bidi="ar"/>
              </w:rPr>
              <w:t>0.63</w:t>
            </w:r>
          </w:p>
        </w:tc>
      </w:tr>
    </w:tbl>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53" w:name="_Toc12197"/>
      <w:r>
        <w:rPr>
          <w:rFonts w:hint="eastAsia" w:ascii="方正楷体_GBK" w:hAnsi="方正楷体_GBK" w:eastAsia="方正楷体_GBK" w:cs="方正楷体_GBK"/>
          <w:snapToGrid w:val="0"/>
          <w:sz w:val="32"/>
          <w:szCs w:val="32"/>
        </w:rPr>
        <w:t>（四）其他区域</w:t>
      </w:r>
      <w:bookmarkEnd w:id="53"/>
      <w:r>
        <w:rPr>
          <w:rFonts w:hint="eastAsia" w:ascii="方正楷体_GBK" w:hAnsi="方正楷体_GBK" w:eastAsia="方正楷体_GBK" w:cs="方正楷体_GBK"/>
          <w:snapToGrid w:val="0"/>
          <w:sz w:val="32"/>
          <w:szCs w:val="32"/>
        </w:rPr>
        <w:t>。</w:t>
      </w:r>
      <w:r>
        <w:rPr>
          <w:rFonts w:hint="default" w:ascii="Times New Roman" w:hAnsi="Times New Roman" w:eastAsia="方正仿宋_GBK" w:cs="Times New Roman"/>
          <w:snapToGrid w:val="0"/>
          <w:sz w:val="32"/>
          <w:szCs w:val="32"/>
        </w:rPr>
        <w:t>乡村区域可按照《声环境质量标准》（GB3096-2008）7.2条规定，根据环境管理的需要，参考以下要求确定其适用的声环境质量要求：</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54" w:name="_Toc9462"/>
      <w:r>
        <w:rPr>
          <w:rFonts w:hint="default" w:ascii="Times New Roman" w:hAnsi="Times New Roman" w:eastAsia="方正仿宋_GBK" w:cs="Times New Roman"/>
          <w:snapToGrid w:val="0"/>
          <w:sz w:val="32"/>
          <w:szCs w:val="32"/>
        </w:rPr>
        <w:t>1.位于乡村的康复疗养区执行0类声环境功能区要求；</w:t>
      </w:r>
      <w:bookmarkEnd w:id="54"/>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2.村庄原则上执行1类声环境功能要求，工业活动较多的村庄以及有交通干线经过的村庄（指执行4类声环境功能区要求以外的地区）可局部或全部执行2类声环境功能区要求；</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55" w:name="_Toc29094"/>
      <w:r>
        <w:rPr>
          <w:rFonts w:hint="default" w:ascii="Times New Roman" w:hAnsi="Times New Roman" w:eastAsia="方正仿宋_GBK" w:cs="Times New Roman"/>
          <w:snapToGrid w:val="0"/>
          <w:sz w:val="32"/>
          <w:szCs w:val="32"/>
        </w:rPr>
        <w:t>3.集镇执行2类声环境功能区要求；</w:t>
      </w:r>
      <w:bookmarkEnd w:id="55"/>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4.独立于村庄、集镇之外的工业、仓储集中区执行3类声环境功能区要求；</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5.位于交通干线两侧一定距离（参考GB/T 15190-2014第8.3条规定）内的噪声敏感建筑物执行4类声环境功能区要求。</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snapToGrid w:val="0"/>
          <w:sz w:val="32"/>
          <w:szCs w:val="32"/>
        </w:rPr>
      </w:pPr>
      <w:bookmarkStart w:id="56" w:name="_Toc20163"/>
      <w:r>
        <w:rPr>
          <w:rFonts w:hint="eastAsia" w:ascii="方正黑体_GBK" w:hAnsi="方正黑体_GBK" w:eastAsia="方正黑体_GBK" w:cs="方正黑体_GBK"/>
          <w:snapToGrid w:val="0"/>
          <w:sz w:val="32"/>
          <w:szCs w:val="32"/>
        </w:rPr>
        <w:t>五、实施管理</w:t>
      </w:r>
      <w:bookmarkEnd w:id="56"/>
      <w:r>
        <w:rPr>
          <w:rFonts w:hint="eastAsia" w:ascii="方正黑体_GBK" w:hAnsi="方正黑体_GBK" w:eastAsia="方正黑体_GBK" w:cs="方正黑体_GBK"/>
          <w:snapToGrid w:val="0"/>
          <w:sz w:val="32"/>
          <w:szCs w:val="32"/>
        </w:rPr>
        <w:t xml:space="preserve"> </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区生态环境局、区住房城乡建委、区城市管理局、区交通局、区公安局等相关管理部门，根据各自职责做好噪声污染防治工作，在道路规划建设、土地开发利用、环评审批、生态环境执法等管理工作中要充分考虑声环境功能区类别的管理目标。为有效控制噪声污染的程度和范围，应严格执行声环境功能区环境准入要求，禁止在1类区、严格限制在2类区建设产生噪声污染的工业项目。在制定城乡建设相关规划、土地利用总体规划和基础设施建设规划时，应当统筹规划建设用地布局，合理安排城市建设用地时序，充分考虑建设项目的区域开发、改造所产生的噪声对周围生活环境的影响并落实噪声污染防护措施。道路规划和建设、房地产开发等相关管理工作要充分考虑声环境功能区类别的管理目标，交通干线建设规划实施前按当前声环境功能区管理，规划实施后适时调整为相对应的4类声环境功能区。结合区划成果，加强声环境功能区监测评估，及时优化调整声环境功能区监测点位。</w:t>
      </w:r>
      <w:bookmarkStart w:id="57" w:name="_Toc30908"/>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snapToGrid w:val="0"/>
          <w:sz w:val="32"/>
          <w:szCs w:val="32"/>
        </w:rPr>
      </w:pPr>
      <w:r>
        <w:rPr>
          <w:rFonts w:hint="eastAsia" w:ascii="方正黑体_GBK" w:hAnsi="方正黑体_GBK" w:eastAsia="方正黑体_GBK" w:cs="方正黑体_GBK"/>
          <w:snapToGrid w:val="0"/>
          <w:sz w:val="32"/>
          <w:szCs w:val="32"/>
        </w:rPr>
        <w:t>六、</w:t>
      </w:r>
      <w:bookmarkEnd w:id="57"/>
      <w:r>
        <w:rPr>
          <w:rFonts w:hint="eastAsia" w:ascii="方正黑体_GBK" w:hAnsi="方正黑体_GBK" w:eastAsia="方正黑体_GBK" w:cs="方正黑体_GBK"/>
          <w:snapToGrid w:val="0"/>
          <w:sz w:val="32"/>
          <w:szCs w:val="32"/>
        </w:rPr>
        <w:t>其他事项</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（一）根据城市规模和用地变化情况，适时调整声环境功能区划，原则上不超过5年调整一次。</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（二）本方案未尽事宜，参照有关法律、法规和规章的相关条款执行。</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（三）本方案自2023年5月21日起施行，原《重庆市铜梁区人民政府办公室关于印发重庆市铜梁区声环境功能区划方案的通知》（铜府办〔2018〕154号）同时废止。</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bookmarkStart w:id="58" w:name="_Toc4808"/>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附件</w:t>
      </w:r>
      <w:bookmarkEnd w:id="58"/>
      <w:r>
        <w:rPr>
          <w:rFonts w:hint="default" w:ascii="Times New Roman" w:hAnsi="Times New Roman" w:eastAsia="方正仿宋_GBK" w:cs="Times New Roman"/>
          <w:snapToGrid w:val="0"/>
          <w:sz w:val="32"/>
          <w:szCs w:val="32"/>
        </w:rPr>
        <w:t>：1.</w:t>
      </w: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_Toc3650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铜梁区0-3类声环境功能区调整划定结果</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_Toc2040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2.铜梁区4类声环境功能区调整划定结果</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_Toc11527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 xml:space="preserve">      3.铜梁区声环境功能区划示意图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_Toc30966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4.铜梁区中心城区声环境功能区划示意图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_Toc30966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5.铜梁区安居镇声环境功能区划示意图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_Toc30966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6.铜梁区太平镇声环境功能区划示意图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_Toc30966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7.铜梁区侣俸镇声环境功能区划示意图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_Toc30966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8.铜梁区平滩镇声环境功能区划示意图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_Toc30966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9.铜梁区虎峰镇声环境功能区划示意图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ind w:firstLine="1596" w:firstLineChars="499"/>
        <w:textAlignment w:val="auto"/>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fldChar w:fldCharType="begin"/>
      </w:r>
      <w:r>
        <w:rPr>
          <w:rFonts w:hint="default" w:ascii="Times New Roman" w:hAnsi="Times New Roman" w:eastAsia="方正仿宋_GBK" w:cs="Times New Roman"/>
          <w:snapToGrid w:val="0"/>
          <w:sz w:val="32"/>
          <w:szCs w:val="32"/>
        </w:rPr>
        <w:instrText xml:space="preserve"> HYPERLINK \l _Toc30966 </w:instrText>
      </w:r>
      <w:r>
        <w:rPr>
          <w:rFonts w:hint="default" w:ascii="Times New Roman" w:hAnsi="Times New Roman" w:eastAsia="方正仿宋_GBK" w:cs="Times New Roman"/>
          <w:snapToGrid w:val="0"/>
          <w:sz w:val="32"/>
          <w:szCs w:val="32"/>
        </w:rPr>
        <w:fldChar w:fldCharType="separate"/>
      </w:r>
      <w:r>
        <w:rPr>
          <w:rFonts w:hint="default" w:ascii="Times New Roman" w:hAnsi="Times New Roman" w:eastAsia="方正仿宋_GBK" w:cs="Times New Roman"/>
          <w:snapToGrid w:val="0"/>
          <w:sz w:val="32"/>
          <w:szCs w:val="32"/>
        </w:rPr>
        <w:t>10.铜梁区大庙镇声环境功能区划示意图</w:t>
      </w:r>
      <w:r>
        <w:rPr>
          <w:rFonts w:hint="default" w:ascii="Times New Roman" w:hAnsi="Times New Roman" w:eastAsia="方正仿宋_GBK" w:cs="Times New Roman"/>
          <w:snapToGrid w:val="0"/>
          <w:sz w:val="32"/>
          <w:szCs w:val="32"/>
        </w:rPr>
        <w:fldChar w:fldCharType="end"/>
      </w:r>
    </w:p>
    <w:p>
      <w:pPr>
        <w:keepNext w:val="0"/>
        <w:keepLines w:val="0"/>
        <w:pageBreakBefore w:val="0"/>
        <w:kinsoku/>
        <w:wordWrap/>
        <w:overflowPunct/>
        <w:topLinePunct w:val="0"/>
        <w:autoSpaceDE/>
        <w:autoSpaceDN/>
        <w:bidi w:val="0"/>
        <w:spacing w:line="600" w:lineRule="exact"/>
        <w:textAlignment w:val="auto"/>
        <w:rPr>
          <w:rFonts w:hint="default" w:ascii="Times New Roman" w:hAnsi="Times New Roman" w:eastAsia="方正仿宋_GBK" w:cs="Times New Roman"/>
          <w:sz w:val="32"/>
          <w:szCs w:val="32"/>
          <w:lang w:val="en-US" w:eastAsia="zh-CN"/>
        </w:rPr>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pStyle w:val="3"/>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附件1</w:t>
      </w:r>
    </w:p>
    <w:p>
      <w:pPr>
        <w:adjustRightInd w:val="0"/>
        <w:jc w:val="center"/>
        <w:outlineLvl w:val="0"/>
        <w:rPr>
          <w:rFonts w:ascii="Times New Roman" w:hAnsi="Times New Roman" w:eastAsia="方正小标宋_GBK"/>
          <w:kern w:val="44"/>
          <w:sz w:val="32"/>
          <w:szCs w:val="44"/>
        </w:rPr>
      </w:pPr>
      <w:r>
        <w:rPr>
          <w:rFonts w:ascii="Times New Roman" w:hAnsi="Times New Roman" w:eastAsia="方正小标宋_GBK"/>
          <w:kern w:val="44"/>
          <w:sz w:val="36"/>
          <w:szCs w:val="36"/>
        </w:rPr>
        <w:t>铜梁区0-3类声环境功能区调整划定结果</w:t>
      </w:r>
    </w:p>
    <w:tbl>
      <w:tblPr>
        <w:tblStyle w:val="13"/>
        <w:tblW w:w="14744" w:type="dxa"/>
        <w:tblInd w:w="-888" w:type="dxa"/>
        <w:tblLayout w:type="fixed"/>
        <w:tblCellMar>
          <w:top w:w="0" w:type="dxa"/>
          <w:left w:w="108" w:type="dxa"/>
          <w:bottom w:w="0" w:type="dxa"/>
          <w:right w:w="108" w:type="dxa"/>
        </w:tblCellMar>
      </w:tblPr>
      <w:tblGrid>
        <w:gridCol w:w="675"/>
        <w:gridCol w:w="900"/>
        <w:gridCol w:w="1185"/>
        <w:gridCol w:w="1275"/>
        <w:gridCol w:w="1515"/>
        <w:gridCol w:w="1845"/>
        <w:gridCol w:w="5055"/>
        <w:gridCol w:w="1080"/>
        <w:gridCol w:w="1214"/>
      </w:tblGrid>
      <w:tr>
        <w:tblPrEx>
          <w:tblLayout w:type="fixed"/>
          <w:tblCellMar>
            <w:top w:w="0" w:type="dxa"/>
            <w:left w:w="108" w:type="dxa"/>
            <w:bottom w:w="0" w:type="dxa"/>
            <w:right w:w="108" w:type="dxa"/>
          </w:tblCellMar>
        </w:tblPrEx>
        <w:trPr>
          <w:trHeight w:val="375" w:hRule="atLeast"/>
          <w:tblHeader/>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序号</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城市区域</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区划单元编码</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声环境功能类型</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适用区域</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主要用地类型</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区划单元范围描述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面积（km</w:t>
            </w:r>
            <w:r>
              <w:rPr>
                <w:rFonts w:hint="default" w:ascii="Times New Roman" w:hAnsi="Times New Roman" w:eastAsia="方正黑体_GBK" w:cs="Times New Roman"/>
                <w:color w:val="000000"/>
                <w:sz w:val="24"/>
                <w:vertAlign w:val="superscript"/>
                <w:lang w:bidi="ar"/>
              </w:rPr>
              <w:t>2</w:t>
            </w:r>
            <w:r>
              <w:rPr>
                <w:rFonts w:hint="default" w:ascii="Times New Roman" w:hAnsi="Times New Roman" w:eastAsia="方正黑体_GBK" w:cs="Times New Roman"/>
                <w:color w:val="000000"/>
                <w:sz w:val="24"/>
                <w:lang w:bidi="ar"/>
              </w:rPr>
              <w:t>）</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黑体_GBK" w:cs="Times New Roman"/>
                <w:color w:val="000000"/>
                <w:sz w:val="24"/>
              </w:rPr>
            </w:pPr>
            <w:r>
              <w:rPr>
                <w:rFonts w:hint="default" w:ascii="Times New Roman" w:hAnsi="Times New Roman" w:eastAsia="方正黑体_GBK" w:cs="Times New Roman"/>
                <w:color w:val="000000"/>
                <w:sz w:val="24"/>
                <w:lang w:bidi="ar"/>
              </w:rPr>
              <w:t>备注</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5001511L001</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居住文教区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居住、科研教育、公园</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巴川街道：重庆传媒职业学院、铜梁职业教育中心、普罗旺斯国际公馆、紫金华庭等片区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2.92</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5001511L002</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居住文教区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居住、行政办公、公园</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巴川街道：雪庵公园等片区</w:t>
            </w:r>
          </w:p>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南城街道：重庆铜梁一中、外国语实验小学、罗曼山等片区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1.21</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5001511L003</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居住文教区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居住、公园、行政办公</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东城街道：人民公园、金龙小学、来新居水岸国际、宋家湾、何家湾片区</w:t>
            </w:r>
          </w:p>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南城街道：聚星村片区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2.11</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5001511L004</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居住文教区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居住、医疗卫生用地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南城街道：妇女儿童医院等片区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0.54</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5001512L001</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居住、商业、工业混杂</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巴川街道：书香门第、北国风光、北城蓝湖、龙都花园、城市星都、龙都时代广场等片区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4.04</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5001512L002</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居住、商业、工业混杂</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sz w:val="24"/>
              </w:rPr>
              <w:t>东城街道：美丽泽京爱尚里、东和时光、玉泉家园、耀阳龙泉香、双远凤凰郡、铜梁区物流园、光伦商贸园、电子园公寓等片区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w:t>
            </w:r>
            <w:r>
              <w:rPr>
                <w:rFonts w:hint="default" w:ascii="Times New Roman" w:hAnsi="Times New Roman" w:eastAsia="方正仿宋_GBK" w:cs="Times New Roman"/>
                <w:sz w:val="24"/>
                <w:lang w:bidi="ar"/>
              </w:rPr>
              <w:t>.00</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7</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5001512L003</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居住、商业、工业混杂</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南城街道：淮远古镇、双远淮远丽景、四季花城、龙城御景、龙轩大地、岳阳馨居、锦天水岸、全民健身中心等片区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8.37</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5001512L004</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sz w:val="24"/>
              </w:rPr>
            </w:pPr>
            <w:r>
              <w:rPr>
                <w:rFonts w:hint="default" w:ascii="Times New Roman" w:hAnsi="Times New Roman" w:eastAsia="方正仿宋_GBK" w:cs="Times New Roman"/>
                <w:sz w:val="24"/>
              </w:rPr>
              <w:t>南城街道：聚星村、梯子村等片区</w:t>
            </w:r>
          </w:p>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sz w:val="24"/>
              </w:rPr>
              <w:t>庆隆镇：同康村片区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5.45</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9</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5001512L005</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sz w:val="24"/>
              </w:rPr>
              <w:t>蒲吕街道：蒲吕安置房、龙山小区、龙山名居、天泰龙山上院、蒲吕公寓等片区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1.12</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5001512L006</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sz w:val="24"/>
              </w:rPr>
              <w:t>旧县街道：旧县街道办事处办公楼、旧县中学、旧县中心卫生院等片区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1.06</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5001512L007</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安居镇场镇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2.84</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安居镇</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5001512L008</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太平镇场镇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0.38</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太平镇</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5001512L009</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侣俸镇场镇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0.37</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侣俸镇</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5001512L010</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平滩镇场镇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0.43</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平滩镇</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5001512L011</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虎峰镇场镇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0.5</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虎峰镇</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5001512L012</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商住工混杂区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居住、商业混杂用地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大庙镇场镇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1.41</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大庙镇</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17</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5001513L001</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3类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sz w:val="24"/>
              </w:rPr>
              <w:t>南城街道：白土坝工业园区片区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0.99</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5001513L002</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3类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300" w:lineRule="exact"/>
              <w:rPr>
                <w:rFonts w:hint="default" w:ascii="Times New Roman" w:hAnsi="Times New Roman" w:eastAsia="方正仿宋_GBK" w:cs="Times New Roman"/>
                <w:sz w:val="24"/>
              </w:rPr>
            </w:pPr>
            <w:r>
              <w:rPr>
                <w:rFonts w:hint="default" w:ascii="Times New Roman" w:hAnsi="Times New Roman" w:eastAsia="方正仿宋_GBK" w:cs="Times New Roman"/>
                <w:sz w:val="24"/>
              </w:rPr>
              <w:t>东城街道：金龙工业园、姜家岩工业园区、梁祝村、飞凤村等片区</w:t>
            </w:r>
          </w:p>
          <w:p>
            <w:pPr>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sz w:val="24"/>
              </w:rPr>
              <w:t>蒲吕街道：蒲吕工业园、龙山村、石虎村、平安村等片区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20.86</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19</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5001513L003</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3类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sz w:val="24"/>
              </w:rPr>
              <w:t>旧县街道：永兴村片区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0.5</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5001513L004</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3类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工业用地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大庙镇场镇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2.44</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大庙镇</w:t>
            </w:r>
          </w:p>
        </w:tc>
      </w:tr>
      <w:tr>
        <w:tblPrEx>
          <w:tblLayout w:type="fixed"/>
          <w:tblCellMar>
            <w:top w:w="0" w:type="dxa"/>
            <w:left w:w="108" w:type="dxa"/>
            <w:bottom w:w="0" w:type="dxa"/>
            <w:right w:w="108" w:type="dxa"/>
          </w:tblCellMar>
        </w:tblPrEx>
        <w:trPr>
          <w:trHeight w:val="315" w:hRule="atLeast"/>
        </w:trPr>
        <w:tc>
          <w:tcPr>
            <w:tcW w:w="6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21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铜梁区</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5001513L005</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3</w:t>
            </w:r>
            <w:r>
              <w:rPr>
                <w:rStyle w:val="25"/>
                <w:rFonts w:hint="default" w:ascii="Times New Roman" w:hAnsi="Times New Roman" w:eastAsia="方正仿宋_GBK" w:cs="Times New Roman"/>
                <w:lang w:bidi="ar"/>
              </w:rPr>
              <w:t>类</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工业区</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工业用地</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left"/>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侣俸镇小微企业园</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0.2</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00" w:lineRule="exact"/>
              <w:jc w:val="center"/>
              <w:rPr>
                <w:rFonts w:hint="default" w:ascii="Times New Roman" w:hAnsi="Times New Roman" w:eastAsia="方正仿宋_GBK" w:cs="Times New Roman"/>
                <w:color w:val="000000"/>
                <w:sz w:val="24"/>
                <w:lang w:bidi="ar"/>
              </w:rPr>
            </w:pPr>
            <w:r>
              <w:rPr>
                <w:rFonts w:hint="default" w:ascii="Times New Roman" w:hAnsi="Times New Roman" w:eastAsia="方正仿宋_GBK" w:cs="Times New Roman"/>
                <w:color w:val="000000"/>
                <w:sz w:val="24"/>
                <w:lang w:bidi="ar"/>
              </w:rPr>
              <w:t>侣俸镇</w:t>
            </w:r>
          </w:p>
        </w:tc>
      </w:tr>
    </w:tbl>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sectPr>
          <w:type w:val="continuous"/>
          <w:pgSz w:w="16838" w:h="11906" w:orient="landscape"/>
          <w:pgMar w:top="1587" w:right="1962" w:bottom="1474" w:left="1848"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adjustRightInd w:val="0"/>
        <w:jc w:val="left"/>
        <w:outlineLvl w:val="0"/>
        <w:rPr>
          <w:rFonts w:hint="eastAsia" w:eastAsia="方正小标宋_GBK"/>
          <w:kern w:val="44"/>
          <w:szCs w:val="44"/>
        </w:rPr>
      </w:pPr>
      <w:r>
        <w:rPr>
          <w:rFonts w:hint="default" w:ascii="Times New Roman" w:hAnsi="Times New Roman" w:eastAsia="方正黑体_GBK" w:cs="Times New Roman"/>
          <w:kern w:val="44"/>
          <w:sz w:val="32"/>
          <w:szCs w:val="32"/>
        </w:rPr>
        <w:t>附件2</w:t>
      </w:r>
      <w:r>
        <w:rPr>
          <w:rFonts w:hint="eastAsia" w:ascii="方正黑体_GBK" w:hAnsi="方正黑体_GBK" w:eastAsia="方正黑体_GBK" w:cs="方正黑体_GBK"/>
          <w:kern w:val="44"/>
          <w:sz w:val="32"/>
          <w:szCs w:val="32"/>
        </w:rPr>
        <w:t xml:space="preserve"> </w:t>
      </w:r>
      <w:r>
        <w:rPr>
          <w:rFonts w:eastAsia="方正小标宋_GBK"/>
          <w:kern w:val="44"/>
          <w:szCs w:val="44"/>
        </w:rPr>
        <w:t xml:space="preserve"> </w:t>
      </w:r>
    </w:p>
    <w:p>
      <w:pPr>
        <w:adjustRightInd w:val="0"/>
        <w:spacing w:line="579" w:lineRule="exact"/>
        <w:jc w:val="center"/>
        <w:outlineLvl w:val="0"/>
        <w:rPr>
          <w:rFonts w:hint="eastAsia" w:ascii="方正小标宋_GBK" w:eastAsia="方正小标宋_GBK"/>
          <w:kern w:val="44"/>
          <w:sz w:val="36"/>
          <w:szCs w:val="36"/>
        </w:rPr>
      </w:pPr>
      <w:r>
        <w:rPr>
          <w:rFonts w:hint="eastAsia" w:ascii="方正小标宋_GBK" w:hAnsi="方正小标宋_GBK" w:eastAsia="方正小标宋_GBK" w:cs="方正小标宋_GBK"/>
          <w:kern w:val="44"/>
          <w:sz w:val="36"/>
          <w:szCs w:val="36"/>
        </w:rPr>
        <w:t>铜梁区4类声环境功能区调整划定结果</w:t>
      </w:r>
    </w:p>
    <w:tbl>
      <w:tblPr>
        <w:tblStyle w:val="13"/>
        <w:tblW w:w="9106" w:type="dxa"/>
        <w:jc w:val="center"/>
        <w:tblInd w:w="-34" w:type="dxa"/>
        <w:tblLayout w:type="fixed"/>
        <w:tblCellMar>
          <w:top w:w="0" w:type="dxa"/>
          <w:left w:w="108" w:type="dxa"/>
          <w:bottom w:w="0" w:type="dxa"/>
          <w:right w:w="108" w:type="dxa"/>
        </w:tblCellMar>
      </w:tblPr>
      <w:tblGrid>
        <w:gridCol w:w="796"/>
        <w:gridCol w:w="1297"/>
        <w:gridCol w:w="1493"/>
        <w:gridCol w:w="2182"/>
        <w:gridCol w:w="1568"/>
        <w:gridCol w:w="1770"/>
      </w:tblGrid>
      <w:tr>
        <w:tblPrEx>
          <w:tblLayout w:type="fixed"/>
          <w:tblCellMar>
            <w:top w:w="0" w:type="dxa"/>
            <w:left w:w="108" w:type="dxa"/>
            <w:bottom w:w="0" w:type="dxa"/>
            <w:right w:w="108" w:type="dxa"/>
          </w:tblCellMar>
        </w:tblPrEx>
        <w:trPr>
          <w:trHeight w:val="540" w:hRule="atLeast"/>
          <w:tblHeade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80" w:lineRule="exact"/>
              <w:jc w:val="center"/>
              <w:rPr>
                <w:rFonts w:eastAsia="方正黑体_GBK"/>
                <w:bCs/>
                <w:color w:val="000000"/>
                <w:kern w:val="0"/>
                <w:sz w:val="24"/>
                <w:szCs w:val="24"/>
                <w:lang w:bidi="ar"/>
              </w:rPr>
            </w:pPr>
            <w:r>
              <w:rPr>
                <w:rFonts w:eastAsia="方正黑体_GBK"/>
                <w:bCs/>
                <w:color w:val="000000"/>
                <w:kern w:val="0"/>
                <w:sz w:val="24"/>
                <w:szCs w:val="24"/>
                <w:lang w:bidi="ar"/>
              </w:rPr>
              <w:t>道路编号</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80" w:lineRule="exact"/>
              <w:jc w:val="center"/>
              <w:rPr>
                <w:rFonts w:hint="eastAsia" w:eastAsia="方正黑体_GBK"/>
                <w:bCs/>
                <w:color w:val="000000"/>
                <w:kern w:val="0"/>
                <w:sz w:val="24"/>
                <w:szCs w:val="24"/>
                <w:lang w:bidi="ar"/>
              </w:rPr>
            </w:pPr>
            <w:r>
              <w:rPr>
                <w:rFonts w:eastAsia="方正黑体_GBK"/>
                <w:bCs/>
                <w:color w:val="000000"/>
                <w:kern w:val="0"/>
                <w:sz w:val="24"/>
                <w:szCs w:val="24"/>
                <w:lang w:bidi="ar"/>
              </w:rPr>
              <w:t>交通</w:t>
            </w:r>
          </w:p>
          <w:p>
            <w:pPr>
              <w:widowControl/>
              <w:adjustRightInd w:val="0"/>
              <w:snapToGrid w:val="0"/>
              <w:spacing w:line="280" w:lineRule="exact"/>
              <w:jc w:val="center"/>
              <w:rPr>
                <w:rFonts w:eastAsia="方正黑体_GBK"/>
                <w:bCs/>
                <w:color w:val="000000"/>
                <w:kern w:val="0"/>
                <w:sz w:val="24"/>
                <w:szCs w:val="24"/>
                <w:lang w:bidi="ar"/>
              </w:rPr>
            </w:pPr>
            <w:r>
              <w:rPr>
                <w:rFonts w:eastAsia="方正黑体_GBK"/>
                <w:bCs/>
                <w:color w:val="000000"/>
                <w:kern w:val="0"/>
                <w:sz w:val="24"/>
                <w:szCs w:val="24"/>
                <w:lang w:bidi="ar"/>
              </w:rPr>
              <w:t>类型</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80" w:lineRule="exact"/>
              <w:jc w:val="center"/>
              <w:rPr>
                <w:rFonts w:eastAsia="方正黑体_GBK"/>
                <w:bCs/>
                <w:color w:val="000000"/>
                <w:kern w:val="0"/>
                <w:sz w:val="24"/>
                <w:szCs w:val="24"/>
              </w:rPr>
            </w:pPr>
            <w:r>
              <w:rPr>
                <w:rFonts w:eastAsia="方正黑体_GBK"/>
                <w:bCs/>
                <w:color w:val="000000"/>
                <w:kern w:val="0"/>
                <w:sz w:val="24"/>
                <w:szCs w:val="24"/>
                <w:lang w:bidi="ar"/>
              </w:rPr>
              <w:t>名称</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80" w:lineRule="exact"/>
              <w:jc w:val="center"/>
              <w:rPr>
                <w:rFonts w:hint="eastAsia" w:eastAsia="方正黑体_GBK"/>
                <w:bCs/>
                <w:color w:val="000000"/>
                <w:kern w:val="0"/>
                <w:sz w:val="24"/>
                <w:szCs w:val="24"/>
                <w:lang w:bidi="ar"/>
              </w:rPr>
            </w:pPr>
            <w:r>
              <w:rPr>
                <w:rFonts w:eastAsia="方正黑体_GBK"/>
                <w:bCs/>
                <w:color w:val="000000"/>
                <w:kern w:val="0"/>
                <w:sz w:val="24"/>
                <w:szCs w:val="24"/>
                <w:lang w:bidi="ar"/>
              </w:rPr>
              <w:t>声环境功能区</w:t>
            </w:r>
          </w:p>
          <w:p>
            <w:pPr>
              <w:widowControl/>
              <w:adjustRightInd w:val="0"/>
              <w:snapToGrid w:val="0"/>
              <w:spacing w:line="280" w:lineRule="exact"/>
              <w:jc w:val="center"/>
              <w:rPr>
                <w:rFonts w:eastAsia="方正黑体_GBK"/>
                <w:bCs/>
                <w:color w:val="000000"/>
                <w:kern w:val="0"/>
                <w:sz w:val="24"/>
                <w:szCs w:val="24"/>
              </w:rPr>
            </w:pPr>
            <w:r>
              <w:rPr>
                <w:rFonts w:eastAsia="方正黑体_GBK"/>
                <w:bCs/>
                <w:color w:val="000000"/>
                <w:kern w:val="0"/>
                <w:sz w:val="24"/>
                <w:szCs w:val="24"/>
                <w:lang w:bidi="ar"/>
              </w:rPr>
              <w:t>类型</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80" w:lineRule="exact"/>
              <w:jc w:val="center"/>
              <w:rPr>
                <w:rFonts w:eastAsia="方正黑体_GBK"/>
                <w:bCs/>
                <w:color w:val="000000"/>
                <w:kern w:val="0"/>
                <w:sz w:val="24"/>
                <w:szCs w:val="24"/>
              </w:rPr>
            </w:pPr>
            <w:r>
              <w:rPr>
                <w:rFonts w:eastAsia="方正黑体_GBK"/>
                <w:bCs/>
                <w:color w:val="000000"/>
                <w:kern w:val="0"/>
                <w:sz w:val="24"/>
                <w:szCs w:val="24"/>
                <w:lang w:bidi="ar"/>
              </w:rPr>
              <w:t>面积（km</w:t>
            </w:r>
            <w:r>
              <w:rPr>
                <w:rStyle w:val="19"/>
                <w:rFonts w:eastAsia="方正黑体_GBK"/>
                <w:bCs/>
                <w:kern w:val="0"/>
                <w:sz w:val="24"/>
                <w:szCs w:val="24"/>
                <w:lang w:bidi="ar"/>
              </w:rPr>
              <w:t>2</w:t>
            </w:r>
            <w:r>
              <w:rPr>
                <w:rFonts w:eastAsia="方正黑体_GBK"/>
                <w:bCs/>
                <w:color w:val="000000"/>
                <w:kern w:val="0"/>
                <w:sz w:val="24"/>
                <w:szCs w:val="24"/>
                <w:lang w:bidi="ar"/>
              </w:rPr>
              <w:t>）</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80" w:lineRule="exact"/>
              <w:jc w:val="center"/>
              <w:rPr>
                <w:rFonts w:eastAsia="方正黑体_GBK"/>
                <w:bCs/>
                <w:color w:val="000000"/>
                <w:kern w:val="0"/>
                <w:sz w:val="24"/>
                <w:szCs w:val="24"/>
              </w:rPr>
            </w:pPr>
            <w:r>
              <w:rPr>
                <w:rFonts w:eastAsia="方正黑体_GBK"/>
                <w:bCs/>
                <w:color w:val="000000"/>
                <w:kern w:val="0"/>
                <w:sz w:val="24"/>
                <w:szCs w:val="24"/>
                <w:lang w:bidi="ar"/>
              </w:rPr>
              <w:t>备注</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kern w:val="0"/>
                <w:sz w:val="24"/>
                <w:lang w:bidi="ar"/>
              </w:rPr>
              <w:t>1</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铜合大道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中南路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金山大道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0.07</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龙安大道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0.19</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金川大道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迎宾东路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0.41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龙腾大道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北环大道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0.41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西环路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0.17</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中兴路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迎宾路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白龙大道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少云大道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学府大道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0.09</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龙城大道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金龙大道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0.34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中兴东路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0.09</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高成线</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19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龙兴大道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新华路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龙山大道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龙云路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龙塘路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0.07</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产业大道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厦成线</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金龙一路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主干路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景城路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轨道交通</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璧铜线</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29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高速路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三环高速</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高速路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成渝环线高速</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0.35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姜家岩路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沿井路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八一路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大北街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上北街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0.003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建设路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龙都路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0.07</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龙门街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39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龙门一支路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龙门西街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原乡大道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城北路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东莘路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0.09</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金砂路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金砂支路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金砂南路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金砂东路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铜龙路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49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香滨路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亚龙路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迎春街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凤平路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广龙路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半月路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塔山东路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晏滨路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法建东路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书香路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59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白龙二路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宴渡二路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岳阳路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飞龙路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宴金路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农民新街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金枫路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中龙路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玉龙路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凤翔路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69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塔山西街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铁佛路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龙飞路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0.07</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玉泉路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0.05</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银饰路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云安路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龙江路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汇贤路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淮远古韵南街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S207</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79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全蒲大道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马家湾街</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81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仙鱼北路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82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北环路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0.004</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83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pacing w:val="-14"/>
                <w:sz w:val="24"/>
                <w:szCs w:val="24"/>
              </w:rPr>
            </w:pPr>
            <w:r>
              <w:rPr>
                <w:rFonts w:hint="default" w:ascii="Times New Roman" w:hAnsi="Times New Roman" w:eastAsia="方正仿宋_GBK" w:cs="Times New Roman"/>
                <w:color w:val="000000"/>
                <w:spacing w:val="-14"/>
                <w:sz w:val="24"/>
                <w:szCs w:val="24"/>
                <w:lang w:bidi="ar"/>
              </w:rPr>
              <w:t>交通服务区域</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铜梁汽车客运北站</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84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pacing w:val="-14"/>
                <w:sz w:val="24"/>
                <w:szCs w:val="24"/>
                <w:lang w:bidi="ar"/>
              </w:rPr>
              <w:t>交通服务区域</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铜梁汽车南站</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0.07</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中心城区</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85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铜荣路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0.08</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侣俸镇</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86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高蓉线</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虎峰镇</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87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合永路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虎峰镇</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88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合水路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0.09</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大庙镇</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89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金桂大道</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0.16</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大庙镇</w:t>
            </w:r>
          </w:p>
        </w:tc>
      </w:tr>
      <w:tr>
        <w:tblPrEx>
          <w:tblLayout w:type="fixed"/>
          <w:tblCellMar>
            <w:top w:w="0" w:type="dxa"/>
            <w:left w:w="108" w:type="dxa"/>
            <w:bottom w:w="0" w:type="dxa"/>
            <w:right w:w="108" w:type="dxa"/>
          </w:tblCellMar>
        </w:tblPrEx>
        <w:trPr>
          <w:jc w:val="center"/>
        </w:trPr>
        <w:tc>
          <w:tcPr>
            <w:tcW w:w="7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Fonts w:hint="default" w:ascii="Times New Roman" w:hAnsi="Times New Roman" w:eastAsia="方正仿宋_GBK" w:cs="Times New Roman"/>
                <w:color w:val="000000"/>
                <w:kern w:val="0"/>
                <w:sz w:val="24"/>
                <w:lang w:bidi="ar"/>
              </w:rPr>
            </w:pPr>
            <w:r>
              <w:rPr>
                <w:rFonts w:hint="default" w:ascii="Times New Roman" w:hAnsi="Times New Roman" w:eastAsia="方正仿宋_GBK" w:cs="Times New Roman"/>
                <w:color w:val="000000"/>
                <w:kern w:val="0"/>
                <w:sz w:val="24"/>
                <w:lang w:bidi="ar"/>
              </w:rPr>
              <w:t xml:space="preserve">90 </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4a类</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次干路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渝遂路</w:t>
            </w:r>
          </w:p>
        </w:tc>
        <w:tc>
          <w:tcPr>
            <w:tcW w:w="156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0.21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pacing w:line="360" w:lineRule="exact"/>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lang w:bidi="ar"/>
              </w:rPr>
              <w:t>安居镇</w:t>
            </w:r>
          </w:p>
        </w:tc>
      </w:tr>
    </w:tbl>
    <w:p>
      <w:pPr>
        <w:ind w:firstLine="420" w:firstLineChars="200"/>
        <w:rPr>
          <w:rFonts w:hint="eastAsia"/>
          <w:snapToGrid w:val="0"/>
          <w:szCs w:val="32"/>
        </w:rPr>
      </w:pPr>
    </w:p>
    <w:p>
      <w:pPr>
        <w:adjustRightInd w:val="0"/>
        <w:spacing w:line="550" w:lineRule="exact"/>
        <w:jc w:val="left"/>
        <w:outlineLvl w:val="0"/>
        <w:rPr>
          <w:rFonts w:hint="eastAsia" w:ascii="方正黑体_GBK" w:hAnsi="方正黑体_GBK" w:eastAsia="方正黑体_GBK" w:cs="方正黑体_GBK"/>
          <w:kern w:val="44"/>
          <w:sz w:val="32"/>
          <w:szCs w:val="32"/>
        </w:rPr>
      </w:pPr>
    </w:p>
    <w:p>
      <w:pPr>
        <w:adjustRightInd w:val="0"/>
        <w:spacing w:line="550" w:lineRule="exact"/>
        <w:jc w:val="left"/>
        <w:outlineLvl w:val="0"/>
        <w:rPr>
          <w:rFonts w:hint="eastAsia" w:ascii="方正黑体_GBK" w:hAnsi="方正黑体_GBK" w:eastAsia="方正黑体_GBK" w:cs="方正黑体_GBK"/>
          <w:kern w:val="44"/>
          <w:sz w:val="32"/>
          <w:szCs w:val="32"/>
        </w:rPr>
      </w:pPr>
      <w:r>
        <w:rPr>
          <w:rFonts w:hint="eastAsia" w:ascii="方正黑体_GBK" w:hAnsi="方正黑体_GBK" w:eastAsia="方正黑体_GBK" w:cs="方正黑体_GBK"/>
          <w:kern w:val="44"/>
          <w:sz w:val="32"/>
          <w:szCs w:val="32"/>
        </w:rPr>
        <w:t xml:space="preserve">附件3 </w:t>
      </w:r>
    </w:p>
    <w:p>
      <w:pPr>
        <w:adjustRightInd w:val="0"/>
        <w:spacing w:line="550" w:lineRule="exact"/>
        <w:jc w:val="center"/>
        <w:outlineLvl w:val="0"/>
        <w:rPr>
          <w:rFonts w:hint="eastAsia" w:ascii="方正小标宋_GBK" w:hAnsi="方正小标宋_GBK" w:eastAsia="方正小标宋_GBK" w:cs="方正小标宋_GBK"/>
          <w:kern w:val="44"/>
          <w:sz w:val="36"/>
          <w:szCs w:val="36"/>
        </w:rPr>
      </w:pPr>
      <w:r>
        <w:rPr>
          <w:rFonts w:hint="eastAsia" w:ascii="方正小标宋_GBK" w:hAnsi="方正小标宋_GBK" w:eastAsia="方正小标宋_GBK" w:cs="方正小标宋_GBK"/>
          <w:kern w:val="44"/>
          <w:sz w:val="36"/>
          <w:szCs w:val="36"/>
        </w:rPr>
        <w:t>铜梁区声环境功能区划示意图</w:t>
      </w:r>
    </w:p>
    <w:p>
      <w:pPr>
        <w:pStyle w:val="2"/>
      </w:pPr>
      <w:r>
        <w:drawing>
          <wp:anchor distT="0" distB="0" distL="114300" distR="114300" simplePos="0" relativeHeight="251659264" behindDoc="0" locked="0" layoutInCell="1" allowOverlap="1">
            <wp:simplePos x="0" y="0"/>
            <wp:positionH relativeFrom="column">
              <wp:posOffset>360045</wp:posOffset>
            </wp:positionH>
            <wp:positionV relativeFrom="paragraph">
              <wp:posOffset>181610</wp:posOffset>
            </wp:positionV>
            <wp:extent cx="4997450" cy="6327775"/>
            <wp:effectExtent l="0" t="0" r="12700" b="15875"/>
            <wp:wrapNone/>
            <wp:docPr id="2"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2"/>
                    <pic:cNvPicPr>
                      <a:picLocks noChangeAspect="1"/>
                    </pic:cNvPicPr>
                  </pic:nvPicPr>
                  <pic:blipFill>
                    <a:blip r:embed="rId6"/>
                    <a:stretch>
                      <a:fillRect/>
                    </a:stretch>
                  </pic:blipFill>
                  <pic:spPr>
                    <a:xfrm>
                      <a:off x="0" y="0"/>
                      <a:ext cx="4997450" cy="6327775"/>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481" w:firstLineChars="0"/>
        <w:jc w:val="left"/>
        <w:rPr>
          <w:rFonts w:hint="eastAsia" w:ascii="方正仿宋_GBK" w:hAnsi="Times New Roman" w:eastAsia="方正仿宋_GBK"/>
          <w:bCs/>
          <w:kern w:val="44"/>
          <w:sz w:val="24"/>
        </w:rPr>
      </w:pPr>
      <w:r>
        <w:rPr>
          <w:rFonts w:hint="eastAsia" w:ascii="方正仿宋_GBK" w:hAnsi="Times New Roman" w:eastAsia="方正仿宋_GBK"/>
          <w:bCs/>
          <w:kern w:val="44"/>
          <w:sz w:val="24"/>
        </w:rPr>
        <w:t>注：图件为声环境功能区划分示意图，声环境应结合实际进行管理，下同。</w:t>
      </w:r>
    </w:p>
    <w:p>
      <w:pPr>
        <w:pStyle w:val="2"/>
        <w:rPr>
          <w:rFonts w:hint="default"/>
          <w:lang w:val="en-US" w:eastAsia="zh-CN"/>
        </w:rPr>
        <w:sectPr>
          <w:type w:val="continuous"/>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adjustRightInd w:val="0"/>
        <w:jc w:val="left"/>
        <w:outlineLvl w:val="0"/>
        <w:rPr>
          <w:rFonts w:hint="eastAsia" w:ascii="方正黑体_GBK" w:hAnsi="方正黑体_GBK" w:eastAsia="方正黑体_GBK" w:cs="方正黑体_GBK"/>
          <w:sz w:val="32"/>
          <w:szCs w:val="32"/>
        </w:rPr>
      </w:pPr>
      <w:bookmarkStart w:id="59" w:name="_Toc11115"/>
      <w:r>
        <w:rPr>
          <w:rFonts w:hint="eastAsia" w:ascii="方正黑体_GBK" w:hAnsi="方正黑体_GBK" w:eastAsia="方正黑体_GBK" w:cs="方正黑体_GBK"/>
          <w:kern w:val="44"/>
          <w:sz w:val="32"/>
          <w:szCs w:val="32"/>
        </w:rPr>
        <w:t xml:space="preserve">附件4 </w:t>
      </w:r>
    </w:p>
    <w:p>
      <w:pPr>
        <w:adjustRightInd w:val="0"/>
        <w:jc w:val="center"/>
        <w:outlineLvl w:val="0"/>
        <w:rPr>
          <w:rFonts w:ascii="Times New Roman" w:hAnsi="Times New Roman" w:eastAsia="方正小标宋_GBK"/>
          <w:kern w:val="44"/>
          <w:sz w:val="32"/>
          <w:szCs w:val="44"/>
        </w:rPr>
      </w:pPr>
      <w:r>
        <w:drawing>
          <wp:anchor distT="0" distB="0" distL="114300" distR="114300" simplePos="0" relativeHeight="251660288" behindDoc="0" locked="0" layoutInCell="1" allowOverlap="1">
            <wp:simplePos x="0" y="0"/>
            <wp:positionH relativeFrom="column">
              <wp:posOffset>650240</wp:posOffset>
            </wp:positionH>
            <wp:positionV relativeFrom="paragraph">
              <wp:posOffset>381000</wp:posOffset>
            </wp:positionV>
            <wp:extent cx="6721475" cy="4294505"/>
            <wp:effectExtent l="0" t="0" r="3175" b="10795"/>
            <wp:wrapNone/>
            <wp:docPr id="3" name="图片 4" descr="重庆市铜梁区中心城区声环境功能区划示意图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重庆市铜梁区中心城区声环境功能区划示意图0222"/>
                    <pic:cNvPicPr>
                      <a:picLocks noChangeAspect="1"/>
                    </pic:cNvPicPr>
                  </pic:nvPicPr>
                  <pic:blipFill>
                    <a:blip r:embed="rId7"/>
                    <a:stretch>
                      <a:fillRect/>
                    </a:stretch>
                  </pic:blipFill>
                  <pic:spPr>
                    <a:xfrm>
                      <a:off x="0" y="0"/>
                      <a:ext cx="6721475" cy="4294505"/>
                    </a:xfrm>
                    <a:prstGeom prst="rect">
                      <a:avLst/>
                    </a:prstGeom>
                    <a:noFill/>
                    <a:ln>
                      <a:noFill/>
                    </a:ln>
                  </pic:spPr>
                </pic:pic>
              </a:graphicData>
            </a:graphic>
          </wp:anchor>
        </w:drawing>
      </w:r>
      <w:r>
        <w:rPr>
          <w:rFonts w:ascii="Times New Roman" w:hAnsi="Times New Roman" w:eastAsia="方正小标宋_GBK"/>
          <w:kern w:val="44"/>
          <w:sz w:val="32"/>
          <w:szCs w:val="44"/>
        </w:rPr>
        <w:t>铜梁区中心城区声环境功能区划示意图</w:t>
      </w:r>
      <w:bookmarkEnd w:id="59"/>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adjustRightInd w:val="0"/>
        <w:jc w:val="left"/>
        <w:outlineLvl w:val="0"/>
        <w:rPr>
          <w:rFonts w:ascii="Times New Roman" w:hAnsi="Times New Roman" w:eastAsia="方正黑体_GBK"/>
          <w:kern w:val="44"/>
          <w:sz w:val="32"/>
          <w:szCs w:val="44"/>
        </w:rPr>
      </w:pPr>
    </w:p>
    <w:p>
      <w:pPr>
        <w:adjustRightInd w:val="0"/>
        <w:jc w:val="left"/>
        <w:outlineLvl w:val="0"/>
        <w:rPr>
          <w:rFonts w:ascii="Times New Roman" w:hAnsi="Times New Roman" w:eastAsia="方正黑体_GBK"/>
          <w:kern w:val="44"/>
          <w:sz w:val="32"/>
          <w:szCs w:val="44"/>
        </w:rPr>
      </w:pPr>
      <w:r>
        <w:rPr>
          <w:rFonts w:ascii="Times New Roman" w:hAnsi="Times New Roman" w:eastAsia="方正黑体_GBK"/>
          <w:kern w:val="44"/>
          <w:sz w:val="32"/>
          <w:szCs w:val="44"/>
        </w:rPr>
        <w:t>附</w:t>
      </w:r>
      <w:r>
        <w:rPr>
          <w:rFonts w:hint="eastAsia" w:ascii="Times New Roman" w:hAnsi="Times New Roman" w:eastAsia="方正黑体_GBK"/>
          <w:kern w:val="44"/>
          <w:sz w:val="32"/>
          <w:szCs w:val="44"/>
        </w:rPr>
        <w:t>件5</w:t>
      </w:r>
    </w:p>
    <w:p>
      <w:pPr>
        <w:adjustRightInd w:val="0"/>
        <w:jc w:val="center"/>
        <w:outlineLvl w:val="0"/>
        <w:rPr>
          <w:rFonts w:ascii="Times New Roman" w:hAnsi="Times New Roman" w:eastAsia="方正小标宋_GBK"/>
          <w:kern w:val="44"/>
          <w:sz w:val="32"/>
          <w:szCs w:val="44"/>
        </w:rPr>
      </w:pPr>
      <w:r>
        <w:drawing>
          <wp:anchor distT="0" distB="0" distL="114300" distR="114300" simplePos="0" relativeHeight="251662336" behindDoc="0" locked="0" layoutInCell="1" allowOverlap="1">
            <wp:simplePos x="0" y="0"/>
            <wp:positionH relativeFrom="column">
              <wp:posOffset>602615</wp:posOffset>
            </wp:positionH>
            <wp:positionV relativeFrom="paragraph">
              <wp:posOffset>299085</wp:posOffset>
            </wp:positionV>
            <wp:extent cx="6661785" cy="4428490"/>
            <wp:effectExtent l="0" t="0" r="5715" b="10160"/>
            <wp:wrapNone/>
            <wp:docPr id="7" name="图片 5" descr="2安居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安居镇"/>
                    <pic:cNvPicPr>
                      <a:picLocks noChangeAspect="1"/>
                    </pic:cNvPicPr>
                  </pic:nvPicPr>
                  <pic:blipFill>
                    <a:blip r:embed="rId8"/>
                    <a:stretch>
                      <a:fillRect/>
                    </a:stretch>
                  </pic:blipFill>
                  <pic:spPr>
                    <a:xfrm>
                      <a:off x="0" y="0"/>
                      <a:ext cx="6661785" cy="4428490"/>
                    </a:xfrm>
                    <a:prstGeom prst="rect">
                      <a:avLst/>
                    </a:prstGeom>
                    <a:noFill/>
                    <a:ln>
                      <a:noFill/>
                    </a:ln>
                  </pic:spPr>
                </pic:pic>
              </a:graphicData>
            </a:graphic>
          </wp:anchor>
        </w:drawing>
      </w:r>
      <w:r>
        <w:rPr>
          <w:rFonts w:ascii="Times New Roman" w:hAnsi="Times New Roman" w:eastAsia="方正小标宋_GBK"/>
          <w:kern w:val="44"/>
          <w:sz w:val="32"/>
          <w:szCs w:val="44"/>
        </w:rPr>
        <w:t>铜梁区安居镇声环境功能区划示意图</w:t>
      </w:r>
    </w:p>
    <w:p>
      <w:pPr>
        <w:pStyle w:val="2"/>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adjustRightInd w:val="0"/>
        <w:jc w:val="left"/>
        <w:outlineLvl w:val="0"/>
        <w:rPr>
          <w:rFonts w:ascii="Times New Roman" w:hAnsi="Times New Roman" w:eastAsia="方正黑体_GBK"/>
          <w:kern w:val="44"/>
          <w:sz w:val="32"/>
          <w:szCs w:val="44"/>
        </w:rPr>
      </w:pPr>
      <w:r>
        <w:rPr>
          <w:rFonts w:ascii="Times New Roman" w:hAnsi="Times New Roman" w:eastAsia="方正黑体_GBK"/>
          <w:kern w:val="44"/>
          <w:sz w:val="32"/>
          <w:szCs w:val="44"/>
        </w:rPr>
        <w:t>附</w:t>
      </w:r>
      <w:r>
        <w:rPr>
          <w:rFonts w:hint="eastAsia" w:ascii="Times New Roman" w:hAnsi="Times New Roman" w:eastAsia="方正黑体_GBK"/>
          <w:kern w:val="44"/>
          <w:sz w:val="32"/>
          <w:szCs w:val="44"/>
        </w:rPr>
        <w:t>件6</w:t>
      </w:r>
      <w:r>
        <w:rPr>
          <w:rFonts w:ascii="Times New Roman" w:hAnsi="Times New Roman" w:eastAsia="方正黑体_GBK"/>
          <w:kern w:val="44"/>
          <w:sz w:val="32"/>
          <w:szCs w:val="44"/>
        </w:rPr>
        <w:t xml:space="preserve"> </w:t>
      </w:r>
    </w:p>
    <w:p>
      <w:pPr>
        <w:adjustRightInd w:val="0"/>
        <w:jc w:val="center"/>
        <w:outlineLvl w:val="0"/>
        <w:rPr>
          <w:rFonts w:ascii="Times New Roman" w:hAnsi="Times New Roman" w:eastAsia="方正小标宋_GBK"/>
          <w:kern w:val="44"/>
          <w:sz w:val="32"/>
          <w:szCs w:val="44"/>
        </w:rPr>
      </w:pPr>
      <w:r>
        <w:drawing>
          <wp:anchor distT="0" distB="0" distL="114300" distR="114300" simplePos="0" relativeHeight="251665408" behindDoc="0" locked="0" layoutInCell="1" allowOverlap="1">
            <wp:simplePos x="0" y="0"/>
            <wp:positionH relativeFrom="column">
              <wp:posOffset>497840</wp:posOffset>
            </wp:positionH>
            <wp:positionV relativeFrom="paragraph">
              <wp:posOffset>281940</wp:posOffset>
            </wp:positionV>
            <wp:extent cx="6661785" cy="4381500"/>
            <wp:effectExtent l="0" t="0" r="5715" b="0"/>
            <wp:wrapNone/>
            <wp:docPr id="9" name="图片 6" descr="太平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太平镇"/>
                    <pic:cNvPicPr>
                      <a:picLocks noChangeAspect="1"/>
                    </pic:cNvPicPr>
                  </pic:nvPicPr>
                  <pic:blipFill>
                    <a:blip r:embed="rId9"/>
                    <a:stretch>
                      <a:fillRect/>
                    </a:stretch>
                  </pic:blipFill>
                  <pic:spPr>
                    <a:xfrm>
                      <a:off x="0" y="0"/>
                      <a:ext cx="6661785" cy="4381500"/>
                    </a:xfrm>
                    <a:prstGeom prst="rect">
                      <a:avLst/>
                    </a:prstGeom>
                    <a:noFill/>
                    <a:ln>
                      <a:noFill/>
                    </a:ln>
                  </pic:spPr>
                </pic:pic>
              </a:graphicData>
            </a:graphic>
          </wp:anchor>
        </w:drawing>
      </w:r>
      <w:r>
        <w:rPr>
          <w:rFonts w:ascii="Times New Roman" w:hAnsi="Times New Roman" w:eastAsia="方正小标宋_GBK"/>
          <w:kern w:val="44"/>
          <w:sz w:val="32"/>
          <w:szCs w:val="44"/>
        </w:rPr>
        <w:t>铜梁区太平镇声环境功能区划示意图</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adjustRightInd w:val="0"/>
        <w:jc w:val="left"/>
        <w:outlineLvl w:val="0"/>
        <w:rPr>
          <w:rFonts w:ascii="Times New Roman" w:hAnsi="Times New Roman" w:eastAsia="方正黑体_GBK"/>
          <w:kern w:val="44"/>
          <w:sz w:val="32"/>
          <w:szCs w:val="44"/>
        </w:rPr>
      </w:pPr>
      <w:bookmarkStart w:id="60" w:name="_Toc23221"/>
      <w:r>
        <w:rPr>
          <w:rFonts w:ascii="Times New Roman" w:hAnsi="Times New Roman" w:eastAsia="方正黑体_GBK"/>
          <w:kern w:val="44"/>
          <w:sz w:val="32"/>
          <w:szCs w:val="44"/>
        </w:rPr>
        <w:t>附</w:t>
      </w:r>
      <w:r>
        <w:rPr>
          <w:rFonts w:hint="eastAsia" w:ascii="Times New Roman" w:hAnsi="Times New Roman" w:eastAsia="方正黑体_GBK"/>
          <w:kern w:val="44"/>
          <w:sz w:val="32"/>
          <w:szCs w:val="44"/>
        </w:rPr>
        <w:t>件7</w:t>
      </w:r>
      <w:r>
        <w:rPr>
          <w:rFonts w:ascii="Times New Roman" w:hAnsi="Times New Roman" w:eastAsia="方正黑体_GBK"/>
          <w:kern w:val="44"/>
          <w:sz w:val="32"/>
          <w:szCs w:val="44"/>
        </w:rPr>
        <w:t xml:space="preserve"> </w:t>
      </w:r>
    </w:p>
    <w:p>
      <w:pPr>
        <w:adjustRightInd w:val="0"/>
        <w:jc w:val="center"/>
        <w:outlineLvl w:val="0"/>
        <w:rPr>
          <w:rFonts w:ascii="Times New Roman" w:hAnsi="Times New Roman" w:eastAsia="方正小标宋_GBK"/>
          <w:kern w:val="44"/>
          <w:sz w:val="32"/>
          <w:szCs w:val="44"/>
        </w:rPr>
      </w:pPr>
      <w:r>
        <w:drawing>
          <wp:anchor distT="0" distB="0" distL="114300" distR="114300" simplePos="0" relativeHeight="251669504" behindDoc="0" locked="0" layoutInCell="1" allowOverlap="1">
            <wp:simplePos x="0" y="0"/>
            <wp:positionH relativeFrom="column">
              <wp:posOffset>488315</wp:posOffset>
            </wp:positionH>
            <wp:positionV relativeFrom="paragraph">
              <wp:posOffset>297180</wp:posOffset>
            </wp:positionV>
            <wp:extent cx="6661785" cy="4428490"/>
            <wp:effectExtent l="0" t="0" r="5715" b="10160"/>
            <wp:wrapNone/>
            <wp:docPr id="10" name="图片 7" descr="侣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侣俸"/>
                    <pic:cNvPicPr>
                      <a:picLocks noChangeAspect="1"/>
                    </pic:cNvPicPr>
                  </pic:nvPicPr>
                  <pic:blipFill>
                    <a:blip r:embed="rId10"/>
                    <a:stretch>
                      <a:fillRect/>
                    </a:stretch>
                  </pic:blipFill>
                  <pic:spPr>
                    <a:xfrm>
                      <a:off x="0" y="0"/>
                      <a:ext cx="6661785" cy="4428490"/>
                    </a:xfrm>
                    <a:prstGeom prst="rect">
                      <a:avLst/>
                    </a:prstGeom>
                    <a:noFill/>
                    <a:ln>
                      <a:noFill/>
                    </a:ln>
                  </pic:spPr>
                </pic:pic>
              </a:graphicData>
            </a:graphic>
          </wp:anchor>
        </w:drawing>
      </w:r>
      <w:r>
        <w:rPr>
          <w:rFonts w:ascii="Times New Roman" w:hAnsi="Times New Roman" w:eastAsia="方正小标宋_GBK"/>
          <w:kern w:val="44"/>
          <w:sz w:val="32"/>
          <w:szCs w:val="44"/>
        </w:rPr>
        <w:t>铜梁区侣俸镇声环境功能区划示意图</w:t>
      </w:r>
      <w:bookmarkEnd w:id="60"/>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adjustRightInd w:val="0"/>
        <w:jc w:val="left"/>
        <w:outlineLvl w:val="0"/>
        <w:rPr>
          <w:rFonts w:ascii="Times New Roman" w:hAnsi="Times New Roman" w:eastAsia="方正黑体_GBK"/>
          <w:kern w:val="44"/>
          <w:sz w:val="32"/>
          <w:szCs w:val="44"/>
        </w:rPr>
      </w:pPr>
      <w:bookmarkStart w:id="62" w:name="_GoBack"/>
      <w:r>
        <w:rPr>
          <w:rFonts w:ascii="Times New Roman" w:hAnsi="Times New Roman" w:eastAsia="方正黑体_GBK"/>
          <w:kern w:val="44"/>
          <w:sz w:val="32"/>
          <w:szCs w:val="44"/>
        </w:rPr>
        <w:t>附</w:t>
      </w:r>
      <w:r>
        <w:rPr>
          <w:rFonts w:hint="eastAsia" w:ascii="Times New Roman" w:hAnsi="Times New Roman" w:eastAsia="方正黑体_GBK"/>
          <w:kern w:val="44"/>
          <w:sz w:val="32"/>
          <w:szCs w:val="44"/>
        </w:rPr>
        <w:t>件8</w:t>
      </w:r>
      <w:r>
        <w:rPr>
          <w:rFonts w:ascii="Times New Roman" w:hAnsi="Times New Roman" w:eastAsia="方正黑体_GBK"/>
          <w:kern w:val="44"/>
          <w:sz w:val="32"/>
          <w:szCs w:val="44"/>
        </w:rPr>
        <w:t xml:space="preserve"> </w:t>
      </w:r>
    </w:p>
    <w:p>
      <w:pPr>
        <w:adjustRightInd w:val="0"/>
        <w:jc w:val="center"/>
        <w:outlineLvl w:val="0"/>
        <w:rPr>
          <w:rFonts w:ascii="Times New Roman" w:hAnsi="Times New Roman" w:eastAsia="方正小标宋_GBK"/>
          <w:kern w:val="44"/>
          <w:sz w:val="32"/>
          <w:szCs w:val="44"/>
        </w:rPr>
      </w:pPr>
      <w:r>
        <w:drawing>
          <wp:anchor distT="0" distB="0" distL="114300" distR="114300" simplePos="0" relativeHeight="251674624" behindDoc="0" locked="0" layoutInCell="1" allowOverlap="1">
            <wp:simplePos x="0" y="0"/>
            <wp:positionH relativeFrom="column">
              <wp:posOffset>602615</wp:posOffset>
            </wp:positionH>
            <wp:positionV relativeFrom="paragraph">
              <wp:posOffset>297180</wp:posOffset>
            </wp:positionV>
            <wp:extent cx="6661785" cy="4495165"/>
            <wp:effectExtent l="0" t="0" r="5715" b="635"/>
            <wp:wrapNone/>
            <wp:docPr id="11" name="图片 8" descr="平滩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平滩镇"/>
                    <pic:cNvPicPr>
                      <a:picLocks noChangeAspect="1"/>
                    </pic:cNvPicPr>
                  </pic:nvPicPr>
                  <pic:blipFill>
                    <a:blip r:embed="rId11"/>
                    <a:stretch>
                      <a:fillRect/>
                    </a:stretch>
                  </pic:blipFill>
                  <pic:spPr>
                    <a:xfrm>
                      <a:off x="0" y="0"/>
                      <a:ext cx="6661785" cy="4495165"/>
                    </a:xfrm>
                    <a:prstGeom prst="rect">
                      <a:avLst/>
                    </a:prstGeom>
                    <a:noFill/>
                    <a:ln>
                      <a:noFill/>
                    </a:ln>
                  </pic:spPr>
                </pic:pic>
              </a:graphicData>
            </a:graphic>
          </wp:anchor>
        </w:drawing>
      </w:r>
      <w:r>
        <w:rPr>
          <w:rFonts w:ascii="Times New Roman" w:hAnsi="Times New Roman" w:eastAsia="方正小标宋_GBK"/>
          <w:kern w:val="44"/>
          <w:sz w:val="32"/>
          <w:szCs w:val="44"/>
        </w:rPr>
        <w:t>铜梁区平滩镇声环境功能区划示意图</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adjustRightInd w:val="0"/>
        <w:jc w:val="left"/>
        <w:outlineLvl w:val="0"/>
        <w:rPr>
          <w:rFonts w:ascii="Times New Roman" w:hAnsi="Times New Roman" w:eastAsia="方正黑体_GBK"/>
          <w:kern w:val="44"/>
          <w:sz w:val="32"/>
          <w:szCs w:val="44"/>
        </w:rPr>
      </w:pPr>
      <w:r>
        <w:rPr>
          <w:rFonts w:ascii="Times New Roman" w:hAnsi="Times New Roman" w:eastAsia="方正黑体_GBK"/>
          <w:kern w:val="44"/>
          <w:sz w:val="32"/>
          <w:szCs w:val="44"/>
        </w:rPr>
        <w:t>附</w:t>
      </w:r>
      <w:r>
        <w:rPr>
          <w:rFonts w:hint="eastAsia" w:ascii="Times New Roman" w:hAnsi="Times New Roman" w:eastAsia="方正黑体_GBK"/>
          <w:kern w:val="44"/>
          <w:sz w:val="32"/>
          <w:szCs w:val="44"/>
        </w:rPr>
        <w:t>件9</w:t>
      </w:r>
      <w:r>
        <w:rPr>
          <w:rFonts w:ascii="Times New Roman" w:hAnsi="Times New Roman" w:eastAsia="方正黑体_GBK"/>
          <w:kern w:val="44"/>
          <w:sz w:val="32"/>
          <w:szCs w:val="44"/>
        </w:rPr>
        <w:t xml:space="preserve"> </w:t>
      </w:r>
    </w:p>
    <w:p>
      <w:pPr>
        <w:adjustRightInd w:val="0"/>
        <w:jc w:val="center"/>
        <w:outlineLvl w:val="0"/>
        <w:rPr>
          <w:rFonts w:hint="eastAsia" w:ascii="Times New Roman" w:hAnsi="Times New Roman" w:eastAsia="方正小标宋_GBK"/>
          <w:kern w:val="44"/>
          <w:sz w:val="32"/>
          <w:szCs w:val="44"/>
        </w:rPr>
      </w:pPr>
      <w:r>
        <w:rPr>
          <w:rFonts w:ascii="Times New Roman" w:hAnsi="Times New Roman" w:eastAsia="方正小标宋_GBK"/>
          <w:kern w:val="44"/>
          <w:sz w:val="32"/>
          <w:szCs w:val="44"/>
        </w:rPr>
        <w:t>铜梁区虎峰镇声环境功能区划示意图</w:t>
      </w:r>
    </w:p>
    <w:p>
      <w:pPr>
        <w:pStyle w:val="2"/>
        <w:rPr>
          <w:rFonts w:hint="default"/>
          <w:lang w:val="en-US" w:eastAsia="zh-CN"/>
        </w:rPr>
      </w:pPr>
      <w:r>
        <w:drawing>
          <wp:anchor distT="0" distB="0" distL="114300" distR="114300" simplePos="0" relativeHeight="251680768" behindDoc="0" locked="0" layoutInCell="1" allowOverlap="1">
            <wp:simplePos x="0" y="0"/>
            <wp:positionH relativeFrom="column">
              <wp:posOffset>831215</wp:posOffset>
            </wp:positionH>
            <wp:positionV relativeFrom="paragraph">
              <wp:posOffset>3175</wp:posOffset>
            </wp:positionV>
            <wp:extent cx="6661785" cy="4342130"/>
            <wp:effectExtent l="0" t="0" r="5715" b="1270"/>
            <wp:wrapSquare wrapText="bothSides"/>
            <wp:docPr id="12" name="图片 9" descr="虎峰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虎峰镇"/>
                    <pic:cNvPicPr>
                      <a:picLocks noChangeAspect="1"/>
                    </pic:cNvPicPr>
                  </pic:nvPicPr>
                  <pic:blipFill>
                    <a:blip r:embed="rId12"/>
                    <a:stretch>
                      <a:fillRect/>
                    </a:stretch>
                  </pic:blipFill>
                  <pic:spPr>
                    <a:xfrm>
                      <a:off x="0" y="0"/>
                      <a:ext cx="6661785" cy="4342130"/>
                    </a:xfrm>
                    <a:prstGeom prst="rect">
                      <a:avLst/>
                    </a:prstGeom>
                    <a:noFill/>
                    <a:ln>
                      <a:noFill/>
                    </a:ln>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adjustRightInd w:val="0"/>
        <w:jc w:val="left"/>
        <w:outlineLvl w:val="0"/>
        <w:rPr>
          <w:rFonts w:ascii="Times New Roman" w:hAnsi="Times New Roman" w:eastAsia="方正黑体_GBK"/>
          <w:kern w:val="44"/>
          <w:sz w:val="32"/>
          <w:szCs w:val="44"/>
        </w:rPr>
      </w:pPr>
      <w:bookmarkStart w:id="61" w:name="_Toc6506"/>
      <w:r>
        <w:rPr>
          <w:rFonts w:ascii="Times New Roman" w:hAnsi="Times New Roman" w:eastAsia="方正黑体_GBK"/>
          <w:kern w:val="44"/>
          <w:sz w:val="32"/>
          <w:szCs w:val="44"/>
        </w:rPr>
        <w:t xml:space="preserve">附件10 </w:t>
      </w:r>
    </w:p>
    <w:p>
      <w:pPr>
        <w:adjustRightInd w:val="0"/>
        <w:jc w:val="center"/>
        <w:outlineLvl w:val="0"/>
        <w:rPr>
          <w:rFonts w:hint="eastAsia" w:ascii="Times New Roman" w:hAnsi="Times New Roman" w:eastAsia="方正小标宋_GBK"/>
          <w:kern w:val="44"/>
          <w:sz w:val="32"/>
          <w:szCs w:val="44"/>
        </w:rPr>
      </w:pPr>
      <w:r>
        <w:drawing>
          <wp:anchor distT="0" distB="0" distL="114300" distR="114300" simplePos="0" relativeHeight="251687936" behindDoc="0" locked="0" layoutInCell="1" allowOverlap="1">
            <wp:simplePos x="0" y="0"/>
            <wp:positionH relativeFrom="column">
              <wp:posOffset>602615</wp:posOffset>
            </wp:positionH>
            <wp:positionV relativeFrom="paragraph">
              <wp:posOffset>350520</wp:posOffset>
            </wp:positionV>
            <wp:extent cx="6661785" cy="4380865"/>
            <wp:effectExtent l="0" t="0" r="5715" b="635"/>
            <wp:wrapNone/>
            <wp:docPr id="13" name="图片 10" descr="大庙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大庙镇"/>
                    <pic:cNvPicPr>
                      <a:picLocks noChangeAspect="1"/>
                    </pic:cNvPicPr>
                  </pic:nvPicPr>
                  <pic:blipFill>
                    <a:blip r:embed="rId13"/>
                    <a:stretch>
                      <a:fillRect/>
                    </a:stretch>
                  </pic:blipFill>
                  <pic:spPr>
                    <a:xfrm>
                      <a:off x="0" y="0"/>
                      <a:ext cx="6661785" cy="4380865"/>
                    </a:xfrm>
                    <a:prstGeom prst="rect">
                      <a:avLst/>
                    </a:prstGeom>
                    <a:noFill/>
                    <a:ln>
                      <a:noFill/>
                    </a:ln>
                  </pic:spPr>
                </pic:pic>
              </a:graphicData>
            </a:graphic>
          </wp:anchor>
        </w:drawing>
      </w:r>
      <w:r>
        <w:rPr>
          <w:rFonts w:ascii="Times New Roman" w:hAnsi="Times New Roman" w:eastAsia="方正小标宋_GBK"/>
          <w:kern w:val="44"/>
          <w:sz w:val="32"/>
          <w:szCs w:val="44"/>
        </w:rPr>
        <w:t>铜梁区大庙镇声环境功能区划示意图</w:t>
      </w:r>
      <w:bookmarkEnd w:id="61"/>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ind w:left="0" w:leftChars="0" w:firstLine="0" w:firstLineChars="0"/>
        <w:rPr>
          <w:rFonts w:hint="default"/>
          <w:lang w:val="en-US" w:eastAsia="zh-CN"/>
        </w:rPr>
      </w:pPr>
    </w:p>
    <w:bookmarkEnd w:id="62"/>
    <w:sectPr>
      <w:type w:val="continuous"/>
      <w:pgSz w:w="16838" w:h="11906" w:orient="landscape"/>
      <w:pgMar w:top="1587" w:right="1962" w:bottom="1474" w:left="1848"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简体">
    <w:altName w:val="宋体"/>
    <w:panose1 w:val="02010601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4788" w:leftChars="2280" w:firstLine="6400" w:firstLineChars="2000"/>
      <w:jc w:val="both"/>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198120</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5pt;margin-top:15.6pt;height:0.15pt;width:442.25pt;z-index:251660288;mso-width-relative:page;mso-height-relative:page;" filled="f" stroked="t" coordsize="21600,21600" o:gfxdata="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bbD7rUAAAACAEAAA8AAAAAAAAAAQAgAAAAIgAAAGRycy9k&#10;b3ducmV2LnhtbFBLAQIUABQAAAAIAIdO4kCuozrgzQEAAGcDAAAOAAAAAAAAAAEAIAAAACMBAABk&#10;cnMvZTJvRG9jLnhtbFBLBQYAAAAABgAGAFkBAABiBQAAAAA=&#10;">
              <v:fill on="f" focussize="0,0"/>
              <v:stroke weight="1.75pt" color="#005192 [3204]" miterlimit="8" joinstyle="miter"/>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ascii="宋体" w:hAnsi="宋体" w:eastAsia="宋体" w:cs="宋体"/>
        <w:b/>
        <w:bCs/>
        <w:color w:val="005192"/>
        <w:sz w:val="28"/>
        <w:szCs w:val="44"/>
        <w:lang w:val="en-US" w:eastAsia="zh-CN"/>
      </w:rPr>
      <w:t xml:space="preserve">     </w:t>
    </w:r>
  </w:p>
  <w:p>
    <w:pPr>
      <w:pStyle w:val="8"/>
      <w:keepNext w:val="0"/>
      <w:keepLines w:val="0"/>
      <w:pageBreakBefore w:val="0"/>
      <w:widowControl w:val="0"/>
      <w:kinsoku/>
      <w:wordWrap w:val="0"/>
      <w:overflowPunct/>
      <w:topLinePunct w:val="0"/>
      <w:autoSpaceDE/>
      <w:autoSpaceDN/>
      <w:bidi/>
      <w:adjustRightInd/>
      <w:snapToGrid w:val="0"/>
      <w:jc w:val="both"/>
      <w:textAlignment w:val="auto"/>
      <w:rPr>
        <w:rFonts w:hint="eastAsia" w:ascii="宋体" w:hAnsi="宋体" w:eastAsia="宋体" w:cs="宋体"/>
        <w:b/>
        <w:bCs/>
        <w:color w:val="005192"/>
        <w:sz w:val="28"/>
        <w:szCs w:val="44"/>
        <w:lang w:val="en-US" w:eastAsia="zh-CN"/>
      </w:rPr>
    </w:pPr>
    <w:r>
      <w:rPr>
        <w:rFonts w:hint="eastAsia" w:ascii="宋体" w:hAnsi="宋体" w:cs="宋体"/>
        <w:b/>
        <w:bCs/>
        <w:color w:val="005192"/>
        <w:sz w:val="28"/>
        <w:szCs w:val="44"/>
        <w:lang w:val="en-US" w:eastAsia="zh-CN"/>
      </w:rPr>
      <w:t>重庆市铜梁区人民政府办公室发布</w:t>
    </w:r>
  </w:p>
  <w:p>
    <w:pPr>
      <w:pStyle w:val="8"/>
      <w:wordWrap/>
      <w:ind w:left="4788" w:leftChars="2280" w:firstLine="5622" w:firstLineChars="2000"/>
      <w:jc w:val="both"/>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EeSs1AAAAAgBAAAPAAAAAAAAAAEAIAAA&#10;ACIAAABkcnMvZG93bnJldi54bWxQSwECFAAUAAAACACHTuJA4+4xGdcBAABvAwAADgAAAAAAAAAB&#10;ACAAAAAjAQAAZHJzL2Uyb0RvYy54bWxQSwUGAAAAAAYABgBZAQAAbAUAAAAA&#10;">
              <v:fill on="f" focussize="0,0"/>
              <v:stroke weight="1.75pt" color="#005192 [3204]" miterlimit="8" joinstyle="miter"/>
              <v:imagedata o:title=""/>
              <o:lock v:ext="edit" aspectratio="f"/>
            </v:line>
          </w:pict>
        </mc:Fallback>
      </mc:AlternateContent>
    </w:r>
  </w:p>
  <w:p>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铜梁区人民政府</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ZWQwZmVlY2JmOWNkNGQ0MmZlMTAzZjQyZDUxOWYifQ=="/>
  </w:docVars>
  <w:rsids>
    <w:rsidRoot w:val="00172A27"/>
    <w:rsid w:val="019E71BD"/>
    <w:rsid w:val="021A1572"/>
    <w:rsid w:val="04032DF5"/>
    <w:rsid w:val="041C42DA"/>
    <w:rsid w:val="04B679C3"/>
    <w:rsid w:val="05034EDD"/>
    <w:rsid w:val="05D72A40"/>
    <w:rsid w:val="05F07036"/>
    <w:rsid w:val="064D38E9"/>
    <w:rsid w:val="06E00104"/>
    <w:rsid w:val="07D370CD"/>
    <w:rsid w:val="080F63D8"/>
    <w:rsid w:val="09341458"/>
    <w:rsid w:val="09443D7D"/>
    <w:rsid w:val="09767B83"/>
    <w:rsid w:val="098254C2"/>
    <w:rsid w:val="0A63736F"/>
    <w:rsid w:val="0A766EDE"/>
    <w:rsid w:val="0AD64BE8"/>
    <w:rsid w:val="0B0912D7"/>
    <w:rsid w:val="0B976FCC"/>
    <w:rsid w:val="0C091D47"/>
    <w:rsid w:val="0D9709D0"/>
    <w:rsid w:val="0E025194"/>
    <w:rsid w:val="0E28208B"/>
    <w:rsid w:val="11381145"/>
    <w:rsid w:val="1257152C"/>
    <w:rsid w:val="13DF798C"/>
    <w:rsid w:val="152D2DCA"/>
    <w:rsid w:val="1533741A"/>
    <w:rsid w:val="17B6384F"/>
    <w:rsid w:val="187168EA"/>
    <w:rsid w:val="196673CA"/>
    <w:rsid w:val="19745F40"/>
    <w:rsid w:val="19C120F9"/>
    <w:rsid w:val="1AF66DC3"/>
    <w:rsid w:val="1B2F4AEE"/>
    <w:rsid w:val="1BEF0734"/>
    <w:rsid w:val="1CF734C9"/>
    <w:rsid w:val="1D440CF3"/>
    <w:rsid w:val="1DE659C1"/>
    <w:rsid w:val="1DEC284C"/>
    <w:rsid w:val="1DEE74B5"/>
    <w:rsid w:val="1E6523AC"/>
    <w:rsid w:val="21970991"/>
    <w:rsid w:val="21E9722C"/>
    <w:rsid w:val="22440422"/>
    <w:rsid w:val="22BB4BBB"/>
    <w:rsid w:val="23CC5006"/>
    <w:rsid w:val="24F15E75"/>
    <w:rsid w:val="25AD3C7D"/>
    <w:rsid w:val="25C056C0"/>
    <w:rsid w:val="27CC3C6A"/>
    <w:rsid w:val="28E87926"/>
    <w:rsid w:val="2A504770"/>
    <w:rsid w:val="2AEB3417"/>
    <w:rsid w:val="2C526646"/>
    <w:rsid w:val="2E014089"/>
    <w:rsid w:val="2ECC35A1"/>
    <w:rsid w:val="306F1715"/>
    <w:rsid w:val="31314776"/>
    <w:rsid w:val="31A15F24"/>
    <w:rsid w:val="31CA44AE"/>
    <w:rsid w:val="324A1681"/>
    <w:rsid w:val="330C5393"/>
    <w:rsid w:val="35533E5A"/>
    <w:rsid w:val="35661FB7"/>
    <w:rsid w:val="35F81499"/>
    <w:rsid w:val="360610FF"/>
    <w:rsid w:val="36303833"/>
    <w:rsid w:val="36FB1DF0"/>
    <w:rsid w:val="391660F9"/>
    <w:rsid w:val="395347B5"/>
    <w:rsid w:val="39A232A0"/>
    <w:rsid w:val="39E745AA"/>
    <w:rsid w:val="3B5A6BBB"/>
    <w:rsid w:val="3E984CED"/>
    <w:rsid w:val="3EDA13A6"/>
    <w:rsid w:val="3FE00DF1"/>
    <w:rsid w:val="417B75E9"/>
    <w:rsid w:val="42AD3F1A"/>
    <w:rsid w:val="42EF7C55"/>
    <w:rsid w:val="42F058B7"/>
    <w:rsid w:val="436109F6"/>
    <w:rsid w:val="440343AD"/>
    <w:rsid w:val="441A38D4"/>
    <w:rsid w:val="44F72757"/>
    <w:rsid w:val="4504239D"/>
    <w:rsid w:val="4554136E"/>
    <w:rsid w:val="461C0ABE"/>
    <w:rsid w:val="47FE4616"/>
    <w:rsid w:val="4BC77339"/>
    <w:rsid w:val="4BEE59A3"/>
    <w:rsid w:val="4C9236C5"/>
    <w:rsid w:val="4DAB3AB2"/>
    <w:rsid w:val="4E250A85"/>
    <w:rsid w:val="4FFD4925"/>
    <w:rsid w:val="505C172E"/>
    <w:rsid w:val="506405EA"/>
    <w:rsid w:val="50D9757B"/>
    <w:rsid w:val="52121C11"/>
    <w:rsid w:val="523C2F37"/>
    <w:rsid w:val="524C2135"/>
    <w:rsid w:val="52F46F0B"/>
    <w:rsid w:val="532B6A10"/>
    <w:rsid w:val="53D8014D"/>
    <w:rsid w:val="55E064E0"/>
    <w:rsid w:val="55F76E75"/>
    <w:rsid w:val="572A630C"/>
    <w:rsid w:val="572C6D10"/>
    <w:rsid w:val="57EE75B7"/>
    <w:rsid w:val="586C730B"/>
    <w:rsid w:val="59F027B2"/>
    <w:rsid w:val="5B015277"/>
    <w:rsid w:val="5C551B68"/>
    <w:rsid w:val="5D791EF1"/>
    <w:rsid w:val="5DC34279"/>
    <w:rsid w:val="5FCD688E"/>
    <w:rsid w:val="5FF9BDAA"/>
    <w:rsid w:val="5FFE5333"/>
    <w:rsid w:val="60820DFA"/>
    <w:rsid w:val="608816D1"/>
    <w:rsid w:val="609B0859"/>
    <w:rsid w:val="60EF4E7F"/>
    <w:rsid w:val="61A6640C"/>
    <w:rsid w:val="63C03711"/>
    <w:rsid w:val="64672DB6"/>
    <w:rsid w:val="648B0A32"/>
    <w:rsid w:val="650F50D0"/>
    <w:rsid w:val="65B576DE"/>
    <w:rsid w:val="65F65B6C"/>
    <w:rsid w:val="665233C1"/>
    <w:rsid w:val="665B6306"/>
    <w:rsid w:val="68F8387C"/>
    <w:rsid w:val="69AC0D42"/>
    <w:rsid w:val="6AA06749"/>
    <w:rsid w:val="6AD9688B"/>
    <w:rsid w:val="6B937C4E"/>
    <w:rsid w:val="6CEA2CFC"/>
    <w:rsid w:val="6D0E3F22"/>
    <w:rsid w:val="6FD761F4"/>
    <w:rsid w:val="744E4660"/>
    <w:rsid w:val="74514836"/>
    <w:rsid w:val="753355A2"/>
    <w:rsid w:val="759F1C61"/>
    <w:rsid w:val="769F2DE8"/>
    <w:rsid w:val="76FDEB7C"/>
    <w:rsid w:val="7740176E"/>
    <w:rsid w:val="77F74B8B"/>
    <w:rsid w:val="7870629F"/>
    <w:rsid w:val="7924080A"/>
    <w:rsid w:val="79C65162"/>
    <w:rsid w:val="79D70BF9"/>
    <w:rsid w:val="7C9011D9"/>
    <w:rsid w:val="7CF3074F"/>
    <w:rsid w:val="7DC651C5"/>
    <w:rsid w:val="7DF350ED"/>
    <w:rsid w:val="7EE23F9F"/>
    <w:rsid w:val="7F7574E4"/>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qFormat/>
    <w:uiPriority w:val="0"/>
    <w:pPr>
      <w:spacing w:after="120" w:afterLines="0"/>
    </w:pPr>
    <w:rPr>
      <w:rFonts w:eastAsia="方正仿宋_GBK"/>
      <w:kern w:val="2"/>
      <w:sz w:val="32"/>
      <w:lang w:val="en-US" w:eastAsia="zh-CN" w:bidi="ar-SA"/>
    </w:rPr>
  </w:style>
  <w:style w:type="paragraph" w:styleId="5">
    <w:name w:val="annotation text"/>
    <w:basedOn w:val="1"/>
    <w:qFormat/>
    <w:uiPriority w:val="0"/>
    <w:pPr>
      <w:jc w:val="left"/>
    </w:pPr>
  </w:style>
  <w:style w:type="paragraph" w:styleId="6">
    <w:name w:val="Balloon Text"/>
    <w:unhideWhenUsed/>
    <w:qFormat/>
    <w:uiPriority w:val="99"/>
    <w:pPr>
      <w:widowControl w:val="0"/>
      <w:jc w:val="both"/>
    </w:pPr>
    <w:rPr>
      <w:rFonts w:ascii="Times New Roman" w:hAnsi="Times New Roman" w:eastAsia="宋体" w:cs="Times New Roman"/>
      <w:kern w:val="2"/>
      <w:sz w:val="18"/>
      <w:szCs w:val="18"/>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1">
    <w:name w:val="Char Char Char Char"/>
    <w:basedOn w:val="1"/>
    <w:link w:val="10"/>
    <w:qFormat/>
    <w:uiPriority w:val="0"/>
    <w:pPr>
      <w:widowControl/>
      <w:spacing w:after="160" w:afterLines="0" w:line="240" w:lineRule="exact"/>
      <w:jc w:val="left"/>
    </w:pPr>
    <w:rPr>
      <w:rFonts w:eastAsia="宋体"/>
      <w:kern w:val="2"/>
      <w:sz w:val="24"/>
      <w:szCs w:val="24"/>
      <w:lang w:val="en-US" w:eastAsia="zh-CN" w:bidi="ar-SA"/>
    </w:rPr>
  </w:style>
  <w:style w:type="character" w:styleId="12">
    <w:name w:val="Strong"/>
    <w:basedOn w:val="1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Char Char Char Char Char Char Char"/>
    <w:basedOn w:val="1"/>
    <w:link w:val="10"/>
    <w:qFormat/>
    <w:uiPriority w:val="0"/>
  </w:style>
  <w:style w:type="paragraph" w:customStyle="1" w:styleId="16">
    <w:name w:val="Default"/>
    <w:next w:val="1"/>
    <w:qFormat/>
    <w:uiPriority w:val="0"/>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 w:type="paragraph" w:customStyle="1" w:styleId="17">
    <w:name w:val="p0"/>
    <w:basedOn w:val="1"/>
    <w:qFormat/>
    <w:uiPriority w:val="0"/>
    <w:pPr>
      <w:widowControl/>
    </w:pPr>
    <w:rPr>
      <w:rFonts w:ascii="Calibri" w:hAnsi="Calibri" w:eastAsia="宋体" w:cs="宋体"/>
      <w:kern w:val="0"/>
      <w:szCs w:val="32"/>
    </w:rPr>
  </w:style>
  <w:style w:type="character" w:customStyle="1" w:styleId="18">
    <w:name w:val="font51"/>
    <w:basedOn w:val="10"/>
    <w:qFormat/>
    <w:uiPriority w:val="0"/>
    <w:rPr>
      <w:rFonts w:hint="eastAsia" w:ascii="宋体" w:hAnsi="宋体" w:cs="宋体"/>
      <w:color w:val="000000"/>
      <w:sz w:val="16"/>
      <w:szCs w:val="16"/>
      <w:u w:val="none"/>
    </w:rPr>
  </w:style>
  <w:style w:type="character" w:customStyle="1" w:styleId="19">
    <w:name w:val="font61"/>
    <w:basedOn w:val="10"/>
    <w:qFormat/>
    <w:uiPriority w:val="0"/>
    <w:rPr>
      <w:rFonts w:hint="eastAsia" w:ascii="方正仿宋_GBK" w:hAnsi="方正仿宋_GBK" w:eastAsia="方正仿宋_GBK" w:cs="方正仿宋_GBK"/>
      <w:color w:val="000000"/>
      <w:sz w:val="16"/>
      <w:szCs w:val="16"/>
      <w:u w:val="none"/>
    </w:rPr>
  </w:style>
  <w:style w:type="paragraph" w:customStyle="1" w:styleId="20">
    <w:name w:val="List Paragraph"/>
    <w:basedOn w:val="1"/>
    <w:uiPriority w:val="0"/>
    <w:pPr>
      <w:ind w:firstLine="420" w:firstLineChars="200"/>
    </w:pPr>
    <w:rPr>
      <w:rFonts w:ascii="Calibri" w:hAnsi="Calibri" w:eastAsia="宋体" w:cs="黑体"/>
      <w:sz w:val="21"/>
      <w:szCs w:val="22"/>
    </w:rPr>
  </w:style>
  <w:style w:type="paragraph" w:customStyle="1" w:styleId="21">
    <w:name w:val="列出段落"/>
    <w:basedOn w:val="1"/>
    <w:qFormat/>
    <w:uiPriority w:val="0"/>
    <w:pPr>
      <w:ind w:firstLine="420" w:firstLineChars="200"/>
    </w:pPr>
    <w:rPr>
      <w:rFonts w:eastAsia="宋体"/>
      <w:sz w:val="21"/>
      <w:szCs w:val="22"/>
    </w:rPr>
  </w:style>
  <w:style w:type="paragraph" w:customStyle="1" w:styleId="22">
    <w:name w:val="图表"/>
    <w:qFormat/>
    <w:uiPriority w:val="0"/>
    <w:pPr>
      <w:spacing w:line="240" w:lineRule="atLeast"/>
      <w:jc w:val="center"/>
    </w:pPr>
    <w:rPr>
      <w:rFonts w:ascii="Times New Roman" w:hAnsi="Times New Roman" w:eastAsia="仿宋" w:cs="Times New Roman"/>
      <w:kern w:val="2"/>
      <w:sz w:val="24"/>
      <w:szCs w:val="21"/>
      <w:lang w:val="en-US" w:eastAsia="zh-CN" w:bidi="ar-SA"/>
    </w:rPr>
  </w:style>
  <w:style w:type="character" w:customStyle="1" w:styleId="23">
    <w:name w:val="font31"/>
    <w:basedOn w:val="10"/>
    <w:qFormat/>
    <w:uiPriority w:val="0"/>
    <w:rPr>
      <w:rFonts w:hint="eastAsia" w:ascii="方正黑体_GBK" w:hAnsi="方正黑体_GBK" w:eastAsia="方正黑体_GBK" w:cs="方正黑体_GBK"/>
      <w:color w:val="000000"/>
      <w:sz w:val="24"/>
      <w:szCs w:val="24"/>
      <w:u w:val="none"/>
      <w:vertAlign w:val="superscript"/>
    </w:rPr>
  </w:style>
  <w:style w:type="character" w:customStyle="1" w:styleId="24">
    <w:name w:val="font11"/>
    <w:basedOn w:val="10"/>
    <w:qFormat/>
    <w:uiPriority w:val="0"/>
    <w:rPr>
      <w:rFonts w:hint="eastAsia" w:ascii="方正仿宋_GBK" w:hAnsi="方正仿宋_GBK" w:eastAsia="方正仿宋_GBK" w:cs="方正仿宋_GBK"/>
      <w:color w:val="000000"/>
      <w:sz w:val="28"/>
      <w:szCs w:val="28"/>
      <w:u w:val="none"/>
    </w:rPr>
  </w:style>
  <w:style w:type="character" w:customStyle="1" w:styleId="25">
    <w:name w:val="font41"/>
    <w:basedOn w:val="10"/>
    <w:qFormat/>
    <w:uiPriority w:val="0"/>
    <w:rPr>
      <w:rFonts w:ascii="方正仿宋_GBK" w:hAnsi="方正仿宋_GBK" w:eastAsia="方正仿宋_GBK" w:cs="方正仿宋_GBK"/>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8415</Words>
  <Characters>9904</Characters>
  <Lines>1</Lines>
  <Paragraphs>1</Paragraphs>
  <TotalTime>27</TotalTime>
  <ScaleCrop>false</ScaleCrop>
  <LinksUpToDate>false</LinksUpToDate>
  <CharactersWithSpaces>10120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Administrator</cp:lastModifiedBy>
  <cp:lastPrinted>2022-05-12T00:46:00Z</cp:lastPrinted>
  <dcterms:modified xsi:type="dcterms:W3CDTF">2023-04-26T03:43:12Z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BB06FF69E224481EBDC57754CF217EA4</vt:lpwstr>
  </property>
</Properties>
</file>