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重庆市铜梁区人民政府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关于贯彻执行《重庆市国有土地上房屋征收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与补偿条例实施细则》的实施意见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w:t>
      </w:r>
      <w:r>
        <w:rPr>
          <w:rFonts w:hint="eastAsia" w:ascii="Times New Roman" w:hAnsi="Times New Roman" w:eastAsia="方正仿宋_GBK" w:cs="Times New Roman"/>
          <w:sz w:val="32"/>
          <w:szCs w:val="32"/>
        </w:rPr>
        <w:t>发</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19</w:t>
      </w:r>
      <w:r>
        <w:rPr>
          <w:rFonts w:hint="default" w:ascii="Times New Roman" w:hAnsi="Times New Roman" w:eastAsia="方正仿宋_GBK" w:cs="Times New Roman"/>
          <w:sz w:val="32"/>
          <w:szCs w:val="32"/>
        </w:rPr>
        <w:t>号</w:t>
      </w:r>
    </w:p>
    <w:p>
      <w:pPr>
        <w:spacing w:line="300" w:lineRule="exact"/>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我区国有土地上房屋征收与补偿（以下简称房屋征收与补偿）工作，切实保障被征收人的合法权益，根据《中华人民共和国民法典》《国有土地上房屋征收与补偿条例》《重庆市国有土地上房屋征收与补偿条例》及《重庆市人民政府关于印发重庆市国有土地上房屋征收与补偿条例实施细则的通知》（渝府发〔2022〕26号）精神，结合我区实际，制定本实施意见：</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一、区住房城乡建委为区房屋征收部门；区土地房屋征收中心为房屋征收实施单位，受区房屋征收部门委托，承担国有土地上房屋征收与补偿的具体工作。</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区住房城乡建委负责本辖区房屋征收与补偿的指导、监督和检查工作。区发展改革、财政、教育、公安、民政、人力社保、规划自然资源、城市管理、卫生健康、市场监管、税务等有关部门按照职责分工，做好房屋征收与补偿的相关工作。镇人民政府、街道办事处应当配合做好辖区内房屋征收补偿的具体工作。</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根据《重庆市人民政府关于印发重庆市国有土地上房屋征收与补偿条例实施细则的通知》（渝府发〔2022〕26号）、《重庆市住房和城乡建设委员会关于全市执行统一的国有土地上房屋征收补偿科目及单项最高限额标准制度的通知》（渝建征〔2022〕10号）有关规定，给予被征收人的房屋征收补偿科目归集为价值补偿、损失补偿、奖励补助三类，其中：价值补偿按照被征收房屋评估价值确定，损失补偿、奖励补助标准按照《重庆市铜梁区国有土地上房屋征收损失补偿和奖励补助标准》（见附件）执行。</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征收范围内未经登记建筑的合法性由区人民政府组织认定，具体由区房屋征收部门会同区规划自然资源、城市管理等相关部门和属地镇人民政府（街道办事处）进行集体会审，集体会审的认定和处理结果在房屋征收范围内公示。</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被征收房屋的性质、用途和面积应以不动产权属证书和不动产登记簿的记载为准，不动产权属证书与不动产登记簿无记载或记载不明确的由区人民政府组织认定，具体由区房屋征收部门会同区规划自然资源等相关部门和属地镇人民政府（街道办事处）进行集体会审，集体会审的认定结果在房屋征收范围内公示。</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本实施意见自印发之日起施行。原《重庆市铜梁区人民政府办公室关于印发铜梁区国有土地上房屋征收与补偿办法（暂行）的通知》（铜府办发〔2015〕17号）同时废止。本实施意见施行期间，市人民政府、市住房城乡建设主管部门另有规定的，从其规定。</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bookmarkStart w:id="0" w:name="_GoBack"/>
      <w:bookmarkEnd w:id="0"/>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附件：重庆市铜梁区国有土地上房屋征收损失补偿和奖励</w:t>
      </w:r>
    </w:p>
    <w:p>
      <w:pPr>
        <w:keepNext w:val="0"/>
        <w:keepLines w:val="0"/>
        <w:pageBreakBefore w:val="0"/>
        <w:kinsoku/>
        <w:wordWrap/>
        <w:overflowPunct/>
        <w:topLinePunct w:val="0"/>
        <w:bidi w:val="0"/>
        <w:spacing w:line="600" w:lineRule="exact"/>
        <w:ind w:firstLine="1596" w:firstLineChars="49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补助标准</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pacing w:line="600" w:lineRule="exact"/>
        <w:ind w:firstLine="4758" w:firstLineChars="1487"/>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w:t>
      </w:r>
    </w:p>
    <w:p>
      <w:pPr>
        <w:keepNext w:val="0"/>
        <w:keepLines w:val="0"/>
        <w:pageBreakBefore w:val="0"/>
        <w:kinsoku/>
        <w:wordWrap/>
        <w:overflowPunct/>
        <w:topLinePunct w:val="0"/>
        <w:bidi w:val="0"/>
        <w:spacing w:line="600" w:lineRule="exact"/>
        <w:ind w:firstLine="5081" w:firstLineChars="1588"/>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2022年12月6日 </w:t>
      </w:r>
    </w:p>
    <w:p>
      <w:pPr>
        <w:keepNext w:val="0"/>
        <w:keepLines w:val="0"/>
        <w:pageBreakBefore w:val="0"/>
        <w:kinsoku/>
        <w:wordWrap/>
        <w:overflowPunct/>
        <w:topLinePunct w:val="0"/>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pStyle w:val="2"/>
        <w:keepNext w:val="0"/>
        <w:keepLines w:val="0"/>
        <w:pageBreakBefore w:val="0"/>
        <w:kinsoku/>
        <w:wordWrap/>
        <w:overflowPunct/>
        <w:topLinePunct w:val="0"/>
        <w:bidi w:val="0"/>
        <w:spacing w:line="600" w:lineRule="exact"/>
        <w:rPr>
          <w:rFonts w:hint="default" w:ascii="Times New Roman" w:hAnsi="Times New Roman" w:eastAsia="方正仿宋_GBK" w:cs="Times New Roman"/>
          <w:kern w:val="2"/>
          <w:sz w:val="32"/>
          <w:szCs w:val="32"/>
        </w:rPr>
      </w:pPr>
    </w:p>
    <w:p>
      <w:pPr>
        <w:keepNext w:val="0"/>
        <w:keepLines w:val="0"/>
        <w:pageBreakBefore w:val="0"/>
        <w:kinsoku/>
        <w:wordWrap/>
        <w:overflowPunct/>
        <w:topLinePunct w:val="0"/>
        <w:bidi w:val="0"/>
        <w:spacing w:line="600" w:lineRule="exact"/>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bidi w:val="0"/>
        <w:spacing w:line="600" w:lineRule="exact"/>
        <w:rPr>
          <w:rFonts w:hint="default" w:ascii="Times New Roman" w:hAnsi="Times New Roman" w:eastAsia="方正仿宋_GBK" w:cs="Times New Roman"/>
          <w:kern w:val="2"/>
          <w:sz w:val="32"/>
          <w:szCs w:val="32"/>
        </w:rPr>
      </w:pPr>
    </w:p>
    <w:p>
      <w:pPr>
        <w:keepNext w:val="0"/>
        <w:keepLines w:val="0"/>
        <w:pageBreakBefore w:val="0"/>
        <w:kinsoku/>
        <w:wordWrap/>
        <w:overflowPunct/>
        <w:topLinePunct w:val="0"/>
        <w:bidi w:val="0"/>
        <w:spacing w:line="600" w:lineRule="exact"/>
        <w:rPr>
          <w:rFonts w:hint="default" w:ascii="Times New Roman" w:hAnsi="Times New Roman" w:eastAsia="方正仿宋_GBK" w:cs="Times New Roman"/>
          <w:sz w:val="32"/>
          <w:szCs w:val="32"/>
        </w:rPr>
      </w:pPr>
    </w:p>
    <w:p>
      <w:pPr>
        <w:pStyle w:val="2"/>
        <w:keepNext w:val="0"/>
        <w:keepLines w:val="0"/>
        <w:pageBreakBefore w:val="0"/>
        <w:kinsoku/>
        <w:wordWrap/>
        <w:overflowPunct/>
        <w:topLinePunct w:val="0"/>
        <w:bidi w:val="0"/>
        <w:spacing w:line="600" w:lineRule="exact"/>
        <w:rPr>
          <w:rFonts w:hint="default" w:ascii="Times New Roman" w:hAnsi="Times New Roman" w:eastAsia="方正仿宋_GBK" w:cs="Times New Roman"/>
          <w:kern w:val="2"/>
          <w:sz w:val="32"/>
          <w:szCs w:val="32"/>
        </w:rPr>
      </w:pPr>
    </w:p>
    <w:p>
      <w:pPr>
        <w:keepNext w:val="0"/>
        <w:keepLines w:val="0"/>
        <w:pageBreakBefore w:val="0"/>
        <w:kinsoku/>
        <w:wordWrap/>
        <w:overflowPunct/>
        <w:topLinePunct w:val="0"/>
        <w:bidi w:val="0"/>
        <w:spacing w:line="600" w:lineRule="exact"/>
        <w:ind w:firstLine="640" w:firstLineChars="200"/>
        <w:outlineLvl w:val="1"/>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kinsoku/>
        <w:wordWrap/>
        <w:overflowPunct/>
        <w:topLinePunct w:val="0"/>
        <w:bidi w:val="0"/>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重庆市铜梁区国有土地上房屋征收</w:t>
      </w:r>
    </w:p>
    <w:p>
      <w:pPr>
        <w:keepNext w:val="0"/>
        <w:keepLines w:val="0"/>
        <w:pageBreakBefore w:val="0"/>
        <w:kinsoku/>
        <w:wordWrap/>
        <w:overflowPunct/>
        <w:topLinePunct w:val="0"/>
        <w:bidi w:val="0"/>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损失补偿和奖励补助标准</w:t>
      </w:r>
    </w:p>
    <w:tbl>
      <w:tblPr>
        <w:tblStyle w:val="11"/>
        <w:tblW w:w="9672" w:type="dxa"/>
        <w:jc w:val="center"/>
        <w:tblInd w:w="0" w:type="dxa"/>
        <w:tblLayout w:type="fixed"/>
        <w:tblCellMar>
          <w:top w:w="15" w:type="dxa"/>
          <w:left w:w="15" w:type="dxa"/>
          <w:bottom w:w="15" w:type="dxa"/>
          <w:right w:w="15" w:type="dxa"/>
        </w:tblCellMar>
      </w:tblPr>
      <w:tblGrid>
        <w:gridCol w:w="660"/>
        <w:gridCol w:w="420"/>
        <w:gridCol w:w="420"/>
        <w:gridCol w:w="420"/>
        <w:gridCol w:w="645"/>
        <w:gridCol w:w="780"/>
        <w:gridCol w:w="1110"/>
        <w:gridCol w:w="2344"/>
        <w:gridCol w:w="2873"/>
      </w:tblGrid>
      <w:tr>
        <w:tblPrEx>
          <w:tblLayout w:type="fixed"/>
          <w:tblCellMar>
            <w:top w:w="15" w:type="dxa"/>
            <w:left w:w="15" w:type="dxa"/>
            <w:bottom w:w="15" w:type="dxa"/>
            <w:right w:w="15" w:type="dxa"/>
          </w:tblCellMar>
        </w:tblPrEx>
        <w:trPr>
          <w:trHeight w:val="495" w:hRule="atLeast"/>
          <w:jc w:val="center"/>
        </w:trPr>
        <w:tc>
          <w:tcPr>
            <w:tcW w:w="66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补偿科目</w:t>
            </w:r>
          </w:p>
        </w:tc>
        <w:tc>
          <w:tcPr>
            <w:tcW w:w="1905"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rPr>
              <w:t>单项明细</w:t>
            </w:r>
          </w:p>
        </w:tc>
        <w:tc>
          <w:tcPr>
            <w:tcW w:w="4234"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rPr>
              <w:t>标准</w:t>
            </w:r>
          </w:p>
        </w:tc>
        <w:tc>
          <w:tcPr>
            <w:tcW w:w="2873"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kern w:val="0"/>
                <w:sz w:val="24"/>
                <w:szCs w:val="24"/>
              </w:rPr>
              <w:t>说明及要求</w:t>
            </w:r>
          </w:p>
        </w:tc>
      </w:tr>
      <w:tr>
        <w:tblPrEx>
          <w:tblLayout w:type="fixed"/>
          <w:tblCellMar>
            <w:top w:w="15" w:type="dxa"/>
            <w:left w:w="15" w:type="dxa"/>
            <w:bottom w:w="15" w:type="dxa"/>
            <w:right w:w="15" w:type="dxa"/>
          </w:tblCellMar>
        </w:tblPrEx>
        <w:trPr>
          <w:trHeight w:val="602" w:hRule="atLeast"/>
          <w:jc w:val="center"/>
        </w:trPr>
        <w:tc>
          <w:tcPr>
            <w:tcW w:w="660"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损失补偿</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1</w:t>
            </w:r>
          </w:p>
        </w:tc>
        <w:tc>
          <w:tcPr>
            <w:tcW w:w="14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非住宅的停产停业</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按照《重庆市国有土地上房屋征收与补偿条例实施细则》第四十六条规定执行。</w:t>
            </w:r>
          </w:p>
        </w:tc>
        <w:tc>
          <w:tcPr>
            <w:tcW w:w="287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801"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2</w:t>
            </w:r>
          </w:p>
        </w:tc>
        <w:tc>
          <w:tcPr>
            <w:tcW w:w="1485" w:type="dxa"/>
            <w:gridSpan w:val="3"/>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室内装饰</w:t>
            </w:r>
          </w:p>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装修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简易</w:t>
            </w:r>
          </w:p>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装修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300元/平方米</w:t>
            </w: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房屋地面找平，墙壁完好平整，能用于生产、生活的房屋。</w:t>
            </w:r>
          </w:p>
        </w:tc>
        <w:tc>
          <w:tcPr>
            <w:tcW w:w="2873"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1.补偿金额按被征收房屋面积及相应的标准进行计算； </w:t>
            </w:r>
          </w:p>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2.被征收人对该项补偿标准有异议的，房屋征收当事人可以协商确定补偿金额；协商不成的，可以委托按《重庆市国有土地上房屋征收与补偿条例实施细则》规定确定的房地产价格评估机构通过评估确定。 </w:t>
            </w:r>
          </w:p>
        </w:tc>
      </w:tr>
      <w:tr>
        <w:tblPrEx>
          <w:tblLayout w:type="fixed"/>
          <w:tblCellMar>
            <w:top w:w="15" w:type="dxa"/>
            <w:left w:w="15" w:type="dxa"/>
            <w:bottom w:w="15" w:type="dxa"/>
            <w:right w:w="15" w:type="dxa"/>
          </w:tblCellMar>
        </w:tblPrEx>
        <w:trPr>
          <w:trHeight w:val="748"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1485" w:type="dxa"/>
            <w:gridSpan w:val="3"/>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中装修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400元/平方米</w:t>
            </w: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房屋地面贴地砖，墙面、顶棚找平且用普通涂料刷白等。</w:t>
            </w:r>
          </w:p>
        </w:tc>
        <w:tc>
          <w:tcPr>
            <w:tcW w:w="287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1006"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1485" w:type="dxa"/>
            <w:gridSpan w:val="3"/>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精装修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500元/平方米</w:t>
            </w: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房屋地面、墙面采用高档材质地砖和涂料，安装暗线，屋顶进行了吊顶和造型等。</w:t>
            </w:r>
          </w:p>
        </w:tc>
        <w:tc>
          <w:tcPr>
            <w:tcW w:w="287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585"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3</w:t>
            </w: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附属设施</w:t>
            </w: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民用</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水表</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600元/户</w:t>
            </w:r>
          </w:p>
        </w:tc>
        <w:tc>
          <w:tcPr>
            <w:tcW w:w="2873"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1.如有行业现行收费标准的，从其标准规定，否则执行本规定。</w:t>
            </w:r>
          </w:p>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2.选择货币补偿的，按本规定给予补偿；选择房屋产权调换的，不给予补偿。</w:t>
            </w:r>
          </w:p>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3.本条所指的“户”以缴费户为单位。</w:t>
            </w:r>
          </w:p>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4.其他附属设施损失补偿按房屋征收公告之日相关部门现行初装收费标准给予补偿。</w:t>
            </w:r>
          </w:p>
        </w:tc>
      </w:tr>
      <w:tr>
        <w:tblPrEx>
          <w:tblLayout w:type="fixed"/>
          <w:tblCellMar>
            <w:top w:w="15" w:type="dxa"/>
            <w:left w:w="15" w:type="dxa"/>
            <w:bottom w:w="15" w:type="dxa"/>
            <w:right w:w="15" w:type="dxa"/>
          </w:tblCellMar>
        </w:tblPrEx>
        <w:trPr>
          <w:trHeight w:val="522"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电表</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600元/户</w:t>
            </w:r>
          </w:p>
        </w:tc>
        <w:tc>
          <w:tcPr>
            <w:tcW w:w="287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526"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天然气</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2900元/户</w:t>
            </w:r>
          </w:p>
        </w:tc>
        <w:tc>
          <w:tcPr>
            <w:tcW w:w="287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509"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闭路</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450元/户</w:t>
            </w:r>
          </w:p>
        </w:tc>
        <w:tc>
          <w:tcPr>
            <w:tcW w:w="287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450"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宽带</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300元/户</w:t>
            </w:r>
          </w:p>
        </w:tc>
        <w:tc>
          <w:tcPr>
            <w:tcW w:w="287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813" w:hRule="atLeast"/>
          <w:jc w:val="center"/>
        </w:trPr>
        <w:tc>
          <w:tcPr>
            <w:tcW w:w="66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非民用</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动力电（变压器、调压箱）、天然气等其他专用设备设施按照原初装费用予以补偿。</w:t>
            </w:r>
          </w:p>
        </w:tc>
        <w:tc>
          <w:tcPr>
            <w:tcW w:w="287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919" w:hRule="atLeast"/>
          <w:jc w:val="center"/>
        </w:trPr>
        <w:tc>
          <w:tcPr>
            <w:tcW w:w="660"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4</w:t>
            </w:r>
          </w:p>
        </w:tc>
        <w:tc>
          <w:tcPr>
            <w:tcW w:w="1485"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非住宅的设施设备</w:t>
            </w:r>
          </w:p>
        </w:tc>
        <w:tc>
          <w:tcPr>
            <w:tcW w:w="4234"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按照《重庆市国有土地上房屋征收与补偿条例实施细则》第四十七条规定执行。</w:t>
            </w:r>
          </w:p>
        </w:tc>
        <w:tc>
          <w:tcPr>
            <w:tcW w:w="2873"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1348" w:hRule="atLeast"/>
          <w:jc w:val="center"/>
        </w:trPr>
        <w:tc>
          <w:tcPr>
            <w:tcW w:w="660"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奖励补助</w:t>
            </w:r>
          </w:p>
        </w:tc>
        <w:tc>
          <w:tcPr>
            <w:tcW w:w="42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5</w:t>
            </w:r>
          </w:p>
        </w:tc>
        <w:tc>
          <w:tcPr>
            <w:tcW w:w="840"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补偿方式选择的引导奖励</w:t>
            </w:r>
          </w:p>
        </w:tc>
        <w:tc>
          <w:tcPr>
            <w:tcW w:w="64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住宅</w:t>
            </w:r>
          </w:p>
        </w:tc>
        <w:tc>
          <w:tcPr>
            <w:tcW w:w="4234" w:type="dxa"/>
            <w:gridSpan w:val="3"/>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选择货币补偿的，每户按被征收房屋评估价值的12%给予奖励，另再给予5平方米的被征收房屋评估价值奖励；选择产权调换的，每户按被征收房屋评估价值的5%进行奖励。</w:t>
            </w:r>
          </w:p>
        </w:tc>
        <w:tc>
          <w:tcPr>
            <w:tcW w:w="2873"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同一产权房屋中既有住宅又有非住宅的，分别根据评估价值计算奖励。 </w:t>
            </w:r>
          </w:p>
        </w:tc>
      </w:tr>
      <w:tr>
        <w:tblPrEx>
          <w:tblLayout w:type="fixed"/>
          <w:tblCellMar>
            <w:top w:w="15" w:type="dxa"/>
            <w:left w:w="15" w:type="dxa"/>
            <w:bottom w:w="15" w:type="dxa"/>
            <w:right w:w="15" w:type="dxa"/>
          </w:tblCellMar>
        </w:tblPrEx>
        <w:trPr>
          <w:trHeight w:val="827" w:hRule="atLeast"/>
          <w:jc w:val="center"/>
        </w:trPr>
        <w:tc>
          <w:tcPr>
            <w:tcW w:w="660"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840" w:type="dxa"/>
            <w:gridSpan w:val="2"/>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64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非住宅</w:t>
            </w:r>
          </w:p>
        </w:tc>
        <w:tc>
          <w:tcPr>
            <w:tcW w:w="4234"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每户按被征收房屋评估价值的5%进行奖励。</w:t>
            </w:r>
          </w:p>
        </w:tc>
        <w:tc>
          <w:tcPr>
            <w:tcW w:w="2873" w:type="dxa"/>
            <w:vMerge w:val="continue"/>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532" w:hRule="atLeast"/>
          <w:jc w:val="center"/>
        </w:trPr>
        <w:tc>
          <w:tcPr>
            <w:tcW w:w="66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6</w:t>
            </w:r>
          </w:p>
        </w:tc>
        <w:tc>
          <w:tcPr>
            <w:tcW w:w="8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单户提前签约奖励</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住宅</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500元/户</w:t>
            </w:r>
            <w:r>
              <w:rPr>
                <w:rStyle w:val="13"/>
                <w:rFonts w:hint="default" w:ascii="Times New Roman" w:hAnsi="Times New Roman" w:eastAsia="方正仿宋_GBK" w:cs="Times New Roman"/>
                <w:color w:val="auto"/>
                <w:sz w:val="24"/>
                <w:szCs w:val="24"/>
              </w:rPr>
              <w:t>∙</w:t>
            </w:r>
            <w:r>
              <w:rPr>
                <w:rStyle w:val="14"/>
                <w:rFonts w:hint="default" w:ascii="Times New Roman" w:hAnsi="Times New Roman" w:eastAsia="方正仿宋_GBK" w:cs="Times New Roman"/>
                <w:color w:val="auto"/>
                <w:sz w:val="24"/>
                <w:szCs w:val="24"/>
              </w:rPr>
              <w:t>日</w:t>
            </w:r>
          </w:p>
        </w:tc>
        <w:tc>
          <w:tcPr>
            <w:tcW w:w="2873"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提前天数自签约之日起计算，截至签约期限届满之日。同一产权房屋中既有住宅又有非住宅的，分别计算奖励。</w:t>
            </w:r>
          </w:p>
        </w:tc>
      </w:tr>
      <w:tr>
        <w:tblPrEx>
          <w:tblLayout w:type="fixed"/>
          <w:tblCellMar>
            <w:top w:w="15" w:type="dxa"/>
            <w:left w:w="15" w:type="dxa"/>
            <w:bottom w:w="15" w:type="dxa"/>
            <w:right w:w="15" w:type="dxa"/>
          </w:tblCellMar>
        </w:tblPrEx>
        <w:trPr>
          <w:trHeight w:val="685" w:hRule="atLeast"/>
          <w:jc w:val="center"/>
        </w:trPr>
        <w:tc>
          <w:tcPr>
            <w:tcW w:w="66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非住宅</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AutoHyphens/>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商业、办公、业务用房：20元／平方米·日；</w:t>
            </w:r>
          </w:p>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2.生产用房：10元／平方米·日。</w:t>
            </w:r>
          </w:p>
        </w:tc>
        <w:tc>
          <w:tcPr>
            <w:tcW w:w="287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1096" w:hRule="atLeast"/>
          <w:jc w:val="center"/>
        </w:trPr>
        <w:tc>
          <w:tcPr>
            <w:tcW w:w="66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7</w:t>
            </w:r>
          </w:p>
        </w:tc>
        <w:tc>
          <w:tcPr>
            <w:tcW w:w="14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单户按期搬迁奖励</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30000元/户</w:t>
            </w:r>
          </w:p>
        </w:tc>
        <w:tc>
          <w:tcPr>
            <w:tcW w:w="287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给予在规定的搬迁期限内完成搬迁的被征收人的单户奖励。</w:t>
            </w:r>
          </w:p>
        </w:tc>
      </w:tr>
      <w:tr>
        <w:tblPrEx>
          <w:tblLayout w:type="fixed"/>
          <w:tblCellMar>
            <w:top w:w="15" w:type="dxa"/>
            <w:left w:w="15" w:type="dxa"/>
            <w:bottom w:w="15" w:type="dxa"/>
            <w:right w:w="15" w:type="dxa"/>
          </w:tblCellMar>
        </w:tblPrEx>
        <w:trPr>
          <w:trHeight w:val="846" w:hRule="atLeast"/>
          <w:jc w:val="center"/>
        </w:trPr>
        <w:tc>
          <w:tcPr>
            <w:tcW w:w="66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8</w:t>
            </w:r>
          </w:p>
        </w:tc>
        <w:tc>
          <w:tcPr>
            <w:tcW w:w="8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搬迁补助</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住宅</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2000元/户·次</w:t>
            </w:r>
          </w:p>
        </w:tc>
        <w:tc>
          <w:tcPr>
            <w:tcW w:w="2873"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被征收人选择货币补偿方式的，仅享受1次搬迁补助；选择产权调换补偿方式，且须按期搬离被征收房屋的，可以享受2次搬迁补助。同一产权房屋中既有住宅又有非住宅的，分别计算搬迁补助。</w:t>
            </w:r>
          </w:p>
        </w:tc>
      </w:tr>
      <w:tr>
        <w:tblPrEx>
          <w:tblLayout w:type="fixed"/>
          <w:tblCellMar>
            <w:top w:w="15" w:type="dxa"/>
            <w:left w:w="15" w:type="dxa"/>
            <w:bottom w:w="15" w:type="dxa"/>
            <w:right w:w="15" w:type="dxa"/>
          </w:tblCellMar>
        </w:tblPrEx>
        <w:trPr>
          <w:trHeight w:val="942" w:hRule="atLeast"/>
          <w:jc w:val="center"/>
        </w:trPr>
        <w:tc>
          <w:tcPr>
            <w:tcW w:w="66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非住宅</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1.商业、办公、业务用房：每户30元/平方米∙次；</w:t>
            </w:r>
          </w:p>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2.生产用房：每户 40元/平方米∙次。</w:t>
            </w:r>
          </w:p>
        </w:tc>
        <w:tc>
          <w:tcPr>
            <w:tcW w:w="287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rPr>
                <w:rFonts w:hint="default" w:ascii="Times New Roman" w:hAnsi="Times New Roman" w:eastAsia="方正仿宋_GBK" w:cs="Times New Roman"/>
                <w:sz w:val="24"/>
                <w:szCs w:val="24"/>
              </w:rPr>
            </w:pPr>
          </w:p>
        </w:tc>
      </w:tr>
      <w:tr>
        <w:tblPrEx>
          <w:tblLayout w:type="fixed"/>
          <w:tblCellMar>
            <w:top w:w="15" w:type="dxa"/>
            <w:left w:w="15" w:type="dxa"/>
            <w:bottom w:w="15" w:type="dxa"/>
            <w:right w:w="15" w:type="dxa"/>
          </w:tblCellMar>
        </w:tblPrEx>
        <w:trPr>
          <w:trHeight w:val="2062" w:hRule="atLeast"/>
          <w:jc w:val="center"/>
        </w:trPr>
        <w:tc>
          <w:tcPr>
            <w:tcW w:w="660"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rPr>
                <w:rFonts w:hint="default" w:ascii="Times New Roman" w:hAnsi="Times New Roman" w:eastAsia="方正仿宋_GBK" w:cs="Times New Roman"/>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9</w:t>
            </w: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临时安置补助</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住宅</w:t>
            </w:r>
          </w:p>
        </w:tc>
        <w:tc>
          <w:tcPr>
            <w:tcW w:w="42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每户20元/平方米·月</w:t>
            </w:r>
          </w:p>
        </w:tc>
        <w:tc>
          <w:tcPr>
            <w:tcW w:w="287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选择产权调换补偿方式，且征收人未提供临时周转房屋的，被征收人按照被征收房屋面积，享受每户每月20元/平方米的临时安置补助。 </w:t>
            </w:r>
          </w:p>
        </w:tc>
      </w:tr>
      <w:tr>
        <w:tblPrEx>
          <w:tblLayout w:type="fixed"/>
          <w:tblCellMar>
            <w:top w:w="15" w:type="dxa"/>
            <w:left w:w="15" w:type="dxa"/>
            <w:bottom w:w="15" w:type="dxa"/>
            <w:right w:w="15" w:type="dxa"/>
          </w:tblCellMar>
        </w:tblPrEx>
        <w:trPr>
          <w:trHeight w:val="990" w:hRule="atLeast"/>
          <w:jc w:val="center"/>
        </w:trPr>
        <w:tc>
          <w:tcPr>
            <w:tcW w:w="9672" w:type="dxa"/>
            <w:gridSpan w:val="9"/>
            <w:tcBorders>
              <w:top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备注：1.除有特别说明外，本表格中的户系指被征收房屋的产权户；</w:t>
            </w:r>
          </w:p>
          <w:p>
            <w:pPr>
              <w:keepNext w:val="0"/>
              <w:keepLines w:val="0"/>
              <w:pageBreakBefore w:val="0"/>
              <w:widowControl/>
              <w:kinsoku/>
              <w:wordWrap/>
              <w:overflowPunct/>
              <w:topLinePunct w:val="0"/>
              <w:bidi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      2.本表格中的被征收房屋面积系由房屋产权证载建筑面积和按规定享受最低 </w:t>
            </w:r>
          </w:p>
          <w:p>
            <w:pPr>
              <w:keepNext w:val="0"/>
              <w:keepLines w:val="0"/>
              <w:pageBreakBefore w:val="0"/>
              <w:widowControl/>
              <w:kinsoku/>
              <w:wordWrap/>
              <w:overflowPunct/>
              <w:topLinePunct w:val="0"/>
              <w:bidi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       住房保障政策补足部分面积组成；</w:t>
            </w:r>
          </w:p>
          <w:p>
            <w:pPr>
              <w:keepNext w:val="0"/>
              <w:keepLines w:val="0"/>
              <w:pageBreakBefore w:val="0"/>
              <w:widowControl/>
              <w:kinsoku/>
              <w:wordWrap/>
              <w:overflowPunct/>
              <w:topLinePunct w:val="0"/>
              <w:bidi w:val="0"/>
              <w:spacing w:line="600" w:lineRule="exact"/>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      3.本表格中的被征收房屋评估价值系指被征收房屋产权证载建筑面积和按规</w:t>
            </w:r>
          </w:p>
          <w:p>
            <w:pPr>
              <w:keepNext w:val="0"/>
              <w:keepLines w:val="0"/>
              <w:pageBreakBefore w:val="0"/>
              <w:widowControl/>
              <w:kinsoku/>
              <w:wordWrap/>
              <w:overflowPunct/>
              <w:topLinePunct w:val="0"/>
              <w:bidi w:val="0"/>
              <w:spacing w:line="60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定享受最低住房保障政策补足部分面积所对应的评估价值。 </w:t>
            </w:r>
          </w:p>
        </w:tc>
      </w:tr>
    </w:tbl>
    <w:p>
      <w:pPr>
        <w:keepNext w:val="0"/>
        <w:keepLines w:val="0"/>
        <w:pageBreakBefore w:val="0"/>
        <w:kinsoku/>
        <w:wordWrap/>
        <w:overflowPunct/>
        <w:topLinePunct w:val="0"/>
        <w:bidi w:val="0"/>
        <w:spacing w:line="600" w:lineRule="exact"/>
        <w:ind w:firstLine="640" w:firstLineChars="200"/>
        <w:outlineLvl w:val="1"/>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95036"/>
    <w:multiLevelType w:val="singleLevel"/>
    <w:tmpl w:val="62A950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B976FCC"/>
    <w:rsid w:val="0E025194"/>
    <w:rsid w:val="13DF798C"/>
    <w:rsid w:val="152D2DCA"/>
    <w:rsid w:val="1533741A"/>
    <w:rsid w:val="187168EA"/>
    <w:rsid w:val="196673CA"/>
    <w:rsid w:val="19745F40"/>
    <w:rsid w:val="19C120F9"/>
    <w:rsid w:val="1AF66DC3"/>
    <w:rsid w:val="1B2F4AEE"/>
    <w:rsid w:val="1CF734C9"/>
    <w:rsid w:val="1DE659C1"/>
    <w:rsid w:val="1DEC284C"/>
    <w:rsid w:val="1DEE74B5"/>
    <w:rsid w:val="1E6523AC"/>
    <w:rsid w:val="22440422"/>
    <w:rsid w:val="22BB4BBB"/>
    <w:rsid w:val="23CC5006"/>
    <w:rsid w:val="24F15E75"/>
    <w:rsid w:val="25AD3C7D"/>
    <w:rsid w:val="2AEB3417"/>
    <w:rsid w:val="2E014089"/>
    <w:rsid w:val="2ECC35A1"/>
    <w:rsid w:val="306F1715"/>
    <w:rsid w:val="31A15F24"/>
    <w:rsid w:val="31CA44AE"/>
    <w:rsid w:val="324A1681"/>
    <w:rsid w:val="330C5393"/>
    <w:rsid w:val="35F81499"/>
    <w:rsid w:val="360610FF"/>
    <w:rsid w:val="36FB1DF0"/>
    <w:rsid w:val="395347B5"/>
    <w:rsid w:val="39A232A0"/>
    <w:rsid w:val="39E745AA"/>
    <w:rsid w:val="3B5A6BBB"/>
    <w:rsid w:val="3E984CED"/>
    <w:rsid w:val="3EDA13A6"/>
    <w:rsid w:val="3FE00DF1"/>
    <w:rsid w:val="417B75E9"/>
    <w:rsid w:val="42AD3F1A"/>
    <w:rsid w:val="42F058B7"/>
    <w:rsid w:val="436109F6"/>
    <w:rsid w:val="441A38D4"/>
    <w:rsid w:val="44F72757"/>
    <w:rsid w:val="4504239D"/>
    <w:rsid w:val="4554136E"/>
    <w:rsid w:val="461C0ABE"/>
    <w:rsid w:val="47FE4616"/>
    <w:rsid w:val="4BC77339"/>
    <w:rsid w:val="4BEE59A3"/>
    <w:rsid w:val="4C9236C5"/>
    <w:rsid w:val="4E250A85"/>
    <w:rsid w:val="4FFD4925"/>
    <w:rsid w:val="505C172E"/>
    <w:rsid w:val="506405EA"/>
    <w:rsid w:val="50D9757B"/>
    <w:rsid w:val="52F46F0B"/>
    <w:rsid w:val="532B6A10"/>
    <w:rsid w:val="53D8014D"/>
    <w:rsid w:val="55E064E0"/>
    <w:rsid w:val="55F76E75"/>
    <w:rsid w:val="572C6D10"/>
    <w:rsid w:val="5C551B68"/>
    <w:rsid w:val="5D791EF1"/>
    <w:rsid w:val="5DC34279"/>
    <w:rsid w:val="5FCD688E"/>
    <w:rsid w:val="5FF9BDAA"/>
    <w:rsid w:val="5FFE5333"/>
    <w:rsid w:val="608816D1"/>
    <w:rsid w:val="60EF4E7F"/>
    <w:rsid w:val="648B0A32"/>
    <w:rsid w:val="650F50D0"/>
    <w:rsid w:val="65B576DE"/>
    <w:rsid w:val="665233C1"/>
    <w:rsid w:val="665B6306"/>
    <w:rsid w:val="69AC0D42"/>
    <w:rsid w:val="6AA06749"/>
    <w:rsid w:val="6AD9688B"/>
    <w:rsid w:val="6D0E3F22"/>
    <w:rsid w:val="744E4660"/>
    <w:rsid w:val="74514836"/>
    <w:rsid w:val="753355A2"/>
    <w:rsid w:val="759F1C61"/>
    <w:rsid w:val="769F2DE8"/>
    <w:rsid w:val="76FDEB7C"/>
    <w:rsid w:val="77F74B8B"/>
    <w:rsid w:val="7924080A"/>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link w:val="9"/>
    <w:semiHidden/>
    <w:qFormat/>
    <w:uiPriority w:val="0"/>
    <w:rPr>
      <w:rFonts w:eastAsia="宋体"/>
      <w:kern w:val="2"/>
      <w:sz w:val="24"/>
      <w:szCs w:val="24"/>
      <w:lang w:val="en-US" w:eastAsia="zh-CN" w:bidi="ar-SA"/>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Char Char Char Char"/>
    <w:basedOn w:val="1"/>
    <w:link w:val="8"/>
    <w:uiPriority w:val="0"/>
    <w:pPr>
      <w:widowControl/>
      <w:spacing w:after="160" w:afterLines="0" w:line="240" w:lineRule="exact"/>
      <w:jc w:val="left"/>
    </w:pPr>
    <w:rPr>
      <w:rFonts w:eastAsia="宋体"/>
      <w:kern w:val="2"/>
      <w:sz w:val="24"/>
      <w:szCs w:val="24"/>
      <w:lang w:val="en-US" w:eastAsia="zh-CN" w:bidi="ar-SA"/>
    </w:rPr>
  </w:style>
  <w:style w:type="character" w:styleId="10">
    <w:name w:val="Strong"/>
    <w:basedOn w:val="8"/>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font51"/>
    <w:basedOn w:val="8"/>
    <w:qFormat/>
    <w:uiPriority w:val="0"/>
    <w:rPr>
      <w:rFonts w:hint="eastAsia" w:ascii="宋体" w:hAnsi="宋体" w:cs="宋体"/>
      <w:color w:val="000000"/>
      <w:sz w:val="16"/>
      <w:szCs w:val="16"/>
      <w:u w:val="none"/>
    </w:rPr>
  </w:style>
  <w:style w:type="character" w:customStyle="1" w:styleId="14">
    <w:name w:val="font61"/>
    <w:basedOn w:val="8"/>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16</TotalTime>
  <ScaleCrop>false</ScaleCrop>
  <LinksUpToDate>false</LinksUpToDate>
  <CharactersWithSpaces>3339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2022-12-12T02:14:15Z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