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eastAsia="方正小标宋_GBK"/>
          <w:sz w:val="44"/>
          <w:szCs w:val="44"/>
        </w:rPr>
        <w:t>重庆市铜梁区人民</w:t>
      </w:r>
      <w:bookmarkStart w:id="0" w:name="_GoBack"/>
      <w:bookmarkEnd w:id="0"/>
      <w:r>
        <w:rPr>
          <w:rFonts w:eastAsia="方正小标宋_GBK"/>
          <w:sz w:val="44"/>
          <w:szCs w:val="44"/>
        </w:rPr>
        <w:t>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sz w:val="44"/>
          <w:szCs w:val="44"/>
        </w:rPr>
      </w:pPr>
      <w:r>
        <w:rPr>
          <w:rFonts w:eastAsia="方正小标宋_GBK"/>
          <w:sz w:val="44"/>
          <w:szCs w:val="44"/>
        </w:rPr>
        <w:t>关于撤销铜梁区小北海水库城市集中式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eastAsia="方正小标宋_GBK"/>
          <w:sz w:val="44"/>
          <w:szCs w:val="44"/>
        </w:rPr>
        <w:t>饮用水水源地保护区的通</w:t>
      </w:r>
      <w:r>
        <w:rPr>
          <w:rFonts w:hint="eastAsia" w:eastAsia="方正小标宋_GBK"/>
          <w:sz w:val="44"/>
          <w:szCs w:val="44"/>
        </w:rPr>
        <w:t>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铜府发〔2022〕14号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加强全区集中式饮用水水源地保护，保障人民群众饮水安全，根据《重庆市生态环境局关于公布实施渝北区等区县集中式饮用水水源保护区的函》（渝环函〔2022〕370号）要求，决定撤销铜梁区小北海水库城市集中式饮用水水源地保护区，现依法公布实施，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附件：铜梁区小北海水库城市集中式饮用水水源地保护区</w:t>
      </w:r>
    </w:p>
    <w:p>
      <w:pPr>
        <w:keepNext w:val="0"/>
        <w:keepLines w:val="0"/>
        <w:pageBreakBefore w:val="0"/>
        <w:widowControl w:val="0"/>
        <w:kinsoku/>
        <w:wordWrap/>
        <w:overflowPunct/>
        <w:topLinePunct w:val="0"/>
        <w:autoSpaceDE/>
        <w:autoSpaceDN/>
        <w:bidi w:val="0"/>
        <w:adjustRightInd/>
        <w:snapToGrid/>
        <w:spacing w:line="600" w:lineRule="exact"/>
        <w:ind w:left="1050" w:leftChars="50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撤销方案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4921" w:firstLineChars="153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w:t>
      </w:r>
    </w:p>
    <w:p>
      <w:pPr>
        <w:keepNext w:val="0"/>
        <w:keepLines w:val="0"/>
        <w:pageBreakBefore w:val="0"/>
        <w:widowControl w:val="0"/>
        <w:kinsoku/>
        <w:wordWrap/>
        <w:overflowPunct/>
        <w:topLinePunct w:val="0"/>
        <w:autoSpaceDE/>
        <w:autoSpaceDN/>
        <w:bidi w:val="0"/>
        <w:adjustRightInd/>
        <w:snapToGrid/>
        <w:spacing w:line="600" w:lineRule="exact"/>
        <w:ind w:firstLine="5196" w:firstLineChars="1624"/>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2022年9月28日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12"/>
        <w:tblpPr w:leftFromText="180" w:rightFromText="180" w:vertAnchor="page" w:horzAnchor="page" w:tblpX="2118" w:tblpY="3633"/>
        <w:tblOverlap w:val="never"/>
        <w:tblW w:w="12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5"/>
        <w:gridCol w:w="1142"/>
        <w:gridCol w:w="1009"/>
        <w:gridCol w:w="866"/>
        <w:gridCol w:w="1282"/>
        <w:gridCol w:w="1855"/>
        <w:gridCol w:w="1854"/>
        <w:gridCol w:w="1684"/>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blHeader/>
        </w:trPr>
        <w:tc>
          <w:tcPr>
            <w:tcW w:w="985" w:type="dxa"/>
            <w:vMerge w:val="restart"/>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区县</w:t>
            </w:r>
            <w:r>
              <w:rPr>
                <w:rFonts w:eastAsia="方正黑体_GBK"/>
                <w:bCs/>
                <w:color w:val="000000"/>
                <w:kern w:val="0"/>
                <w:sz w:val="21"/>
                <w:szCs w:val="21"/>
                <w:lang w:bidi="ar"/>
              </w:rPr>
              <w:br w:type="textWrapping"/>
            </w:r>
            <w:r>
              <w:rPr>
                <w:rFonts w:eastAsia="方正黑体_GBK"/>
                <w:bCs/>
                <w:color w:val="000000"/>
                <w:kern w:val="0"/>
                <w:sz w:val="21"/>
                <w:szCs w:val="21"/>
                <w:lang w:bidi="ar"/>
              </w:rPr>
              <w:t>（开发区）</w:t>
            </w:r>
          </w:p>
        </w:tc>
        <w:tc>
          <w:tcPr>
            <w:tcW w:w="1142" w:type="dxa"/>
            <w:vMerge w:val="restart"/>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水厂名称</w:t>
            </w:r>
          </w:p>
        </w:tc>
        <w:tc>
          <w:tcPr>
            <w:tcW w:w="1009" w:type="dxa"/>
            <w:vMerge w:val="restart"/>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水源名称</w:t>
            </w:r>
          </w:p>
        </w:tc>
        <w:tc>
          <w:tcPr>
            <w:tcW w:w="866" w:type="dxa"/>
            <w:vMerge w:val="restart"/>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水源类型</w:t>
            </w:r>
          </w:p>
        </w:tc>
        <w:tc>
          <w:tcPr>
            <w:tcW w:w="1282" w:type="dxa"/>
            <w:vMerge w:val="restart"/>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水源所在乡镇</w:t>
            </w:r>
            <w:r>
              <w:rPr>
                <w:rFonts w:eastAsia="方正黑体_GBK"/>
                <w:bCs/>
                <w:color w:val="000000"/>
                <w:kern w:val="0"/>
                <w:sz w:val="21"/>
                <w:szCs w:val="21"/>
                <w:lang w:bidi="ar"/>
              </w:rPr>
              <w:br w:type="textWrapping"/>
            </w:r>
            <w:r>
              <w:rPr>
                <w:rFonts w:eastAsia="方正黑体_GBK"/>
                <w:bCs/>
                <w:color w:val="000000"/>
                <w:kern w:val="0"/>
                <w:sz w:val="21"/>
                <w:szCs w:val="21"/>
                <w:lang w:bidi="ar"/>
              </w:rPr>
              <w:t>（街道）</w:t>
            </w:r>
          </w:p>
        </w:tc>
        <w:tc>
          <w:tcPr>
            <w:tcW w:w="7138" w:type="dxa"/>
            <w:gridSpan w:val="4"/>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保护区范围划分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blHeader/>
        </w:trPr>
        <w:tc>
          <w:tcPr>
            <w:tcW w:w="985" w:type="dxa"/>
            <w:vMerge w:val="continue"/>
            <w:noWrap w:val="0"/>
            <w:vAlign w:val="center"/>
          </w:tcPr>
          <w:p>
            <w:pPr>
              <w:spacing w:line="240" w:lineRule="exact"/>
              <w:jc w:val="center"/>
              <w:rPr>
                <w:rFonts w:eastAsia="方正黑体_GBK"/>
                <w:bCs/>
                <w:color w:val="000000"/>
                <w:sz w:val="21"/>
                <w:szCs w:val="21"/>
              </w:rPr>
            </w:pPr>
          </w:p>
        </w:tc>
        <w:tc>
          <w:tcPr>
            <w:tcW w:w="1142" w:type="dxa"/>
            <w:vMerge w:val="continue"/>
            <w:noWrap w:val="0"/>
            <w:vAlign w:val="center"/>
          </w:tcPr>
          <w:p>
            <w:pPr>
              <w:spacing w:line="240" w:lineRule="exact"/>
              <w:jc w:val="center"/>
              <w:rPr>
                <w:rFonts w:eastAsia="方正黑体_GBK"/>
                <w:bCs/>
                <w:color w:val="000000"/>
                <w:sz w:val="21"/>
                <w:szCs w:val="21"/>
              </w:rPr>
            </w:pPr>
          </w:p>
        </w:tc>
        <w:tc>
          <w:tcPr>
            <w:tcW w:w="1009" w:type="dxa"/>
            <w:vMerge w:val="continue"/>
            <w:noWrap w:val="0"/>
            <w:vAlign w:val="center"/>
          </w:tcPr>
          <w:p>
            <w:pPr>
              <w:spacing w:line="240" w:lineRule="exact"/>
              <w:jc w:val="center"/>
              <w:rPr>
                <w:rFonts w:eastAsia="方正黑体_GBK"/>
                <w:bCs/>
                <w:color w:val="000000"/>
                <w:sz w:val="21"/>
                <w:szCs w:val="21"/>
              </w:rPr>
            </w:pPr>
          </w:p>
        </w:tc>
        <w:tc>
          <w:tcPr>
            <w:tcW w:w="866" w:type="dxa"/>
            <w:vMerge w:val="continue"/>
            <w:noWrap w:val="0"/>
            <w:vAlign w:val="center"/>
          </w:tcPr>
          <w:p>
            <w:pPr>
              <w:spacing w:line="240" w:lineRule="exact"/>
              <w:jc w:val="center"/>
              <w:rPr>
                <w:rFonts w:eastAsia="方正黑体_GBK"/>
                <w:bCs/>
                <w:color w:val="000000"/>
                <w:sz w:val="21"/>
                <w:szCs w:val="21"/>
              </w:rPr>
            </w:pPr>
          </w:p>
        </w:tc>
        <w:tc>
          <w:tcPr>
            <w:tcW w:w="1282" w:type="dxa"/>
            <w:vMerge w:val="continue"/>
            <w:noWrap w:val="0"/>
            <w:vAlign w:val="center"/>
          </w:tcPr>
          <w:p>
            <w:pPr>
              <w:spacing w:line="240" w:lineRule="exact"/>
              <w:jc w:val="center"/>
              <w:rPr>
                <w:rFonts w:eastAsia="方正黑体_GBK"/>
                <w:bCs/>
                <w:color w:val="000000"/>
                <w:sz w:val="21"/>
                <w:szCs w:val="21"/>
              </w:rPr>
            </w:pPr>
          </w:p>
        </w:tc>
        <w:tc>
          <w:tcPr>
            <w:tcW w:w="3709" w:type="dxa"/>
            <w:gridSpan w:val="2"/>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一级保护区</w:t>
            </w:r>
          </w:p>
        </w:tc>
        <w:tc>
          <w:tcPr>
            <w:tcW w:w="3429" w:type="dxa"/>
            <w:gridSpan w:val="2"/>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tblHeader/>
        </w:trPr>
        <w:tc>
          <w:tcPr>
            <w:tcW w:w="985" w:type="dxa"/>
            <w:vMerge w:val="continue"/>
            <w:noWrap w:val="0"/>
            <w:vAlign w:val="center"/>
          </w:tcPr>
          <w:p>
            <w:pPr>
              <w:spacing w:line="240" w:lineRule="exact"/>
              <w:jc w:val="center"/>
              <w:rPr>
                <w:rFonts w:eastAsia="方正黑体_GBK"/>
                <w:bCs/>
                <w:color w:val="000000"/>
                <w:sz w:val="21"/>
                <w:szCs w:val="21"/>
              </w:rPr>
            </w:pPr>
          </w:p>
        </w:tc>
        <w:tc>
          <w:tcPr>
            <w:tcW w:w="1142" w:type="dxa"/>
            <w:vMerge w:val="continue"/>
            <w:noWrap w:val="0"/>
            <w:vAlign w:val="center"/>
          </w:tcPr>
          <w:p>
            <w:pPr>
              <w:spacing w:line="240" w:lineRule="exact"/>
              <w:jc w:val="center"/>
              <w:rPr>
                <w:rFonts w:eastAsia="方正黑体_GBK"/>
                <w:bCs/>
                <w:color w:val="000000"/>
                <w:sz w:val="21"/>
                <w:szCs w:val="21"/>
              </w:rPr>
            </w:pPr>
          </w:p>
        </w:tc>
        <w:tc>
          <w:tcPr>
            <w:tcW w:w="1009" w:type="dxa"/>
            <w:vMerge w:val="continue"/>
            <w:noWrap w:val="0"/>
            <w:vAlign w:val="center"/>
          </w:tcPr>
          <w:p>
            <w:pPr>
              <w:spacing w:line="240" w:lineRule="exact"/>
              <w:jc w:val="center"/>
              <w:rPr>
                <w:rFonts w:eastAsia="方正黑体_GBK"/>
                <w:bCs/>
                <w:color w:val="000000"/>
                <w:sz w:val="21"/>
                <w:szCs w:val="21"/>
              </w:rPr>
            </w:pPr>
          </w:p>
        </w:tc>
        <w:tc>
          <w:tcPr>
            <w:tcW w:w="866" w:type="dxa"/>
            <w:vMerge w:val="continue"/>
            <w:noWrap w:val="0"/>
            <w:vAlign w:val="center"/>
          </w:tcPr>
          <w:p>
            <w:pPr>
              <w:spacing w:line="240" w:lineRule="exact"/>
              <w:jc w:val="center"/>
              <w:rPr>
                <w:rFonts w:eastAsia="方正黑体_GBK"/>
                <w:bCs/>
                <w:color w:val="000000"/>
                <w:sz w:val="21"/>
                <w:szCs w:val="21"/>
              </w:rPr>
            </w:pPr>
          </w:p>
        </w:tc>
        <w:tc>
          <w:tcPr>
            <w:tcW w:w="1282" w:type="dxa"/>
            <w:vMerge w:val="continue"/>
            <w:noWrap w:val="0"/>
            <w:vAlign w:val="center"/>
          </w:tcPr>
          <w:p>
            <w:pPr>
              <w:spacing w:line="240" w:lineRule="exact"/>
              <w:jc w:val="center"/>
              <w:rPr>
                <w:rFonts w:eastAsia="方正黑体_GBK"/>
                <w:bCs/>
                <w:color w:val="000000"/>
                <w:sz w:val="21"/>
                <w:szCs w:val="21"/>
              </w:rPr>
            </w:pPr>
          </w:p>
        </w:tc>
        <w:tc>
          <w:tcPr>
            <w:tcW w:w="1855" w:type="dxa"/>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水域范围</w:t>
            </w:r>
          </w:p>
        </w:tc>
        <w:tc>
          <w:tcPr>
            <w:tcW w:w="1854" w:type="dxa"/>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陆域范围</w:t>
            </w:r>
          </w:p>
        </w:tc>
        <w:tc>
          <w:tcPr>
            <w:tcW w:w="1684" w:type="dxa"/>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水域范围</w:t>
            </w:r>
          </w:p>
        </w:tc>
        <w:tc>
          <w:tcPr>
            <w:tcW w:w="1745" w:type="dxa"/>
            <w:noWrap w:val="0"/>
            <w:vAlign w:val="center"/>
          </w:tcPr>
          <w:p>
            <w:pPr>
              <w:widowControl/>
              <w:spacing w:line="240" w:lineRule="exact"/>
              <w:jc w:val="center"/>
              <w:textAlignment w:val="center"/>
              <w:rPr>
                <w:rFonts w:eastAsia="方正黑体_GBK"/>
                <w:bCs/>
                <w:color w:val="000000"/>
                <w:sz w:val="21"/>
                <w:szCs w:val="21"/>
              </w:rPr>
            </w:pPr>
            <w:r>
              <w:rPr>
                <w:rFonts w:eastAsia="方正黑体_GBK"/>
                <w:bCs/>
                <w:color w:val="000000"/>
                <w:kern w:val="0"/>
                <w:sz w:val="21"/>
                <w:szCs w:val="21"/>
                <w:lang w:bidi="ar"/>
              </w:rPr>
              <w:t>陆域范围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3" w:hRule="atLeast"/>
        </w:trPr>
        <w:tc>
          <w:tcPr>
            <w:tcW w:w="985" w:type="dxa"/>
            <w:noWrap w:val="0"/>
            <w:vAlign w:val="center"/>
          </w:tcPr>
          <w:p>
            <w:pPr>
              <w:widowControl/>
              <w:adjustRightInd w:val="0"/>
              <w:spacing w:line="240" w:lineRule="exact"/>
              <w:jc w:val="center"/>
              <w:rPr>
                <w:rFonts w:hint="eastAsia" w:eastAsia="方正仿宋_GBK"/>
                <w:bCs/>
                <w:kern w:val="0"/>
                <w:sz w:val="21"/>
                <w:szCs w:val="21"/>
                <w:lang w:bidi="ar"/>
              </w:rPr>
            </w:pPr>
            <w:r>
              <w:rPr>
                <w:rFonts w:hint="eastAsia" w:eastAsia="方正仿宋_GBK"/>
                <w:bCs/>
                <w:kern w:val="0"/>
                <w:sz w:val="21"/>
                <w:szCs w:val="21"/>
                <w:lang w:bidi="ar"/>
              </w:rPr>
              <w:t>铜梁区</w:t>
            </w:r>
          </w:p>
        </w:tc>
        <w:tc>
          <w:tcPr>
            <w:tcW w:w="1142" w:type="dxa"/>
            <w:noWrap w:val="0"/>
            <w:vAlign w:val="center"/>
          </w:tcPr>
          <w:p>
            <w:pPr>
              <w:widowControl/>
              <w:adjustRightInd w:val="0"/>
              <w:spacing w:line="300" w:lineRule="exact"/>
              <w:jc w:val="center"/>
              <w:rPr>
                <w:rFonts w:eastAsia="方正仿宋_GBK"/>
                <w:bCs/>
                <w:kern w:val="0"/>
                <w:sz w:val="21"/>
                <w:szCs w:val="21"/>
                <w:lang w:bidi="ar"/>
              </w:rPr>
            </w:pPr>
            <w:r>
              <w:rPr>
                <w:rFonts w:hint="eastAsia" w:eastAsia="方正仿宋_GBK"/>
                <w:bCs/>
                <w:kern w:val="0"/>
                <w:sz w:val="21"/>
                <w:szCs w:val="21"/>
                <w:lang w:bidi="ar"/>
              </w:rPr>
              <w:t>小北海水库提水工程</w:t>
            </w:r>
          </w:p>
        </w:tc>
        <w:tc>
          <w:tcPr>
            <w:tcW w:w="1009" w:type="dxa"/>
            <w:noWrap w:val="0"/>
            <w:vAlign w:val="center"/>
          </w:tcPr>
          <w:p>
            <w:pPr>
              <w:widowControl/>
              <w:adjustRightInd w:val="0"/>
              <w:spacing w:line="300" w:lineRule="exact"/>
              <w:jc w:val="center"/>
              <w:rPr>
                <w:rFonts w:eastAsia="方正仿宋_GBK"/>
                <w:bCs/>
                <w:kern w:val="0"/>
                <w:sz w:val="21"/>
                <w:szCs w:val="21"/>
                <w:lang w:bidi="ar"/>
              </w:rPr>
            </w:pPr>
            <w:r>
              <w:rPr>
                <w:rFonts w:hint="eastAsia" w:eastAsia="方正仿宋_GBK"/>
                <w:bCs/>
                <w:kern w:val="0"/>
                <w:sz w:val="21"/>
                <w:szCs w:val="21"/>
                <w:lang w:bidi="ar"/>
              </w:rPr>
              <w:t>小北海</w:t>
            </w:r>
          </w:p>
        </w:tc>
        <w:tc>
          <w:tcPr>
            <w:tcW w:w="866" w:type="dxa"/>
            <w:noWrap w:val="0"/>
            <w:vAlign w:val="center"/>
          </w:tcPr>
          <w:p>
            <w:pPr>
              <w:widowControl/>
              <w:adjustRightInd w:val="0"/>
              <w:spacing w:line="300" w:lineRule="exact"/>
              <w:jc w:val="center"/>
              <w:rPr>
                <w:rFonts w:eastAsia="方正仿宋_GBK"/>
                <w:bCs/>
                <w:kern w:val="0"/>
                <w:sz w:val="21"/>
                <w:szCs w:val="21"/>
                <w:lang w:bidi="ar"/>
              </w:rPr>
            </w:pPr>
            <w:r>
              <w:rPr>
                <w:rFonts w:hint="eastAsia" w:eastAsia="方正仿宋_GBK"/>
                <w:color w:val="000000"/>
                <w:kern w:val="0"/>
                <w:sz w:val="21"/>
                <w:szCs w:val="21"/>
                <w:lang w:val="en-US" w:eastAsia="zh-CN" w:bidi="ar"/>
              </w:rPr>
              <w:t>中型</w:t>
            </w:r>
            <w:r>
              <w:rPr>
                <w:rFonts w:eastAsia="方正仿宋_GBK"/>
                <w:color w:val="000000"/>
                <w:kern w:val="0"/>
                <w:sz w:val="21"/>
                <w:szCs w:val="21"/>
                <w:lang w:bidi="ar"/>
              </w:rPr>
              <w:t>水库</w:t>
            </w:r>
          </w:p>
        </w:tc>
        <w:tc>
          <w:tcPr>
            <w:tcW w:w="1282" w:type="dxa"/>
            <w:noWrap w:val="0"/>
            <w:vAlign w:val="center"/>
          </w:tcPr>
          <w:p>
            <w:pPr>
              <w:widowControl/>
              <w:adjustRightInd w:val="0"/>
              <w:spacing w:line="300" w:lineRule="exact"/>
              <w:jc w:val="center"/>
              <w:rPr>
                <w:rFonts w:hint="eastAsia" w:eastAsia="方正仿宋_GBK"/>
                <w:bCs/>
                <w:kern w:val="0"/>
                <w:sz w:val="21"/>
                <w:szCs w:val="21"/>
                <w:lang w:eastAsia="zh-CN" w:bidi="ar"/>
              </w:rPr>
            </w:pPr>
            <w:r>
              <w:rPr>
                <w:rFonts w:hint="eastAsia" w:eastAsia="方正仿宋_GBK"/>
                <w:color w:val="000000"/>
                <w:kern w:val="0"/>
                <w:sz w:val="21"/>
                <w:szCs w:val="21"/>
                <w:lang w:val="en-US" w:eastAsia="zh-CN" w:bidi="ar"/>
              </w:rPr>
              <w:t>巴川街道</w:t>
            </w:r>
          </w:p>
        </w:tc>
        <w:tc>
          <w:tcPr>
            <w:tcW w:w="1855" w:type="dxa"/>
            <w:noWrap w:val="0"/>
            <w:vAlign w:val="center"/>
          </w:tcPr>
          <w:p>
            <w:pPr>
              <w:widowControl/>
              <w:adjustRightInd w:val="0"/>
              <w:spacing w:line="240" w:lineRule="exact"/>
              <w:jc w:val="left"/>
              <w:rPr>
                <w:rFonts w:eastAsia="方正仿宋_GBK"/>
                <w:bCs/>
                <w:kern w:val="0"/>
                <w:sz w:val="21"/>
                <w:szCs w:val="21"/>
                <w:highlight w:val="none"/>
                <w:lang w:bidi="ar"/>
              </w:rPr>
            </w:pPr>
            <w:r>
              <w:rPr>
                <w:rFonts w:hint="eastAsia" w:eastAsia="方正仿宋_GBK"/>
                <w:kern w:val="0"/>
                <w:sz w:val="18"/>
                <w:szCs w:val="18"/>
                <w:highlight w:val="none"/>
              </w:rPr>
              <w:t>以取水口为圆心，半径为500米的水域面积。</w:t>
            </w:r>
          </w:p>
        </w:tc>
        <w:tc>
          <w:tcPr>
            <w:tcW w:w="1854" w:type="dxa"/>
            <w:noWrap w:val="0"/>
            <w:vAlign w:val="center"/>
          </w:tcPr>
          <w:p>
            <w:pPr>
              <w:widowControl/>
              <w:adjustRightInd w:val="0"/>
              <w:spacing w:line="260" w:lineRule="exact"/>
              <w:rPr>
                <w:rFonts w:eastAsia="方正仿宋_GBK"/>
                <w:bCs/>
                <w:kern w:val="0"/>
                <w:sz w:val="21"/>
                <w:szCs w:val="21"/>
                <w:highlight w:val="none"/>
                <w:lang w:bidi="ar"/>
              </w:rPr>
            </w:pPr>
            <w:r>
              <w:rPr>
                <w:rFonts w:hint="eastAsia" w:eastAsia="方正仿宋_GBK"/>
                <w:kern w:val="0"/>
                <w:sz w:val="18"/>
                <w:szCs w:val="18"/>
                <w:highlight w:val="none"/>
              </w:rPr>
              <w:t>取水口侧长度与一级保护区水域对应，大坝高程至正常水位所控陆域。</w:t>
            </w:r>
          </w:p>
        </w:tc>
        <w:tc>
          <w:tcPr>
            <w:tcW w:w="1684" w:type="dxa"/>
            <w:noWrap w:val="0"/>
            <w:vAlign w:val="center"/>
          </w:tcPr>
          <w:p>
            <w:pPr>
              <w:widowControl/>
              <w:adjustRightInd w:val="0"/>
              <w:spacing w:line="260" w:lineRule="exact"/>
              <w:rPr>
                <w:rFonts w:eastAsia="方正仿宋_GBK"/>
                <w:bCs/>
                <w:kern w:val="0"/>
                <w:sz w:val="21"/>
                <w:szCs w:val="21"/>
                <w:highlight w:val="none"/>
                <w:lang w:bidi="ar"/>
              </w:rPr>
            </w:pPr>
            <w:r>
              <w:rPr>
                <w:rFonts w:hint="eastAsia" w:eastAsia="方正仿宋_GBK"/>
                <w:kern w:val="0"/>
                <w:sz w:val="18"/>
                <w:szCs w:val="18"/>
                <w:highlight w:val="none"/>
              </w:rPr>
              <w:t>一级保护区水域以外的整个湖库。</w:t>
            </w:r>
          </w:p>
        </w:tc>
        <w:tc>
          <w:tcPr>
            <w:tcW w:w="1745" w:type="dxa"/>
            <w:noWrap w:val="0"/>
            <w:vAlign w:val="center"/>
          </w:tcPr>
          <w:p>
            <w:pPr>
              <w:widowControl/>
              <w:adjustRightInd w:val="0"/>
              <w:spacing w:line="260" w:lineRule="exact"/>
              <w:rPr>
                <w:rFonts w:eastAsia="方正仿宋_GBK"/>
                <w:bCs/>
                <w:kern w:val="0"/>
                <w:sz w:val="21"/>
                <w:szCs w:val="21"/>
                <w:highlight w:val="none"/>
                <w:lang w:bidi="ar"/>
              </w:rPr>
            </w:pPr>
            <w:r>
              <w:rPr>
                <w:rFonts w:hint="eastAsia" w:eastAsia="方正仿宋_GBK"/>
                <w:kern w:val="0"/>
                <w:sz w:val="18"/>
                <w:szCs w:val="18"/>
                <w:highlight w:val="none"/>
              </w:rPr>
              <w:t>整个水库正常水位线到大坝高程以上30米的陆域(一级保护区以外)。</w:t>
            </w:r>
          </w:p>
        </w:tc>
      </w:tr>
    </w:tbl>
    <w:p>
      <w:pPr>
        <w:ind w:firstLine="640" w:firstLineChars="200"/>
        <w:jc w:val="both"/>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pPr>
        <w:ind w:firstLine="880" w:firstLineChars="20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铜梁区小北海水库城市集中式饮用水水源地保护区撤销方案</w:t>
      </w:r>
    </w:p>
    <w:p/>
    <w:p>
      <w:pPr>
        <w:pStyle w:val="2"/>
        <w:rPr>
          <w:rFonts w:hint="default"/>
          <w:lang w:val="en-US" w:eastAsia="zh-CN"/>
        </w:rPr>
      </w:pPr>
    </w:p>
    <w:sectPr>
      <w:footerReference r:id="rId5" w:type="default"/>
      <w:type w:val="continuous"/>
      <w:pgSz w:w="16838" w:h="11906" w:orient="landscape"/>
      <w:pgMar w:top="1962" w:right="1440"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8480;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ExHKtQAAAAJAQAADwAAAAAAAAABACAAAAAiAAAAZHJz&#10;L2Rvd25yZXYueG1sUEsBAhQAFAAAAAgAh07iQEiRThzPAQAAaQMAAA4AAAAAAAAAAQAgAAAAIwEA&#10;AGRycy9lMm9Eb2MueG1sUEsFBgAAAAAGAAYAWQEAAGQ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mQWdcAAAAKAQAADwAAAAAA&#10;AAABACAAAAAiAAAAZHJzL2Rvd25yZXYueG1sUEsBAhQAFAAAAAgAh07iQFm/HYbbAQAAcwMAAA4A&#10;AAAAAAAAAQAgAAAAJgEAAGRycy9lMm9Eb2MueG1sUEsFBgAAAAAGAAYAWQEAAHM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98685F"/>
    <w:rsid w:val="080F63D8"/>
    <w:rsid w:val="09341458"/>
    <w:rsid w:val="098254C2"/>
    <w:rsid w:val="09FB3B28"/>
    <w:rsid w:val="0A766EDE"/>
    <w:rsid w:val="0AD64BE8"/>
    <w:rsid w:val="0B0912D7"/>
    <w:rsid w:val="0B976FCC"/>
    <w:rsid w:val="0E025194"/>
    <w:rsid w:val="0F5F7F15"/>
    <w:rsid w:val="12B24C7F"/>
    <w:rsid w:val="13DF798C"/>
    <w:rsid w:val="147C617F"/>
    <w:rsid w:val="152D2DCA"/>
    <w:rsid w:val="1533741A"/>
    <w:rsid w:val="17203520"/>
    <w:rsid w:val="187168EA"/>
    <w:rsid w:val="196673CA"/>
    <w:rsid w:val="19745F40"/>
    <w:rsid w:val="19C120F9"/>
    <w:rsid w:val="1AF66DC3"/>
    <w:rsid w:val="1B2F4AEE"/>
    <w:rsid w:val="1CF734C9"/>
    <w:rsid w:val="1DD714D2"/>
    <w:rsid w:val="1DE659C1"/>
    <w:rsid w:val="1DEC284C"/>
    <w:rsid w:val="1DEE74B5"/>
    <w:rsid w:val="1E6523AC"/>
    <w:rsid w:val="1E8E6529"/>
    <w:rsid w:val="201A32E4"/>
    <w:rsid w:val="20A61B9E"/>
    <w:rsid w:val="22440422"/>
    <w:rsid w:val="22BB4BBB"/>
    <w:rsid w:val="23CC5006"/>
    <w:rsid w:val="25AD3C7D"/>
    <w:rsid w:val="2AEB3417"/>
    <w:rsid w:val="2ECC35A1"/>
    <w:rsid w:val="306F1715"/>
    <w:rsid w:val="31A15F24"/>
    <w:rsid w:val="31CA44AE"/>
    <w:rsid w:val="324A1681"/>
    <w:rsid w:val="32A03609"/>
    <w:rsid w:val="330C5393"/>
    <w:rsid w:val="35F81499"/>
    <w:rsid w:val="360610FF"/>
    <w:rsid w:val="36FB1DF0"/>
    <w:rsid w:val="395347B5"/>
    <w:rsid w:val="39A232A0"/>
    <w:rsid w:val="39E745AA"/>
    <w:rsid w:val="3B5A6BBB"/>
    <w:rsid w:val="3E984CED"/>
    <w:rsid w:val="3EDA13A6"/>
    <w:rsid w:val="3FE00DF1"/>
    <w:rsid w:val="40F303D9"/>
    <w:rsid w:val="417B75E9"/>
    <w:rsid w:val="42AD3F1A"/>
    <w:rsid w:val="42F058B7"/>
    <w:rsid w:val="436109F6"/>
    <w:rsid w:val="441A38D4"/>
    <w:rsid w:val="44F72757"/>
    <w:rsid w:val="4504239D"/>
    <w:rsid w:val="4554136E"/>
    <w:rsid w:val="461C0ABE"/>
    <w:rsid w:val="47FE4616"/>
    <w:rsid w:val="48267B26"/>
    <w:rsid w:val="48EF0765"/>
    <w:rsid w:val="4ABC2CA3"/>
    <w:rsid w:val="4BC77339"/>
    <w:rsid w:val="4BEE59A3"/>
    <w:rsid w:val="4C9236C5"/>
    <w:rsid w:val="4D496C1F"/>
    <w:rsid w:val="4E1D5E24"/>
    <w:rsid w:val="4E250A85"/>
    <w:rsid w:val="4FFD4925"/>
    <w:rsid w:val="505C172E"/>
    <w:rsid w:val="506405EA"/>
    <w:rsid w:val="50D9757B"/>
    <w:rsid w:val="52F46F0B"/>
    <w:rsid w:val="532B6A10"/>
    <w:rsid w:val="53D8014D"/>
    <w:rsid w:val="55E064E0"/>
    <w:rsid w:val="55F76E75"/>
    <w:rsid w:val="572C6D10"/>
    <w:rsid w:val="5A424708"/>
    <w:rsid w:val="5AB622C2"/>
    <w:rsid w:val="5C551B68"/>
    <w:rsid w:val="5D791EF1"/>
    <w:rsid w:val="5DC34279"/>
    <w:rsid w:val="5FCD688E"/>
    <w:rsid w:val="5FF9BDAA"/>
    <w:rsid w:val="5FFE5333"/>
    <w:rsid w:val="608816D1"/>
    <w:rsid w:val="60EF4E7F"/>
    <w:rsid w:val="648B0A32"/>
    <w:rsid w:val="650F50D0"/>
    <w:rsid w:val="65B576DE"/>
    <w:rsid w:val="66095515"/>
    <w:rsid w:val="665233C1"/>
    <w:rsid w:val="665B6306"/>
    <w:rsid w:val="69AC0D42"/>
    <w:rsid w:val="6AA06749"/>
    <w:rsid w:val="6AD9688B"/>
    <w:rsid w:val="6C870C65"/>
    <w:rsid w:val="6D0E3F22"/>
    <w:rsid w:val="6DA53BC1"/>
    <w:rsid w:val="70BD5DD1"/>
    <w:rsid w:val="72E9064D"/>
    <w:rsid w:val="737808EF"/>
    <w:rsid w:val="744E4660"/>
    <w:rsid w:val="74514836"/>
    <w:rsid w:val="753355A2"/>
    <w:rsid w:val="759F1C61"/>
    <w:rsid w:val="769F2DE8"/>
    <w:rsid w:val="76FDEB7C"/>
    <w:rsid w:val="77F74B8B"/>
    <w:rsid w:val="7924080A"/>
    <w:rsid w:val="79371594"/>
    <w:rsid w:val="79C65162"/>
    <w:rsid w:val="7C9011D9"/>
    <w:rsid w:val="7CF35CED"/>
    <w:rsid w:val="7DC651C5"/>
    <w:rsid w:val="7DE14E7C"/>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styleId="4">
    <w:name w:val="table of authorities"/>
    <w:basedOn w:val="1"/>
    <w:next w:val="1"/>
    <w:qFormat/>
    <w:uiPriority w:val="0"/>
    <w:pPr>
      <w:suppressAutoHyphens/>
      <w:ind w:left="420" w:leftChars="200"/>
    </w:pPr>
    <w:rPr>
      <w:rFonts w:ascii="Calibri" w:hAnsi="Calibri" w:eastAsia="宋体"/>
      <w:sz w:val="21"/>
      <w:szCs w:val="24"/>
    </w:rPr>
  </w:style>
  <w:style w:type="paragraph" w:styleId="5">
    <w:name w:val="annotation text"/>
    <w:basedOn w:val="1"/>
    <w:qFormat/>
    <w:uiPriority w:val="0"/>
    <w:pPr>
      <w:jc w:val="left"/>
    </w:pPr>
  </w:style>
  <w:style w:type="paragraph" w:styleId="6">
    <w:name w:val="Body Text"/>
    <w:basedOn w:val="1"/>
    <w:qFormat/>
    <w:uiPriority w:val="0"/>
    <w:pPr>
      <w:spacing w:after="120" w:afterLines="0"/>
    </w:pPr>
    <w:rPr>
      <w:rFonts w:eastAsia="方正仿宋_GBK"/>
      <w:kern w:val="2"/>
      <w:sz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7</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2022-12-08T02:53:31Z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