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30" w:firstLineChars="300"/>
        <w:jc w:val="both"/>
        <w:textAlignment w:val="auto"/>
        <w:rPr>
          <w:rFonts w:hint="default" w:ascii="Times New Roman" w:hAnsi="Times New Roman" w:eastAsia="方正黑体_GBK" w:cs="Times New Roman"/>
          <w:caps/>
          <w:color w:val="000000"/>
          <w:kern w:val="44"/>
          <w:sz w:val="32"/>
          <w:szCs w:val="32"/>
        </w:rPr>
      </w:pPr>
      <w:bookmarkStart w:id="2" w:name="_GoBack"/>
      <w:bookmarkEnd w:id="2"/>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3079750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a:noFill/>
                        </a:ln>
                      </wps:spPr>
                      <wps:bodyPr upright="1"/>
                    </wps:wsp>
                  </a:graphicData>
                </a:graphic>
              </wp:anchor>
            </w:drawing>
          </mc:Choice>
          <mc:Fallback>
            <w:pict>
              <v:line id="_x0000_s1026" o:spid="_x0000_s1026" o:spt="20" style="position:absolute;left:0pt;margin-left:76.55pt;margin-top:242.5pt;height:0pt;width:442.2pt;mso-position-horizontal-relative:page;mso-position-vertical-relative:margin;z-index:251659264;mso-width-relative:page;mso-height-relative:page;" filled="f" stroked="f" coordsize="21600,21600" o:gfxdata="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CO7FCzZAAAADAEAAA8AAAAAAAAAAQAgAAAAIgAAAGRycy9kb3ducmV2LnhtbFBL&#10;AQIUABQAAAAIAIdO4kARJ8mcgwEAAOECAAAOAAAAAAAAAAEAIAAAACgBAABkcnMvZTJvRG9jLnht&#10;bFBLBQYAAAAABgAGAFkBAAAdBQAAAAA=&#10;">
                <v:fill on="f" focussize="0,0"/>
                <v:stroke on="f"/>
                <v:imagedata o:title=""/>
                <o:lock v:ext="edit" aspectratio="f"/>
              </v:line>
            </w:pict>
          </mc:Fallback>
        </mc:AlternateContent>
      </w:r>
      <w:bookmarkStart w:id="0" w:name="_Toc25203"/>
      <w:r>
        <w:rPr>
          <w:rFonts w:hint="default" w:ascii="Times New Roman" w:hAnsi="Times New Roman" w:eastAsia="方正黑体_GBK" w:cs="Times New Roman"/>
          <w:caps/>
          <w:color w:val="000000"/>
          <w:kern w:val="44"/>
          <w:sz w:val="32"/>
          <w:szCs w:val="32"/>
        </w:rPr>
        <w:t>8  附录</w:t>
      </w:r>
      <w:bookmarkEnd w:id="0"/>
    </w:p>
    <w:p>
      <w:pPr>
        <w:widowControl/>
        <w:spacing w:line="600" w:lineRule="exact"/>
        <w:ind w:firstLine="640" w:firstLineChars="200"/>
        <w:jc w:val="both"/>
        <w:outlineLvl w:val="1"/>
        <w:rPr>
          <w:rFonts w:hint="default" w:ascii="Times New Roman" w:hAnsi="Times New Roman" w:eastAsia="方正楷体_GBK" w:cs="Times New Roman"/>
          <w:b w:val="0"/>
          <w:bCs w:val="0"/>
          <w:color w:val="000000"/>
          <w:kern w:val="2"/>
          <w:sz w:val="32"/>
          <w:szCs w:val="32"/>
          <w:lang w:val="en-US" w:eastAsia="zh-CN" w:bidi="ar-SA"/>
        </w:rPr>
      </w:pPr>
      <w:bookmarkStart w:id="1" w:name="_Toc23000"/>
      <w:r>
        <w:rPr>
          <w:rFonts w:hint="default" w:ascii="Times New Roman" w:hAnsi="Times New Roman" w:eastAsia="方正楷体_GBK" w:cs="Times New Roman"/>
          <w:b w:val="0"/>
          <w:bCs w:val="0"/>
          <w:color w:val="000000"/>
          <w:kern w:val="2"/>
          <w:sz w:val="32"/>
          <w:szCs w:val="32"/>
          <w:lang w:val="en-US" w:eastAsia="zh-CN" w:bidi="ar-SA"/>
        </w:rPr>
        <w:t>8.1  铜梁区主要突发公共事件风险评估表</w:t>
      </w:r>
      <w:bookmarkEnd w:id="1"/>
    </w:p>
    <w:p>
      <w:pPr>
        <w:jc w:val="center"/>
        <w:rPr>
          <w:rFonts w:hint="default" w:ascii="方正仿宋_GBK" w:hAnsi="方正仿宋_GBK" w:eastAsia="方正仿宋_GBK" w:cs="方正仿宋_GBK"/>
          <w:b w:val="0"/>
          <w:bCs w:val="0"/>
          <w:color w:val="000000"/>
          <w:sz w:val="28"/>
          <w:szCs w:val="28"/>
        </w:rPr>
      </w:pPr>
      <w:r>
        <w:rPr>
          <w:rFonts w:hint="default" w:ascii="方正仿宋_GBK" w:hAnsi="方正仿宋_GBK" w:eastAsia="方正仿宋_GBK" w:cs="方正仿宋_GBK"/>
          <w:b w:val="0"/>
          <w:bCs w:val="0"/>
          <w:color w:val="000000"/>
          <w:sz w:val="28"/>
          <w:szCs w:val="28"/>
        </w:rPr>
        <w:t>表8-1铜梁区自然灾害类风险评估等级表</w:t>
      </w:r>
    </w:p>
    <w:tbl>
      <w:tblPr>
        <w:tblStyle w:val="16"/>
        <w:tblW w:w="1478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3"/>
        <w:gridCol w:w="1884"/>
        <w:gridCol w:w="3573"/>
        <w:gridCol w:w="2201"/>
        <w:gridCol w:w="62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tblHeader/>
          <w:jc w:val="center"/>
        </w:trPr>
        <w:tc>
          <w:tcPr>
            <w:tcW w:w="843" w:type="dxa"/>
            <w:tcBorders>
              <w:tl2br w:val="nil"/>
              <w:tr2bl w:val="nil"/>
            </w:tcBorders>
            <w:vAlign w:val="center"/>
          </w:tcPr>
          <w:p>
            <w:pPr>
              <w:spacing w:before="33" w:beforeLines="10" w:after="33" w:afterLines="10" w:line="36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序号</w:t>
            </w:r>
          </w:p>
        </w:tc>
        <w:tc>
          <w:tcPr>
            <w:tcW w:w="1884" w:type="dxa"/>
            <w:tcBorders>
              <w:tl2br w:val="nil"/>
              <w:tr2bl w:val="nil"/>
            </w:tcBorders>
            <w:vAlign w:val="center"/>
          </w:tcPr>
          <w:p>
            <w:pPr>
              <w:spacing w:before="33" w:beforeLines="10" w:after="33" w:afterLines="10" w:line="36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事件类别</w:t>
            </w:r>
          </w:p>
        </w:tc>
        <w:tc>
          <w:tcPr>
            <w:tcW w:w="3573" w:type="dxa"/>
            <w:tcBorders>
              <w:tl2br w:val="nil"/>
              <w:tr2bl w:val="nil"/>
            </w:tcBorders>
            <w:vAlign w:val="center"/>
          </w:tcPr>
          <w:p>
            <w:pPr>
              <w:spacing w:before="33" w:beforeLines="10" w:after="33" w:afterLines="10" w:line="36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基本情况描述</w:t>
            </w:r>
          </w:p>
        </w:tc>
        <w:tc>
          <w:tcPr>
            <w:tcW w:w="2201" w:type="dxa"/>
            <w:tcBorders>
              <w:tl2br w:val="nil"/>
              <w:tr2bl w:val="nil"/>
            </w:tcBorders>
            <w:vAlign w:val="center"/>
          </w:tcPr>
          <w:p>
            <w:pPr>
              <w:spacing w:before="33" w:beforeLines="10" w:after="33" w:afterLines="10" w:line="36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可能性（极可能、可能、可能性较小）</w:t>
            </w:r>
          </w:p>
        </w:tc>
        <w:tc>
          <w:tcPr>
            <w:tcW w:w="6279" w:type="dxa"/>
            <w:tcBorders>
              <w:tl2br w:val="nil"/>
              <w:tr2bl w:val="nil"/>
            </w:tcBorders>
            <w:vAlign w:val="center"/>
          </w:tcPr>
          <w:p>
            <w:pPr>
              <w:spacing w:before="33" w:beforeLines="10" w:after="33" w:afterLines="10" w:line="360" w:lineRule="exact"/>
              <w:jc w:val="left"/>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最大严重程度（人口，城市、医院、学校、铁路线、通信中枢、电力设施、自来水供应系统等重要设施，财产、环境，社会稳定等方面）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43"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88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山洪灾害</w:t>
            </w:r>
          </w:p>
        </w:tc>
        <w:tc>
          <w:tcPr>
            <w:tcW w:w="3573"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因气候、地形、地质、社会人文、过境洪水或下游洪水，造成的暴雨洪灾、危岩滑坡等。</w:t>
            </w:r>
          </w:p>
        </w:tc>
        <w:tc>
          <w:tcPr>
            <w:tcW w:w="220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79"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道路、通信、供水、供电等设施损坏、人员伤亡、财产损失、农作物毁损、环境破坏、生产生活影响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43"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88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低温雨雪冰冻灾害</w:t>
            </w:r>
          </w:p>
        </w:tc>
        <w:tc>
          <w:tcPr>
            <w:tcW w:w="3573"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出现极端低温雨雪冰冻天气气候。</w:t>
            </w:r>
          </w:p>
        </w:tc>
        <w:tc>
          <w:tcPr>
            <w:tcW w:w="220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79"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人员伤亡、财产损失、道路中断、环境破坏、生产生活影响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43"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88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地震灾害</w:t>
            </w:r>
          </w:p>
        </w:tc>
        <w:tc>
          <w:tcPr>
            <w:tcW w:w="3573"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直接产生的地表破坏、各类工程结构类的破坏，以及引起的次生灾害、诱发灾害。</w:t>
            </w:r>
          </w:p>
        </w:tc>
        <w:tc>
          <w:tcPr>
            <w:tcW w:w="220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79"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道路、通信、供水、供电等设施损坏、人员伤亡、财产损失、农作物毁损、环境破坏、生产生活影响、社会</w:t>
            </w:r>
            <w:r>
              <w:rPr>
                <w:rFonts w:hint="eastAsia" w:eastAsia="方正仿宋_GBK" w:cs="Times New Roman"/>
                <w:sz w:val="24"/>
                <w:szCs w:val="24"/>
                <w:lang w:eastAsia="zh-CN"/>
              </w:rPr>
              <w:t>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43"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88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地质灾害</w:t>
            </w:r>
          </w:p>
        </w:tc>
        <w:tc>
          <w:tcPr>
            <w:tcW w:w="3573"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山体滑坡、危岩、不稳定斜坡、地面塌陷。</w:t>
            </w:r>
          </w:p>
        </w:tc>
        <w:tc>
          <w:tcPr>
            <w:tcW w:w="220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道路、通信、供水、供电等设施损坏、人员伤亡、财产损失、农作物毁损、环境破坏、生产生活影响、社会</w:t>
            </w:r>
            <w:r>
              <w:rPr>
                <w:rFonts w:hint="eastAsia" w:eastAsia="方正仿宋_GBK" w:cs="Times New Roman"/>
                <w:sz w:val="24"/>
                <w:szCs w:val="24"/>
                <w:lang w:eastAsia="zh-CN"/>
              </w:rPr>
              <w:t>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43"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88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森林火灾</w:t>
            </w:r>
          </w:p>
        </w:tc>
        <w:tc>
          <w:tcPr>
            <w:tcW w:w="3573"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重点林区镇</w:t>
            </w:r>
            <w:r>
              <w:rPr>
                <w:rFonts w:hint="default" w:ascii="Times New Roman" w:hAnsi="Times New Roman" w:eastAsia="方正仿宋_GBK" w:cs="Times New Roman"/>
                <w:color w:val="000000" w:themeColor="text1"/>
                <w:sz w:val="24"/>
                <w:szCs w:val="24"/>
                <w14:textFill>
                  <w14:solidFill>
                    <w14:schemeClr w14:val="tx1"/>
                  </w14:solidFill>
                </w14:textFill>
              </w:rPr>
              <w:t>（街道）</w:t>
            </w:r>
            <w:r>
              <w:rPr>
                <w:rFonts w:hint="default" w:ascii="Times New Roman" w:hAnsi="Times New Roman" w:eastAsia="方正仿宋_GBK" w:cs="Times New Roman"/>
                <w:sz w:val="24"/>
                <w:szCs w:val="24"/>
              </w:rPr>
              <w:t>和双碾林场的山区村社发生森林火灾。</w:t>
            </w:r>
          </w:p>
        </w:tc>
        <w:tc>
          <w:tcPr>
            <w:tcW w:w="220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道路、通信、供水、供电等设施损坏、人员伤亡、财产损失、农作物毁损、环境破坏、生产生活影响、社会</w:t>
            </w:r>
            <w:r>
              <w:rPr>
                <w:rFonts w:hint="eastAsia" w:eastAsia="方正仿宋_GBK" w:cs="Times New Roman"/>
                <w:sz w:val="24"/>
                <w:szCs w:val="24"/>
                <w:lang w:eastAsia="zh-CN"/>
              </w:rPr>
              <w:t>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43"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6</w:t>
            </w:r>
          </w:p>
        </w:tc>
        <w:tc>
          <w:tcPr>
            <w:tcW w:w="188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农业有害生物防治</w:t>
            </w:r>
          </w:p>
        </w:tc>
        <w:tc>
          <w:tcPr>
            <w:tcW w:w="3573"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农作物重大病虫鼠害及农业植物检疫性有害生物。</w:t>
            </w:r>
          </w:p>
        </w:tc>
        <w:tc>
          <w:tcPr>
            <w:tcW w:w="220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极可能</w:t>
            </w:r>
          </w:p>
        </w:tc>
        <w:tc>
          <w:tcPr>
            <w:tcW w:w="62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农作物毁损、财产损失、生产生活影响、社会</w:t>
            </w:r>
            <w:r>
              <w:rPr>
                <w:rFonts w:hint="eastAsia" w:eastAsia="方正仿宋_GBK" w:cs="Times New Roman"/>
                <w:sz w:val="24"/>
                <w:szCs w:val="24"/>
                <w:lang w:eastAsia="zh-CN"/>
              </w:rPr>
              <w:t>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43"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7</w:t>
            </w:r>
          </w:p>
        </w:tc>
        <w:tc>
          <w:tcPr>
            <w:tcW w:w="188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林业有害生物防治</w:t>
            </w:r>
          </w:p>
        </w:tc>
        <w:tc>
          <w:tcPr>
            <w:tcW w:w="3573"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对人类健康，牲畜、家禽生命构成威胁，造成林木死亡的林业检疫性有害生物。</w:t>
            </w:r>
          </w:p>
        </w:tc>
        <w:tc>
          <w:tcPr>
            <w:tcW w:w="220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森林毁损、财产损失、环境破坏、生产生活影响、社会</w:t>
            </w:r>
            <w:r>
              <w:rPr>
                <w:rFonts w:hint="eastAsia" w:eastAsia="方正仿宋_GBK" w:cs="Times New Roman"/>
                <w:sz w:val="24"/>
                <w:szCs w:val="24"/>
                <w:lang w:eastAsia="zh-CN"/>
              </w:rPr>
              <w:t>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43"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8</w:t>
            </w:r>
          </w:p>
        </w:tc>
        <w:tc>
          <w:tcPr>
            <w:tcW w:w="188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干旱灾害</w:t>
            </w:r>
          </w:p>
        </w:tc>
        <w:tc>
          <w:tcPr>
            <w:tcW w:w="3573"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对人类健康，牲畜、家禽生命农作物生长构成威胁。</w:t>
            </w:r>
          </w:p>
        </w:tc>
        <w:tc>
          <w:tcPr>
            <w:tcW w:w="220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财产损失、环境破坏、生产生活影响、社会</w:t>
            </w:r>
            <w:r>
              <w:rPr>
                <w:rFonts w:hint="eastAsia" w:eastAsia="方正仿宋_GBK" w:cs="Times New Roman"/>
                <w:sz w:val="24"/>
                <w:szCs w:val="24"/>
                <w:lang w:eastAsia="zh-CN"/>
              </w:rPr>
              <w:t>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43"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9</w:t>
            </w:r>
          </w:p>
        </w:tc>
        <w:tc>
          <w:tcPr>
            <w:tcW w:w="188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雷电灾害</w:t>
            </w:r>
          </w:p>
        </w:tc>
        <w:tc>
          <w:tcPr>
            <w:tcW w:w="3573"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对人类健康，牲畜、家禽生命构成威胁。</w:t>
            </w:r>
          </w:p>
        </w:tc>
        <w:tc>
          <w:tcPr>
            <w:tcW w:w="220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财产损失、环境破坏、生产生活影响、社会</w:t>
            </w:r>
            <w:r>
              <w:rPr>
                <w:rFonts w:hint="eastAsia" w:eastAsia="方正仿宋_GBK" w:cs="Times New Roman"/>
                <w:sz w:val="24"/>
                <w:szCs w:val="24"/>
                <w:lang w:eastAsia="zh-CN"/>
              </w:rPr>
              <w:t>影响。</w:t>
            </w:r>
          </w:p>
        </w:tc>
      </w:tr>
    </w:tbl>
    <w:p>
      <w:pPr>
        <w:jc w:val="center"/>
        <w:rPr>
          <w:rFonts w:hint="default" w:ascii="方正仿宋_GBK" w:hAnsi="方正仿宋_GBK" w:eastAsia="方正仿宋_GBK" w:cs="方正仿宋_GBK"/>
          <w:b w:val="0"/>
          <w:bCs w:val="0"/>
          <w:color w:val="000000"/>
          <w:sz w:val="28"/>
          <w:szCs w:val="28"/>
        </w:rPr>
      </w:pPr>
      <w:r>
        <w:rPr>
          <w:rFonts w:hint="default" w:ascii="方正仿宋_GBK" w:hAnsi="方正仿宋_GBK" w:eastAsia="方正仿宋_GBK" w:cs="方正仿宋_GBK"/>
          <w:b w:val="0"/>
          <w:bCs w:val="0"/>
          <w:color w:val="000000"/>
          <w:sz w:val="28"/>
          <w:szCs w:val="28"/>
        </w:rPr>
        <w:t>表8-2 铜梁区事故灾难类风险评估等级表</w:t>
      </w:r>
    </w:p>
    <w:tbl>
      <w:tblPr>
        <w:tblStyle w:val="16"/>
        <w:tblW w:w="147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5"/>
        <w:gridCol w:w="1879"/>
        <w:gridCol w:w="3574"/>
        <w:gridCol w:w="2204"/>
        <w:gridCol w:w="62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7" w:hRule="atLeast"/>
          <w:tblHeader/>
          <w:jc w:val="center"/>
        </w:trPr>
        <w:tc>
          <w:tcPr>
            <w:tcW w:w="835" w:type="dxa"/>
            <w:tcBorders>
              <w:tl2br w:val="nil"/>
              <w:tr2bl w:val="nil"/>
            </w:tcBorders>
            <w:vAlign w:val="center"/>
          </w:tcPr>
          <w:p>
            <w:pPr>
              <w:tabs>
                <w:tab w:val="left" w:pos="3031"/>
              </w:tabs>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序号</w:t>
            </w:r>
            <w:r>
              <w:rPr>
                <w:rFonts w:hint="eastAsia" w:ascii="方正黑体_GBK" w:hAnsi="方正黑体_GBK" w:eastAsia="方正黑体_GBK" w:cs="方正黑体_GBK"/>
                <w:b w:val="0"/>
                <w:bCs w:val="0"/>
              </w:rPr>
              <w:tab/>
            </w:r>
            <w:r>
              <w:rPr>
                <w:rFonts w:hint="eastAsia" w:ascii="方正黑体_GBK" w:hAnsi="方正黑体_GBK" w:eastAsia="方正黑体_GBK" w:cs="方正黑体_GBK"/>
                <w:b w:val="0"/>
                <w:bCs w:val="0"/>
                <w:sz w:val="24"/>
                <w:szCs w:val="24"/>
              </w:rPr>
              <w:t>序号</w:t>
            </w:r>
          </w:p>
        </w:tc>
        <w:tc>
          <w:tcPr>
            <w:tcW w:w="1879" w:type="dxa"/>
            <w:tcBorders>
              <w:tl2br w:val="nil"/>
              <w:tr2bl w:val="nil"/>
            </w:tcBorders>
            <w:vAlign w:val="center"/>
          </w:tcPr>
          <w:p>
            <w:pPr>
              <w:spacing w:before="33" w:beforeLines="10" w:after="33" w:afterLines="10" w:line="36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事件类别</w:t>
            </w:r>
          </w:p>
        </w:tc>
        <w:tc>
          <w:tcPr>
            <w:tcW w:w="3574" w:type="dxa"/>
            <w:tcBorders>
              <w:tl2br w:val="nil"/>
              <w:tr2bl w:val="nil"/>
            </w:tcBorders>
            <w:vAlign w:val="center"/>
          </w:tcPr>
          <w:p>
            <w:pPr>
              <w:spacing w:before="33" w:beforeLines="10" w:after="33" w:afterLines="10" w:line="36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基本情况描述</w:t>
            </w:r>
          </w:p>
        </w:tc>
        <w:tc>
          <w:tcPr>
            <w:tcW w:w="2204" w:type="dxa"/>
            <w:tcBorders>
              <w:tl2br w:val="nil"/>
              <w:tr2bl w:val="nil"/>
            </w:tcBorders>
            <w:vAlign w:val="center"/>
          </w:tcPr>
          <w:p>
            <w:pPr>
              <w:spacing w:before="33" w:beforeLines="10" w:after="33" w:afterLines="10" w:line="36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可能性（极可能、可能、可能性较小）</w:t>
            </w:r>
          </w:p>
        </w:tc>
        <w:tc>
          <w:tcPr>
            <w:tcW w:w="6268" w:type="dxa"/>
            <w:tcBorders>
              <w:tl2br w:val="nil"/>
              <w:tr2bl w:val="nil"/>
            </w:tcBorders>
            <w:vAlign w:val="center"/>
          </w:tcPr>
          <w:p>
            <w:pPr>
              <w:spacing w:before="33" w:beforeLines="10" w:after="33" w:afterLines="10" w:line="360" w:lineRule="exact"/>
              <w:jc w:val="left"/>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最大严重程度（人口，城市、医院、学校、铁路线、通信中枢、电力设施、自来水供应系统等重要设施，财产、环境，社会稳定等方面）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非煤矿山事故</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坍塌、物体打击、高处坠落、爆破事故、机械伤害、车辆伤害、火灾、触电</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极可能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人员伤亡、环境破坏、财产损失、社会影响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危险化学品事故</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火灾、爆炸、泄漏、中毒窒息、灼伤</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人员伤亡、人员疏散、环境破坏、财产损失、社会影响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工贸行业事故</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火灾、爆炸、泄漏、中毒窒息、灼伤</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极可能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人员伤亡、人员疏散、环境破坏、财产损失、社会影响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4</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火灾事故</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火灾、爆炸、中毒窒息、灼伤</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极可能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人员伤亡、人员疏散、环境破坏、财产损失、社会影响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5</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道路交通事故</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道路交通或危险化学品运输事故</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极可能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人员伤亡、人员疏散、环境破坏、财产损失、社会影响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6</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高速公路事故</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火灾、爆炸、车辆伤害</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人员伤亡、人员疏散、环境破坏、财产损失、社会影响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7</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市政环卫安全事故</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车辆伤害、机械伤害、物体打击</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人员伤亡、人员疏散、环境破坏、财产损失、社会影响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8</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建筑生产安全事故</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坍塌、物体打击、高处坠落、爆破事故、机械伤害、车辆伤害、火灾、触电</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道路中断、人员伤亡、人员疏散、环境破坏、财产损失、社会影响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9</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供水突发事件</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因水源枯竭、水质不达标、自然灾害、人为破坏造成停水事件</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城镇居民饮用水困难、环境破坏、人员伤亡、财产损失、社会影响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10</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燃气事故</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因天然气泄漏、管道、压力容器超温、超压、天然气客户使用不当造成的燃烧爆炸事故</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人员伤亡、人员疏散、环境破坏、财产损失、社会影响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11</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大面积停电事件</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因自然灾害、电力安全事故和外力破坏等原因造成电网大量减供负荷的停电事件</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生产生活影响、财产损失、社会影响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12</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长输管线事故</w:t>
            </w:r>
          </w:p>
        </w:tc>
        <w:tc>
          <w:tcPr>
            <w:tcW w:w="3574"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pacing w:val="-11"/>
                <w:sz w:val="24"/>
                <w:szCs w:val="24"/>
              </w:rPr>
              <w:t>因自然灾害、安全事故、人为破坏造成管道破损，引起燃气泄漏</w:t>
            </w:r>
            <w:r>
              <w:rPr>
                <w:rFonts w:hint="eastAsia" w:eastAsia="方正仿宋_GBK" w:cs="Times New Roman"/>
                <w:spacing w:val="-11"/>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人员伤亡、人员疏散、环境破坏、财产损失、社会影响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13</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特种设备事故</w:t>
            </w:r>
          </w:p>
        </w:tc>
        <w:tc>
          <w:tcPr>
            <w:tcW w:w="35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40" w:lineRule="exact"/>
              <w:jc w:val="left"/>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锅炉、压力容器、压力管道、电梯、起重机械、客运索道、大型游乐设施、场（厂）内机动车辆等特种设备发生的事故</w:t>
            </w:r>
            <w:r>
              <w:rPr>
                <w:rFonts w:hint="eastAsia" w:eastAsia="方正仿宋_GBK" w:cs="Times New Roman"/>
                <w:sz w:val="24"/>
                <w:szCs w:val="24"/>
                <w:lang w:eastAsia="zh-CN"/>
              </w:rPr>
              <w:t>。</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人员伤亡、人员疏散、环境破坏、财产损失、社会影响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14</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辐射事故</w:t>
            </w:r>
          </w:p>
        </w:tc>
        <w:tc>
          <w:tcPr>
            <w:tcW w:w="35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4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除核事故外，放射性物质丢失、被盗、失控，或者放射性物质造成人员受到意外的异常照射或环境辐射污染后果的事件。</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人员伤亡，食品、饮用水、生态环境受污染或破坏。人员疏散、财产损失、社会影响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15</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重污染天气事件</w:t>
            </w:r>
          </w:p>
        </w:tc>
        <w:tc>
          <w:tcPr>
            <w:tcW w:w="35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4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连续3天空气质量指数（AQI）为201~300（含300）时启动</w:t>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 2 \* ROMAN \* MERGEFORMAT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II</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24"/>
              </w:rPr>
              <w:t>级黄色预警，当空气质量指数（AQI）超过300时，启动</w:t>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 1 \* ROMAN \* MERGEFORMAT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I</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24"/>
              </w:rPr>
              <w:t>级橙色预警。</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生产生活影响、财产损失、环境破坏、社会</w:t>
            </w:r>
            <w:r>
              <w:rPr>
                <w:rFonts w:hint="eastAsia" w:eastAsia="方正仿宋_GBK" w:cs="Times New Roman"/>
                <w:sz w:val="24"/>
                <w:szCs w:val="24"/>
                <w:lang w:eastAsia="zh-CN"/>
              </w:rPr>
              <w:t>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00"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16</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突发环境事件</w:t>
            </w:r>
          </w:p>
        </w:tc>
        <w:tc>
          <w:tcPr>
            <w:tcW w:w="35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由于污染物排放或自然灾害、生产安全事故等因素，导致污染物或放射性物质等有毒有害物质进入大气、水体、</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"https://baike.so.com/doc/2557765-27396666.html" \t "https://baike.so.com/doc/_blank" </w:instrText>
            </w:r>
            <w:r>
              <w:rPr>
                <w:rFonts w:hint="default" w:ascii="Times New Roman" w:hAnsi="Times New Roman" w:cs="Times New Roman"/>
              </w:rPr>
              <w:fldChar w:fldCharType="separate"/>
            </w:r>
            <w:r>
              <w:rPr>
                <w:rFonts w:hint="default" w:ascii="Times New Roman" w:hAnsi="Times New Roman" w:eastAsia="方正仿宋_GBK" w:cs="Times New Roman"/>
                <w:sz w:val="24"/>
                <w:szCs w:val="24"/>
              </w:rPr>
              <w:t>土壤</w:t>
            </w:r>
            <w:r>
              <w:rPr>
                <w:rFonts w:hint="default" w:ascii="Times New Roman" w:hAnsi="Times New Roman" w:eastAsia="方正仿宋_GBK" w:cs="Times New Roman"/>
                <w:sz w:val="24"/>
                <w:szCs w:val="24"/>
              </w:rPr>
              <w:fldChar w:fldCharType="end"/>
            </w:r>
            <w:r>
              <w:rPr>
                <w:rFonts w:hint="default" w:ascii="Times New Roman" w:hAnsi="Times New Roman" w:eastAsia="方正仿宋_GBK" w:cs="Times New Roman"/>
                <w:sz w:val="24"/>
                <w:szCs w:val="24"/>
              </w:rPr>
              <w:t>等环境介质，造成或可能造成环境质量下降，危及公众身体健康和财产安全，或造成生态环境破坏，或造成重大社会影响，需要采取紧急措施予以应对的事件。</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68"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造成人员中毒甚至出现伤亡</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因污染造成人员疏散、转移</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造成直接经济损失</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因环境污染造成区域生态功能丧失或该区域国家重点保护物种灭绝</w:t>
            </w:r>
            <w:r>
              <w:rPr>
                <w:rFonts w:hint="eastAsia" w:eastAsia="方正仿宋_GBK" w:cs="Times New Roman"/>
                <w:sz w:val="24"/>
                <w:szCs w:val="24"/>
                <w:lang w:eastAsia="zh-CN"/>
              </w:rPr>
              <w:t>，</w:t>
            </w:r>
            <w:r>
              <w:rPr>
                <w:rFonts w:hint="default" w:ascii="Times New Roman" w:hAnsi="Times New Roman" w:eastAsia="方正仿宋_GBK" w:cs="Times New Roman"/>
                <w:sz w:val="24"/>
                <w:szCs w:val="24"/>
              </w:rPr>
              <w:t>因环境污染造成城市集中式饮用水水源地取水中断。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02" w:hRule="atLeast"/>
          <w:jc w:val="center"/>
        </w:trPr>
        <w:tc>
          <w:tcPr>
            <w:tcW w:w="83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17</w:t>
            </w:r>
          </w:p>
        </w:tc>
        <w:tc>
          <w:tcPr>
            <w:tcW w:w="1879"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饮用水源安全事件</w:t>
            </w:r>
          </w:p>
        </w:tc>
        <w:tc>
          <w:tcPr>
            <w:tcW w:w="35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涪江取水点上游发生重大事故造成危化品进入水环境，造成水环境污染；事故发生同时全部备用水源设施发生故障。</w:t>
            </w:r>
          </w:p>
        </w:tc>
        <w:tc>
          <w:tcPr>
            <w:tcW w:w="2204"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可能性较小</w:t>
            </w:r>
          </w:p>
        </w:tc>
        <w:tc>
          <w:tcPr>
            <w:tcW w:w="6268"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部分城区供水暂停、财产损失、生产生活影响、社会</w:t>
            </w:r>
            <w:r>
              <w:rPr>
                <w:rFonts w:hint="eastAsia" w:eastAsia="方正仿宋_GBK" w:cs="Times New Roman"/>
                <w:sz w:val="24"/>
                <w:szCs w:val="24"/>
                <w:lang w:eastAsia="zh-CN"/>
              </w:rPr>
              <w:t>影响</w:t>
            </w:r>
            <w:r>
              <w:rPr>
                <w:rFonts w:hint="default" w:ascii="Times New Roman" w:hAnsi="Times New Roman" w:eastAsia="方正仿宋_GBK" w:cs="Times New Roman"/>
                <w:sz w:val="24"/>
                <w:szCs w:val="24"/>
              </w:rPr>
              <w:t>。</w:t>
            </w:r>
          </w:p>
        </w:tc>
      </w:tr>
    </w:tbl>
    <w:p>
      <w:pPr>
        <w:jc w:val="center"/>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表8-3铜梁区公共卫生类风险评估等级表</w:t>
      </w:r>
    </w:p>
    <w:tbl>
      <w:tblPr>
        <w:tblStyle w:val="16"/>
        <w:tblW w:w="1476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65"/>
        <w:gridCol w:w="1954"/>
        <w:gridCol w:w="3558"/>
        <w:gridCol w:w="2208"/>
        <w:gridCol w:w="62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35" w:hRule="atLeast"/>
          <w:tblHeader/>
          <w:jc w:val="center"/>
        </w:trPr>
        <w:tc>
          <w:tcPr>
            <w:tcW w:w="765" w:type="dxa"/>
            <w:tcBorders>
              <w:tl2br w:val="nil"/>
              <w:tr2bl w:val="nil"/>
            </w:tcBorders>
            <w:vAlign w:val="center"/>
          </w:tcPr>
          <w:p>
            <w:pPr>
              <w:tabs>
                <w:tab w:val="left" w:pos="753"/>
              </w:tabs>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序号</w:t>
            </w:r>
          </w:p>
        </w:tc>
        <w:tc>
          <w:tcPr>
            <w:tcW w:w="1954" w:type="dxa"/>
            <w:tcBorders>
              <w:tl2br w:val="nil"/>
              <w:tr2bl w:val="nil"/>
            </w:tcBorders>
            <w:vAlign w:val="center"/>
          </w:tcPr>
          <w:p>
            <w:pPr>
              <w:spacing w:before="33" w:beforeLines="10" w:after="33" w:afterLines="10" w:line="36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事件类别</w:t>
            </w:r>
          </w:p>
        </w:tc>
        <w:tc>
          <w:tcPr>
            <w:tcW w:w="3558" w:type="dxa"/>
            <w:tcBorders>
              <w:tl2br w:val="nil"/>
              <w:tr2bl w:val="nil"/>
            </w:tcBorders>
            <w:vAlign w:val="center"/>
          </w:tcPr>
          <w:p>
            <w:pPr>
              <w:spacing w:before="33" w:beforeLines="10" w:after="33" w:afterLines="10" w:line="36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基本情况描述</w:t>
            </w:r>
          </w:p>
        </w:tc>
        <w:tc>
          <w:tcPr>
            <w:tcW w:w="2208" w:type="dxa"/>
            <w:tcBorders>
              <w:tl2br w:val="nil"/>
              <w:tr2bl w:val="nil"/>
            </w:tcBorders>
            <w:vAlign w:val="center"/>
          </w:tcPr>
          <w:p>
            <w:pPr>
              <w:spacing w:before="33" w:beforeLines="10" w:after="33" w:afterLines="10" w:line="360" w:lineRule="exact"/>
              <w:jc w:val="center"/>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可能性（极可能、可能、可能性较小）</w:t>
            </w:r>
          </w:p>
        </w:tc>
        <w:tc>
          <w:tcPr>
            <w:tcW w:w="6283" w:type="dxa"/>
            <w:tcBorders>
              <w:tl2br w:val="nil"/>
              <w:tr2bl w:val="nil"/>
            </w:tcBorders>
            <w:vAlign w:val="center"/>
          </w:tcPr>
          <w:p>
            <w:pPr>
              <w:spacing w:before="33" w:beforeLines="10" w:after="33" w:afterLines="10" w:line="360" w:lineRule="exact"/>
              <w:jc w:val="left"/>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最大严重程度（人口，城市、医院、学校、铁路线、通信中枢、电力设施、自来水供应系统等重要设施，财产、环境，社会稳定等方面）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76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95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传染病疫情</w:t>
            </w:r>
          </w:p>
        </w:tc>
        <w:tc>
          <w:tcPr>
            <w:tcW w:w="35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病种多为呼吸道传染病及肠道传染病。主要为丙类传染病：流行性感冒、手足口病、流行性腮腺炎、诺如病毒感染性腹泻。其他类传染病：水痘。</w:t>
            </w:r>
          </w:p>
        </w:tc>
        <w:tc>
          <w:tcPr>
            <w:tcW w:w="2208"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可能发生场所最主要为人群密集的学校、托幼机构，波及人群主要为学生及幼托儿童，公共卫生危害主要是直接影响学生及幼托儿童身体健康及学校教学正常秩序。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76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w:t>
            </w:r>
          </w:p>
        </w:tc>
        <w:tc>
          <w:tcPr>
            <w:tcW w:w="195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急性中毒事件</w:t>
            </w:r>
          </w:p>
        </w:tc>
        <w:tc>
          <w:tcPr>
            <w:tcW w:w="35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职业性中毒</w:t>
            </w:r>
            <w:r>
              <w:rPr>
                <w:rFonts w:hint="eastAsia" w:eastAsia="方正仿宋_GBK" w:cs="Times New Roman"/>
                <w:sz w:val="24"/>
                <w:szCs w:val="24"/>
                <w:lang w:eastAsia="zh-CN"/>
              </w:rPr>
              <w:t>。</w:t>
            </w:r>
          </w:p>
        </w:tc>
        <w:tc>
          <w:tcPr>
            <w:tcW w:w="2208"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在生产环境和劳动过程中，发生的职业中毒，导致企业停产、停业，带来身体、心理危害和社会经济影响。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9" w:hRule="atLeast"/>
          <w:jc w:val="center"/>
        </w:trPr>
        <w:tc>
          <w:tcPr>
            <w:tcW w:w="76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w:t>
            </w:r>
          </w:p>
        </w:tc>
        <w:tc>
          <w:tcPr>
            <w:tcW w:w="195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食品安全事件</w:t>
            </w:r>
          </w:p>
        </w:tc>
        <w:tc>
          <w:tcPr>
            <w:tcW w:w="35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4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生产领域：白酒生产小作坊及白酒生产企业在散装白酒时，用甲醇或工业酒精三非食品原料勾兑白酒，可导致饮酒消费者甲醇中毒死亡事件发生。</w:t>
            </w:r>
          </w:p>
          <w:p>
            <w:pPr>
              <w:keepNext w:val="0"/>
              <w:keepLines w:val="0"/>
              <w:pageBreakBefore w:val="0"/>
              <w:widowControl w:val="0"/>
              <w:kinsoku/>
              <w:wordWrap/>
              <w:overflowPunct/>
              <w:topLinePunct w:val="0"/>
              <w:autoSpaceDE/>
              <w:autoSpaceDN/>
              <w:bidi w:val="0"/>
              <w:adjustRightInd/>
              <w:snapToGrid/>
              <w:spacing w:before="33" w:beforeLines="10" w:after="33" w:afterLines="10" w:line="24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餐饮环节：一是因食品交叉污染易引发食物性疾病；二是因误食有毒食物，引发食物中毒事件。</w:t>
            </w:r>
          </w:p>
        </w:tc>
        <w:tc>
          <w:tcPr>
            <w:tcW w:w="2208"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致人死亡并造成不良社会影响</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67" w:hRule="atLeast"/>
          <w:jc w:val="center"/>
        </w:trPr>
        <w:tc>
          <w:tcPr>
            <w:tcW w:w="76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4</w:t>
            </w:r>
          </w:p>
        </w:tc>
        <w:tc>
          <w:tcPr>
            <w:tcW w:w="195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药品安全事件</w:t>
            </w:r>
          </w:p>
        </w:tc>
        <w:tc>
          <w:tcPr>
            <w:tcW w:w="355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生产、销售、使用质量不符合规定要求的药品或接种疫苗质量不符合要求，使身体健康受到损害</w:t>
            </w:r>
            <w:r>
              <w:rPr>
                <w:rFonts w:hint="eastAsia" w:eastAsia="方正仿宋_GBK" w:cs="Times New Roman"/>
                <w:sz w:val="24"/>
                <w:szCs w:val="24"/>
                <w:lang w:eastAsia="zh-CN"/>
              </w:rPr>
              <w:t>。</w:t>
            </w:r>
          </w:p>
        </w:tc>
        <w:tc>
          <w:tcPr>
            <w:tcW w:w="2208"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可能性较小</w:t>
            </w:r>
          </w:p>
        </w:tc>
        <w:tc>
          <w:tcPr>
            <w:tcW w:w="6283"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最严重程度致畸或致人死亡，社会关注度较高，易引起群体性事件，造成不良社会影响。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765"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5</w:t>
            </w:r>
          </w:p>
        </w:tc>
        <w:tc>
          <w:tcPr>
            <w:tcW w:w="1954"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动物疫情</w:t>
            </w:r>
          </w:p>
        </w:tc>
        <w:tc>
          <w:tcPr>
            <w:tcW w:w="3558"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高致病性禽流感、口蹄疫、猪瘟、鸡新城疫、布鲁氏菌病、结核病、狂犬病、炭疽等动物传染病</w:t>
            </w:r>
            <w:r>
              <w:rPr>
                <w:rFonts w:hint="eastAsia" w:eastAsia="方正仿宋_GBK" w:cs="Times New Roman"/>
                <w:sz w:val="24"/>
                <w:szCs w:val="24"/>
                <w:lang w:eastAsia="zh-CN"/>
              </w:rPr>
              <w:t>。</w:t>
            </w:r>
          </w:p>
        </w:tc>
        <w:tc>
          <w:tcPr>
            <w:tcW w:w="2208"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可能性较小</w:t>
            </w:r>
          </w:p>
        </w:tc>
        <w:tc>
          <w:tcPr>
            <w:tcW w:w="6283"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对广大人民群众</w:t>
            </w:r>
            <w:r>
              <w:rPr>
                <w:rFonts w:hint="eastAsia" w:eastAsia="方正仿宋_GBK" w:cs="Times New Roman"/>
                <w:sz w:val="24"/>
                <w:szCs w:val="24"/>
                <w:lang w:eastAsia="zh-CN"/>
              </w:rPr>
              <w:t>身</w:t>
            </w:r>
            <w:r>
              <w:rPr>
                <w:rFonts w:hint="default" w:ascii="Times New Roman" w:hAnsi="Times New Roman" w:eastAsia="方正仿宋_GBK" w:cs="Times New Roman"/>
                <w:sz w:val="24"/>
                <w:szCs w:val="24"/>
              </w:rPr>
              <w:t>体健康、财产安全及社会稳定有一定影响</w:t>
            </w:r>
            <w:r>
              <w:rPr>
                <w:rFonts w:hint="eastAsia" w:eastAsia="方正仿宋_GBK" w:cs="Times New Roman"/>
                <w:sz w:val="24"/>
                <w:szCs w:val="24"/>
                <w:lang w:eastAsia="zh-CN"/>
              </w:rPr>
              <w:t>。</w:t>
            </w:r>
          </w:p>
        </w:tc>
      </w:tr>
    </w:tbl>
    <w:p>
      <w:pPr>
        <w:jc w:val="center"/>
        <w:rPr>
          <w:rFonts w:hint="default" w:ascii="方正仿宋_GBK" w:hAnsi="方正仿宋_GBK" w:eastAsia="方正仿宋_GBK" w:cs="方正仿宋_GBK"/>
          <w:b w:val="0"/>
          <w:bCs w:val="0"/>
          <w:color w:val="000000"/>
          <w:sz w:val="28"/>
          <w:szCs w:val="28"/>
        </w:rPr>
      </w:pPr>
      <w:r>
        <w:rPr>
          <w:rFonts w:hint="default" w:ascii="方正仿宋_GBK" w:hAnsi="方正仿宋_GBK" w:eastAsia="方正仿宋_GBK" w:cs="方正仿宋_GBK"/>
          <w:b w:val="0"/>
          <w:bCs w:val="0"/>
          <w:color w:val="000000"/>
          <w:sz w:val="28"/>
          <w:szCs w:val="28"/>
        </w:rPr>
        <w:t>表8-4铜梁区社会安全类风险评估等级表</w:t>
      </w:r>
    </w:p>
    <w:tbl>
      <w:tblPr>
        <w:tblStyle w:val="16"/>
        <w:tblW w:w="1477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1"/>
        <w:gridCol w:w="1977"/>
        <w:gridCol w:w="3512"/>
        <w:gridCol w:w="2232"/>
        <w:gridCol w:w="62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4" w:hRule="atLeast"/>
          <w:tblHeader/>
          <w:jc w:val="center"/>
        </w:trPr>
        <w:tc>
          <w:tcPr>
            <w:tcW w:w="7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center"/>
              <w:textAlignment w:val="auto"/>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序号</w:t>
            </w:r>
          </w:p>
        </w:tc>
        <w:tc>
          <w:tcPr>
            <w:tcW w:w="19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center"/>
              <w:textAlignment w:val="auto"/>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事件类别</w:t>
            </w:r>
          </w:p>
        </w:tc>
        <w:tc>
          <w:tcPr>
            <w:tcW w:w="3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center"/>
              <w:textAlignment w:val="auto"/>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基本情况描述</w:t>
            </w:r>
          </w:p>
        </w:tc>
        <w:tc>
          <w:tcPr>
            <w:tcW w:w="22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center"/>
              <w:textAlignment w:val="auto"/>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可能性（极可能、可能、可能性较小）</w:t>
            </w:r>
          </w:p>
        </w:tc>
        <w:tc>
          <w:tcPr>
            <w:tcW w:w="6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最大严重程度（人口，城市、医院、学校、铁路线、通信中枢、电力设施、自来水供应系统等重要设施，财产、环境，社会稳定等方面）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9" w:hRule="atLeast"/>
          <w:jc w:val="center"/>
        </w:trPr>
        <w:tc>
          <w:tcPr>
            <w:tcW w:w="7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9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恐怖袭击事件</w:t>
            </w:r>
          </w:p>
        </w:tc>
        <w:tc>
          <w:tcPr>
            <w:tcW w:w="3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未发生</w:t>
            </w:r>
            <w:r>
              <w:rPr>
                <w:rFonts w:hint="eastAsia" w:eastAsia="方正仿宋_GBK" w:cs="Times New Roman"/>
                <w:sz w:val="24"/>
                <w:szCs w:val="24"/>
                <w:lang w:eastAsia="zh-CN"/>
              </w:rPr>
              <w:t>。</w:t>
            </w:r>
          </w:p>
        </w:tc>
        <w:tc>
          <w:tcPr>
            <w:tcW w:w="2232"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可能性较小</w:t>
            </w:r>
          </w:p>
        </w:tc>
        <w:tc>
          <w:tcPr>
            <w:tcW w:w="6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可能造成重大人员伤亡和财产损失，严重影响社会安全稳定。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6" w:hRule="atLeast"/>
          <w:jc w:val="center"/>
        </w:trPr>
        <w:tc>
          <w:tcPr>
            <w:tcW w:w="7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9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刑事案件</w:t>
            </w:r>
          </w:p>
        </w:tc>
        <w:tc>
          <w:tcPr>
            <w:tcW w:w="3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八类暴力犯罪（抢劫、强奸、故意伤害、故意杀人、劫持、防火、爆炸、绑架）</w:t>
            </w:r>
            <w:r>
              <w:rPr>
                <w:rFonts w:hint="eastAsia" w:eastAsia="方正仿宋_GBK" w:cs="Times New Roman"/>
                <w:sz w:val="24"/>
                <w:szCs w:val="24"/>
                <w:lang w:eastAsia="zh-CN"/>
              </w:rPr>
              <w:t>。</w:t>
            </w:r>
          </w:p>
        </w:tc>
        <w:tc>
          <w:tcPr>
            <w:tcW w:w="2232"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对人身安全，社会危害性极大，最常见的有故意伤害、强奸、故意杀人，社会影响极其恶劣，严重影响人民群众安全感。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26" w:hRule="atLeast"/>
          <w:jc w:val="center"/>
        </w:trPr>
        <w:tc>
          <w:tcPr>
            <w:tcW w:w="7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9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30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公共密集场所突发事件</w:t>
            </w:r>
          </w:p>
        </w:tc>
        <w:tc>
          <w:tcPr>
            <w:tcW w:w="35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3" w:beforeLines="10" w:after="33" w:afterLines="10" w:line="280" w:lineRule="exact"/>
              <w:jc w:val="left"/>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各类大型群众活动或人员密集场所因火灾、爆炸、垮塌、踩踏、危险化学品泄漏（恐怖袭击除外）造成人员伤亡，需要进行紧急疏散和救援的事件</w:t>
            </w:r>
            <w:r>
              <w:rPr>
                <w:rFonts w:hint="eastAsia" w:eastAsia="方正仿宋_GBK" w:cs="Times New Roman"/>
                <w:sz w:val="24"/>
                <w:szCs w:val="24"/>
                <w:lang w:eastAsia="zh-CN"/>
              </w:rPr>
              <w:t>。</w:t>
            </w:r>
          </w:p>
        </w:tc>
        <w:tc>
          <w:tcPr>
            <w:tcW w:w="2232"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82"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人员伤亡、财产损失、社会</w:t>
            </w:r>
            <w:r>
              <w:rPr>
                <w:rFonts w:hint="eastAsia" w:eastAsia="方正仿宋_GBK" w:cs="Times New Roman"/>
                <w:sz w:val="24"/>
                <w:szCs w:val="24"/>
                <w:lang w:eastAsia="zh-CN"/>
              </w:rPr>
              <w:t>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66" w:hRule="atLeast"/>
          <w:jc w:val="center"/>
        </w:trPr>
        <w:tc>
          <w:tcPr>
            <w:tcW w:w="77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977"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生活必需品市场供应突发事件</w:t>
            </w:r>
          </w:p>
        </w:tc>
        <w:tc>
          <w:tcPr>
            <w:tcW w:w="3512"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因生活必需品市场异常波动，供求严重失衡，在较大范围内引起抢购，价格猛涨或商品脱销，需立即处置的突发公共事件</w:t>
            </w:r>
            <w:r>
              <w:rPr>
                <w:rFonts w:hint="eastAsia" w:eastAsia="方正仿宋_GBK" w:cs="Times New Roman"/>
                <w:sz w:val="24"/>
                <w:szCs w:val="24"/>
                <w:lang w:eastAsia="zh-CN"/>
              </w:rPr>
              <w:t>。</w:t>
            </w:r>
          </w:p>
        </w:tc>
        <w:tc>
          <w:tcPr>
            <w:tcW w:w="2232"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82"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生产生活影响、社会</w:t>
            </w:r>
            <w:r>
              <w:rPr>
                <w:rFonts w:hint="eastAsia" w:eastAsia="方正仿宋_GBK" w:cs="Times New Roman"/>
                <w:sz w:val="24"/>
                <w:szCs w:val="24"/>
                <w:lang w:eastAsia="zh-CN"/>
              </w:rPr>
              <w:t>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6" w:hRule="atLeast"/>
          <w:jc w:val="center"/>
        </w:trPr>
        <w:tc>
          <w:tcPr>
            <w:tcW w:w="77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5</w:t>
            </w:r>
          </w:p>
        </w:tc>
        <w:tc>
          <w:tcPr>
            <w:tcW w:w="1977"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政府性债务风险事件</w:t>
            </w:r>
          </w:p>
        </w:tc>
        <w:tc>
          <w:tcPr>
            <w:tcW w:w="3512"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区政府已经或者可能无法按期支付政府债务本息，或者无力履行或有债务法定代偿责任，容易引发财政金融风险的政府债务风险事件</w:t>
            </w:r>
            <w:r>
              <w:rPr>
                <w:rFonts w:hint="eastAsia" w:eastAsia="方正仿宋_GBK" w:cs="Times New Roman"/>
                <w:sz w:val="24"/>
                <w:szCs w:val="24"/>
                <w:lang w:eastAsia="zh-CN"/>
              </w:rPr>
              <w:t>。</w:t>
            </w:r>
          </w:p>
        </w:tc>
        <w:tc>
          <w:tcPr>
            <w:tcW w:w="2232"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可能性较小</w:t>
            </w:r>
          </w:p>
        </w:tc>
        <w:tc>
          <w:tcPr>
            <w:tcW w:w="6282"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政府信用、经济安全、社会</w:t>
            </w:r>
            <w:r>
              <w:rPr>
                <w:rFonts w:hint="eastAsia" w:eastAsia="方正仿宋_GBK" w:cs="Times New Roman"/>
                <w:sz w:val="24"/>
                <w:szCs w:val="24"/>
                <w:lang w:eastAsia="zh-CN"/>
              </w:rPr>
              <w:t>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0" w:hRule="atLeast"/>
          <w:jc w:val="center"/>
        </w:trPr>
        <w:tc>
          <w:tcPr>
            <w:tcW w:w="77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6</w:t>
            </w:r>
          </w:p>
        </w:tc>
        <w:tc>
          <w:tcPr>
            <w:tcW w:w="1977"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民族宗教事件</w:t>
            </w:r>
          </w:p>
        </w:tc>
        <w:tc>
          <w:tcPr>
            <w:tcW w:w="3512"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集会、烧香可能发生人员踩踏和火灾安全事故</w:t>
            </w:r>
            <w:r>
              <w:rPr>
                <w:rFonts w:hint="eastAsia" w:eastAsia="方正仿宋_GBK" w:cs="Times New Roman"/>
                <w:sz w:val="24"/>
                <w:szCs w:val="24"/>
                <w:lang w:eastAsia="zh-CN"/>
              </w:rPr>
              <w:t>。</w:t>
            </w:r>
          </w:p>
        </w:tc>
        <w:tc>
          <w:tcPr>
            <w:tcW w:w="2232"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可能性小</w:t>
            </w:r>
          </w:p>
        </w:tc>
        <w:tc>
          <w:tcPr>
            <w:tcW w:w="6282"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可能发生人员踩踏和火灾安全事故，造成人员伤亡和寺庙财产损失</w:t>
            </w:r>
            <w:r>
              <w:rPr>
                <w:rFonts w:hint="eastAsia" w:eastAsia="方正仿宋_GBK"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7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7</w:t>
            </w:r>
          </w:p>
        </w:tc>
        <w:tc>
          <w:tcPr>
            <w:tcW w:w="1977"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学校突发事件</w:t>
            </w:r>
          </w:p>
        </w:tc>
        <w:tc>
          <w:tcPr>
            <w:tcW w:w="3512"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学校内因火灾、爆炸、垮塌、踩踏、暴力犯罪造成人员伤亡，需要进行紧急疏散和救援的事件</w:t>
            </w:r>
          </w:p>
        </w:tc>
        <w:tc>
          <w:tcPr>
            <w:tcW w:w="2232"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82"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影响教学秩序，社会</w:t>
            </w:r>
            <w:r>
              <w:rPr>
                <w:rFonts w:hint="eastAsia" w:eastAsia="方正仿宋_GBK" w:cs="Times New Roman"/>
                <w:sz w:val="24"/>
                <w:szCs w:val="24"/>
                <w:lang w:eastAsia="zh-CN"/>
              </w:rPr>
              <w:t>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71"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8</w:t>
            </w:r>
          </w:p>
        </w:tc>
        <w:tc>
          <w:tcPr>
            <w:tcW w:w="1977" w:type="dxa"/>
            <w:tcBorders>
              <w:tl2br w:val="nil"/>
              <w:tr2bl w:val="nil"/>
            </w:tcBorders>
            <w:vAlign w:val="center"/>
          </w:tcPr>
          <w:p>
            <w:pPr>
              <w:spacing w:before="33" w:beforeLines="10" w:after="33" w:afterLines="10" w:line="3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幼儿园突发事件</w:t>
            </w:r>
          </w:p>
        </w:tc>
        <w:tc>
          <w:tcPr>
            <w:tcW w:w="3512"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幼儿园内因火灾、爆炸、垮塌、踩踏、暴力犯罪造成人员伤亡，需要进行紧急疏散和救援的事件</w:t>
            </w:r>
            <w:r>
              <w:rPr>
                <w:rFonts w:hint="eastAsia" w:eastAsia="方正仿宋_GBK" w:cs="Times New Roman"/>
                <w:sz w:val="24"/>
                <w:szCs w:val="24"/>
                <w:lang w:eastAsia="zh-CN"/>
              </w:rPr>
              <w:t>。</w:t>
            </w:r>
          </w:p>
        </w:tc>
        <w:tc>
          <w:tcPr>
            <w:tcW w:w="2232" w:type="dxa"/>
            <w:tcBorders>
              <w:tl2br w:val="nil"/>
              <w:tr2bl w:val="nil"/>
            </w:tcBorders>
            <w:vAlign w:val="center"/>
          </w:tcPr>
          <w:p>
            <w:pPr>
              <w:spacing w:before="33" w:beforeLines="10" w:after="33" w:afterLines="10"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可能</w:t>
            </w:r>
          </w:p>
        </w:tc>
        <w:tc>
          <w:tcPr>
            <w:tcW w:w="6282" w:type="dxa"/>
            <w:tcBorders>
              <w:tl2br w:val="nil"/>
              <w:tr2bl w:val="nil"/>
            </w:tcBorders>
            <w:vAlign w:val="center"/>
          </w:tcPr>
          <w:p>
            <w:pPr>
              <w:spacing w:before="33" w:beforeLines="10" w:after="33" w:afterLines="10" w:line="360" w:lineRule="exact"/>
              <w:jc w:val="left"/>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影响教学秩序，社会</w:t>
            </w:r>
            <w:r>
              <w:rPr>
                <w:rFonts w:hint="eastAsia" w:eastAsia="方正仿宋_GBK" w:cs="Times New Roman"/>
                <w:sz w:val="24"/>
                <w:szCs w:val="24"/>
                <w:lang w:eastAsia="zh-CN"/>
              </w:rPr>
              <w:t>影响。</w:t>
            </w:r>
          </w:p>
        </w:tc>
      </w:tr>
    </w:tbl>
    <w:p>
      <w:pPr>
        <w:tabs>
          <w:tab w:val="left" w:pos="3682"/>
        </w:tabs>
        <w:jc w:val="left"/>
        <w:rPr>
          <w:rFonts w:hint="default" w:ascii="Times New Roman" w:hAnsi="Times New Roman" w:cs="Times New Roman"/>
        </w:rPr>
      </w:pPr>
      <w:r>
        <w:rPr>
          <w:rFonts w:hint="default" w:ascii="Times New Roman" w:hAnsi="Times New Roman" w:cs="Times New Roman"/>
        </w:rPr>
        <w:tab/>
      </w:r>
    </w:p>
    <w:sectPr>
      <w:headerReference r:id="rId3" w:type="default"/>
      <w:footerReference r:id="rId4" w:type="default"/>
      <w:pgSz w:w="16838" w:h="11906" w:orient="landscape"/>
      <w:pgMar w:top="1531" w:right="1531" w:bottom="1531" w:left="1531" w:header="1020" w:footer="1020" w:gutter="0"/>
      <w:pgBorders>
        <w:top w:val="none" w:sz="0" w:space="0"/>
        <w:left w:val="none" w:sz="0" w:space="0"/>
        <w:bottom w:val="none" w:sz="0" w:space="0"/>
        <w:right w:val="none" w:sz="0" w:space="0"/>
      </w:pgBorders>
      <w:pgNumType w:fmt="numberInDash"/>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873"/>
        <w:tab w:val="clear" w:pos="4153"/>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70"/>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33912"/>
    <w:rsid w:val="00027528"/>
    <w:rsid w:val="000F00EB"/>
    <w:rsid w:val="0013775B"/>
    <w:rsid w:val="001E589B"/>
    <w:rsid w:val="0020580C"/>
    <w:rsid w:val="0028792C"/>
    <w:rsid w:val="00383A7A"/>
    <w:rsid w:val="003D1DBA"/>
    <w:rsid w:val="0040196D"/>
    <w:rsid w:val="004C24A1"/>
    <w:rsid w:val="004F2B63"/>
    <w:rsid w:val="00605DFE"/>
    <w:rsid w:val="006923F1"/>
    <w:rsid w:val="006A4B3B"/>
    <w:rsid w:val="007032CC"/>
    <w:rsid w:val="007C3A0B"/>
    <w:rsid w:val="007E2FC5"/>
    <w:rsid w:val="0094728E"/>
    <w:rsid w:val="0098472E"/>
    <w:rsid w:val="00BF22ED"/>
    <w:rsid w:val="00C128CB"/>
    <w:rsid w:val="00D3543F"/>
    <w:rsid w:val="00DA7BF7"/>
    <w:rsid w:val="00F160D9"/>
    <w:rsid w:val="00F279B1"/>
    <w:rsid w:val="010B3EFF"/>
    <w:rsid w:val="01976825"/>
    <w:rsid w:val="02E06355"/>
    <w:rsid w:val="02F3225F"/>
    <w:rsid w:val="03512A00"/>
    <w:rsid w:val="03E21110"/>
    <w:rsid w:val="03FA1DEC"/>
    <w:rsid w:val="05A54B09"/>
    <w:rsid w:val="05EB0037"/>
    <w:rsid w:val="06456812"/>
    <w:rsid w:val="07E36B62"/>
    <w:rsid w:val="08833912"/>
    <w:rsid w:val="0A586259"/>
    <w:rsid w:val="0B3260EF"/>
    <w:rsid w:val="0C77753F"/>
    <w:rsid w:val="0D10446E"/>
    <w:rsid w:val="0FF50CED"/>
    <w:rsid w:val="1066549C"/>
    <w:rsid w:val="106F55C5"/>
    <w:rsid w:val="114736D8"/>
    <w:rsid w:val="119544CB"/>
    <w:rsid w:val="125B414B"/>
    <w:rsid w:val="1263231F"/>
    <w:rsid w:val="12F04C8E"/>
    <w:rsid w:val="1420664E"/>
    <w:rsid w:val="14E47D2E"/>
    <w:rsid w:val="156B2740"/>
    <w:rsid w:val="169C6396"/>
    <w:rsid w:val="16D10BA1"/>
    <w:rsid w:val="1753016D"/>
    <w:rsid w:val="17967935"/>
    <w:rsid w:val="1AB630D2"/>
    <w:rsid w:val="1C524DE1"/>
    <w:rsid w:val="1C8257C4"/>
    <w:rsid w:val="1D1E7E25"/>
    <w:rsid w:val="1E081032"/>
    <w:rsid w:val="1E6D5738"/>
    <w:rsid w:val="1F3B3897"/>
    <w:rsid w:val="1FA3227A"/>
    <w:rsid w:val="1FF227B8"/>
    <w:rsid w:val="204D577E"/>
    <w:rsid w:val="20D64C07"/>
    <w:rsid w:val="20ED329F"/>
    <w:rsid w:val="218905CD"/>
    <w:rsid w:val="22955ACF"/>
    <w:rsid w:val="23A716AA"/>
    <w:rsid w:val="23B31F3C"/>
    <w:rsid w:val="24393C64"/>
    <w:rsid w:val="252F667B"/>
    <w:rsid w:val="26F42B49"/>
    <w:rsid w:val="272175E4"/>
    <w:rsid w:val="273109E6"/>
    <w:rsid w:val="2959024F"/>
    <w:rsid w:val="2963467E"/>
    <w:rsid w:val="29C82FFA"/>
    <w:rsid w:val="29EF1EFC"/>
    <w:rsid w:val="2A6E562D"/>
    <w:rsid w:val="2ABB65BB"/>
    <w:rsid w:val="2B7C3B13"/>
    <w:rsid w:val="2C044F81"/>
    <w:rsid w:val="2C4C612C"/>
    <w:rsid w:val="2C584852"/>
    <w:rsid w:val="2C5C613C"/>
    <w:rsid w:val="2D261F95"/>
    <w:rsid w:val="2DE80231"/>
    <w:rsid w:val="2E671CB5"/>
    <w:rsid w:val="2EE56AA8"/>
    <w:rsid w:val="30A042E1"/>
    <w:rsid w:val="30EB2AE2"/>
    <w:rsid w:val="3131359D"/>
    <w:rsid w:val="318B5B11"/>
    <w:rsid w:val="334348B0"/>
    <w:rsid w:val="33DB1649"/>
    <w:rsid w:val="34133A57"/>
    <w:rsid w:val="34244124"/>
    <w:rsid w:val="34864C2C"/>
    <w:rsid w:val="34A67576"/>
    <w:rsid w:val="34B77687"/>
    <w:rsid w:val="34C906F6"/>
    <w:rsid w:val="350B10AA"/>
    <w:rsid w:val="36E569FD"/>
    <w:rsid w:val="37140FB7"/>
    <w:rsid w:val="373E50B8"/>
    <w:rsid w:val="38441A1B"/>
    <w:rsid w:val="3968471D"/>
    <w:rsid w:val="39D34195"/>
    <w:rsid w:val="3A9A529E"/>
    <w:rsid w:val="3B7226C2"/>
    <w:rsid w:val="3C5671A0"/>
    <w:rsid w:val="3C574714"/>
    <w:rsid w:val="3D5C7CA9"/>
    <w:rsid w:val="3DD07570"/>
    <w:rsid w:val="3E7B63B8"/>
    <w:rsid w:val="3F3861B1"/>
    <w:rsid w:val="403445F1"/>
    <w:rsid w:val="40616C6D"/>
    <w:rsid w:val="406F544D"/>
    <w:rsid w:val="412B1136"/>
    <w:rsid w:val="42211774"/>
    <w:rsid w:val="425D02AC"/>
    <w:rsid w:val="43342FA7"/>
    <w:rsid w:val="44194AB8"/>
    <w:rsid w:val="445E63BA"/>
    <w:rsid w:val="44F363C2"/>
    <w:rsid w:val="463B2FB1"/>
    <w:rsid w:val="472A313D"/>
    <w:rsid w:val="476D70FA"/>
    <w:rsid w:val="47726CD0"/>
    <w:rsid w:val="47982317"/>
    <w:rsid w:val="49252ADB"/>
    <w:rsid w:val="49533CAD"/>
    <w:rsid w:val="498F04C8"/>
    <w:rsid w:val="4B7F22C2"/>
    <w:rsid w:val="4B97239C"/>
    <w:rsid w:val="4BAD28D6"/>
    <w:rsid w:val="4BD6786E"/>
    <w:rsid w:val="4C1D3B50"/>
    <w:rsid w:val="4F98744C"/>
    <w:rsid w:val="50733981"/>
    <w:rsid w:val="514A4805"/>
    <w:rsid w:val="52F56DAD"/>
    <w:rsid w:val="52FC02B5"/>
    <w:rsid w:val="54FF3F62"/>
    <w:rsid w:val="556B26BF"/>
    <w:rsid w:val="557B7B2F"/>
    <w:rsid w:val="56293787"/>
    <w:rsid w:val="565C4F5F"/>
    <w:rsid w:val="574637F6"/>
    <w:rsid w:val="581B2F13"/>
    <w:rsid w:val="58D2120E"/>
    <w:rsid w:val="58EB28B9"/>
    <w:rsid w:val="59B65E21"/>
    <w:rsid w:val="5AF66574"/>
    <w:rsid w:val="5C0469A9"/>
    <w:rsid w:val="5C5E0E1A"/>
    <w:rsid w:val="5C861191"/>
    <w:rsid w:val="5CD975F9"/>
    <w:rsid w:val="5D324640"/>
    <w:rsid w:val="5E1E06B6"/>
    <w:rsid w:val="5E5B6552"/>
    <w:rsid w:val="5E73361D"/>
    <w:rsid w:val="5F005893"/>
    <w:rsid w:val="603C7ADA"/>
    <w:rsid w:val="60FE6EE4"/>
    <w:rsid w:val="62D437AD"/>
    <w:rsid w:val="643F69F1"/>
    <w:rsid w:val="64AD0E2C"/>
    <w:rsid w:val="64B3715E"/>
    <w:rsid w:val="6523528D"/>
    <w:rsid w:val="65757415"/>
    <w:rsid w:val="66865654"/>
    <w:rsid w:val="668A6E00"/>
    <w:rsid w:val="66D83F6B"/>
    <w:rsid w:val="6715798F"/>
    <w:rsid w:val="67406CBB"/>
    <w:rsid w:val="67D54566"/>
    <w:rsid w:val="67DE1E11"/>
    <w:rsid w:val="68D01974"/>
    <w:rsid w:val="69C01DBA"/>
    <w:rsid w:val="6A4B222E"/>
    <w:rsid w:val="6A512030"/>
    <w:rsid w:val="6A7D311D"/>
    <w:rsid w:val="6ADA65A4"/>
    <w:rsid w:val="6B3A620C"/>
    <w:rsid w:val="6B993AAD"/>
    <w:rsid w:val="6B9F1593"/>
    <w:rsid w:val="6BC812D3"/>
    <w:rsid w:val="6EAA4B6C"/>
    <w:rsid w:val="6EE92741"/>
    <w:rsid w:val="7010272B"/>
    <w:rsid w:val="70445F4A"/>
    <w:rsid w:val="710E4FE0"/>
    <w:rsid w:val="72132EC2"/>
    <w:rsid w:val="721F7E91"/>
    <w:rsid w:val="723E5A83"/>
    <w:rsid w:val="727918DB"/>
    <w:rsid w:val="72C00D65"/>
    <w:rsid w:val="7341047C"/>
    <w:rsid w:val="744C5FE7"/>
    <w:rsid w:val="75B67595"/>
    <w:rsid w:val="75BC64F4"/>
    <w:rsid w:val="76FA062C"/>
    <w:rsid w:val="7723631E"/>
    <w:rsid w:val="77520365"/>
    <w:rsid w:val="777160B2"/>
    <w:rsid w:val="779A6500"/>
    <w:rsid w:val="78083CD2"/>
    <w:rsid w:val="78EA1A9D"/>
    <w:rsid w:val="790231DD"/>
    <w:rsid w:val="7954387E"/>
    <w:rsid w:val="79837DF3"/>
    <w:rsid w:val="7AAD283F"/>
    <w:rsid w:val="7D0D7221"/>
    <w:rsid w:val="7E376C0A"/>
    <w:rsid w:val="7F5746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iPriority="39" w:name="toc 3"/>
    <w:lsdException w:qFormat="1" w:unhideWhenUsed="0" w:uiPriority="9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5"/>
    <w:next w:val="1"/>
    <w:link w:val="18"/>
    <w:qFormat/>
    <w:uiPriority w:val="99"/>
    <w:pPr>
      <w:keepNext/>
      <w:tabs>
        <w:tab w:val="right" w:leader="dot" w:pos="9174"/>
      </w:tabs>
      <w:outlineLvl w:val="0"/>
    </w:pPr>
    <w:rPr>
      <w:rFonts w:ascii="黑体" w:cs="黑体"/>
      <w:sz w:val="52"/>
      <w:szCs w:val="52"/>
    </w:rPr>
  </w:style>
  <w:style w:type="paragraph" w:styleId="6">
    <w:name w:val="heading 2"/>
    <w:basedOn w:val="1"/>
    <w:next w:val="1"/>
    <w:link w:val="19"/>
    <w:qFormat/>
    <w:uiPriority w:val="99"/>
    <w:pPr>
      <w:keepNext/>
      <w:keepLines/>
      <w:spacing w:before="260" w:after="260" w:line="416" w:lineRule="auto"/>
      <w:outlineLvl w:val="1"/>
    </w:pPr>
    <w:rPr>
      <w:rFonts w:ascii="Arial" w:hAnsi="Arial" w:eastAsia="黑体" w:cs="Arial"/>
      <w:b/>
      <w:bCs/>
      <w:sz w:val="32"/>
      <w:szCs w:val="32"/>
    </w:rPr>
  </w:style>
  <w:style w:type="character" w:default="1" w:styleId="14">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Cambria"/>
      <w:sz w:val="24"/>
      <w:szCs w:val="24"/>
    </w:rPr>
  </w:style>
  <w:style w:type="paragraph" w:styleId="3">
    <w:name w:val="Body Text"/>
    <w:basedOn w:val="1"/>
    <w:qFormat/>
    <w:uiPriority w:val="99"/>
    <w:rPr>
      <w:kern w:val="0"/>
    </w:rPr>
  </w:style>
  <w:style w:type="paragraph" w:styleId="5">
    <w:name w:val="toc 4"/>
    <w:basedOn w:val="1"/>
    <w:next w:val="1"/>
    <w:semiHidden/>
    <w:qFormat/>
    <w:uiPriority w:val="99"/>
    <w:pPr>
      <w:snapToGrid w:val="0"/>
    </w:pPr>
    <w:rPr>
      <w:rFonts w:ascii="方正仿宋_GBK" w:eastAsia="方正仿宋_GBK" w:cs="方正仿宋_GBK"/>
      <w:kern w:val="0"/>
      <w:sz w:val="32"/>
      <w:szCs w:val="32"/>
    </w:rPr>
  </w:style>
  <w:style w:type="paragraph" w:styleId="7">
    <w:name w:val="Body Text 3"/>
    <w:basedOn w:val="1"/>
    <w:qFormat/>
    <w:uiPriority w:val="99"/>
    <w:pPr>
      <w:spacing w:after="120"/>
    </w:pPr>
    <w:rPr>
      <w:sz w:val="16"/>
      <w:szCs w:val="16"/>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0">
    <w:name w:val="toc 1"/>
    <w:basedOn w:val="1"/>
    <w:next w:val="1"/>
    <w:semiHidden/>
    <w:qFormat/>
    <w:uiPriority w:val="99"/>
    <w:pPr>
      <w:tabs>
        <w:tab w:val="right" w:leader="dot" w:pos="9174"/>
      </w:tabs>
      <w:spacing w:before="120" w:after="120" w:line="540" w:lineRule="exact"/>
      <w:jc w:val="left"/>
    </w:pPr>
    <w:rPr>
      <w:rFonts w:ascii="宋体" w:hAnsi="宋体" w:cs="宋体"/>
      <w:caps/>
      <w:sz w:val="28"/>
      <w:szCs w:val="28"/>
    </w:rPr>
  </w:style>
  <w:style w:type="paragraph" w:styleId="11">
    <w:name w:val="Body Text Indent 3"/>
    <w:basedOn w:val="1"/>
    <w:link w:val="22"/>
    <w:qFormat/>
    <w:uiPriority w:val="99"/>
    <w:pPr>
      <w:ind w:firstLine="640" w:firstLineChars="200"/>
    </w:pPr>
    <w:rPr>
      <w:rFonts w:ascii="仿宋_GB2312" w:eastAsia="仿宋_GB2312" w:cs="仿宋_GB2312"/>
      <w:sz w:val="32"/>
      <w:szCs w:val="32"/>
    </w:rPr>
  </w:style>
  <w:style w:type="paragraph" w:styleId="12">
    <w:name w:val="toc 2"/>
    <w:basedOn w:val="1"/>
    <w:next w:val="1"/>
    <w:semiHidden/>
    <w:qFormat/>
    <w:uiPriority w:val="99"/>
    <w:pPr>
      <w:ind w:left="210"/>
      <w:jc w:val="left"/>
    </w:pPr>
    <w:rPr>
      <w:smallCaps/>
      <w:sz w:val="20"/>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basedOn w:val="14"/>
    <w:qFormat/>
    <w:uiPriority w:val="99"/>
    <w:rPr>
      <w:b/>
      <w:bCs/>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1 Char"/>
    <w:basedOn w:val="14"/>
    <w:link w:val="4"/>
    <w:qFormat/>
    <w:uiPriority w:val="9"/>
    <w:rPr>
      <w:b/>
      <w:bCs/>
      <w:kern w:val="44"/>
      <w:sz w:val="44"/>
      <w:szCs w:val="44"/>
    </w:rPr>
  </w:style>
  <w:style w:type="character" w:customStyle="1" w:styleId="19">
    <w:name w:val="标题 2 Char"/>
    <w:basedOn w:val="14"/>
    <w:link w:val="6"/>
    <w:semiHidden/>
    <w:qFormat/>
    <w:uiPriority w:val="9"/>
    <w:rPr>
      <w:rFonts w:asciiTheme="majorHAnsi" w:hAnsiTheme="majorHAnsi" w:eastAsiaTheme="majorEastAsia" w:cstheme="majorBidi"/>
      <w:b/>
      <w:bCs/>
      <w:sz w:val="32"/>
      <w:szCs w:val="32"/>
    </w:rPr>
  </w:style>
  <w:style w:type="character" w:customStyle="1" w:styleId="20">
    <w:name w:val="页脚 Char"/>
    <w:basedOn w:val="14"/>
    <w:link w:val="8"/>
    <w:semiHidden/>
    <w:qFormat/>
    <w:uiPriority w:val="99"/>
    <w:rPr>
      <w:sz w:val="18"/>
      <w:szCs w:val="18"/>
    </w:rPr>
  </w:style>
  <w:style w:type="character" w:customStyle="1" w:styleId="21">
    <w:name w:val="页眉 Char"/>
    <w:basedOn w:val="14"/>
    <w:link w:val="9"/>
    <w:semiHidden/>
    <w:qFormat/>
    <w:uiPriority w:val="99"/>
    <w:rPr>
      <w:sz w:val="18"/>
      <w:szCs w:val="18"/>
    </w:rPr>
  </w:style>
  <w:style w:type="character" w:customStyle="1" w:styleId="22">
    <w:name w:val="正文文本缩进 3 Char"/>
    <w:basedOn w:val="14"/>
    <w:link w:val="11"/>
    <w:semiHidden/>
    <w:qFormat/>
    <w:uiPriority w:val="99"/>
    <w:rPr>
      <w:sz w:val="16"/>
      <w:szCs w:val="16"/>
    </w:rPr>
  </w:style>
  <w:style w:type="paragraph" w:customStyle="1" w:styleId="23">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4">
    <w:name w:val="正文文本缩进1"/>
    <w:basedOn w:val="1"/>
    <w:qFormat/>
    <w:uiPriority w:val="99"/>
    <w:pPr>
      <w:ind w:firstLine="640" w:firstLineChars="200"/>
    </w:pPr>
    <w:rPr>
      <w:rFonts w:eastAsia="仿宋_GB2312"/>
      <w:lang w:val="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C59A8-567D-4C1B-9D2C-71C7A1136C9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16133</Words>
  <Characters>5635</Characters>
  <Lines>46</Lines>
  <Paragraphs>43</Paragraphs>
  <TotalTime>4</TotalTime>
  <ScaleCrop>false</ScaleCrop>
  <LinksUpToDate>false</LinksUpToDate>
  <CharactersWithSpaces>21725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2020-11-03T01:42:00Z</dcterms:created>
  <dc:creator>王太阳️</dc:creator>
  <cp:lastModifiedBy>Administrator</cp:lastModifiedBy>
  <cp:lastPrinted>2021-03-15T03:49:00Z</cp:lastPrinted>
  <dcterms:modified xsi:type="dcterms:W3CDTF">2021-11-19T14:20:38Z</dcterms:modified>
  <dc:title>重庆市铜梁区突发公共事件总体应急预案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KSOSaveFontToCloudKey">
    <vt:lpwstr>427945191_btnclosed</vt:lpwstr>
  </property>
</Properties>
</file>