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重庆市铜梁区西河镇人民政府2020年部门预算情况说明</w:t>
      </w:r>
    </w:p>
    <w:p>
      <w:pPr>
        <w:spacing w:line="600" w:lineRule="exact"/>
        <w:ind w:firstLine="880" w:firstLineChars="200"/>
        <w:jc w:val="center"/>
        <w:rPr>
          <w:rFonts w:ascii="华文中宋" w:hAnsi="华文中宋" w:eastAsia="华文中宋" w:cs="华文中宋"/>
          <w:sz w:val="44"/>
          <w:szCs w:val="44"/>
        </w:rPr>
      </w:pPr>
    </w:p>
    <w:p>
      <w:pPr>
        <w:numPr>
          <w:ilvl w:val="0"/>
          <w:numId w:val="1"/>
        </w:numPr>
        <w:spacing w:line="600" w:lineRule="exact"/>
        <w:ind w:firstLine="640" w:firstLineChars="200"/>
        <w:rPr>
          <w:rFonts w:ascii="黑体" w:hAnsi="黑体" w:eastAsia="黑体" w:cs="仿宋_GB2312"/>
          <w:sz w:val="32"/>
        </w:rPr>
      </w:pPr>
      <w:r>
        <w:rPr>
          <w:rFonts w:hint="eastAsia" w:ascii="黑体" w:hAnsi="黑体" w:eastAsia="黑体" w:cs="仿宋_GB2312"/>
          <w:sz w:val="32"/>
        </w:rPr>
        <w:t>单位基本情况</w:t>
      </w:r>
    </w:p>
    <w:p>
      <w:pPr>
        <w:pStyle w:val="4"/>
        <w:tabs>
          <w:tab w:val="center" w:pos="4153"/>
          <w:tab w:val="left" w:pos="7275"/>
        </w:tabs>
        <w:spacing w:line="600" w:lineRule="exact"/>
        <w:ind w:left="640" w:firstLine="0" w:firstLineChars="0"/>
        <w:jc w:val="left"/>
        <w:rPr>
          <w:rFonts w:ascii="仿宋_GB2312" w:hAnsi="仿宋_GB2312" w:eastAsia="仿宋_GB2312" w:cs="仿宋_GB2312"/>
          <w:sz w:val="32"/>
        </w:rPr>
      </w:pPr>
      <w:r>
        <w:rPr>
          <w:rFonts w:hint="eastAsia" w:ascii="仿宋_GB2312" w:hAnsi="仿宋_GB2312" w:eastAsia="仿宋_GB2312" w:cs="仿宋_GB2312"/>
          <w:sz w:val="32"/>
        </w:rPr>
        <w:t>（一）职能职责。重庆市铜梁区西河镇人民政府具有党委和政府两种职能，党委领导政府工作，保证党的路线、方针、政策的坚决贯彻执行，负责抓好本镇党建工作，群团工作，精神文明建设工作，干部的选拔，考核和监督，经济和行政工作中重大问题的决策。政府是基层国家行政机关，行使本行政区的行政职能，制定和组织实施经济、科技和社会发展计划，抓好招商引资，组织经济运行，促进经济发展。制定资源并组织实施村镇建设规划，部署重点工程建设，地方道路建设及公共设施，水利设施管理，负责土地、林木、水等自然资源和生态环境保护，做好森林防火工作。负责本行政区域内的民政、计划生育、文化教育、卫生、体育等社会公益事业综合性工作，维护一切经济单位和个人的正当经济权益，取缔非法经济活动，调解和处理民事纠纷，打击刑事犯罪维护社会稳定。按计划组织本级财政收入和地方税的征收，完成财政计划，管好财政资金，增强财政实力。</w:t>
      </w:r>
    </w:p>
    <w:p>
      <w:pPr>
        <w:pStyle w:val="4"/>
        <w:tabs>
          <w:tab w:val="center" w:pos="4153"/>
          <w:tab w:val="left" w:pos="7275"/>
        </w:tabs>
        <w:spacing w:line="600" w:lineRule="exact"/>
        <w:ind w:left="640" w:firstLine="0" w:firstLineChars="0"/>
        <w:jc w:val="left"/>
        <w:rPr>
          <w:rFonts w:ascii="仿宋_GB2312" w:hAnsi="仿宋_GB2312" w:eastAsia="仿宋_GB2312" w:cs="仿宋_GB2312"/>
          <w:sz w:val="32"/>
        </w:rPr>
      </w:pPr>
      <w:r>
        <w:rPr>
          <w:rFonts w:hint="eastAsia" w:ascii="仿宋_GB2312" w:hAnsi="仿宋_GB2312" w:eastAsia="仿宋_GB2312" w:cs="仿宋_GB2312"/>
          <w:sz w:val="32"/>
        </w:rPr>
        <w:t>（二）单位</w:t>
      </w:r>
      <w:r>
        <w:rPr>
          <w:rFonts w:ascii="仿宋_GB2312" w:hAnsi="仿宋_GB2312" w:eastAsia="仿宋_GB2312" w:cs="仿宋_GB2312"/>
          <w:sz w:val="32"/>
        </w:rPr>
        <w:t>构成</w:t>
      </w:r>
      <w:r>
        <w:rPr>
          <w:rFonts w:hint="eastAsia" w:ascii="仿宋_GB2312" w:hAnsi="仿宋_GB2312" w:eastAsia="仿宋_GB2312" w:cs="仿宋_GB2312"/>
          <w:sz w:val="32"/>
        </w:rPr>
        <w:t>。</w:t>
      </w:r>
    </w:p>
    <w:p>
      <w:pPr>
        <w:spacing w:line="600" w:lineRule="exact"/>
        <w:ind w:firstLine="1280" w:firstLineChars="400"/>
        <w:rPr>
          <w:rFonts w:ascii="仿宋_GB2312" w:hAnsi="仿宋_GB2312" w:eastAsia="仿宋_GB2312" w:cs="仿宋_GB2312"/>
          <w:sz w:val="32"/>
        </w:rPr>
      </w:pPr>
      <w:r>
        <w:rPr>
          <w:rFonts w:hint="eastAsia" w:ascii="仿宋_GB2312" w:hAnsi="仿宋_GB2312" w:eastAsia="仿宋_GB2312" w:cs="仿宋_GB2312"/>
          <w:sz w:val="32"/>
        </w:rPr>
        <w:t>西河镇幅员面积38平方公里。总人口</w:t>
      </w:r>
      <w:r>
        <w:rPr>
          <w:rFonts w:hint="eastAsia" w:ascii="仿宋_GB2312" w:hAnsi="仿宋" w:eastAsia="仿宋_GB2312"/>
          <w:sz w:val="32"/>
          <w:szCs w:val="32"/>
        </w:rPr>
        <w:t>18136</w:t>
      </w:r>
      <w:r>
        <w:rPr>
          <w:rFonts w:hint="eastAsia" w:ascii="仿宋_GB2312" w:hAnsi="仿宋_GB2312" w:eastAsia="仿宋_GB2312" w:cs="仿宋_GB2312"/>
          <w:sz w:val="32"/>
        </w:rPr>
        <w:t>人，7个行政村、97个社，1个社区居委会。辖区内有长兴社区、西河村、新四村、兴建村、双永村、大珑村、龙岭村、三善村。农业主要是种养殖业。西河镇人民政府内设部门有党委政府、财政所、农业服务中心、文化中心、社保所。镇财政全额供养人员67人，其中行政20人，参公2人，事业25人，离退休20人。属于一级预算单位。</w:t>
      </w:r>
    </w:p>
    <w:p>
      <w:pPr>
        <w:numPr>
          <w:ilvl w:val="0"/>
          <w:numId w:val="1"/>
        </w:numPr>
        <w:spacing w:line="600" w:lineRule="exact"/>
        <w:ind w:firstLine="640" w:firstLineChars="200"/>
        <w:rPr>
          <w:rFonts w:ascii="黑体" w:hAnsi="黑体" w:eastAsia="黑体" w:cs="仿宋_GB2312"/>
          <w:sz w:val="32"/>
        </w:rPr>
      </w:pPr>
      <w:r>
        <w:rPr>
          <w:rFonts w:hint="eastAsia" w:ascii="黑体" w:hAnsi="黑体" w:eastAsia="黑体" w:cs="仿宋_GB2312"/>
          <w:sz w:val="32"/>
        </w:rPr>
        <w:t>部门预算情况说明</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2020年一般公共预算财政拨款收入1935万元，一般公共预算财政拨款支出1935万元，比2019年减少 453万元。其中</w:t>
      </w:r>
      <w:r>
        <w:rPr>
          <w:rFonts w:ascii="仿宋_GB2312" w:hAnsi="仿宋_GB2312" w:eastAsia="仿宋_GB2312" w:cs="仿宋_GB2312"/>
          <w:sz w:val="32"/>
        </w:rPr>
        <w:t>：</w:t>
      </w:r>
      <w:r>
        <w:rPr>
          <w:rFonts w:hint="eastAsia" w:ascii="仿宋_GB2312" w:hAnsi="仿宋_GB2312" w:eastAsia="仿宋_GB2312" w:cs="仿宋_GB2312"/>
          <w:sz w:val="32"/>
        </w:rPr>
        <w:t>基本支出1092.73万元，比2019年减少716.67万元，主要原因是严格控制各项商品服务支出等，主要用于在职人员工资福利及社会保险缴费，离退休人员离退休费及生活补助，保障部门正常运转的各项商品服务支出；项目支出842.27万元，比2019年增加263.67万元，主要原因增加了基础设施建设等，主要用于基础设施建设等重点工作。</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重庆市铜梁区西河镇人民政府2020</w:t>
      </w:r>
      <w:r>
        <w:rPr>
          <w:rFonts w:ascii="仿宋_GB2312" w:hAnsi="仿宋_GB2312" w:eastAsia="仿宋_GB2312" w:cs="仿宋_GB2312"/>
          <w:sz w:val="32"/>
        </w:rPr>
        <w:t>年没有使用政府性基金预算拨款安排的支出</w:t>
      </w:r>
      <w:r>
        <w:rPr>
          <w:rFonts w:hint="eastAsia" w:ascii="仿宋_GB2312" w:hAnsi="仿宋_GB2312" w:eastAsia="仿宋_GB2312" w:cs="仿宋_GB2312"/>
          <w:sz w:val="32"/>
        </w:rPr>
        <w:t>。</w:t>
      </w:r>
    </w:p>
    <w:p>
      <w:pPr>
        <w:numPr>
          <w:ilvl w:val="0"/>
          <w:numId w:val="1"/>
        </w:numPr>
        <w:spacing w:line="600" w:lineRule="exact"/>
        <w:ind w:firstLine="640" w:firstLineChars="200"/>
        <w:rPr>
          <w:rFonts w:ascii="黑体" w:hAnsi="黑体" w:eastAsia="黑体" w:cs="仿宋_GB2312"/>
          <w:sz w:val="32"/>
        </w:rPr>
      </w:pPr>
      <w:r>
        <w:rPr>
          <w:rFonts w:hint="eastAsia" w:ascii="黑体" w:hAnsi="黑体" w:eastAsia="黑体" w:cs="仿宋_GB2312"/>
          <w:sz w:val="32"/>
        </w:rPr>
        <w:t>“三公”经费情况说明</w:t>
      </w:r>
    </w:p>
    <w:p>
      <w:pPr>
        <w:spacing w:line="600" w:lineRule="exact"/>
        <w:ind w:firstLine="660"/>
        <w:rPr>
          <w:rFonts w:ascii="仿宋_GB2312" w:hAnsi="仿宋_GB2312" w:eastAsia="仿宋_GB2312" w:cs="仿宋_GB2312"/>
          <w:sz w:val="32"/>
        </w:rPr>
      </w:pPr>
      <w:r>
        <w:rPr>
          <w:rFonts w:hint="eastAsia" w:ascii="仿宋_GB2312" w:hAnsi="仿宋_GB2312" w:eastAsia="仿宋_GB2312" w:cs="仿宋_GB2312"/>
          <w:sz w:val="32"/>
        </w:rPr>
        <w:t>2020年“三公”经费预算18.3万元，比2019年减少9.7万元。其中：因公出国0万元，比2019年减少0万元；公务接待费7.5万元，比2019年减少0.5万元；公务用车运行维护费10.8万元，比2019年减少9万元；</w:t>
      </w:r>
      <w:r>
        <w:rPr>
          <w:rFonts w:ascii="仿宋_GB2312" w:hAnsi="仿宋_GB2312" w:eastAsia="仿宋_GB2312" w:cs="仿宋_GB2312"/>
          <w:sz w:val="32"/>
        </w:rPr>
        <w:t>公务</w:t>
      </w:r>
      <w:r>
        <w:rPr>
          <w:rFonts w:hint="eastAsia" w:ascii="仿宋_GB2312" w:hAnsi="仿宋_GB2312" w:eastAsia="仿宋_GB2312" w:cs="仿宋_GB2312"/>
          <w:sz w:val="32"/>
        </w:rPr>
        <w:t>用车</w:t>
      </w:r>
      <w:r>
        <w:rPr>
          <w:rFonts w:ascii="仿宋_GB2312" w:hAnsi="仿宋_GB2312" w:eastAsia="仿宋_GB2312" w:cs="仿宋_GB2312"/>
          <w:sz w:val="32"/>
        </w:rPr>
        <w:t>购置费</w:t>
      </w:r>
      <w:r>
        <w:rPr>
          <w:rFonts w:hint="eastAsia" w:ascii="仿宋_GB2312" w:hAnsi="仿宋_GB2312" w:eastAsia="仿宋_GB2312" w:cs="仿宋_GB2312"/>
          <w:sz w:val="32"/>
        </w:rPr>
        <w:t>0万元，比2019年减少0万元；主要原因是认真贯彻落实中央</w:t>
      </w:r>
      <w:bookmarkStart w:id="0" w:name="_GoBack"/>
      <w:bookmarkEnd w:id="0"/>
      <w:r>
        <w:rPr>
          <w:rFonts w:hint="eastAsia" w:ascii="仿宋_GB2312" w:hAnsi="仿宋_GB2312" w:eastAsia="仿宋_GB2312" w:cs="仿宋_GB2312"/>
          <w:sz w:val="32"/>
        </w:rPr>
        <w:t>八项规定精神和厉行节约要求，按照只减不增的要求从严控制“三公”经费。</w:t>
      </w:r>
    </w:p>
    <w:p>
      <w:pPr>
        <w:spacing w:line="600" w:lineRule="exact"/>
        <w:ind w:firstLine="660"/>
        <w:rPr>
          <w:rFonts w:ascii="黑体" w:hAnsi="黑体" w:eastAsia="黑体" w:cs="仿宋_GB2312"/>
          <w:sz w:val="32"/>
        </w:rPr>
      </w:pPr>
      <w:r>
        <w:rPr>
          <w:rFonts w:hint="eastAsia" w:ascii="黑体" w:hAnsi="黑体" w:eastAsia="黑体" w:cs="仿宋_GB2312"/>
          <w:sz w:val="32"/>
        </w:rPr>
        <w:t>其他重要</w:t>
      </w:r>
      <w:r>
        <w:rPr>
          <w:rFonts w:ascii="黑体" w:hAnsi="黑体" w:eastAsia="黑体" w:cs="仿宋_GB2312"/>
          <w:sz w:val="32"/>
        </w:rPr>
        <w:t>事项的情况说明</w:t>
      </w:r>
    </w:p>
    <w:p>
      <w:pPr>
        <w:ind w:firstLine="640" w:firstLineChars="200"/>
        <w:rPr>
          <w:rFonts w:ascii="仿宋_GB2312" w:hAnsi="仿宋_GB2312" w:eastAsia="仿宋_GB2312" w:cs="仿宋_GB2312"/>
          <w:sz w:val="32"/>
        </w:rPr>
      </w:pPr>
      <w:r>
        <w:rPr>
          <w:rFonts w:ascii="仿宋_GB2312" w:hAnsi="仿宋_GB2312" w:eastAsia="仿宋_GB2312" w:cs="仿宋_GB2312"/>
          <w:sz w:val="32"/>
        </w:rPr>
        <w:t>1</w:t>
      </w:r>
      <w:r>
        <w:rPr>
          <w:rFonts w:hint="eastAsia" w:ascii="仿宋_GB2312" w:hAnsi="仿宋_GB2312" w:eastAsia="仿宋_GB2312" w:cs="仿宋_GB2312"/>
          <w:sz w:val="32"/>
        </w:rPr>
        <w:t>、部门运行经费。铜梁区西河镇人民政府</w:t>
      </w:r>
      <w:r>
        <w:rPr>
          <w:rFonts w:ascii="仿宋_GB2312" w:hAnsi="仿宋_GB2312" w:eastAsia="仿宋_GB2312" w:cs="仿宋_GB2312"/>
          <w:sz w:val="32"/>
        </w:rPr>
        <w:t>的机关运行经费财政拨款预算</w:t>
      </w:r>
      <w:r>
        <w:rPr>
          <w:rFonts w:hint="eastAsia" w:ascii="仿宋_GB2312" w:hAnsi="仿宋_GB2312" w:eastAsia="仿宋_GB2312" w:cs="仿宋_GB2312"/>
          <w:sz w:val="32"/>
        </w:rPr>
        <w:t>226.57</w:t>
      </w:r>
      <w:r>
        <w:rPr>
          <w:rFonts w:ascii="仿宋_GB2312" w:hAnsi="仿宋_GB2312" w:eastAsia="仿宋_GB2312" w:cs="仿宋_GB2312"/>
          <w:sz w:val="32"/>
        </w:rPr>
        <w:t>万元，比</w:t>
      </w:r>
      <w:r>
        <w:rPr>
          <w:rFonts w:hint="eastAsia" w:ascii="仿宋_GB2312" w:hAnsi="仿宋_GB2312" w:eastAsia="仿宋_GB2312" w:cs="仿宋_GB2312"/>
          <w:sz w:val="32"/>
        </w:rPr>
        <w:t>2019</w:t>
      </w:r>
      <w:r>
        <w:rPr>
          <w:rFonts w:ascii="仿宋_GB2312" w:hAnsi="仿宋_GB2312" w:eastAsia="仿宋_GB2312" w:cs="仿宋_GB2312"/>
          <w:sz w:val="32"/>
        </w:rPr>
        <w:t>年预算</w:t>
      </w:r>
      <w:r>
        <w:rPr>
          <w:rFonts w:hint="eastAsia" w:ascii="仿宋_GB2312" w:hAnsi="仿宋_GB2312" w:eastAsia="仿宋_GB2312" w:cs="仿宋_GB2312"/>
          <w:sz w:val="32"/>
        </w:rPr>
        <w:t>减少628.21</w:t>
      </w:r>
      <w:r>
        <w:rPr>
          <w:rFonts w:ascii="仿宋_GB2312" w:hAnsi="仿宋_GB2312" w:eastAsia="仿宋_GB2312" w:cs="仿宋_GB2312"/>
          <w:sz w:val="32"/>
        </w:rPr>
        <w:t>万元</w:t>
      </w:r>
      <w:r>
        <w:rPr>
          <w:rFonts w:hint="eastAsia" w:ascii="仿宋_GB2312" w:hAnsi="仿宋_GB2312" w:eastAsia="仿宋_GB2312" w:cs="仿宋_GB2312"/>
          <w:sz w:val="32"/>
        </w:rPr>
        <w:t>，减少73.49</w:t>
      </w:r>
      <w:r>
        <w:rPr>
          <w:rFonts w:ascii="仿宋_GB2312" w:hAnsi="仿宋_GB2312" w:eastAsia="仿宋_GB2312" w:cs="仿宋_GB2312"/>
          <w:sz w:val="32"/>
        </w:rPr>
        <w:t>%。</w:t>
      </w:r>
      <w:r>
        <w:rPr>
          <w:rFonts w:hint="eastAsia" w:ascii="仿宋_GB2312" w:hAnsi="仿宋_GB2312" w:eastAsia="仿宋_GB2312" w:cs="仿宋_GB2312"/>
          <w:sz w:val="32"/>
        </w:rPr>
        <w:t>主要用于：办公费及</w:t>
      </w:r>
      <w:r>
        <w:rPr>
          <w:rFonts w:ascii="仿宋_GB2312" w:hAnsi="仿宋_GB2312" w:eastAsia="仿宋_GB2312" w:cs="仿宋_GB2312"/>
          <w:sz w:val="32"/>
        </w:rPr>
        <w:t>印刷费</w:t>
      </w:r>
      <w:r>
        <w:rPr>
          <w:rFonts w:hint="eastAsia" w:ascii="仿宋_GB2312" w:hAnsi="仿宋_GB2312" w:eastAsia="仿宋_GB2312" w:cs="仿宋_GB2312"/>
          <w:sz w:val="32"/>
        </w:rPr>
        <w:t>、邮电费、其他商品和服务支出。</w:t>
      </w:r>
    </w:p>
    <w:p>
      <w:pPr>
        <w:numPr>
          <w:ilvl w:val="0"/>
          <w:numId w:val="1"/>
        </w:numPr>
        <w:spacing w:line="600" w:lineRule="exact"/>
        <w:ind w:firstLine="640" w:firstLineChars="200"/>
        <w:rPr>
          <w:rFonts w:ascii="黑体" w:hAnsi="黑体" w:eastAsia="黑体" w:cs="仿宋_GB2312"/>
          <w:sz w:val="32"/>
        </w:rPr>
      </w:pPr>
      <w:r>
        <w:rPr>
          <w:rFonts w:hint="eastAsia" w:ascii="黑体" w:hAnsi="黑体" w:eastAsia="黑体" w:cs="仿宋_GB2312"/>
          <w:sz w:val="32"/>
        </w:rPr>
        <w:t>专业性名词</w:t>
      </w:r>
      <w:r>
        <w:rPr>
          <w:rFonts w:ascii="黑体" w:hAnsi="黑体" w:eastAsia="黑体" w:cs="仿宋_GB2312"/>
          <w:sz w:val="32"/>
        </w:rPr>
        <w:t>解释</w:t>
      </w:r>
    </w:p>
    <w:p>
      <w:pPr>
        <w:pStyle w:val="4"/>
        <w:tabs>
          <w:tab w:val="center" w:pos="4153"/>
          <w:tab w:val="left" w:pos="7275"/>
        </w:tabs>
        <w:spacing w:line="600" w:lineRule="exact"/>
        <w:ind w:firstLine="640"/>
        <w:jc w:val="left"/>
        <w:rPr>
          <w:rFonts w:ascii="方正仿宋_GBK" w:eastAsia="方正仿宋_GBK"/>
          <w:sz w:val="32"/>
          <w:szCs w:val="32"/>
        </w:rPr>
      </w:pPr>
      <w:r>
        <w:rPr>
          <w:rFonts w:hint="eastAsia" w:ascii="方正仿宋_GBK" w:eastAsia="方正仿宋_GBK"/>
          <w:sz w:val="32"/>
          <w:szCs w:val="32"/>
        </w:rPr>
        <w:t>（一）财政拨款收入：指本年度从本级财政部门取得的财政拨款，包括一般公共预算财政拨款和政府性基金预算财政拨款。</w:t>
      </w:r>
    </w:p>
    <w:p>
      <w:pPr>
        <w:pStyle w:val="4"/>
        <w:tabs>
          <w:tab w:val="center" w:pos="4153"/>
          <w:tab w:val="left" w:pos="7275"/>
        </w:tabs>
        <w:spacing w:line="600" w:lineRule="exact"/>
        <w:ind w:firstLine="640"/>
        <w:jc w:val="left"/>
        <w:rPr>
          <w:rFonts w:ascii="方正仿宋_GBK" w:eastAsia="方正仿宋_GBK"/>
          <w:sz w:val="32"/>
          <w:szCs w:val="32"/>
        </w:rPr>
      </w:pPr>
      <w:r>
        <w:rPr>
          <w:rFonts w:hint="eastAsia" w:ascii="方正仿宋_GBK" w:eastAsia="方正仿宋_GBK"/>
          <w:sz w:val="32"/>
          <w:szCs w:val="32"/>
        </w:rPr>
        <w:t>（二）其他收入：指单位取得的除“财政拨款收入”、“事业收入”、“经营收入”等以外的收入。</w:t>
      </w:r>
    </w:p>
    <w:p>
      <w:pPr>
        <w:pStyle w:val="4"/>
        <w:tabs>
          <w:tab w:val="center" w:pos="4153"/>
          <w:tab w:val="left" w:pos="7275"/>
        </w:tabs>
        <w:spacing w:line="600" w:lineRule="exact"/>
        <w:ind w:firstLine="640"/>
        <w:jc w:val="left"/>
        <w:rPr>
          <w:rFonts w:ascii="方正仿宋_GBK" w:eastAsia="方正仿宋_GBK"/>
          <w:sz w:val="32"/>
          <w:szCs w:val="32"/>
        </w:rPr>
      </w:pPr>
      <w:r>
        <w:rPr>
          <w:rFonts w:hint="eastAsia" w:ascii="方正仿宋_GBK" w:eastAsia="方正仿宋_GBK"/>
          <w:sz w:val="32"/>
          <w:szCs w:val="32"/>
        </w:rPr>
        <w:t>（三</w:t>
      </w:r>
      <w:r>
        <w:rPr>
          <w:rFonts w:ascii="方正仿宋_GBK" w:eastAsia="方正仿宋_GBK"/>
          <w:sz w:val="32"/>
          <w:szCs w:val="32"/>
        </w:rPr>
        <w:t>）基</w:t>
      </w:r>
      <w:r>
        <w:rPr>
          <w:rFonts w:hint="eastAsia" w:ascii="方正仿宋_GBK" w:eastAsia="方正仿宋_GBK"/>
          <w:sz w:val="32"/>
          <w:szCs w:val="32"/>
        </w:rPr>
        <w:t>本支出：指为保障机构正常运转、完成日常工作任务而发生的人员经费和公用经费。</w:t>
      </w:r>
    </w:p>
    <w:p>
      <w:pPr>
        <w:pStyle w:val="4"/>
        <w:tabs>
          <w:tab w:val="center" w:pos="4153"/>
          <w:tab w:val="left" w:pos="7275"/>
        </w:tabs>
        <w:spacing w:line="600" w:lineRule="exact"/>
        <w:ind w:firstLine="640"/>
        <w:jc w:val="left"/>
        <w:rPr>
          <w:rFonts w:ascii="方正仿宋_GBK" w:eastAsia="方正仿宋_GBK"/>
          <w:sz w:val="32"/>
          <w:szCs w:val="32"/>
        </w:rPr>
      </w:pPr>
      <w:r>
        <w:rPr>
          <w:rFonts w:hint="eastAsia" w:ascii="方正仿宋_GBK" w:eastAsia="方正仿宋_GBK"/>
          <w:sz w:val="32"/>
          <w:szCs w:val="32"/>
        </w:rPr>
        <w:t>（四）项目支出：指在基本支出之外为完成特定行政任务和事业发展目标所发生的支出。</w:t>
      </w:r>
    </w:p>
    <w:p>
      <w:pPr>
        <w:pStyle w:val="4"/>
        <w:tabs>
          <w:tab w:val="center" w:pos="4153"/>
          <w:tab w:val="left" w:pos="7275"/>
        </w:tabs>
        <w:spacing w:line="600" w:lineRule="exact"/>
        <w:ind w:firstLine="640"/>
        <w:jc w:val="left"/>
        <w:rPr>
          <w:rFonts w:ascii="方正仿宋_GBK" w:eastAsia="方正仿宋_GBK"/>
          <w:sz w:val="32"/>
          <w:szCs w:val="32"/>
        </w:rPr>
      </w:pPr>
      <w:r>
        <w:rPr>
          <w:rFonts w:hint="eastAsia" w:ascii="方正仿宋_GBK"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tbl>
      <w:tblPr>
        <w:tblStyle w:val="2"/>
        <w:tblW w:w="8220" w:type="dxa"/>
        <w:tblInd w:w="93" w:type="dxa"/>
        <w:tblLayout w:type="autofit"/>
        <w:tblCellMar>
          <w:top w:w="0" w:type="dxa"/>
          <w:left w:w="108" w:type="dxa"/>
          <w:bottom w:w="0" w:type="dxa"/>
          <w:right w:w="108" w:type="dxa"/>
        </w:tblCellMar>
      </w:tblPr>
      <w:tblGrid>
        <w:gridCol w:w="2280"/>
        <w:gridCol w:w="1500"/>
        <w:gridCol w:w="2940"/>
        <w:gridCol w:w="1500"/>
      </w:tblGrid>
      <w:tr>
        <w:tblPrEx>
          <w:tblCellMar>
            <w:top w:w="0" w:type="dxa"/>
            <w:left w:w="108" w:type="dxa"/>
            <w:bottom w:w="0" w:type="dxa"/>
            <w:right w:w="108" w:type="dxa"/>
          </w:tblCellMar>
        </w:tblPrEx>
        <w:trPr>
          <w:trHeight w:val="735" w:hRule="atLeast"/>
        </w:trPr>
        <w:tc>
          <w:tcPr>
            <w:tcW w:w="8220" w:type="dxa"/>
            <w:gridSpan w:val="4"/>
            <w:tcBorders>
              <w:top w:val="nil"/>
              <w:left w:val="nil"/>
              <w:bottom w:val="nil"/>
              <w:right w:val="nil"/>
            </w:tcBorders>
            <w:shd w:val="clear" w:color="000000" w:fill="FFFFFF"/>
            <w:vAlign w:val="center"/>
          </w:tcPr>
          <w:p>
            <w:pPr>
              <w:widowControl/>
              <w:jc w:val="center"/>
              <w:rPr>
                <w:rFonts w:ascii="Default" w:hAnsi="Default" w:eastAsia="宋体" w:cs="Arial"/>
                <w:b/>
                <w:bCs/>
                <w:kern w:val="0"/>
                <w:sz w:val="32"/>
                <w:szCs w:val="32"/>
              </w:rPr>
            </w:pPr>
            <w:r>
              <w:rPr>
                <w:rFonts w:ascii="Default" w:hAnsi="Default" w:eastAsia="宋体" w:cs="Arial"/>
                <w:b/>
                <w:bCs/>
                <w:kern w:val="0"/>
                <w:sz w:val="32"/>
                <w:szCs w:val="32"/>
              </w:rPr>
              <w:t>2020年部门收支总表</w:t>
            </w:r>
          </w:p>
        </w:tc>
      </w:tr>
      <w:tr>
        <w:tblPrEx>
          <w:tblCellMar>
            <w:top w:w="0" w:type="dxa"/>
            <w:left w:w="108" w:type="dxa"/>
            <w:bottom w:w="0" w:type="dxa"/>
            <w:right w:w="108" w:type="dxa"/>
          </w:tblCellMar>
        </w:tblPrEx>
        <w:trPr>
          <w:trHeight w:val="345" w:hRule="atLeast"/>
        </w:trPr>
        <w:tc>
          <w:tcPr>
            <w:tcW w:w="6720" w:type="dxa"/>
            <w:gridSpan w:val="3"/>
            <w:tcBorders>
              <w:top w:val="nil"/>
              <w:left w:val="nil"/>
              <w:bottom w:val="nil"/>
              <w:right w:val="nil"/>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预算单位：</w:t>
            </w:r>
          </w:p>
        </w:tc>
        <w:tc>
          <w:tcPr>
            <w:tcW w:w="1500" w:type="dxa"/>
            <w:tcBorders>
              <w:top w:val="nil"/>
              <w:left w:val="nil"/>
              <w:bottom w:val="nil"/>
              <w:right w:val="nil"/>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单位：万元</w:t>
            </w:r>
          </w:p>
        </w:tc>
      </w:tr>
      <w:tr>
        <w:tblPrEx>
          <w:tblCellMar>
            <w:top w:w="0" w:type="dxa"/>
            <w:left w:w="108" w:type="dxa"/>
            <w:bottom w:w="0" w:type="dxa"/>
            <w:right w:w="108" w:type="dxa"/>
          </w:tblCellMar>
        </w:tblPrEx>
        <w:trPr>
          <w:trHeight w:val="345" w:hRule="atLeast"/>
        </w:trPr>
        <w:tc>
          <w:tcPr>
            <w:tcW w:w="378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收    入</w:t>
            </w:r>
          </w:p>
        </w:tc>
        <w:tc>
          <w:tcPr>
            <w:tcW w:w="444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支    出</w:t>
            </w:r>
          </w:p>
        </w:tc>
      </w:tr>
      <w:tr>
        <w:tblPrEx>
          <w:tblCellMar>
            <w:top w:w="0" w:type="dxa"/>
            <w:left w:w="108" w:type="dxa"/>
            <w:bottom w:w="0" w:type="dxa"/>
            <w:right w:w="108" w:type="dxa"/>
          </w:tblCellMar>
        </w:tblPrEx>
        <w:trPr>
          <w:trHeight w:val="345" w:hRule="atLeast"/>
        </w:trPr>
        <w:tc>
          <w:tcPr>
            <w:tcW w:w="228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项目</w:t>
            </w:r>
          </w:p>
        </w:tc>
        <w:tc>
          <w:tcPr>
            <w:tcW w:w="1500" w:type="dxa"/>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预算数</w:t>
            </w:r>
          </w:p>
        </w:tc>
        <w:tc>
          <w:tcPr>
            <w:tcW w:w="2940" w:type="dxa"/>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项目</w:t>
            </w:r>
          </w:p>
        </w:tc>
        <w:tc>
          <w:tcPr>
            <w:tcW w:w="1500" w:type="dxa"/>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预算数</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一般公共预算拨款收入</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1,935.00</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一般公共服务支出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793.26</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政府性基金预算拨款收入</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外交支出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国有资本经营预算拨款收入</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国防支出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事业收入</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公共安全支出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经营收入</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教育支出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其他收入</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科学技术支出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文化旅游体育与传媒支出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51.14</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社会保障和就业支出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203.49</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社会保险基金支出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卫生健康支出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52.90</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节能环保支出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城乡社区支出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117.38</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农林水支出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672.50</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交通运输支出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资源勘探工业信息等支出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商业服务业等支出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金融支出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援助其他地区支出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自然资源海洋气象等支出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住房保障支出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44.34</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粮油物资储备支出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国有资本经营预算支出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灾害防治及应急管理支出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预备费</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其他支出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转移性支出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债务还本支出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债务付息支出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债务发行费用支出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本年收入合计</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1,935.00</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本年支出合计</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1,935.00</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用事业基金弥补收支差额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结转下年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上年结转</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228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收入总计</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1,935.00</w:t>
            </w:r>
          </w:p>
        </w:tc>
        <w:tc>
          <w:tcPr>
            <w:tcW w:w="294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支出总计</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1,935.00</w:t>
            </w:r>
          </w:p>
        </w:tc>
      </w:tr>
    </w:tbl>
    <w:p/>
    <w:tbl>
      <w:tblPr>
        <w:tblStyle w:val="2"/>
        <w:tblW w:w="14366" w:type="dxa"/>
        <w:tblInd w:w="93" w:type="dxa"/>
        <w:tblLayout w:type="autofit"/>
        <w:tblCellMar>
          <w:top w:w="0" w:type="dxa"/>
          <w:left w:w="108" w:type="dxa"/>
          <w:bottom w:w="0" w:type="dxa"/>
          <w:right w:w="108" w:type="dxa"/>
        </w:tblCellMar>
      </w:tblPr>
      <w:tblGrid>
        <w:gridCol w:w="1325"/>
        <w:gridCol w:w="1276"/>
        <w:gridCol w:w="1275"/>
        <w:gridCol w:w="1276"/>
        <w:gridCol w:w="1559"/>
        <w:gridCol w:w="1418"/>
        <w:gridCol w:w="1417"/>
        <w:gridCol w:w="1134"/>
        <w:gridCol w:w="1276"/>
        <w:gridCol w:w="1134"/>
        <w:gridCol w:w="1276"/>
      </w:tblGrid>
      <w:tr>
        <w:tblPrEx>
          <w:tblCellMar>
            <w:top w:w="0" w:type="dxa"/>
            <w:left w:w="108" w:type="dxa"/>
            <w:bottom w:w="0" w:type="dxa"/>
            <w:right w:w="108" w:type="dxa"/>
          </w:tblCellMar>
        </w:tblPrEx>
        <w:trPr>
          <w:trHeight w:val="540" w:hRule="atLeast"/>
        </w:trPr>
        <w:tc>
          <w:tcPr>
            <w:tcW w:w="14366" w:type="dxa"/>
            <w:gridSpan w:val="11"/>
            <w:tcBorders>
              <w:top w:val="nil"/>
              <w:left w:val="nil"/>
              <w:bottom w:val="nil"/>
              <w:right w:val="nil"/>
            </w:tcBorders>
            <w:shd w:val="clear" w:color="000000" w:fill="FFFFFF"/>
          </w:tcPr>
          <w:p>
            <w:pPr>
              <w:widowControl/>
              <w:jc w:val="center"/>
              <w:rPr>
                <w:rFonts w:ascii="Default" w:hAnsi="Default" w:eastAsia="宋体" w:cs="Arial"/>
                <w:b/>
                <w:bCs/>
                <w:kern w:val="0"/>
                <w:sz w:val="32"/>
                <w:szCs w:val="32"/>
              </w:rPr>
            </w:pPr>
            <w:r>
              <w:rPr>
                <w:rFonts w:ascii="Default" w:hAnsi="Default" w:eastAsia="宋体" w:cs="Arial"/>
                <w:b/>
                <w:bCs/>
                <w:kern w:val="0"/>
                <w:sz w:val="32"/>
                <w:szCs w:val="32"/>
              </w:rPr>
              <w:t>2020年部门收入总表</w:t>
            </w:r>
          </w:p>
        </w:tc>
      </w:tr>
      <w:tr>
        <w:tblPrEx>
          <w:tblCellMar>
            <w:top w:w="0" w:type="dxa"/>
            <w:left w:w="108" w:type="dxa"/>
            <w:bottom w:w="0" w:type="dxa"/>
            <w:right w:w="108" w:type="dxa"/>
          </w:tblCellMar>
        </w:tblPrEx>
        <w:trPr>
          <w:trHeight w:val="345" w:hRule="atLeast"/>
        </w:trPr>
        <w:tc>
          <w:tcPr>
            <w:tcW w:w="3876" w:type="dxa"/>
            <w:gridSpan w:val="3"/>
            <w:tcBorders>
              <w:top w:val="nil"/>
              <w:left w:val="nil"/>
              <w:bottom w:val="nil"/>
              <w:right w:val="nil"/>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预算单位：</w:t>
            </w:r>
          </w:p>
        </w:tc>
        <w:tc>
          <w:tcPr>
            <w:tcW w:w="10490" w:type="dxa"/>
            <w:gridSpan w:val="8"/>
            <w:tcBorders>
              <w:top w:val="nil"/>
              <w:left w:val="nil"/>
              <w:bottom w:val="nil"/>
              <w:right w:val="nil"/>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单位：万元</w:t>
            </w:r>
          </w:p>
        </w:tc>
      </w:tr>
      <w:tr>
        <w:tblPrEx>
          <w:tblCellMar>
            <w:top w:w="0" w:type="dxa"/>
            <w:left w:w="108" w:type="dxa"/>
            <w:bottom w:w="0" w:type="dxa"/>
            <w:right w:w="108" w:type="dxa"/>
          </w:tblCellMar>
        </w:tblPrEx>
        <w:trPr>
          <w:trHeight w:val="345" w:hRule="atLeast"/>
        </w:trPr>
        <w:tc>
          <w:tcPr>
            <w:tcW w:w="1325"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center"/>
              <w:rPr>
                <w:rFonts w:ascii="Default" w:hAnsi="Default" w:eastAsia="宋体" w:cs="Arial"/>
                <w:b/>
                <w:bCs/>
                <w:kern w:val="0"/>
                <w:sz w:val="20"/>
                <w:szCs w:val="20"/>
              </w:rPr>
            </w:pPr>
            <w:r>
              <w:rPr>
                <w:rFonts w:ascii="Default" w:hAnsi="Default" w:eastAsia="宋体" w:cs="Arial"/>
                <w:b/>
                <w:bCs/>
                <w:kern w:val="0"/>
                <w:sz w:val="20"/>
                <w:szCs w:val="20"/>
              </w:rPr>
              <w:t>功能科目编码</w:t>
            </w:r>
          </w:p>
        </w:tc>
        <w:tc>
          <w:tcPr>
            <w:tcW w:w="1276" w:type="dxa"/>
            <w:tcBorders>
              <w:top w:val="single" w:color="000000" w:sz="4" w:space="0"/>
              <w:left w:val="nil"/>
              <w:bottom w:val="single" w:color="000000" w:sz="4" w:space="0"/>
              <w:right w:val="single" w:color="000000" w:sz="4" w:space="0"/>
            </w:tcBorders>
            <w:shd w:val="clear" w:color="000000" w:fill="FFFFFF"/>
          </w:tcPr>
          <w:p>
            <w:pPr>
              <w:widowControl/>
              <w:jc w:val="center"/>
              <w:rPr>
                <w:rFonts w:ascii="Default" w:hAnsi="Default" w:eastAsia="宋体" w:cs="Arial"/>
                <w:b/>
                <w:bCs/>
                <w:kern w:val="0"/>
                <w:sz w:val="20"/>
                <w:szCs w:val="20"/>
              </w:rPr>
            </w:pPr>
            <w:r>
              <w:rPr>
                <w:rFonts w:ascii="Default" w:hAnsi="Default" w:eastAsia="宋体" w:cs="Arial"/>
                <w:b/>
                <w:bCs/>
                <w:kern w:val="0"/>
                <w:sz w:val="20"/>
                <w:szCs w:val="20"/>
              </w:rPr>
              <w:t>功能科目名称</w:t>
            </w:r>
          </w:p>
        </w:tc>
        <w:tc>
          <w:tcPr>
            <w:tcW w:w="1275" w:type="dxa"/>
            <w:tcBorders>
              <w:top w:val="single" w:color="000000" w:sz="4" w:space="0"/>
              <w:left w:val="nil"/>
              <w:bottom w:val="single" w:color="000000" w:sz="4" w:space="0"/>
              <w:right w:val="single" w:color="000000" w:sz="4" w:space="0"/>
            </w:tcBorders>
            <w:shd w:val="clear" w:color="000000" w:fill="FFFFFF"/>
          </w:tcPr>
          <w:p>
            <w:pPr>
              <w:widowControl/>
              <w:jc w:val="center"/>
              <w:rPr>
                <w:rFonts w:ascii="Default" w:hAnsi="Default" w:eastAsia="宋体" w:cs="Arial"/>
                <w:b/>
                <w:bCs/>
                <w:kern w:val="0"/>
                <w:sz w:val="20"/>
                <w:szCs w:val="20"/>
              </w:rPr>
            </w:pPr>
            <w:r>
              <w:rPr>
                <w:rFonts w:ascii="Default" w:hAnsi="Default" w:eastAsia="宋体" w:cs="Arial"/>
                <w:b/>
                <w:bCs/>
                <w:kern w:val="0"/>
                <w:sz w:val="20"/>
                <w:szCs w:val="20"/>
              </w:rPr>
              <w:t>合计</w:t>
            </w:r>
          </w:p>
        </w:tc>
        <w:tc>
          <w:tcPr>
            <w:tcW w:w="1276" w:type="dxa"/>
            <w:tcBorders>
              <w:top w:val="single" w:color="000000" w:sz="4" w:space="0"/>
              <w:left w:val="nil"/>
              <w:bottom w:val="single" w:color="000000" w:sz="4" w:space="0"/>
              <w:right w:val="single" w:color="000000" w:sz="4" w:space="0"/>
            </w:tcBorders>
            <w:shd w:val="clear" w:color="000000" w:fill="FFFFFF"/>
          </w:tcPr>
          <w:p>
            <w:pPr>
              <w:widowControl/>
              <w:jc w:val="center"/>
              <w:rPr>
                <w:rFonts w:ascii="Default" w:hAnsi="Default" w:eastAsia="宋体" w:cs="Arial"/>
                <w:b/>
                <w:bCs/>
                <w:kern w:val="0"/>
                <w:sz w:val="20"/>
                <w:szCs w:val="20"/>
              </w:rPr>
            </w:pPr>
            <w:r>
              <w:rPr>
                <w:rFonts w:ascii="Default" w:hAnsi="Default" w:eastAsia="宋体" w:cs="Arial"/>
                <w:b/>
                <w:bCs/>
                <w:kern w:val="0"/>
                <w:sz w:val="20"/>
                <w:szCs w:val="20"/>
              </w:rPr>
              <w:t>上年结转</w:t>
            </w:r>
          </w:p>
        </w:tc>
        <w:tc>
          <w:tcPr>
            <w:tcW w:w="1559" w:type="dxa"/>
            <w:tcBorders>
              <w:top w:val="single" w:color="000000" w:sz="4" w:space="0"/>
              <w:left w:val="nil"/>
              <w:bottom w:val="single" w:color="000000" w:sz="4" w:space="0"/>
              <w:right w:val="single" w:color="000000" w:sz="4" w:space="0"/>
            </w:tcBorders>
            <w:shd w:val="clear" w:color="000000" w:fill="FFFFFF"/>
          </w:tcPr>
          <w:p>
            <w:pPr>
              <w:widowControl/>
              <w:jc w:val="center"/>
              <w:rPr>
                <w:rFonts w:ascii="Default" w:hAnsi="Default" w:eastAsia="宋体" w:cs="Arial"/>
                <w:b/>
                <w:bCs/>
                <w:kern w:val="0"/>
                <w:sz w:val="20"/>
                <w:szCs w:val="20"/>
              </w:rPr>
            </w:pPr>
            <w:r>
              <w:rPr>
                <w:rFonts w:ascii="Default" w:hAnsi="Default" w:eastAsia="宋体" w:cs="Arial"/>
                <w:b/>
                <w:bCs/>
                <w:kern w:val="0"/>
                <w:sz w:val="20"/>
                <w:szCs w:val="20"/>
              </w:rPr>
              <w:t>一般公共预算拨款收入</w:t>
            </w:r>
          </w:p>
        </w:tc>
        <w:tc>
          <w:tcPr>
            <w:tcW w:w="1418" w:type="dxa"/>
            <w:tcBorders>
              <w:top w:val="single" w:color="000000" w:sz="4" w:space="0"/>
              <w:left w:val="nil"/>
              <w:bottom w:val="single" w:color="000000" w:sz="4" w:space="0"/>
              <w:right w:val="single" w:color="000000" w:sz="4" w:space="0"/>
            </w:tcBorders>
            <w:shd w:val="clear" w:color="000000" w:fill="FFFFFF"/>
          </w:tcPr>
          <w:p>
            <w:pPr>
              <w:widowControl/>
              <w:jc w:val="center"/>
              <w:rPr>
                <w:rFonts w:ascii="Default" w:hAnsi="Default" w:eastAsia="宋体" w:cs="Arial"/>
                <w:b/>
                <w:bCs/>
                <w:kern w:val="0"/>
                <w:sz w:val="20"/>
                <w:szCs w:val="20"/>
              </w:rPr>
            </w:pPr>
            <w:r>
              <w:rPr>
                <w:rFonts w:ascii="Default" w:hAnsi="Default" w:eastAsia="宋体" w:cs="Arial"/>
                <w:b/>
                <w:bCs/>
                <w:kern w:val="0"/>
                <w:sz w:val="20"/>
                <w:szCs w:val="20"/>
              </w:rPr>
              <w:t>政府性基金预算拨款收入</w:t>
            </w:r>
          </w:p>
        </w:tc>
        <w:tc>
          <w:tcPr>
            <w:tcW w:w="1417" w:type="dxa"/>
            <w:tcBorders>
              <w:top w:val="single" w:color="000000" w:sz="4" w:space="0"/>
              <w:left w:val="nil"/>
              <w:bottom w:val="single" w:color="000000" w:sz="4" w:space="0"/>
              <w:right w:val="single" w:color="000000" w:sz="4" w:space="0"/>
            </w:tcBorders>
            <w:shd w:val="clear" w:color="000000" w:fill="FFFFFF"/>
          </w:tcPr>
          <w:p>
            <w:pPr>
              <w:widowControl/>
              <w:jc w:val="center"/>
              <w:rPr>
                <w:rFonts w:ascii="Default" w:hAnsi="Default" w:eastAsia="宋体" w:cs="Arial"/>
                <w:b/>
                <w:bCs/>
                <w:kern w:val="0"/>
                <w:sz w:val="20"/>
                <w:szCs w:val="20"/>
              </w:rPr>
            </w:pPr>
            <w:r>
              <w:rPr>
                <w:rFonts w:ascii="Default" w:hAnsi="Default" w:eastAsia="宋体" w:cs="Arial"/>
                <w:b/>
                <w:bCs/>
                <w:kern w:val="0"/>
                <w:sz w:val="20"/>
                <w:szCs w:val="20"/>
              </w:rPr>
              <w:t>国有资本经营预算拨款收入</w:t>
            </w:r>
          </w:p>
        </w:tc>
        <w:tc>
          <w:tcPr>
            <w:tcW w:w="1134" w:type="dxa"/>
            <w:tcBorders>
              <w:top w:val="single" w:color="000000" w:sz="4" w:space="0"/>
              <w:left w:val="nil"/>
              <w:bottom w:val="single" w:color="000000" w:sz="4" w:space="0"/>
              <w:right w:val="single" w:color="000000" w:sz="4" w:space="0"/>
            </w:tcBorders>
            <w:shd w:val="clear" w:color="000000" w:fill="FFFFFF"/>
          </w:tcPr>
          <w:p>
            <w:pPr>
              <w:widowControl/>
              <w:jc w:val="center"/>
              <w:rPr>
                <w:rFonts w:ascii="Default" w:hAnsi="Default" w:eastAsia="宋体" w:cs="Arial"/>
                <w:b/>
                <w:bCs/>
                <w:kern w:val="0"/>
                <w:sz w:val="20"/>
                <w:szCs w:val="20"/>
              </w:rPr>
            </w:pPr>
            <w:r>
              <w:rPr>
                <w:rFonts w:ascii="Default" w:hAnsi="Default" w:eastAsia="宋体" w:cs="Arial"/>
                <w:b/>
                <w:bCs/>
                <w:kern w:val="0"/>
                <w:sz w:val="20"/>
                <w:szCs w:val="20"/>
              </w:rPr>
              <w:t>事业收入</w:t>
            </w:r>
          </w:p>
        </w:tc>
        <w:tc>
          <w:tcPr>
            <w:tcW w:w="1276" w:type="dxa"/>
            <w:tcBorders>
              <w:top w:val="single" w:color="000000" w:sz="4" w:space="0"/>
              <w:left w:val="nil"/>
              <w:bottom w:val="single" w:color="000000" w:sz="4" w:space="0"/>
              <w:right w:val="single" w:color="000000" w:sz="4" w:space="0"/>
            </w:tcBorders>
            <w:shd w:val="clear" w:color="000000" w:fill="FFFFFF"/>
          </w:tcPr>
          <w:p>
            <w:pPr>
              <w:widowControl/>
              <w:jc w:val="center"/>
              <w:rPr>
                <w:rFonts w:ascii="Default" w:hAnsi="Default" w:eastAsia="宋体" w:cs="Arial"/>
                <w:b/>
                <w:bCs/>
                <w:kern w:val="0"/>
                <w:sz w:val="20"/>
                <w:szCs w:val="20"/>
              </w:rPr>
            </w:pPr>
            <w:r>
              <w:rPr>
                <w:rFonts w:ascii="Default" w:hAnsi="Default" w:eastAsia="宋体" w:cs="Arial"/>
                <w:b/>
                <w:bCs/>
                <w:kern w:val="0"/>
                <w:sz w:val="20"/>
                <w:szCs w:val="20"/>
              </w:rPr>
              <w:t>事业单位经营收入</w:t>
            </w:r>
          </w:p>
        </w:tc>
        <w:tc>
          <w:tcPr>
            <w:tcW w:w="1134" w:type="dxa"/>
            <w:tcBorders>
              <w:top w:val="single" w:color="000000" w:sz="4" w:space="0"/>
              <w:left w:val="nil"/>
              <w:bottom w:val="single" w:color="000000" w:sz="4" w:space="0"/>
              <w:right w:val="single" w:color="000000" w:sz="4" w:space="0"/>
            </w:tcBorders>
            <w:shd w:val="clear" w:color="000000" w:fill="FFFFFF"/>
          </w:tcPr>
          <w:p>
            <w:pPr>
              <w:widowControl/>
              <w:jc w:val="center"/>
              <w:rPr>
                <w:rFonts w:ascii="Default" w:hAnsi="Default" w:eastAsia="宋体" w:cs="Arial"/>
                <w:b/>
                <w:bCs/>
                <w:kern w:val="0"/>
                <w:sz w:val="20"/>
                <w:szCs w:val="20"/>
              </w:rPr>
            </w:pPr>
            <w:r>
              <w:rPr>
                <w:rFonts w:ascii="Default" w:hAnsi="Default" w:eastAsia="宋体" w:cs="Arial"/>
                <w:b/>
                <w:bCs/>
                <w:kern w:val="0"/>
                <w:sz w:val="20"/>
                <w:szCs w:val="20"/>
              </w:rPr>
              <w:t>其他收入</w:t>
            </w:r>
          </w:p>
        </w:tc>
        <w:tc>
          <w:tcPr>
            <w:tcW w:w="1276" w:type="dxa"/>
            <w:tcBorders>
              <w:top w:val="single" w:color="000000" w:sz="4" w:space="0"/>
              <w:left w:val="nil"/>
              <w:bottom w:val="single" w:color="000000" w:sz="4" w:space="0"/>
              <w:right w:val="single" w:color="000000" w:sz="4" w:space="0"/>
            </w:tcBorders>
            <w:shd w:val="clear" w:color="000000" w:fill="FFFFFF"/>
          </w:tcPr>
          <w:p>
            <w:pPr>
              <w:widowControl/>
              <w:jc w:val="center"/>
              <w:rPr>
                <w:rFonts w:ascii="Default" w:hAnsi="Default" w:eastAsia="宋体" w:cs="Arial"/>
                <w:b/>
                <w:bCs/>
                <w:kern w:val="0"/>
                <w:sz w:val="20"/>
                <w:szCs w:val="20"/>
              </w:rPr>
            </w:pPr>
            <w:r>
              <w:rPr>
                <w:rFonts w:ascii="Default" w:hAnsi="Default" w:eastAsia="宋体" w:cs="Arial"/>
                <w:b/>
                <w:bCs/>
                <w:kern w:val="0"/>
                <w:sz w:val="20"/>
                <w:szCs w:val="20"/>
              </w:rPr>
              <w:t>用事业基金弥补收支差额</w:t>
            </w:r>
          </w:p>
        </w:tc>
      </w:tr>
      <w:tr>
        <w:tblPrEx>
          <w:tblCellMar>
            <w:top w:w="0" w:type="dxa"/>
            <w:left w:w="108" w:type="dxa"/>
            <w:bottom w:w="0" w:type="dxa"/>
            <w:right w:w="108" w:type="dxa"/>
          </w:tblCellMar>
        </w:tblPrEx>
        <w:trPr>
          <w:trHeight w:val="496"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总计:</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1,935.01</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1,935.01</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201</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一般公共服务支出</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793.26</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793.26</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20101</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人大事务</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15.00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15.00</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2010101</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行政运行</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15.00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15.00</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9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20103</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政府办公厅（室）及相关机构事务</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778.26</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778.26</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2010301</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行政运行</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778.26</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778.26</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207</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文化旅游体育与传媒支出</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51.14</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51.14</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20701</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文化和旅游</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51.14</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51.14</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2070109</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群众文化</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51.14</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51.14</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208</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社会保障和就业支出</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203.49</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203.49</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20801</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人力资源和社会保障管理事务</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63.91</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63.91</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9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2080199</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其他人力资源和社会保障管理事务支出</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63.91</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63.91</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20805</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行政事业单位养老支出</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131.58</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131.58</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9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2080505</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机关事业单位基本养老保险缴费支出</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59.12</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59.12</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9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2080506</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机关事业单位职业年金缴费支出</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29.56</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29.56</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9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2080599</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其他行政事业单位离退休支出</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42.90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42.90</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20810</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社会福利</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8.00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8.00</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2081099</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其他社会福利支出</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8.00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8.00</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210</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卫生健康支出</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52.90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52.90</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21011</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行政事业单位医疗</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52.90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52.90</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2101101</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行政单位医疗</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14.28</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14.28</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2101102</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事业单位医疗</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15.28</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15.28</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2101103</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公务员医疗补助</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5.35</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5.35</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9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2101199</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其他行政事业单位医疗支出</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17.99</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17.99</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212</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城乡社区支出</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117.38</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117.38</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21203</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城乡社区公共设施</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50.00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50.00</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2120303</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小城镇基础设施建设</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50.00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50.00</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21205</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城乡社区环境卫生</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67.38</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67.38</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2120501</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城乡社区环境卫生</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67.38</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67.38</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213</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农林水支出</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672.50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672.50</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21301</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农业农村</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465.36</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465.36</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2130104</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事业运行</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315.36</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315.36</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2130142</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农村道路建设</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150.00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150.00</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21307</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农村综合改革</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207.14</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207.14</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9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2130705</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对村民委员会和村党支部的补助</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207.14</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207.14</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221</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住房保障支出</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44.34</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44.34</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22102</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住房改革支出</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44.34</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44.34</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325"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2210201</w:t>
            </w:r>
          </w:p>
        </w:tc>
        <w:tc>
          <w:tcPr>
            <w:tcW w:w="1276"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住房公积金</w:t>
            </w:r>
          </w:p>
        </w:tc>
        <w:tc>
          <w:tcPr>
            <w:tcW w:w="1275"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44.34</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559"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44.34</w:t>
            </w:r>
          </w:p>
        </w:tc>
        <w:tc>
          <w:tcPr>
            <w:tcW w:w="1418"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134"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c>
          <w:tcPr>
            <w:tcW w:w="1276" w:type="dxa"/>
            <w:tcBorders>
              <w:top w:val="nil"/>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0.00</w:t>
            </w:r>
          </w:p>
        </w:tc>
      </w:tr>
    </w:tbl>
    <w:p/>
    <w:tbl>
      <w:tblPr>
        <w:tblStyle w:val="2"/>
        <w:tblW w:w="12000" w:type="dxa"/>
        <w:tblInd w:w="93" w:type="dxa"/>
        <w:tblLayout w:type="autofit"/>
        <w:tblCellMar>
          <w:top w:w="0" w:type="dxa"/>
          <w:left w:w="108" w:type="dxa"/>
          <w:bottom w:w="0" w:type="dxa"/>
          <w:right w:w="108" w:type="dxa"/>
        </w:tblCellMar>
      </w:tblPr>
      <w:tblGrid>
        <w:gridCol w:w="1500"/>
        <w:gridCol w:w="1500"/>
        <w:gridCol w:w="1500"/>
        <w:gridCol w:w="1500"/>
        <w:gridCol w:w="1500"/>
        <w:gridCol w:w="1500"/>
        <w:gridCol w:w="1500"/>
        <w:gridCol w:w="1500"/>
      </w:tblGrid>
      <w:tr>
        <w:tblPrEx>
          <w:tblCellMar>
            <w:top w:w="0" w:type="dxa"/>
            <w:left w:w="108" w:type="dxa"/>
            <w:bottom w:w="0" w:type="dxa"/>
            <w:right w:w="108" w:type="dxa"/>
          </w:tblCellMar>
        </w:tblPrEx>
        <w:trPr>
          <w:trHeight w:val="720" w:hRule="atLeast"/>
        </w:trPr>
        <w:tc>
          <w:tcPr>
            <w:tcW w:w="12000" w:type="dxa"/>
            <w:gridSpan w:val="8"/>
            <w:tcBorders>
              <w:top w:val="nil"/>
              <w:left w:val="nil"/>
              <w:bottom w:val="nil"/>
              <w:right w:val="nil"/>
            </w:tcBorders>
            <w:shd w:val="clear" w:color="000000" w:fill="FFFFFF"/>
          </w:tcPr>
          <w:p>
            <w:pPr>
              <w:widowControl/>
              <w:jc w:val="center"/>
              <w:rPr>
                <w:rFonts w:ascii="Default" w:hAnsi="Default" w:eastAsia="宋体" w:cs="Arial"/>
                <w:b/>
                <w:bCs/>
                <w:kern w:val="0"/>
                <w:sz w:val="36"/>
                <w:szCs w:val="36"/>
              </w:rPr>
            </w:pPr>
            <w:r>
              <w:rPr>
                <w:rFonts w:ascii="Default" w:hAnsi="Default" w:eastAsia="宋体" w:cs="Arial"/>
                <w:b/>
                <w:bCs/>
                <w:kern w:val="0"/>
                <w:sz w:val="36"/>
                <w:szCs w:val="36"/>
              </w:rPr>
              <w:t>2020年部门支出总表</w:t>
            </w:r>
          </w:p>
        </w:tc>
      </w:tr>
      <w:tr>
        <w:tblPrEx>
          <w:tblCellMar>
            <w:top w:w="0" w:type="dxa"/>
            <w:left w:w="108" w:type="dxa"/>
            <w:bottom w:w="0" w:type="dxa"/>
            <w:right w:w="108" w:type="dxa"/>
          </w:tblCellMar>
        </w:tblPrEx>
        <w:trPr>
          <w:trHeight w:val="345" w:hRule="atLeast"/>
        </w:trPr>
        <w:tc>
          <w:tcPr>
            <w:tcW w:w="6000" w:type="dxa"/>
            <w:gridSpan w:val="4"/>
            <w:tcBorders>
              <w:top w:val="nil"/>
              <w:left w:val="nil"/>
              <w:bottom w:val="nil"/>
              <w:right w:val="nil"/>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预算单位：</w:t>
            </w:r>
          </w:p>
        </w:tc>
        <w:tc>
          <w:tcPr>
            <w:tcW w:w="1500" w:type="dxa"/>
            <w:tcBorders>
              <w:top w:val="nil"/>
              <w:left w:val="nil"/>
              <w:bottom w:val="nil"/>
              <w:right w:val="nil"/>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nil"/>
              <w:right w:val="nil"/>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nil"/>
              <w:right w:val="nil"/>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nil"/>
              <w:right w:val="nil"/>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单位：万元</w:t>
            </w:r>
          </w:p>
        </w:tc>
      </w:tr>
      <w:tr>
        <w:tblPrEx>
          <w:tblCellMar>
            <w:top w:w="0" w:type="dxa"/>
            <w:left w:w="108" w:type="dxa"/>
            <w:bottom w:w="0" w:type="dxa"/>
            <w:right w:w="108" w:type="dxa"/>
          </w:tblCellMar>
        </w:tblPrEx>
        <w:trPr>
          <w:trHeight w:val="345" w:hRule="atLeast"/>
        </w:trPr>
        <w:tc>
          <w:tcPr>
            <w:tcW w:w="1500" w:type="dxa"/>
            <w:tcBorders>
              <w:top w:val="single" w:color="000000" w:sz="4" w:space="0"/>
              <w:left w:val="single" w:color="000000" w:sz="4" w:space="0"/>
              <w:bottom w:val="nil"/>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功能科目编码</w:t>
            </w:r>
          </w:p>
        </w:tc>
        <w:tc>
          <w:tcPr>
            <w:tcW w:w="1500" w:type="dxa"/>
            <w:tcBorders>
              <w:top w:val="single" w:color="000000" w:sz="4" w:space="0"/>
              <w:left w:val="nil"/>
              <w:bottom w:val="nil"/>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功能科目名称</w:t>
            </w:r>
          </w:p>
        </w:tc>
        <w:tc>
          <w:tcPr>
            <w:tcW w:w="1500" w:type="dxa"/>
            <w:tcBorders>
              <w:top w:val="single" w:color="000000" w:sz="4" w:space="0"/>
              <w:left w:val="nil"/>
              <w:bottom w:val="nil"/>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合计</w:t>
            </w:r>
          </w:p>
        </w:tc>
        <w:tc>
          <w:tcPr>
            <w:tcW w:w="1500" w:type="dxa"/>
            <w:tcBorders>
              <w:top w:val="single" w:color="000000" w:sz="4" w:space="0"/>
              <w:left w:val="nil"/>
              <w:bottom w:val="nil"/>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基本支出</w:t>
            </w:r>
          </w:p>
        </w:tc>
        <w:tc>
          <w:tcPr>
            <w:tcW w:w="1500" w:type="dxa"/>
            <w:tcBorders>
              <w:top w:val="single" w:color="000000" w:sz="4" w:space="0"/>
              <w:left w:val="nil"/>
              <w:bottom w:val="nil"/>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项目支出</w:t>
            </w:r>
          </w:p>
        </w:tc>
        <w:tc>
          <w:tcPr>
            <w:tcW w:w="1500" w:type="dxa"/>
            <w:tcBorders>
              <w:top w:val="single" w:color="000000" w:sz="4" w:space="0"/>
              <w:left w:val="nil"/>
              <w:bottom w:val="nil"/>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上缴上级支出</w:t>
            </w:r>
          </w:p>
        </w:tc>
        <w:tc>
          <w:tcPr>
            <w:tcW w:w="1500" w:type="dxa"/>
            <w:tcBorders>
              <w:top w:val="single" w:color="000000" w:sz="4" w:space="0"/>
              <w:left w:val="nil"/>
              <w:bottom w:val="nil"/>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经营支出</w:t>
            </w:r>
          </w:p>
        </w:tc>
        <w:tc>
          <w:tcPr>
            <w:tcW w:w="1500" w:type="dxa"/>
            <w:tcBorders>
              <w:top w:val="single" w:color="000000" w:sz="4" w:space="0"/>
              <w:left w:val="nil"/>
              <w:bottom w:val="nil"/>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对下级单位补助支出</w:t>
            </w:r>
          </w:p>
        </w:tc>
      </w:tr>
      <w:tr>
        <w:tblPrEx>
          <w:tblCellMar>
            <w:top w:w="0" w:type="dxa"/>
            <w:left w:w="108" w:type="dxa"/>
            <w:bottom w:w="0" w:type="dxa"/>
            <w:right w:w="108" w:type="dxa"/>
          </w:tblCellMar>
        </w:tblPrEx>
        <w:trPr>
          <w:trHeight w:val="300" w:hRule="atLeast"/>
        </w:trPr>
        <w:tc>
          <w:tcPr>
            <w:tcW w:w="1500" w:type="dxa"/>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single" w:color="auto" w:sz="4" w:space="0"/>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总计:</w:t>
            </w:r>
          </w:p>
        </w:tc>
        <w:tc>
          <w:tcPr>
            <w:tcW w:w="1500" w:type="dxa"/>
            <w:tcBorders>
              <w:top w:val="single" w:color="auto" w:sz="4" w:space="0"/>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1,935.01</w:t>
            </w:r>
          </w:p>
        </w:tc>
        <w:tc>
          <w:tcPr>
            <w:tcW w:w="1500" w:type="dxa"/>
            <w:tcBorders>
              <w:top w:val="single" w:color="auto" w:sz="4" w:space="0"/>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1,092.73</w:t>
            </w:r>
          </w:p>
        </w:tc>
        <w:tc>
          <w:tcPr>
            <w:tcW w:w="1500" w:type="dxa"/>
            <w:tcBorders>
              <w:top w:val="single" w:color="auto" w:sz="4" w:space="0"/>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842.27</w:t>
            </w:r>
          </w:p>
        </w:tc>
        <w:tc>
          <w:tcPr>
            <w:tcW w:w="1500" w:type="dxa"/>
            <w:tcBorders>
              <w:top w:val="single" w:color="auto" w:sz="4" w:space="0"/>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single" w:color="auto" w:sz="4" w:space="0"/>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single" w:color="auto" w:sz="4" w:space="0"/>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201</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一般公共服务支出</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793.26</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433.50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359.75</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20101</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人大事务</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15.00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15.00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2010101</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行政运行</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15.00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15.00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9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20103</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政府办公厅（室）及相关机构事务</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778.26</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433.50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344.75</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2010301</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行政运行</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778.26</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433.50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344.75</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207</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文化旅游体育与传媒支出</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51.14</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51.14</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20701</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文化和旅游</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51.14</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51.14</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2070109</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群众文化</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51.14</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51.14</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208</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社会保障和就业支出</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203.49</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195.49</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8.00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20801</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人力资源和社会保障管理事务</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63.91</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63.91</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9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2080199</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其他人力资源和社会保障管理事务支出</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63.91</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63.91</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20805</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行政事业单位养老支出</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131.58</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131.58</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9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2080505</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机关事业单位基本养老保险缴费支出</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59.12</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59.12</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9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2080506</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机关事业单位职业年金缴费支出</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29.56</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29.56</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9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2080599</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其他行政事业单位离退休支出</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42.90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42.90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20810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社会福利</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8.00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8.00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2081099</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其他社会福利支出</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8.00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8.00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210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卫生健康支出</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52.90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52.90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21011</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行政事业单位医疗</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52.90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52.90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2101101</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行政单位医疗</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14.28</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14.28</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2101102</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事业单位医疗</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15.28</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15.28</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2101103</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公务员医疗补助</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5.35</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5.35</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2101199</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其他行政事业单位医疗支出</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17.99</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17.99</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212</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城乡社区支出</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117.38</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117.38</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21203</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城乡社区公共设施</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50.00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2120303</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小城镇基础设施建设</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50.00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21205</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城乡社区环境卫生</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67.38</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67.38</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2120501</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城乡社区环境卫生</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67.38</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67.38</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213</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农林水支出</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672.50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315.36</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357.14</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21301</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农业农村</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465.36</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315.36</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150.00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2130104</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事业运行</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315.36</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315.36</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2130142</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农村道路建设</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150.00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150.00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21307</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农村综合改革</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207.14</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207.14</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9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2130705</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对村民委员会和村党支部的补助</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207.14</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207.14</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221</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住房保障支出</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44.34</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44.34</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22102</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住房改革支出</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44.34</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44.34</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2210201</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住房公积金</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44.34</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44.34</w:t>
            </w:r>
          </w:p>
        </w:tc>
        <w:tc>
          <w:tcPr>
            <w:tcW w:w="150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r>
    </w:tbl>
    <w:p/>
    <w:tbl>
      <w:tblPr>
        <w:tblStyle w:val="2"/>
        <w:tblW w:w="10500" w:type="dxa"/>
        <w:tblInd w:w="93" w:type="dxa"/>
        <w:tblLayout w:type="autofit"/>
        <w:tblCellMar>
          <w:top w:w="0" w:type="dxa"/>
          <w:left w:w="108" w:type="dxa"/>
          <w:bottom w:w="0" w:type="dxa"/>
          <w:right w:w="108" w:type="dxa"/>
        </w:tblCellMar>
      </w:tblPr>
      <w:tblGrid>
        <w:gridCol w:w="1500"/>
        <w:gridCol w:w="1500"/>
        <w:gridCol w:w="1500"/>
        <w:gridCol w:w="1500"/>
        <w:gridCol w:w="1500"/>
        <w:gridCol w:w="1500"/>
        <w:gridCol w:w="1500"/>
      </w:tblGrid>
      <w:tr>
        <w:tblPrEx>
          <w:tblCellMar>
            <w:top w:w="0" w:type="dxa"/>
            <w:left w:w="108" w:type="dxa"/>
            <w:bottom w:w="0" w:type="dxa"/>
            <w:right w:w="108" w:type="dxa"/>
          </w:tblCellMar>
        </w:tblPrEx>
        <w:trPr>
          <w:trHeight w:val="675" w:hRule="atLeast"/>
        </w:trPr>
        <w:tc>
          <w:tcPr>
            <w:tcW w:w="10500" w:type="dxa"/>
            <w:gridSpan w:val="7"/>
            <w:tcBorders>
              <w:top w:val="nil"/>
              <w:left w:val="nil"/>
              <w:bottom w:val="nil"/>
              <w:right w:val="nil"/>
            </w:tcBorders>
            <w:shd w:val="clear" w:color="000000" w:fill="FFFFFF"/>
          </w:tcPr>
          <w:p>
            <w:pPr>
              <w:widowControl/>
              <w:jc w:val="center"/>
              <w:rPr>
                <w:rFonts w:ascii="Default" w:hAnsi="Default" w:eastAsia="宋体" w:cs="Arial"/>
                <w:b/>
                <w:bCs/>
                <w:kern w:val="0"/>
                <w:sz w:val="30"/>
                <w:szCs w:val="30"/>
              </w:rPr>
            </w:pPr>
            <w:r>
              <w:rPr>
                <w:rFonts w:ascii="Default" w:hAnsi="Default" w:eastAsia="宋体" w:cs="Arial"/>
                <w:b/>
                <w:bCs/>
                <w:kern w:val="0"/>
                <w:sz w:val="30"/>
                <w:szCs w:val="30"/>
              </w:rPr>
              <w:t>2020年财政拨款收支总表</w:t>
            </w:r>
          </w:p>
        </w:tc>
      </w:tr>
      <w:tr>
        <w:tblPrEx>
          <w:tblCellMar>
            <w:top w:w="0" w:type="dxa"/>
            <w:left w:w="108" w:type="dxa"/>
            <w:bottom w:w="0" w:type="dxa"/>
            <w:right w:w="108" w:type="dxa"/>
          </w:tblCellMar>
        </w:tblPrEx>
        <w:trPr>
          <w:trHeight w:val="345" w:hRule="atLeast"/>
        </w:trPr>
        <w:tc>
          <w:tcPr>
            <w:tcW w:w="7500" w:type="dxa"/>
            <w:gridSpan w:val="5"/>
            <w:tcBorders>
              <w:top w:val="nil"/>
              <w:left w:val="nil"/>
              <w:bottom w:val="nil"/>
              <w:right w:val="nil"/>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预算单位：</w:t>
            </w:r>
          </w:p>
        </w:tc>
        <w:tc>
          <w:tcPr>
            <w:tcW w:w="3000" w:type="dxa"/>
            <w:gridSpan w:val="2"/>
            <w:tcBorders>
              <w:top w:val="nil"/>
              <w:left w:val="nil"/>
              <w:bottom w:val="nil"/>
              <w:right w:val="nil"/>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单位：万元</w:t>
            </w:r>
          </w:p>
        </w:tc>
      </w:tr>
      <w:tr>
        <w:tblPrEx>
          <w:tblCellMar>
            <w:top w:w="0" w:type="dxa"/>
            <w:left w:w="108" w:type="dxa"/>
            <w:bottom w:w="0" w:type="dxa"/>
            <w:right w:w="108" w:type="dxa"/>
          </w:tblCellMar>
        </w:tblPrEx>
        <w:trPr>
          <w:trHeight w:val="345" w:hRule="atLeast"/>
        </w:trPr>
        <w:tc>
          <w:tcPr>
            <w:tcW w:w="1500" w:type="dxa"/>
            <w:tcBorders>
              <w:top w:val="single" w:color="000000" w:sz="4" w:space="0"/>
              <w:left w:val="single" w:color="000000" w:sz="4" w:space="0"/>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收入项目</w:t>
            </w:r>
          </w:p>
        </w:tc>
        <w:tc>
          <w:tcPr>
            <w:tcW w:w="1500" w:type="dxa"/>
            <w:tcBorders>
              <w:top w:val="single" w:color="000000" w:sz="4" w:space="0"/>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预算数</w:t>
            </w:r>
          </w:p>
        </w:tc>
        <w:tc>
          <w:tcPr>
            <w:tcW w:w="1500" w:type="dxa"/>
            <w:tcBorders>
              <w:top w:val="single" w:color="000000" w:sz="4" w:space="0"/>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支出项目</w:t>
            </w:r>
          </w:p>
        </w:tc>
        <w:tc>
          <w:tcPr>
            <w:tcW w:w="1500" w:type="dxa"/>
            <w:tcBorders>
              <w:top w:val="single" w:color="000000" w:sz="4" w:space="0"/>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合计</w:t>
            </w:r>
          </w:p>
        </w:tc>
        <w:tc>
          <w:tcPr>
            <w:tcW w:w="1500" w:type="dxa"/>
            <w:tcBorders>
              <w:top w:val="single" w:color="000000" w:sz="4" w:space="0"/>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一般公共预算财政拨款</w:t>
            </w:r>
          </w:p>
        </w:tc>
        <w:tc>
          <w:tcPr>
            <w:tcW w:w="1500" w:type="dxa"/>
            <w:tcBorders>
              <w:top w:val="single" w:color="000000" w:sz="4" w:space="0"/>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政府性基金预算财政拨款</w:t>
            </w:r>
          </w:p>
        </w:tc>
        <w:tc>
          <w:tcPr>
            <w:tcW w:w="1500" w:type="dxa"/>
            <w:tcBorders>
              <w:top w:val="single" w:color="000000" w:sz="4" w:space="0"/>
              <w:left w:val="nil"/>
              <w:bottom w:val="single" w:color="000000" w:sz="4" w:space="0"/>
              <w:right w:val="single" w:color="000000" w:sz="4" w:space="0"/>
            </w:tcBorders>
            <w:shd w:val="clear" w:color="000000" w:fill="FFFFFF"/>
          </w:tcPr>
          <w:p>
            <w:pPr>
              <w:widowControl/>
              <w:jc w:val="center"/>
              <w:rPr>
                <w:rFonts w:ascii="Default" w:hAnsi="Default" w:eastAsia="宋体" w:cs="Arial"/>
                <w:kern w:val="0"/>
                <w:sz w:val="20"/>
                <w:szCs w:val="20"/>
              </w:rPr>
            </w:pPr>
            <w:r>
              <w:rPr>
                <w:rFonts w:ascii="Default" w:hAnsi="Default" w:eastAsia="宋体" w:cs="Arial"/>
                <w:kern w:val="0"/>
                <w:sz w:val="20"/>
                <w:szCs w:val="20"/>
              </w:rPr>
              <w:t>国有资本经营预算财政拨款</w:t>
            </w:r>
          </w:p>
        </w:tc>
      </w:tr>
      <w:tr>
        <w:tblPrEx>
          <w:tblCellMar>
            <w:top w:w="0" w:type="dxa"/>
            <w:left w:w="108" w:type="dxa"/>
            <w:bottom w:w="0" w:type="dxa"/>
            <w:right w:w="108" w:type="dxa"/>
          </w:tblCellMar>
        </w:tblPrEx>
        <w:trPr>
          <w:trHeight w:val="3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一、本年收入</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1,935.00</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一、本年支出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1,935.00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1,935.00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一般公共预算拨款</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1,935.00</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一般公共服务支出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793.26</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793.26</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政府性基金预算拨款</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外交支出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国有资本经营预算拨款</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国防支出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公共安全支出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二、上年结转</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教育支出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一般公共预算拨款</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科学技术支出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政府性基金预算拨款</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文化旅游体育与传媒支出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51.14</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51.14</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国有资本经营预算拨款</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社会保障和就业支出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203.49</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203.49</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社会保险基金支出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卫生健康支出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52.90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52.90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节能环保支出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城乡社区支出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117.38</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117.38</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农林水支出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672.50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672.50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交通运输支出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资源勘探工业信息等支出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商业服务业等支出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金融支出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援助其他地区支出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自然资源海洋气象等支出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住房保障支出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44.34</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44.34</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粮油物资储备支出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国有资本经营预算支出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灾害防治及应急管理支出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预备费</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其他支出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转移性支出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债务还本支出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债务付息支出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6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债务发行费用支出</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r>
      <w:tr>
        <w:tblPrEx>
          <w:tblCellMar>
            <w:top w:w="0" w:type="dxa"/>
            <w:left w:w="108" w:type="dxa"/>
            <w:bottom w:w="0" w:type="dxa"/>
            <w:right w:w="108" w:type="dxa"/>
          </w:tblCellMar>
        </w:tblPrEx>
        <w:trPr>
          <w:trHeight w:val="3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收入总计</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1,935.00</w:t>
            </w:r>
          </w:p>
        </w:tc>
        <w:tc>
          <w:tcPr>
            <w:tcW w:w="1500" w:type="dxa"/>
            <w:tcBorders>
              <w:top w:val="nil"/>
              <w:left w:val="nil"/>
              <w:bottom w:val="single" w:color="000000" w:sz="4" w:space="0"/>
              <w:right w:val="single" w:color="000000"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支出总计</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1,935.00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1,935.00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bl>
    <w:p/>
    <w:tbl>
      <w:tblPr>
        <w:tblStyle w:val="2"/>
        <w:tblW w:w="12600" w:type="dxa"/>
        <w:tblInd w:w="93" w:type="dxa"/>
        <w:tblLayout w:type="autofit"/>
        <w:tblCellMar>
          <w:top w:w="0" w:type="dxa"/>
          <w:left w:w="108" w:type="dxa"/>
          <w:bottom w:w="0" w:type="dxa"/>
          <w:right w:w="108" w:type="dxa"/>
        </w:tblCellMar>
      </w:tblPr>
      <w:tblGrid>
        <w:gridCol w:w="1840"/>
        <w:gridCol w:w="3400"/>
        <w:gridCol w:w="1840"/>
        <w:gridCol w:w="1840"/>
        <w:gridCol w:w="1840"/>
        <w:gridCol w:w="1840"/>
      </w:tblGrid>
      <w:tr>
        <w:tblPrEx>
          <w:tblCellMar>
            <w:top w:w="0" w:type="dxa"/>
            <w:left w:w="108" w:type="dxa"/>
            <w:bottom w:w="0" w:type="dxa"/>
            <w:right w:w="108" w:type="dxa"/>
          </w:tblCellMar>
        </w:tblPrEx>
        <w:trPr>
          <w:trHeight w:val="615" w:hRule="atLeast"/>
        </w:trPr>
        <w:tc>
          <w:tcPr>
            <w:tcW w:w="12600" w:type="dxa"/>
            <w:gridSpan w:val="6"/>
            <w:tcBorders>
              <w:top w:val="nil"/>
              <w:left w:val="nil"/>
              <w:bottom w:val="nil"/>
              <w:right w:val="nil"/>
            </w:tcBorders>
            <w:shd w:val="clear" w:color="000000" w:fill="FFFFFF"/>
            <w:vAlign w:val="center"/>
          </w:tcPr>
          <w:p>
            <w:pPr>
              <w:widowControl/>
              <w:jc w:val="center"/>
              <w:rPr>
                <w:rFonts w:ascii="Default" w:hAnsi="Default" w:eastAsia="宋体" w:cs="Arial"/>
                <w:b/>
                <w:bCs/>
                <w:kern w:val="0"/>
                <w:sz w:val="30"/>
                <w:szCs w:val="30"/>
              </w:rPr>
            </w:pPr>
            <w:r>
              <w:rPr>
                <w:rFonts w:ascii="Default" w:hAnsi="Default" w:eastAsia="宋体" w:cs="Arial"/>
                <w:b/>
                <w:bCs/>
                <w:kern w:val="0"/>
                <w:sz w:val="30"/>
                <w:szCs w:val="30"/>
              </w:rPr>
              <w:t>一般公共预算财政拨款支出预算表</w:t>
            </w:r>
          </w:p>
        </w:tc>
      </w:tr>
      <w:tr>
        <w:tblPrEx>
          <w:tblCellMar>
            <w:top w:w="0" w:type="dxa"/>
            <w:left w:w="108" w:type="dxa"/>
            <w:bottom w:w="0" w:type="dxa"/>
            <w:right w:w="108" w:type="dxa"/>
          </w:tblCellMar>
        </w:tblPrEx>
        <w:trPr>
          <w:trHeight w:val="345" w:hRule="atLeast"/>
        </w:trPr>
        <w:tc>
          <w:tcPr>
            <w:tcW w:w="1840" w:type="dxa"/>
            <w:tcBorders>
              <w:top w:val="nil"/>
              <w:left w:val="nil"/>
              <w:bottom w:val="nil"/>
              <w:right w:val="nil"/>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3400" w:type="dxa"/>
            <w:tcBorders>
              <w:top w:val="nil"/>
              <w:left w:val="nil"/>
              <w:bottom w:val="nil"/>
              <w:right w:val="nil"/>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840" w:type="dxa"/>
            <w:tcBorders>
              <w:top w:val="nil"/>
              <w:left w:val="nil"/>
              <w:bottom w:val="nil"/>
              <w:right w:val="nil"/>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840" w:type="dxa"/>
            <w:tcBorders>
              <w:top w:val="nil"/>
              <w:left w:val="nil"/>
              <w:bottom w:val="nil"/>
              <w:right w:val="nil"/>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840" w:type="dxa"/>
            <w:tcBorders>
              <w:top w:val="nil"/>
              <w:left w:val="nil"/>
              <w:bottom w:val="nil"/>
              <w:right w:val="nil"/>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1840" w:type="dxa"/>
            <w:tcBorders>
              <w:top w:val="nil"/>
              <w:left w:val="nil"/>
              <w:bottom w:val="nil"/>
              <w:right w:val="nil"/>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 xml:space="preserve">单位：万元 </w:t>
            </w:r>
          </w:p>
        </w:tc>
      </w:tr>
      <w:tr>
        <w:tblPrEx>
          <w:tblCellMar>
            <w:top w:w="0" w:type="dxa"/>
            <w:left w:w="108" w:type="dxa"/>
            <w:bottom w:w="0" w:type="dxa"/>
            <w:right w:w="108" w:type="dxa"/>
          </w:tblCellMar>
        </w:tblPrEx>
        <w:trPr>
          <w:trHeight w:val="345" w:hRule="atLeast"/>
        </w:trPr>
        <w:tc>
          <w:tcPr>
            <w:tcW w:w="524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Default" w:hAnsi="Default" w:eastAsia="宋体" w:cs="Arial"/>
                <w:b/>
                <w:bCs/>
                <w:kern w:val="0"/>
                <w:sz w:val="22"/>
              </w:rPr>
            </w:pPr>
            <w:r>
              <w:rPr>
                <w:rFonts w:ascii="Default" w:hAnsi="Default" w:eastAsia="宋体" w:cs="Arial"/>
                <w:b/>
                <w:bCs/>
                <w:kern w:val="0"/>
                <w:sz w:val="22"/>
              </w:rPr>
              <w:t>功能分类科目</w:t>
            </w:r>
          </w:p>
        </w:tc>
        <w:tc>
          <w:tcPr>
            <w:tcW w:w="18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Default" w:hAnsi="Default" w:eastAsia="宋体" w:cs="Arial"/>
                <w:b/>
                <w:bCs/>
                <w:kern w:val="0"/>
                <w:sz w:val="22"/>
              </w:rPr>
            </w:pPr>
            <w:r>
              <w:rPr>
                <w:rFonts w:ascii="Default" w:hAnsi="Default" w:eastAsia="宋体" w:cs="Arial"/>
                <w:b/>
                <w:bCs/>
                <w:kern w:val="0"/>
                <w:sz w:val="22"/>
              </w:rPr>
              <w:t>2019年预算数</w:t>
            </w:r>
          </w:p>
        </w:tc>
        <w:tc>
          <w:tcPr>
            <w:tcW w:w="55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Default" w:hAnsi="Default" w:eastAsia="宋体" w:cs="Arial"/>
                <w:b/>
                <w:bCs/>
                <w:kern w:val="0"/>
                <w:sz w:val="22"/>
              </w:rPr>
            </w:pPr>
            <w:r>
              <w:rPr>
                <w:rFonts w:ascii="Default" w:hAnsi="Default" w:eastAsia="宋体" w:cs="Arial"/>
                <w:b/>
                <w:bCs/>
                <w:kern w:val="0"/>
                <w:sz w:val="22"/>
              </w:rPr>
              <w:t>2020年预算数</w:t>
            </w:r>
          </w:p>
        </w:tc>
      </w:tr>
      <w:tr>
        <w:tblPrEx>
          <w:tblCellMar>
            <w:top w:w="0" w:type="dxa"/>
            <w:left w:w="108" w:type="dxa"/>
            <w:bottom w:w="0" w:type="dxa"/>
            <w:right w:w="108" w:type="dxa"/>
          </w:tblCellMar>
        </w:tblPrEx>
        <w:trPr>
          <w:trHeight w:val="345" w:hRule="atLeast"/>
        </w:trPr>
        <w:tc>
          <w:tcPr>
            <w:tcW w:w="18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Default" w:hAnsi="Default" w:eastAsia="宋体" w:cs="Arial"/>
                <w:b/>
                <w:bCs/>
                <w:kern w:val="0"/>
                <w:sz w:val="22"/>
              </w:rPr>
            </w:pPr>
            <w:r>
              <w:rPr>
                <w:rFonts w:ascii="Default" w:hAnsi="Default" w:eastAsia="宋体" w:cs="Arial"/>
                <w:b/>
                <w:bCs/>
                <w:kern w:val="0"/>
                <w:sz w:val="22"/>
              </w:rPr>
              <w:t>科目编码</w:t>
            </w:r>
          </w:p>
        </w:tc>
        <w:tc>
          <w:tcPr>
            <w:tcW w:w="3400" w:type="dxa"/>
            <w:tcBorders>
              <w:top w:val="nil"/>
              <w:left w:val="nil"/>
              <w:bottom w:val="single" w:color="auto" w:sz="4" w:space="0"/>
              <w:right w:val="single" w:color="auto" w:sz="4" w:space="0"/>
            </w:tcBorders>
            <w:shd w:val="clear" w:color="000000" w:fill="FFFFFF"/>
            <w:vAlign w:val="center"/>
          </w:tcPr>
          <w:p>
            <w:pPr>
              <w:widowControl/>
              <w:jc w:val="center"/>
              <w:rPr>
                <w:rFonts w:ascii="Default" w:hAnsi="Default" w:eastAsia="宋体" w:cs="Arial"/>
                <w:b/>
                <w:bCs/>
                <w:kern w:val="0"/>
                <w:sz w:val="22"/>
              </w:rPr>
            </w:pPr>
            <w:r>
              <w:rPr>
                <w:rFonts w:ascii="Default" w:hAnsi="Default" w:eastAsia="宋体" w:cs="Arial"/>
                <w:b/>
                <w:bCs/>
                <w:kern w:val="0"/>
                <w:sz w:val="22"/>
              </w:rPr>
              <w:t>科目名称</w:t>
            </w:r>
          </w:p>
        </w:tc>
        <w:tc>
          <w:tcPr>
            <w:tcW w:w="1840" w:type="dxa"/>
            <w:tcBorders>
              <w:top w:val="nil"/>
              <w:left w:val="nil"/>
              <w:bottom w:val="single" w:color="auto" w:sz="4" w:space="0"/>
              <w:right w:val="single" w:color="auto" w:sz="4" w:space="0"/>
            </w:tcBorders>
            <w:shd w:val="clear" w:color="000000" w:fill="FFFFFF"/>
            <w:vAlign w:val="center"/>
          </w:tcPr>
          <w:p>
            <w:pPr>
              <w:widowControl/>
              <w:jc w:val="center"/>
              <w:rPr>
                <w:rFonts w:ascii="Default" w:hAnsi="Default" w:eastAsia="宋体" w:cs="Arial"/>
                <w:b/>
                <w:bCs/>
                <w:kern w:val="0"/>
                <w:sz w:val="22"/>
              </w:rPr>
            </w:pPr>
            <w:r>
              <w:rPr>
                <w:rFonts w:ascii="Default" w:hAnsi="Default" w:eastAsia="宋体" w:cs="Arial"/>
                <w:b/>
                <w:bCs/>
                <w:kern w:val="0"/>
                <w:sz w:val="22"/>
              </w:rPr>
              <w:t>　</w:t>
            </w:r>
          </w:p>
        </w:tc>
        <w:tc>
          <w:tcPr>
            <w:tcW w:w="1840" w:type="dxa"/>
            <w:tcBorders>
              <w:top w:val="nil"/>
              <w:left w:val="nil"/>
              <w:bottom w:val="single" w:color="auto" w:sz="4" w:space="0"/>
              <w:right w:val="single" w:color="auto" w:sz="4" w:space="0"/>
            </w:tcBorders>
            <w:shd w:val="clear" w:color="000000" w:fill="FFFFFF"/>
            <w:vAlign w:val="center"/>
          </w:tcPr>
          <w:p>
            <w:pPr>
              <w:widowControl/>
              <w:jc w:val="center"/>
              <w:rPr>
                <w:rFonts w:ascii="Default" w:hAnsi="Default" w:eastAsia="宋体" w:cs="Arial"/>
                <w:b/>
                <w:bCs/>
                <w:kern w:val="0"/>
                <w:sz w:val="22"/>
              </w:rPr>
            </w:pPr>
            <w:r>
              <w:rPr>
                <w:rFonts w:ascii="Default" w:hAnsi="Default" w:eastAsia="宋体" w:cs="Arial"/>
                <w:b/>
                <w:bCs/>
                <w:kern w:val="0"/>
                <w:sz w:val="22"/>
              </w:rPr>
              <w:t>小计</w:t>
            </w:r>
          </w:p>
        </w:tc>
        <w:tc>
          <w:tcPr>
            <w:tcW w:w="1840" w:type="dxa"/>
            <w:tcBorders>
              <w:top w:val="nil"/>
              <w:left w:val="nil"/>
              <w:bottom w:val="single" w:color="auto" w:sz="4" w:space="0"/>
              <w:right w:val="single" w:color="auto" w:sz="4" w:space="0"/>
            </w:tcBorders>
            <w:shd w:val="clear" w:color="000000" w:fill="FFFFFF"/>
            <w:vAlign w:val="center"/>
          </w:tcPr>
          <w:p>
            <w:pPr>
              <w:widowControl/>
              <w:jc w:val="center"/>
              <w:rPr>
                <w:rFonts w:ascii="Default" w:hAnsi="Default" w:eastAsia="宋体" w:cs="Arial"/>
                <w:b/>
                <w:bCs/>
                <w:kern w:val="0"/>
                <w:sz w:val="22"/>
              </w:rPr>
            </w:pPr>
            <w:r>
              <w:rPr>
                <w:rFonts w:ascii="Default" w:hAnsi="Default" w:eastAsia="宋体" w:cs="Arial"/>
                <w:b/>
                <w:bCs/>
                <w:kern w:val="0"/>
                <w:sz w:val="22"/>
              </w:rPr>
              <w:t>基本支出</w:t>
            </w:r>
          </w:p>
        </w:tc>
        <w:tc>
          <w:tcPr>
            <w:tcW w:w="1840" w:type="dxa"/>
            <w:tcBorders>
              <w:top w:val="nil"/>
              <w:left w:val="nil"/>
              <w:bottom w:val="single" w:color="auto" w:sz="4" w:space="0"/>
              <w:right w:val="single" w:color="auto" w:sz="4" w:space="0"/>
            </w:tcBorders>
            <w:shd w:val="clear" w:color="000000" w:fill="FFFFFF"/>
            <w:vAlign w:val="center"/>
          </w:tcPr>
          <w:p>
            <w:pPr>
              <w:widowControl/>
              <w:jc w:val="center"/>
              <w:rPr>
                <w:rFonts w:ascii="Default" w:hAnsi="Default" w:eastAsia="宋体" w:cs="Arial"/>
                <w:b/>
                <w:bCs/>
                <w:kern w:val="0"/>
                <w:sz w:val="22"/>
              </w:rPr>
            </w:pPr>
            <w:r>
              <w:rPr>
                <w:rFonts w:ascii="Default" w:hAnsi="Default" w:eastAsia="宋体" w:cs="Arial"/>
                <w:b/>
                <w:bCs/>
                <w:kern w:val="0"/>
                <w:sz w:val="22"/>
              </w:rPr>
              <w:t>项目支出</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总计:</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1,935.01</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1,092.73</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842.27</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201</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一般公共服务支出</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793.26</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433.50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359.75</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20101</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人大事务</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15.00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15.00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2010101</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行政运行</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15.00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15.00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20103</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政府办公厅（室）及相关机构事务</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778.26</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433.50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344.75</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2010301</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行政运行</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778.26</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433.50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344.75</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207</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文化旅游体育与传媒支出</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51.14</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51.14</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20701</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文化和旅游</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51.14</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51.14</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2070109</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群众文化</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51.14</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51.14</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208</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社会保障和就业支出</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203.49</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195.49</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8.00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20801</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人力资源和社会保障管理事务</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63.91</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63.91</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2080199</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其他人力资源和社会保障管理事务支出</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63.91</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63.91</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20805</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行政事业单位养老支出</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131.58</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131.58</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2080505</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机关事业单位基本养老保险缴费支出</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59.12</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59.12</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2080506</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机关事业单位职业年金缴费支出</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29.56</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29.56</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2080599</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其他行政事业单位离退休支出</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42.90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42.90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20810</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社会福利</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8.00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8.00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2081099</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其他社会福利支出</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8.00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8.00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210</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卫生健康支出</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52.90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52.90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21011</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行政事业单位医疗</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52.90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52.90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2101101</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行政单位医疗</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14.28</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14.28</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2101102</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事业单位医疗</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15.28</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15.28</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2101103</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公务员医疗补助</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5.35</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5.35</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2101199</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其他行政事业单位医疗支出</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17.99</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17.99</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212</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城乡社区支出</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117.38</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117.38</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21203</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城乡社区公共设施</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50.00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2120303</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小城镇基础设施建设</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50.00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21205</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城乡社区环境卫生</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67.38</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67.38</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2120501</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城乡社区环境卫生</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67.38</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67.38</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213</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农林水支出</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672.50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315.36</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357.14</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21301</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农业农村</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465.36</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315.36</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150.00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2130104</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事业运行</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315.36</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315.36</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2130142</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农村道路建设</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150.00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150.00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21307</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农村综合改革</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207.14</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207.14</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2130705</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对村民委员会和村党支部的补助</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207.14</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207.14</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221</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住房保障支出</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44.34</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44.34</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22102</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住房改革支出</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44.34</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44.34</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840" w:type="dxa"/>
            <w:tcBorders>
              <w:top w:val="nil"/>
              <w:left w:val="single" w:color="auto" w:sz="4" w:space="0"/>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2210201</w:t>
            </w:r>
          </w:p>
        </w:tc>
        <w:tc>
          <w:tcPr>
            <w:tcW w:w="3400" w:type="dxa"/>
            <w:tcBorders>
              <w:top w:val="nil"/>
              <w:left w:val="nil"/>
              <w:bottom w:val="single" w:color="auto" w:sz="4" w:space="0"/>
              <w:right w:val="single" w:color="auto" w:sz="4" w:space="0"/>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住房公积金</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44.34</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44.34</w:t>
            </w:r>
          </w:p>
        </w:tc>
        <w:tc>
          <w:tcPr>
            <w:tcW w:w="1840" w:type="dxa"/>
            <w:tcBorders>
              <w:top w:val="nil"/>
              <w:left w:val="nil"/>
              <w:bottom w:val="single" w:color="auto" w:sz="4" w:space="0"/>
              <w:right w:val="single" w:color="auto"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bl>
    <w:p/>
    <w:tbl>
      <w:tblPr>
        <w:tblStyle w:val="2"/>
        <w:tblW w:w="11840" w:type="dxa"/>
        <w:tblInd w:w="93" w:type="dxa"/>
        <w:tblLayout w:type="autofit"/>
        <w:tblCellMar>
          <w:top w:w="0" w:type="dxa"/>
          <w:left w:w="108" w:type="dxa"/>
          <w:bottom w:w="0" w:type="dxa"/>
          <w:right w:w="108" w:type="dxa"/>
        </w:tblCellMar>
      </w:tblPr>
      <w:tblGrid>
        <w:gridCol w:w="1640"/>
        <w:gridCol w:w="2820"/>
        <w:gridCol w:w="2460"/>
        <w:gridCol w:w="2460"/>
        <w:gridCol w:w="2460"/>
      </w:tblGrid>
      <w:tr>
        <w:tblPrEx>
          <w:tblCellMar>
            <w:top w:w="0" w:type="dxa"/>
            <w:left w:w="108" w:type="dxa"/>
            <w:bottom w:w="0" w:type="dxa"/>
            <w:right w:w="108" w:type="dxa"/>
          </w:tblCellMar>
        </w:tblPrEx>
        <w:trPr>
          <w:trHeight w:val="690" w:hRule="atLeast"/>
        </w:trPr>
        <w:tc>
          <w:tcPr>
            <w:tcW w:w="11840" w:type="dxa"/>
            <w:gridSpan w:val="5"/>
            <w:tcBorders>
              <w:top w:val="nil"/>
              <w:left w:val="nil"/>
              <w:bottom w:val="nil"/>
              <w:right w:val="nil"/>
            </w:tcBorders>
            <w:shd w:val="clear" w:color="000000" w:fill="FFFFFF"/>
            <w:vAlign w:val="center"/>
          </w:tcPr>
          <w:p>
            <w:pPr>
              <w:widowControl/>
              <w:jc w:val="center"/>
              <w:rPr>
                <w:rFonts w:ascii="Default" w:hAnsi="Default" w:eastAsia="宋体" w:cs="Arial"/>
                <w:b/>
                <w:bCs/>
                <w:kern w:val="0"/>
                <w:sz w:val="36"/>
                <w:szCs w:val="36"/>
              </w:rPr>
            </w:pPr>
            <w:r>
              <w:rPr>
                <w:rFonts w:ascii="Default" w:hAnsi="Default" w:eastAsia="宋体" w:cs="Arial"/>
                <w:b/>
                <w:bCs/>
                <w:kern w:val="0"/>
                <w:sz w:val="36"/>
                <w:szCs w:val="36"/>
              </w:rPr>
              <w:t>一般公共预算财政拨款基本支出预算表</w:t>
            </w:r>
          </w:p>
        </w:tc>
      </w:tr>
      <w:tr>
        <w:tblPrEx>
          <w:tblCellMar>
            <w:top w:w="0" w:type="dxa"/>
            <w:left w:w="108" w:type="dxa"/>
            <w:bottom w:w="0" w:type="dxa"/>
            <w:right w:w="108" w:type="dxa"/>
          </w:tblCellMar>
        </w:tblPrEx>
        <w:trPr>
          <w:trHeight w:val="345" w:hRule="atLeast"/>
        </w:trPr>
        <w:tc>
          <w:tcPr>
            <w:tcW w:w="1640" w:type="dxa"/>
            <w:tcBorders>
              <w:top w:val="nil"/>
              <w:left w:val="nil"/>
              <w:bottom w:val="nil"/>
              <w:right w:val="nil"/>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2820" w:type="dxa"/>
            <w:tcBorders>
              <w:top w:val="nil"/>
              <w:left w:val="nil"/>
              <w:bottom w:val="nil"/>
              <w:right w:val="nil"/>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2460" w:type="dxa"/>
            <w:tcBorders>
              <w:top w:val="nil"/>
              <w:left w:val="nil"/>
              <w:bottom w:val="nil"/>
              <w:right w:val="nil"/>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2460" w:type="dxa"/>
            <w:tcBorders>
              <w:top w:val="nil"/>
              <w:left w:val="nil"/>
              <w:bottom w:val="nil"/>
              <w:right w:val="nil"/>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2460" w:type="dxa"/>
            <w:tcBorders>
              <w:top w:val="nil"/>
              <w:left w:val="nil"/>
              <w:bottom w:val="nil"/>
              <w:right w:val="nil"/>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 xml:space="preserve">单位：万元  </w:t>
            </w:r>
          </w:p>
        </w:tc>
      </w:tr>
      <w:tr>
        <w:tblPrEx>
          <w:tblCellMar>
            <w:top w:w="0" w:type="dxa"/>
            <w:left w:w="108" w:type="dxa"/>
            <w:bottom w:w="0" w:type="dxa"/>
            <w:right w:w="108" w:type="dxa"/>
          </w:tblCellMar>
        </w:tblPrEx>
        <w:trPr>
          <w:trHeight w:val="345" w:hRule="atLeast"/>
        </w:trPr>
        <w:tc>
          <w:tcPr>
            <w:tcW w:w="446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Default" w:hAnsi="Default" w:eastAsia="宋体" w:cs="Arial"/>
                <w:b/>
                <w:bCs/>
                <w:kern w:val="0"/>
                <w:sz w:val="22"/>
              </w:rPr>
            </w:pPr>
            <w:r>
              <w:rPr>
                <w:rFonts w:ascii="Default" w:hAnsi="Default" w:eastAsia="宋体" w:cs="Arial"/>
                <w:b/>
                <w:bCs/>
                <w:kern w:val="0"/>
                <w:sz w:val="22"/>
              </w:rPr>
              <w:t>经济分类科目</w:t>
            </w:r>
          </w:p>
        </w:tc>
        <w:tc>
          <w:tcPr>
            <w:tcW w:w="7380"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b/>
                <w:bCs/>
                <w:kern w:val="0"/>
                <w:sz w:val="22"/>
              </w:rPr>
            </w:pPr>
            <w:r>
              <w:rPr>
                <w:rFonts w:ascii="Default" w:hAnsi="Default" w:eastAsia="宋体" w:cs="Arial"/>
                <w:b/>
                <w:bCs/>
                <w:kern w:val="0"/>
                <w:sz w:val="22"/>
              </w:rPr>
              <w:t>2020年基本支出</w:t>
            </w:r>
          </w:p>
        </w:tc>
      </w:tr>
      <w:tr>
        <w:tblPrEx>
          <w:tblCellMar>
            <w:top w:w="0" w:type="dxa"/>
            <w:left w:w="108" w:type="dxa"/>
            <w:bottom w:w="0" w:type="dxa"/>
            <w:right w:w="108" w:type="dxa"/>
          </w:tblCellMar>
        </w:tblPrEx>
        <w:trPr>
          <w:trHeight w:val="345"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Default" w:hAnsi="Default" w:eastAsia="宋体" w:cs="Arial"/>
                <w:b/>
                <w:bCs/>
                <w:kern w:val="0"/>
                <w:sz w:val="22"/>
              </w:rPr>
            </w:pPr>
            <w:r>
              <w:rPr>
                <w:rFonts w:ascii="Default" w:hAnsi="Default" w:eastAsia="宋体" w:cs="Arial"/>
                <w:b/>
                <w:bCs/>
                <w:kern w:val="0"/>
                <w:sz w:val="22"/>
              </w:rPr>
              <w:t>经济科目编码</w:t>
            </w:r>
          </w:p>
        </w:tc>
        <w:tc>
          <w:tcPr>
            <w:tcW w:w="2820" w:type="dxa"/>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b/>
                <w:bCs/>
                <w:kern w:val="0"/>
                <w:sz w:val="22"/>
              </w:rPr>
            </w:pPr>
            <w:r>
              <w:rPr>
                <w:rFonts w:ascii="Default" w:hAnsi="Default" w:eastAsia="宋体" w:cs="Arial"/>
                <w:b/>
                <w:bCs/>
                <w:kern w:val="0"/>
                <w:sz w:val="22"/>
              </w:rPr>
              <w:t>经济科目名称</w:t>
            </w:r>
          </w:p>
        </w:tc>
        <w:tc>
          <w:tcPr>
            <w:tcW w:w="2460" w:type="dxa"/>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b/>
                <w:bCs/>
                <w:kern w:val="0"/>
                <w:sz w:val="22"/>
              </w:rPr>
            </w:pPr>
            <w:r>
              <w:rPr>
                <w:rFonts w:ascii="Default" w:hAnsi="Default" w:eastAsia="宋体" w:cs="Arial"/>
                <w:b/>
                <w:bCs/>
                <w:kern w:val="0"/>
                <w:sz w:val="22"/>
              </w:rPr>
              <w:t>基本支出合计</w:t>
            </w:r>
          </w:p>
        </w:tc>
        <w:tc>
          <w:tcPr>
            <w:tcW w:w="2460" w:type="dxa"/>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b/>
                <w:bCs/>
                <w:kern w:val="0"/>
                <w:sz w:val="22"/>
              </w:rPr>
            </w:pPr>
            <w:r>
              <w:rPr>
                <w:rFonts w:ascii="Default" w:hAnsi="Default" w:eastAsia="宋体" w:cs="Arial"/>
                <w:b/>
                <w:bCs/>
                <w:kern w:val="0"/>
                <w:sz w:val="22"/>
              </w:rPr>
              <w:t>人员经费</w:t>
            </w:r>
          </w:p>
        </w:tc>
        <w:tc>
          <w:tcPr>
            <w:tcW w:w="2460" w:type="dxa"/>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b/>
                <w:bCs/>
                <w:kern w:val="0"/>
                <w:sz w:val="22"/>
              </w:rPr>
            </w:pPr>
            <w:r>
              <w:rPr>
                <w:rFonts w:ascii="Default" w:hAnsi="Default" w:eastAsia="宋体" w:cs="Arial"/>
                <w:b/>
                <w:bCs/>
                <w:kern w:val="0"/>
                <w:sz w:val="22"/>
              </w:rPr>
              <w:t>公用经费</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总计:</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1,092.71</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866.14</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226.57</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301</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工资福利支出</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796.08</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796.08</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30101</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基本工资</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178.45</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178.45</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30102</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津贴补贴</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90.42</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90.42</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30103</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奖金</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65.34</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65.34</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30107</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绩效工资</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197.11</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197.11</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6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30108</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机关事业单位基本养老保险缴费</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59.12</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59.12</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30109</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职业年金缴费</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29.56</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29.56</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30110</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职工基本医疗保险缴费</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29.56</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29.56</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30111</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公务员医疗补助缴费</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11.08</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11.08</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30112</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其他社会保障缴费</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14.32</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14.32</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30113</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住房公积金</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44.34</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44.34</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30114</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医疗费</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7.52</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7.52</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30199</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其他工资福利支出</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69.26</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69.26</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302</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商品和服务支出</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245.43</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27.36</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218.07</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30201</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办公费</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60.50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60.50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30202</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印刷费</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16.40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16.40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30204</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手续费</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0.10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0.10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30205</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水费</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2.30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2.30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30206</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电费</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12.50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12.50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30207</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邮电费</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21.73</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6.55</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15.18</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30211</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差旅费</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42.50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42.50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30213</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维修（护）费</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0.50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0.50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30216</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培训费</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3.69</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3.69</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30217</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公务接待费</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7.50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7.50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30226</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劳务费</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13.20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13.20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30228</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工会经费</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17.12</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17.12</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30229</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福利费</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11.08</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11.08</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30231</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公务用车运行维护费</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10.80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10.80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30239</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其他交通费用</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20.81</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20.81</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30299</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其他商品和服务支出</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4.70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4.70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303</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对个人和家庭的补助</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42.70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42.70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30305</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生活补助</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4.50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4.50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30399</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其他对个人和家庭的补助</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38.20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38.20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310</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资本性支出</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8.50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8.50</w:t>
            </w:r>
          </w:p>
        </w:tc>
      </w:tr>
      <w:tr>
        <w:tblPrEx>
          <w:tblCellMar>
            <w:top w:w="0" w:type="dxa"/>
            <w:left w:w="108" w:type="dxa"/>
            <w:bottom w:w="0" w:type="dxa"/>
            <w:right w:w="108" w:type="dxa"/>
          </w:tblCellMar>
        </w:tblPrEx>
        <w:trPr>
          <w:trHeight w:val="300" w:hRule="atLeast"/>
        </w:trPr>
        <w:tc>
          <w:tcPr>
            <w:tcW w:w="164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31002</w:t>
            </w:r>
          </w:p>
        </w:tc>
        <w:tc>
          <w:tcPr>
            <w:tcW w:w="2820" w:type="dxa"/>
            <w:tcBorders>
              <w:top w:val="nil"/>
              <w:left w:val="nil"/>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0"/>
                <w:szCs w:val="20"/>
              </w:rPr>
            </w:pPr>
            <w:r>
              <w:rPr>
                <w:rFonts w:ascii="Default" w:hAnsi="Default" w:eastAsia="宋体" w:cs="Arial"/>
                <w:kern w:val="0"/>
                <w:sz w:val="20"/>
                <w:szCs w:val="20"/>
              </w:rPr>
              <w:t xml:space="preserve">    办公设备购置</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8.50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246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0"/>
                <w:szCs w:val="20"/>
              </w:rPr>
            </w:pPr>
            <w:r>
              <w:rPr>
                <w:rFonts w:ascii="Default" w:hAnsi="Default" w:eastAsia="宋体" w:cs="Arial"/>
                <w:kern w:val="0"/>
                <w:sz w:val="20"/>
                <w:szCs w:val="20"/>
              </w:rPr>
              <w:t>8.50</w:t>
            </w:r>
          </w:p>
        </w:tc>
      </w:tr>
    </w:tbl>
    <w:p/>
    <w:tbl>
      <w:tblPr>
        <w:tblStyle w:val="2"/>
        <w:tblW w:w="20256" w:type="dxa"/>
        <w:tblInd w:w="93" w:type="dxa"/>
        <w:tblLayout w:type="autofit"/>
        <w:tblCellMar>
          <w:top w:w="0" w:type="dxa"/>
          <w:left w:w="108" w:type="dxa"/>
          <w:bottom w:w="0" w:type="dxa"/>
          <w:right w:w="108" w:type="dxa"/>
        </w:tblCellMar>
      </w:tblPr>
      <w:tblGrid>
        <w:gridCol w:w="1173"/>
        <w:gridCol w:w="1128"/>
        <w:gridCol w:w="1265"/>
        <w:gridCol w:w="1019"/>
        <w:gridCol w:w="959"/>
        <w:gridCol w:w="1309"/>
        <w:gridCol w:w="851"/>
        <w:gridCol w:w="850"/>
        <w:gridCol w:w="308"/>
        <w:gridCol w:w="236"/>
        <w:gridCol w:w="448"/>
        <w:gridCol w:w="1134"/>
        <w:gridCol w:w="1101"/>
        <w:gridCol w:w="623"/>
        <w:gridCol w:w="369"/>
        <w:gridCol w:w="1168"/>
        <w:gridCol w:w="1984"/>
        <w:gridCol w:w="1758"/>
        <w:gridCol w:w="1099"/>
        <w:gridCol w:w="663"/>
        <w:gridCol w:w="811"/>
      </w:tblGrid>
      <w:tr>
        <w:tblPrEx>
          <w:tblCellMar>
            <w:top w:w="0" w:type="dxa"/>
            <w:left w:w="108" w:type="dxa"/>
            <w:bottom w:w="0" w:type="dxa"/>
            <w:right w:w="108" w:type="dxa"/>
          </w:tblCellMar>
        </w:tblPrEx>
        <w:trPr>
          <w:gridAfter w:val="2"/>
          <w:wAfter w:w="1474" w:type="dxa"/>
          <w:trHeight w:val="1515" w:hRule="atLeast"/>
        </w:trPr>
        <w:tc>
          <w:tcPr>
            <w:tcW w:w="18782" w:type="dxa"/>
            <w:gridSpan w:val="19"/>
            <w:tcBorders>
              <w:top w:val="nil"/>
              <w:left w:val="nil"/>
              <w:bottom w:val="nil"/>
              <w:right w:val="nil"/>
            </w:tcBorders>
            <w:shd w:val="clear" w:color="000000" w:fill="FFFFFF"/>
            <w:vAlign w:val="center"/>
          </w:tcPr>
          <w:p>
            <w:pPr>
              <w:widowControl/>
              <w:jc w:val="center"/>
              <w:rPr>
                <w:rFonts w:ascii="Default" w:hAnsi="Default" w:eastAsia="宋体" w:cs="Arial"/>
                <w:b/>
                <w:bCs/>
                <w:kern w:val="0"/>
                <w:sz w:val="28"/>
                <w:szCs w:val="28"/>
              </w:rPr>
            </w:pPr>
          </w:p>
          <w:p>
            <w:pPr>
              <w:widowControl/>
              <w:jc w:val="center"/>
              <w:rPr>
                <w:rFonts w:ascii="Default" w:hAnsi="Default" w:eastAsia="宋体" w:cs="Arial"/>
                <w:b/>
                <w:bCs/>
                <w:kern w:val="0"/>
                <w:sz w:val="28"/>
                <w:szCs w:val="28"/>
              </w:rPr>
            </w:pPr>
          </w:p>
          <w:p>
            <w:pPr>
              <w:widowControl/>
              <w:ind w:firstLine="4469" w:firstLineChars="1590"/>
              <w:rPr>
                <w:rFonts w:ascii="Default" w:hAnsi="Default" w:eastAsia="宋体" w:cs="Arial"/>
                <w:b/>
                <w:bCs/>
                <w:kern w:val="0"/>
                <w:sz w:val="28"/>
                <w:szCs w:val="28"/>
              </w:rPr>
            </w:pPr>
            <w:r>
              <w:rPr>
                <w:rFonts w:ascii="Default" w:hAnsi="Default" w:eastAsia="宋体" w:cs="Arial"/>
                <w:b/>
                <w:bCs/>
                <w:kern w:val="0"/>
                <w:sz w:val="28"/>
                <w:szCs w:val="28"/>
              </w:rPr>
              <w:t>一般公共预算“三公”经费支出表</w:t>
            </w:r>
          </w:p>
        </w:tc>
      </w:tr>
      <w:tr>
        <w:tblPrEx>
          <w:tblCellMar>
            <w:top w:w="0" w:type="dxa"/>
            <w:left w:w="108" w:type="dxa"/>
            <w:bottom w:w="0" w:type="dxa"/>
            <w:right w:w="108" w:type="dxa"/>
          </w:tblCellMar>
        </w:tblPrEx>
        <w:trPr>
          <w:trHeight w:val="420" w:hRule="atLeast"/>
        </w:trPr>
        <w:tc>
          <w:tcPr>
            <w:tcW w:w="8862" w:type="dxa"/>
            <w:gridSpan w:val="9"/>
            <w:tcBorders>
              <w:top w:val="nil"/>
              <w:left w:val="nil"/>
              <w:bottom w:val="nil"/>
              <w:right w:val="nil"/>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预算单位：</w:t>
            </w:r>
          </w:p>
        </w:tc>
        <w:tc>
          <w:tcPr>
            <w:tcW w:w="236" w:type="dxa"/>
            <w:tcBorders>
              <w:top w:val="nil"/>
              <w:left w:val="nil"/>
              <w:bottom w:val="nil"/>
              <w:right w:val="nil"/>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3306" w:type="dxa"/>
            <w:gridSpan w:val="4"/>
            <w:tcBorders>
              <w:top w:val="nil"/>
              <w:left w:val="nil"/>
              <w:bottom w:val="nil"/>
              <w:right w:val="nil"/>
            </w:tcBorders>
            <w:shd w:val="clear" w:color="000000" w:fill="FFFFFF"/>
          </w:tcPr>
          <w:p>
            <w:pPr>
              <w:widowControl/>
              <w:jc w:val="right"/>
              <w:rPr>
                <w:rFonts w:ascii="Default" w:hAnsi="Default" w:eastAsia="宋体" w:cs="Arial"/>
                <w:kern w:val="0"/>
                <w:sz w:val="20"/>
                <w:szCs w:val="20"/>
              </w:rPr>
            </w:pPr>
            <w:r>
              <w:rPr>
                <w:rFonts w:hint="eastAsia" w:ascii="Default" w:hAnsi="Default" w:eastAsia="宋体" w:cs="Arial"/>
                <w:kern w:val="0"/>
                <w:sz w:val="20"/>
                <w:szCs w:val="20"/>
              </w:rPr>
              <w:t>单</w:t>
            </w:r>
            <w:r>
              <w:rPr>
                <w:rFonts w:ascii="Default" w:hAnsi="Default" w:eastAsia="宋体" w:cs="Arial"/>
                <w:kern w:val="0"/>
                <w:sz w:val="20"/>
                <w:szCs w:val="20"/>
              </w:rPr>
              <w:t>位</w:t>
            </w:r>
            <w:r>
              <w:rPr>
                <w:rFonts w:hint="eastAsia" w:ascii="Default" w:hAnsi="Default" w:eastAsia="宋体" w:cs="Arial"/>
                <w:kern w:val="0"/>
                <w:sz w:val="20"/>
                <w:szCs w:val="20"/>
              </w:rPr>
              <w:t>：</w:t>
            </w:r>
            <w:r>
              <w:rPr>
                <w:rFonts w:ascii="Default" w:hAnsi="Default" w:eastAsia="宋体" w:cs="Arial"/>
                <w:kern w:val="0"/>
                <w:sz w:val="20"/>
                <w:szCs w:val="20"/>
              </w:rPr>
              <w:t>万元  　</w:t>
            </w:r>
          </w:p>
        </w:tc>
        <w:tc>
          <w:tcPr>
            <w:tcW w:w="1537" w:type="dxa"/>
            <w:gridSpan w:val="2"/>
            <w:tcBorders>
              <w:top w:val="nil"/>
              <w:left w:val="nil"/>
              <w:bottom w:val="nil"/>
              <w:right w:val="nil"/>
            </w:tcBorders>
            <w:shd w:val="clear" w:color="000000" w:fill="FFFFFF"/>
          </w:tcPr>
          <w:p>
            <w:pPr>
              <w:widowControl/>
              <w:ind w:right="100"/>
              <w:jc w:val="right"/>
              <w:rPr>
                <w:rFonts w:ascii="Default" w:hAnsi="Default" w:eastAsia="宋体" w:cs="Arial"/>
                <w:kern w:val="0"/>
                <w:sz w:val="20"/>
                <w:szCs w:val="20"/>
              </w:rPr>
            </w:pPr>
            <w:r>
              <w:rPr>
                <w:rFonts w:ascii="Default" w:hAnsi="Default" w:eastAsia="宋体" w:cs="Arial"/>
                <w:kern w:val="0"/>
                <w:sz w:val="20"/>
                <w:szCs w:val="20"/>
              </w:rPr>
              <w:t>　</w:t>
            </w:r>
          </w:p>
        </w:tc>
        <w:tc>
          <w:tcPr>
            <w:tcW w:w="1984" w:type="dxa"/>
            <w:tcBorders>
              <w:top w:val="nil"/>
              <w:left w:val="nil"/>
              <w:bottom w:val="nil"/>
              <w:right w:val="nil"/>
            </w:tcBorders>
            <w:shd w:val="clear" w:color="000000" w:fill="FFFFFF"/>
          </w:tcPr>
          <w:p>
            <w:pPr>
              <w:widowControl/>
              <w:ind w:right="400"/>
              <w:rPr>
                <w:rFonts w:ascii="Default" w:hAnsi="Default" w:eastAsia="宋体" w:cs="Arial"/>
                <w:kern w:val="0"/>
                <w:sz w:val="20"/>
                <w:szCs w:val="20"/>
              </w:rPr>
            </w:pPr>
          </w:p>
        </w:tc>
        <w:tc>
          <w:tcPr>
            <w:tcW w:w="1758" w:type="dxa"/>
            <w:tcBorders>
              <w:top w:val="nil"/>
              <w:left w:val="nil"/>
              <w:bottom w:val="nil"/>
              <w:right w:val="nil"/>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w:t>
            </w:r>
          </w:p>
        </w:tc>
        <w:tc>
          <w:tcPr>
            <w:tcW w:w="1762" w:type="dxa"/>
            <w:gridSpan w:val="2"/>
            <w:tcBorders>
              <w:top w:val="nil"/>
              <w:left w:val="nil"/>
              <w:bottom w:val="nil"/>
              <w:right w:val="nil"/>
            </w:tcBorders>
            <w:shd w:val="clear" w:color="000000" w:fill="FFFFFF"/>
          </w:tcPr>
          <w:p>
            <w:pPr>
              <w:widowControl/>
              <w:ind w:right="400"/>
              <w:rPr>
                <w:rFonts w:ascii="Default" w:hAnsi="Default" w:eastAsia="宋体" w:cs="Arial"/>
                <w:kern w:val="0"/>
                <w:sz w:val="20"/>
                <w:szCs w:val="20"/>
              </w:rPr>
            </w:pPr>
            <w:r>
              <w:rPr>
                <w:rFonts w:ascii="Default" w:hAnsi="Default" w:eastAsia="宋体" w:cs="Arial"/>
                <w:kern w:val="0"/>
                <w:sz w:val="20"/>
                <w:szCs w:val="20"/>
              </w:rPr>
              <w:t>　</w:t>
            </w:r>
          </w:p>
        </w:tc>
        <w:tc>
          <w:tcPr>
            <w:tcW w:w="811" w:type="dxa"/>
            <w:tcBorders>
              <w:top w:val="nil"/>
              <w:left w:val="nil"/>
              <w:bottom w:val="nil"/>
              <w:right w:val="nil"/>
            </w:tcBorders>
            <w:shd w:val="clear" w:color="000000" w:fill="FFFFFF"/>
          </w:tcPr>
          <w:p>
            <w:pPr>
              <w:widowControl/>
              <w:ind w:right="400"/>
              <w:rPr>
                <w:rFonts w:ascii="Default" w:hAnsi="Default" w:eastAsia="宋体" w:cs="Arial"/>
                <w:kern w:val="0"/>
                <w:sz w:val="20"/>
                <w:szCs w:val="20"/>
              </w:rPr>
            </w:pPr>
          </w:p>
        </w:tc>
      </w:tr>
      <w:tr>
        <w:tblPrEx>
          <w:tblCellMar>
            <w:top w:w="0" w:type="dxa"/>
            <w:left w:w="108" w:type="dxa"/>
            <w:bottom w:w="0" w:type="dxa"/>
            <w:right w:w="108" w:type="dxa"/>
          </w:tblCellMar>
        </w:tblPrEx>
        <w:trPr>
          <w:gridAfter w:val="6"/>
          <w:wAfter w:w="7483" w:type="dxa"/>
          <w:trHeight w:val="420" w:hRule="atLeast"/>
        </w:trPr>
        <w:tc>
          <w:tcPr>
            <w:tcW w:w="6853" w:type="dxa"/>
            <w:gridSpan w:val="6"/>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2019年预算数</w:t>
            </w:r>
          </w:p>
        </w:tc>
        <w:tc>
          <w:tcPr>
            <w:tcW w:w="5920"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2020年预算数</w:t>
            </w:r>
          </w:p>
        </w:tc>
      </w:tr>
      <w:tr>
        <w:tblPrEx>
          <w:tblCellMar>
            <w:top w:w="0" w:type="dxa"/>
            <w:left w:w="108" w:type="dxa"/>
            <w:bottom w:w="0" w:type="dxa"/>
            <w:right w:w="108" w:type="dxa"/>
          </w:tblCellMar>
        </w:tblPrEx>
        <w:trPr>
          <w:gridAfter w:val="6"/>
          <w:wAfter w:w="7483" w:type="dxa"/>
          <w:trHeight w:val="420" w:hRule="atLeast"/>
        </w:trPr>
        <w:tc>
          <w:tcPr>
            <w:tcW w:w="1173"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合计</w:t>
            </w:r>
          </w:p>
        </w:tc>
        <w:tc>
          <w:tcPr>
            <w:tcW w:w="1128"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因公出国（境）费</w:t>
            </w:r>
          </w:p>
        </w:tc>
        <w:tc>
          <w:tcPr>
            <w:tcW w:w="3243" w:type="dxa"/>
            <w:gridSpan w:val="3"/>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公务用车购置及运行费</w:t>
            </w:r>
          </w:p>
        </w:tc>
        <w:tc>
          <w:tcPr>
            <w:tcW w:w="1309"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公务接待费</w:t>
            </w:r>
          </w:p>
        </w:tc>
        <w:tc>
          <w:tcPr>
            <w:tcW w:w="851"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合计</w:t>
            </w:r>
          </w:p>
        </w:tc>
        <w:tc>
          <w:tcPr>
            <w:tcW w:w="850"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因公出国（境）费</w:t>
            </w:r>
          </w:p>
        </w:tc>
        <w:tc>
          <w:tcPr>
            <w:tcW w:w="3227" w:type="dxa"/>
            <w:gridSpan w:val="5"/>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公务用车购置及运行费</w:t>
            </w:r>
          </w:p>
        </w:tc>
        <w:tc>
          <w:tcPr>
            <w:tcW w:w="992" w:type="dxa"/>
            <w:gridSpan w:val="2"/>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公务接待费</w:t>
            </w:r>
          </w:p>
        </w:tc>
      </w:tr>
      <w:tr>
        <w:tblPrEx>
          <w:tblCellMar>
            <w:top w:w="0" w:type="dxa"/>
            <w:left w:w="108" w:type="dxa"/>
            <w:bottom w:w="0" w:type="dxa"/>
            <w:right w:w="108" w:type="dxa"/>
          </w:tblCellMar>
        </w:tblPrEx>
        <w:trPr>
          <w:gridAfter w:val="6"/>
          <w:wAfter w:w="7483" w:type="dxa"/>
          <w:trHeight w:val="345" w:hRule="atLeast"/>
        </w:trPr>
        <w:tc>
          <w:tcPr>
            <w:tcW w:w="1173" w:type="dxa"/>
            <w:vMerge w:val="continue"/>
            <w:tcBorders>
              <w:top w:val="nil"/>
              <w:left w:val="single" w:color="000000" w:sz="4" w:space="0"/>
              <w:bottom w:val="single" w:color="000000" w:sz="4" w:space="0"/>
              <w:right w:val="single" w:color="000000" w:sz="4" w:space="0"/>
            </w:tcBorders>
            <w:vAlign w:val="center"/>
          </w:tcPr>
          <w:p>
            <w:pPr>
              <w:widowControl/>
              <w:jc w:val="left"/>
              <w:rPr>
                <w:rFonts w:ascii="Default" w:hAnsi="Default" w:eastAsia="宋体" w:cs="Arial"/>
                <w:kern w:val="0"/>
                <w:sz w:val="20"/>
                <w:szCs w:val="20"/>
              </w:rPr>
            </w:pPr>
          </w:p>
        </w:tc>
        <w:tc>
          <w:tcPr>
            <w:tcW w:w="1128" w:type="dxa"/>
            <w:vMerge w:val="continue"/>
            <w:tcBorders>
              <w:top w:val="nil"/>
              <w:left w:val="nil"/>
              <w:bottom w:val="single" w:color="000000" w:sz="4" w:space="0"/>
              <w:right w:val="single" w:color="000000" w:sz="4" w:space="0"/>
            </w:tcBorders>
            <w:vAlign w:val="center"/>
          </w:tcPr>
          <w:p>
            <w:pPr>
              <w:widowControl/>
              <w:jc w:val="left"/>
              <w:rPr>
                <w:rFonts w:ascii="Default" w:hAnsi="Default" w:eastAsia="宋体" w:cs="Arial"/>
                <w:kern w:val="0"/>
                <w:sz w:val="20"/>
                <w:szCs w:val="20"/>
              </w:rPr>
            </w:pPr>
          </w:p>
        </w:tc>
        <w:tc>
          <w:tcPr>
            <w:tcW w:w="1265" w:type="dxa"/>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小计</w:t>
            </w:r>
          </w:p>
        </w:tc>
        <w:tc>
          <w:tcPr>
            <w:tcW w:w="1019" w:type="dxa"/>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公务用车购置费</w:t>
            </w:r>
          </w:p>
        </w:tc>
        <w:tc>
          <w:tcPr>
            <w:tcW w:w="959" w:type="dxa"/>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公务用车运行费</w:t>
            </w:r>
          </w:p>
        </w:tc>
        <w:tc>
          <w:tcPr>
            <w:tcW w:w="1309" w:type="dxa"/>
            <w:vMerge w:val="continue"/>
            <w:tcBorders>
              <w:top w:val="nil"/>
              <w:left w:val="nil"/>
              <w:bottom w:val="single" w:color="000000" w:sz="4" w:space="0"/>
              <w:right w:val="single" w:color="000000" w:sz="4" w:space="0"/>
            </w:tcBorders>
            <w:vAlign w:val="center"/>
          </w:tcPr>
          <w:p>
            <w:pPr>
              <w:widowControl/>
              <w:jc w:val="left"/>
              <w:rPr>
                <w:rFonts w:ascii="Default" w:hAnsi="Default" w:eastAsia="宋体" w:cs="Arial"/>
                <w:kern w:val="0"/>
                <w:sz w:val="20"/>
                <w:szCs w:val="20"/>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ascii="Default" w:hAnsi="Default" w:eastAsia="宋体" w:cs="Arial"/>
                <w:kern w:val="0"/>
                <w:sz w:val="20"/>
                <w:szCs w:val="20"/>
              </w:rPr>
            </w:pPr>
          </w:p>
        </w:tc>
        <w:tc>
          <w:tcPr>
            <w:tcW w:w="850" w:type="dxa"/>
            <w:vMerge w:val="continue"/>
            <w:tcBorders>
              <w:top w:val="nil"/>
              <w:left w:val="nil"/>
              <w:bottom w:val="single" w:color="000000" w:sz="4" w:space="0"/>
              <w:right w:val="single" w:color="000000" w:sz="4" w:space="0"/>
            </w:tcBorders>
            <w:vAlign w:val="center"/>
          </w:tcPr>
          <w:p>
            <w:pPr>
              <w:widowControl/>
              <w:jc w:val="left"/>
              <w:rPr>
                <w:rFonts w:ascii="Default" w:hAnsi="Default" w:eastAsia="宋体" w:cs="Arial"/>
                <w:kern w:val="0"/>
                <w:sz w:val="20"/>
                <w:szCs w:val="20"/>
              </w:rPr>
            </w:pPr>
          </w:p>
        </w:tc>
        <w:tc>
          <w:tcPr>
            <w:tcW w:w="992" w:type="dxa"/>
            <w:gridSpan w:val="3"/>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小计</w:t>
            </w:r>
          </w:p>
        </w:tc>
        <w:tc>
          <w:tcPr>
            <w:tcW w:w="1134" w:type="dxa"/>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公务用车购置费</w:t>
            </w:r>
          </w:p>
        </w:tc>
        <w:tc>
          <w:tcPr>
            <w:tcW w:w="1101" w:type="dxa"/>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kern w:val="0"/>
                <w:sz w:val="20"/>
                <w:szCs w:val="20"/>
              </w:rPr>
            </w:pPr>
            <w:r>
              <w:rPr>
                <w:rFonts w:ascii="Default" w:hAnsi="Default" w:eastAsia="宋体" w:cs="Arial"/>
                <w:kern w:val="0"/>
                <w:sz w:val="20"/>
                <w:szCs w:val="20"/>
              </w:rPr>
              <w:t>公务用车运行费</w:t>
            </w:r>
          </w:p>
        </w:tc>
        <w:tc>
          <w:tcPr>
            <w:tcW w:w="992" w:type="dxa"/>
            <w:gridSpan w:val="2"/>
            <w:vMerge w:val="continue"/>
            <w:tcBorders>
              <w:top w:val="nil"/>
              <w:left w:val="nil"/>
              <w:bottom w:val="single" w:color="000000" w:sz="4" w:space="0"/>
              <w:right w:val="single" w:color="000000" w:sz="4" w:space="0"/>
            </w:tcBorders>
            <w:vAlign w:val="center"/>
          </w:tcPr>
          <w:p>
            <w:pPr>
              <w:widowControl/>
              <w:jc w:val="left"/>
              <w:rPr>
                <w:rFonts w:ascii="Default" w:hAnsi="Default" w:eastAsia="宋体" w:cs="Arial"/>
                <w:kern w:val="0"/>
                <w:sz w:val="20"/>
                <w:szCs w:val="20"/>
              </w:rPr>
            </w:pPr>
          </w:p>
        </w:tc>
      </w:tr>
      <w:tr>
        <w:tblPrEx>
          <w:tblCellMar>
            <w:top w:w="0" w:type="dxa"/>
            <w:left w:w="108" w:type="dxa"/>
            <w:bottom w:w="0" w:type="dxa"/>
            <w:right w:w="108" w:type="dxa"/>
          </w:tblCellMar>
        </w:tblPrEx>
        <w:trPr>
          <w:gridAfter w:val="6"/>
          <w:wAfter w:w="7483" w:type="dxa"/>
          <w:trHeight w:val="300" w:hRule="atLeast"/>
        </w:trPr>
        <w:tc>
          <w:tcPr>
            <w:tcW w:w="1173" w:type="dxa"/>
            <w:tcBorders>
              <w:top w:val="nil"/>
              <w:left w:val="single" w:color="000000" w:sz="4" w:space="0"/>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27.80</w:t>
            </w:r>
          </w:p>
        </w:tc>
        <w:tc>
          <w:tcPr>
            <w:tcW w:w="1128"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265"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19.80</w:t>
            </w:r>
          </w:p>
        </w:tc>
        <w:tc>
          <w:tcPr>
            <w:tcW w:w="1019"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959"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19.80</w:t>
            </w:r>
          </w:p>
        </w:tc>
        <w:tc>
          <w:tcPr>
            <w:tcW w:w="1309"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8.00</w:t>
            </w:r>
          </w:p>
        </w:tc>
        <w:tc>
          <w:tcPr>
            <w:tcW w:w="851"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18.30</w:t>
            </w:r>
          </w:p>
        </w:tc>
        <w:tc>
          <w:tcPr>
            <w:tcW w:w="850"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992" w:type="dxa"/>
            <w:gridSpan w:val="3"/>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10.80</w:t>
            </w:r>
          </w:p>
        </w:tc>
        <w:tc>
          <w:tcPr>
            <w:tcW w:w="1134"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0.00</w:t>
            </w:r>
          </w:p>
        </w:tc>
        <w:tc>
          <w:tcPr>
            <w:tcW w:w="1101" w:type="dxa"/>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10.80</w:t>
            </w:r>
          </w:p>
        </w:tc>
        <w:tc>
          <w:tcPr>
            <w:tcW w:w="992" w:type="dxa"/>
            <w:gridSpan w:val="2"/>
            <w:tcBorders>
              <w:top w:val="nil"/>
              <w:left w:val="nil"/>
              <w:bottom w:val="single" w:color="000000" w:sz="4" w:space="0"/>
              <w:right w:val="single" w:color="000000" w:sz="4" w:space="0"/>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7.50</w:t>
            </w:r>
          </w:p>
        </w:tc>
      </w:tr>
    </w:tbl>
    <w:p/>
    <w:p/>
    <w:tbl>
      <w:tblPr>
        <w:tblStyle w:val="2"/>
        <w:tblW w:w="10505" w:type="dxa"/>
        <w:tblInd w:w="93" w:type="dxa"/>
        <w:tblLayout w:type="autofit"/>
        <w:tblCellMar>
          <w:top w:w="0" w:type="dxa"/>
          <w:left w:w="108" w:type="dxa"/>
          <w:bottom w:w="0" w:type="dxa"/>
          <w:right w:w="108" w:type="dxa"/>
        </w:tblCellMar>
      </w:tblPr>
      <w:tblGrid>
        <w:gridCol w:w="1500"/>
        <w:gridCol w:w="2660"/>
        <w:gridCol w:w="1500"/>
        <w:gridCol w:w="1500"/>
        <w:gridCol w:w="652"/>
        <w:gridCol w:w="2693"/>
      </w:tblGrid>
      <w:tr>
        <w:tblPrEx>
          <w:tblCellMar>
            <w:top w:w="0" w:type="dxa"/>
            <w:left w:w="108" w:type="dxa"/>
            <w:bottom w:w="0" w:type="dxa"/>
            <w:right w:w="108" w:type="dxa"/>
          </w:tblCellMar>
        </w:tblPrEx>
        <w:trPr>
          <w:trHeight w:val="630" w:hRule="atLeast"/>
        </w:trPr>
        <w:tc>
          <w:tcPr>
            <w:tcW w:w="10505" w:type="dxa"/>
            <w:gridSpan w:val="6"/>
            <w:tcBorders>
              <w:top w:val="nil"/>
              <w:left w:val="nil"/>
              <w:bottom w:val="nil"/>
              <w:right w:val="nil"/>
            </w:tcBorders>
            <w:shd w:val="clear" w:color="000000" w:fill="FFFFFF"/>
            <w:vAlign w:val="center"/>
          </w:tcPr>
          <w:p>
            <w:pPr>
              <w:widowControl/>
              <w:jc w:val="center"/>
              <w:rPr>
                <w:rFonts w:ascii="Default" w:hAnsi="Default" w:cs="Arial"/>
                <w:b/>
                <w:bCs/>
                <w:kern w:val="0"/>
                <w:sz w:val="36"/>
                <w:szCs w:val="36"/>
              </w:rPr>
            </w:pPr>
            <w:r>
              <w:rPr>
                <w:rFonts w:hint="eastAsia" w:ascii="Default" w:hAnsi="Default" w:cs="Arial"/>
                <w:b/>
                <w:bCs/>
                <w:kern w:val="0"/>
                <w:sz w:val="36"/>
                <w:szCs w:val="36"/>
              </w:rPr>
              <w:t>2020</w:t>
            </w:r>
            <w:r>
              <w:rPr>
                <w:rFonts w:ascii="Default" w:hAnsi="Default" w:cs="Arial"/>
                <w:b/>
                <w:bCs/>
                <w:kern w:val="0"/>
                <w:sz w:val="36"/>
                <w:szCs w:val="36"/>
              </w:rPr>
              <w:t>年政府性基金预算支出表</w:t>
            </w:r>
          </w:p>
        </w:tc>
      </w:tr>
      <w:tr>
        <w:tblPrEx>
          <w:tblCellMar>
            <w:top w:w="0" w:type="dxa"/>
            <w:left w:w="108" w:type="dxa"/>
            <w:bottom w:w="0" w:type="dxa"/>
            <w:right w:w="108" w:type="dxa"/>
          </w:tblCellMar>
        </w:tblPrEx>
        <w:trPr>
          <w:trHeight w:val="345" w:hRule="atLeast"/>
        </w:trPr>
        <w:tc>
          <w:tcPr>
            <w:tcW w:w="7160" w:type="dxa"/>
            <w:gridSpan w:val="4"/>
            <w:tcBorders>
              <w:top w:val="nil"/>
              <w:left w:val="nil"/>
              <w:bottom w:val="nil"/>
              <w:right w:val="nil"/>
            </w:tcBorders>
            <w:shd w:val="clear" w:color="000000" w:fill="FFFFFF"/>
          </w:tcPr>
          <w:p>
            <w:pPr>
              <w:widowControl/>
              <w:jc w:val="left"/>
              <w:rPr>
                <w:rFonts w:ascii="Default" w:hAnsi="Default" w:cs="Arial"/>
                <w:kern w:val="0"/>
                <w:sz w:val="20"/>
                <w:szCs w:val="20"/>
              </w:rPr>
            </w:pPr>
            <w:r>
              <w:rPr>
                <w:rFonts w:ascii="Default" w:hAnsi="Default" w:cs="Arial"/>
                <w:kern w:val="0"/>
                <w:sz w:val="20"/>
                <w:szCs w:val="20"/>
              </w:rPr>
              <w:t>预算单位：</w:t>
            </w:r>
          </w:p>
        </w:tc>
        <w:tc>
          <w:tcPr>
            <w:tcW w:w="3345" w:type="dxa"/>
            <w:gridSpan w:val="2"/>
            <w:tcBorders>
              <w:top w:val="nil"/>
              <w:left w:val="nil"/>
              <w:bottom w:val="nil"/>
              <w:right w:val="nil"/>
            </w:tcBorders>
            <w:shd w:val="clear" w:color="000000" w:fill="FFFFFF"/>
          </w:tcPr>
          <w:p>
            <w:pPr>
              <w:widowControl/>
              <w:jc w:val="right"/>
              <w:rPr>
                <w:rFonts w:ascii="Default" w:hAnsi="Default" w:cs="Arial"/>
                <w:kern w:val="0"/>
                <w:sz w:val="20"/>
                <w:szCs w:val="20"/>
              </w:rPr>
            </w:pPr>
            <w:r>
              <w:rPr>
                <w:rFonts w:ascii="Default" w:hAnsi="Default" w:cs="Arial"/>
                <w:kern w:val="0"/>
                <w:sz w:val="20"/>
                <w:szCs w:val="20"/>
              </w:rPr>
              <w:t>单位：万元</w:t>
            </w:r>
          </w:p>
        </w:tc>
      </w:tr>
      <w:tr>
        <w:tblPrEx>
          <w:tblCellMar>
            <w:top w:w="0" w:type="dxa"/>
            <w:left w:w="108" w:type="dxa"/>
            <w:bottom w:w="0" w:type="dxa"/>
            <w:right w:w="108" w:type="dxa"/>
          </w:tblCellMar>
        </w:tblPrEx>
        <w:trPr>
          <w:trHeight w:val="345" w:hRule="atLeast"/>
        </w:trPr>
        <w:tc>
          <w:tcPr>
            <w:tcW w:w="416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Default" w:hAnsi="Default" w:cs="Arial"/>
                <w:kern w:val="0"/>
                <w:sz w:val="20"/>
                <w:szCs w:val="20"/>
              </w:rPr>
            </w:pPr>
            <w:r>
              <w:rPr>
                <w:rFonts w:ascii="Default" w:hAnsi="Default" w:cs="Arial"/>
                <w:kern w:val="0"/>
                <w:sz w:val="20"/>
                <w:szCs w:val="20"/>
              </w:rPr>
              <w:t>功能分类科目</w:t>
            </w:r>
          </w:p>
        </w:tc>
        <w:tc>
          <w:tcPr>
            <w:tcW w:w="6345"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Default" w:hAnsi="Default" w:cs="Arial"/>
                <w:kern w:val="0"/>
                <w:sz w:val="20"/>
                <w:szCs w:val="20"/>
              </w:rPr>
            </w:pPr>
            <w:r>
              <w:rPr>
                <w:rFonts w:ascii="Default" w:hAnsi="Default" w:cs="Arial"/>
                <w:kern w:val="0"/>
                <w:sz w:val="20"/>
                <w:szCs w:val="20"/>
              </w:rPr>
              <w:t>本年政府性基金预算财政拨款支出</w:t>
            </w:r>
          </w:p>
        </w:tc>
      </w:tr>
      <w:tr>
        <w:tblPrEx>
          <w:tblCellMar>
            <w:top w:w="0" w:type="dxa"/>
            <w:left w:w="108" w:type="dxa"/>
            <w:bottom w:w="0" w:type="dxa"/>
            <w:right w:w="108" w:type="dxa"/>
          </w:tblCellMar>
        </w:tblPrEx>
        <w:trPr>
          <w:trHeight w:val="345" w:hRule="atLeast"/>
        </w:trPr>
        <w:tc>
          <w:tcPr>
            <w:tcW w:w="1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Default" w:hAnsi="Default" w:cs="Arial"/>
                <w:kern w:val="0"/>
                <w:sz w:val="20"/>
                <w:szCs w:val="20"/>
              </w:rPr>
            </w:pPr>
            <w:r>
              <w:rPr>
                <w:rFonts w:ascii="Default" w:hAnsi="Default" w:cs="Arial"/>
                <w:kern w:val="0"/>
                <w:sz w:val="20"/>
                <w:szCs w:val="20"/>
              </w:rPr>
              <w:t>科目编码</w:t>
            </w:r>
          </w:p>
        </w:tc>
        <w:tc>
          <w:tcPr>
            <w:tcW w:w="2660" w:type="dxa"/>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cs="Arial"/>
                <w:kern w:val="0"/>
                <w:sz w:val="20"/>
                <w:szCs w:val="20"/>
              </w:rPr>
            </w:pPr>
            <w:r>
              <w:rPr>
                <w:rFonts w:ascii="Default" w:hAnsi="Default" w:cs="Arial"/>
                <w:kern w:val="0"/>
                <w:sz w:val="20"/>
                <w:szCs w:val="20"/>
              </w:rPr>
              <w:t>科目名称</w:t>
            </w:r>
          </w:p>
        </w:tc>
        <w:tc>
          <w:tcPr>
            <w:tcW w:w="1500" w:type="dxa"/>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cs="Arial"/>
                <w:kern w:val="0"/>
                <w:sz w:val="20"/>
                <w:szCs w:val="20"/>
              </w:rPr>
            </w:pPr>
            <w:r>
              <w:rPr>
                <w:rFonts w:ascii="Default" w:hAnsi="Default" w:cs="Arial"/>
                <w:kern w:val="0"/>
                <w:sz w:val="20"/>
                <w:szCs w:val="20"/>
              </w:rPr>
              <w:t>合计</w:t>
            </w:r>
          </w:p>
        </w:tc>
        <w:tc>
          <w:tcPr>
            <w:tcW w:w="2152"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cs="Arial"/>
                <w:kern w:val="0"/>
                <w:sz w:val="20"/>
                <w:szCs w:val="20"/>
              </w:rPr>
            </w:pPr>
            <w:r>
              <w:rPr>
                <w:rFonts w:ascii="Default" w:hAnsi="Default" w:cs="Arial"/>
                <w:kern w:val="0"/>
                <w:sz w:val="20"/>
                <w:szCs w:val="20"/>
              </w:rPr>
              <w:t>基本支出</w:t>
            </w:r>
          </w:p>
        </w:tc>
        <w:tc>
          <w:tcPr>
            <w:tcW w:w="2693" w:type="dxa"/>
            <w:tcBorders>
              <w:top w:val="nil"/>
              <w:left w:val="nil"/>
              <w:bottom w:val="single" w:color="000000" w:sz="4" w:space="0"/>
              <w:right w:val="single" w:color="000000" w:sz="4" w:space="0"/>
            </w:tcBorders>
            <w:shd w:val="clear" w:color="000000" w:fill="FFFFFF"/>
            <w:vAlign w:val="center"/>
          </w:tcPr>
          <w:p>
            <w:pPr>
              <w:widowControl/>
              <w:jc w:val="center"/>
              <w:rPr>
                <w:rFonts w:ascii="Default" w:hAnsi="Default" w:cs="Arial"/>
                <w:kern w:val="0"/>
                <w:sz w:val="20"/>
                <w:szCs w:val="20"/>
              </w:rPr>
            </w:pPr>
            <w:r>
              <w:rPr>
                <w:rFonts w:ascii="Default" w:hAnsi="Default" w:cs="Arial"/>
                <w:kern w:val="0"/>
                <w:sz w:val="20"/>
                <w:szCs w:val="20"/>
              </w:rPr>
              <w:t>项目支出</w:t>
            </w:r>
          </w:p>
        </w:tc>
      </w:tr>
      <w:tr>
        <w:tblPrEx>
          <w:tblCellMar>
            <w:top w:w="0" w:type="dxa"/>
            <w:left w:w="108" w:type="dxa"/>
            <w:bottom w:w="0" w:type="dxa"/>
            <w:right w:w="108" w:type="dxa"/>
          </w:tblCellMar>
        </w:tblPrEx>
        <w:trPr>
          <w:trHeight w:val="300" w:hRule="atLeast"/>
        </w:trPr>
        <w:tc>
          <w:tcPr>
            <w:tcW w:w="1500" w:type="dxa"/>
            <w:tcBorders>
              <w:top w:val="nil"/>
              <w:left w:val="single" w:color="000000" w:sz="4" w:space="0"/>
              <w:bottom w:val="single" w:color="000000" w:sz="4" w:space="0"/>
              <w:right w:val="single" w:color="000000" w:sz="4" w:space="0"/>
            </w:tcBorders>
            <w:shd w:val="clear" w:color="000000" w:fill="FFFFFF"/>
          </w:tcPr>
          <w:p>
            <w:pPr>
              <w:widowControl/>
              <w:jc w:val="left"/>
              <w:rPr>
                <w:rFonts w:ascii="Default" w:hAnsi="Default" w:cs="Arial"/>
                <w:kern w:val="0"/>
                <w:sz w:val="20"/>
                <w:szCs w:val="20"/>
              </w:rPr>
            </w:pPr>
            <w:r>
              <w:rPr>
                <w:rFonts w:ascii="Default" w:hAnsi="Default" w:cs="Arial"/>
                <w:kern w:val="0"/>
                <w:sz w:val="20"/>
                <w:szCs w:val="20"/>
              </w:rPr>
              <w:t>　</w:t>
            </w:r>
          </w:p>
        </w:tc>
        <w:tc>
          <w:tcPr>
            <w:tcW w:w="2660" w:type="dxa"/>
            <w:tcBorders>
              <w:top w:val="nil"/>
              <w:left w:val="nil"/>
              <w:bottom w:val="single" w:color="000000" w:sz="4" w:space="0"/>
              <w:right w:val="single" w:color="000000" w:sz="4" w:space="0"/>
            </w:tcBorders>
            <w:shd w:val="clear" w:color="000000" w:fill="FFFFFF"/>
          </w:tcPr>
          <w:p>
            <w:pPr>
              <w:widowControl/>
              <w:jc w:val="left"/>
              <w:rPr>
                <w:rFonts w:ascii="Default" w:hAnsi="Default" w:cs="Arial"/>
                <w:kern w:val="0"/>
                <w:sz w:val="20"/>
                <w:szCs w:val="20"/>
              </w:rPr>
            </w:pPr>
            <w:r>
              <w:rPr>
                <w:rFonts w:ascii="Default" w:hAnsi="Default" w:cs="Arial"/>
                <w:kern w:val="0"/>
                <w:sz w:val="20"/>
                <w:szCs w:val="20"/>
              </w:rPr>
              <w:t>　</w:t>
            </w:r>
          </w:p>
        </w:tc>
        <w:tc>
          <w:tcPr>
            <w:tcW w:w="1500" w:type="dxa"/>
            <w:tcBorders>
              <w:top w:val="nil"/>
              <w:left w:val="nil"/>
              <w:bottom w:val="single" w:color="000000" w:sz="4" w:space="0"/>
              <w:right w:val="single" w:color="000000" w:sz="4" w:space="0"/>
            </w:tcBorders>
            <w:shd w:val="clear" w:color="000000" w:fill="FFFFFF"/>
          </w:tcPr>
          <w:p>
            <w:pPr>
              <w:widowControl/>
              <w:jc w:val="right"/>
              <w:rPr>
                <w:rFonts w:ascii="Default" w:hAnsi="Default" w:cs="Arial"/>
                <w:kern w:val="0"/>
                <w:sz w:val="20"/>
                <w:szCs w:val="20"/>
              </w:rPr>
            </w:pPr>
            <w:r>
              <w:rPr>
                <w:rFonts w:ascii="Default" w:hAnsi="Default" w:cs="Arial"/>
                <w:kern w:val="0"/>
                <w:sz w:val="20"/>
                <w:szCs w:val="20"/>
              </w:rPr>
              <w:t>　</w:t>
            </w:r>
          </w:p>
        </w:tc>
        <w:tc>
          <w:tcPr>
            <w:tcW w:w="2152" w:type="dxa"/>
            <w:gridSpan w:val="2"/>
            <w:tcBorders>
              <w:top w:val="nil"/>
              <w:left w:val="nil"/>
              <w:bottom w:val="single" w:color="000000" w:sz="4" w:space="0"/>
              <w:right w:val="single" w:color="000000" w:sz="4" w:space="0"/>
            </w:tcBorders>
            <w:shd w:val="clear" w:color="000000" w:fill="FFFFFF"/>
          </w:tcPr>
          <w:p>
            <w:pPr>
              <w:widowControl/>
              <w:jc w:val="right"/>
              <w:rPr>
                <w:rFonts w:ascii="Default" w:hAnsi="Default" w:cs="Arial"/>
                <w:kern w:val="0"/>
                <w:sz w:val="20"/>
                <w:szCs w:val="20"/>
              </w:rPr>
            </w:pPr>
            <w:r>
              <w:rPr>
                <w:rFonts w:ascii="Default" w:hAnsi="Default" w:cs="Arial"/>
                <w:kern w:val="0"/>
                <w:sz w:val="20"/>
                <w:szCs w:val="20"/>
              </w:rPr>
              <w:t>　</w:t>
            </w:r>
          </w:p>
        </w:tc>
        <w:tc>
          <w:tcPr>
            <w:tcW w:w="2693" w:type="dxa"/>
            <w:tcBorders>
              <w:top w:val="nil"/>
              <w:left w:val="nil"/>
              <w:bottom w:val="single" w:color="000000" w:sz="4" w:space="0"/>
              <w:right w:val="single" w:color="000000" w:sz="4" w:space="0"/>
            </w:tcBorders>
            <w:shd w:val="clear" w:color="000000" w:fill="FFFFFF"/>
          </w:tcPr>
          <w:p>
            <w:pPr>
              <w:widowControl/>
              <w:jc w:val="right"/>
              <w:rPr>
                <w:rFonts w:ascii="Default" w:hAnsi="Default" w:cs="Arial"/>
                <w:kern w:val="0"/>
                <w:sz w:val="20"/>
                <w:szCs w:val="20"/>
              </w:rPr>
            </w:pPr>
            <w:r>
              <w:rPr>
                <w:rFonts w:ascii="Default" w:hAnsi="Default" w:cs="Arial"/>
                <w:kern w:val="0"/>
                <w:sz w:val="20"/>
                <w:szCs w:val="20"/>
              </w:rPr>
              <w:t>　</w:t>
            </w:r>
          </w:p>
        </w:tc>
      </w:tr>
    </w:tbl>
    <w:p>
      <w:pPr>
        <w:pStyle w:val="4"/>
        <w:tabs>
          <w:tab w:val="center" w:pos="4153"/>
          <w:tab w:val="left" w:pos="7275"/>
        </w:tabs>
        <w:spacing w:line="600" w:lineRule="exact"/>
        <w:ind w:firstLine="0" w:firstLineChars="0"/>
        <w:jc w:val="left"/>
        <w:rPr>
          <w:rFonts w:ascii="Default" w:hAnsi="Default" w:cs="Arial"/>
          <w:kern w:val="0"/>
          <w:sz w:val="20"/>
          <w:szCs w:val="20"/>
        </w:rPr>
      </w:pPr>
      <w:r>
        <w:rPr>
          <w:rFonts w:hint="eastAsia" w:ascii="Default" w:hAnsi="Default" w:cs="Arial"/>
          <w:kern w:val="0"/>
          <w:sz w:val="20"/>
          <w:szCs w:val="20"/>
        </w:rPr>
        <w:t>备注：本单位2020年没有使用政府性基金预算拨款安排的支出</w:t>
      </w:r>
    </w:p>
    <w:p>
      <w:pPr>
        <w:pStyle w:val="4"/>
        <w:tabs>
          <w:tab w:val="center" w:pos="4153"/>
          <w:tab w:val="left" w:pos="7275"/>
        </w:tabs>
        <w:spacing w:line="600" w:lineRule="exact"/>
        <w:ind w:firstLine="640"/>
        <w:jc w:val="left"/>
        <w:rPr>
          <w:rFonts w:ascii="方正仿宋_GBK" w:eastAsia="方正仿宋_GBK"/>
          <w:sz w:val="32"/>
          <w:szCs w:val="32"/>
        </w:rPr>
      </w:pPr>
    </w:p>
    <w:p>
      <w:pPr>
        <w:pStyle w:val="4"/>
        <w:tabs>
          <w:tab w:val="center" w:pos="4153"/>
          <w:tab w:val="left" w:pos="7275"/>
        </w:tabs>
        <w:spacing w:line="600" w:lineRule="exact"/>
        <w:ind w:firstLine="640"/>
        <w:jc w:val="left"/>
        <w:rPr>
          <w:rFonts w:ascii="方正仿宋_GBK" w:eastAsia="方正仿宋_GBK"/>
          <w:sz w:val="32"/>
          <w:szCs w:val="32"/>
        </w:rPr>
      </w:pPr>
    </w:p>
    <w:tbl>
      <w:tblPr>
        <w:tblStyle w:val="2"/>
        <w:tblW w:w="9160" w:type="dxa"/>
        <w:tblInd w:w="93" w:type="dxa"/>
        <w:tblLayout w:type="autofit"/>
        <w:tblCellMar>
          <w:top w:w="0" w:type="dxa"/>
          <w:left w:w="108" w:type="dxa"/>
          <w:bottom w:w="0" w:type="dxa"/>
          <w:right w:w="108" w:type="dxa"/>
        </w:tblCellMar>
      </w:tblPr>
      <w:tblGrid>
        <w:gridCol w:w="4580"/>
        <w:gridCol w:w="4580"/>
      </w:tblGrid>
      <w:tr>
        <w:tblPrEx>
          <w:tblCellMar>
            <w:top w:w="0" w:type="dxa"/>
            <w:left w:w="108" w:type="dxa"/>
            <w:bottom w:w="0" w:type="dxa"/>
            <w:right w:w="108" w:type="dxa"/>
          </w:tblCellMar>
        </w:tblPrEx>
        <w:trPr>
          <w:trHeight w:val="690" w:hRule="atLeast"/>
        </w:trPr>
        <w:tc>
          <w:tcPr>
            <w:tcW w:w="9160" w:type="dxa"/>
            <w:gridSpan w:val="2"/>
            <w:tcBorders>
              <w:top w:val="nil"/>
              <w:left w:val="nil"/>
              <w:bottom w:val="nil"/>
              <w:right w:val="nil"/>
            </w:tcBorders>
            <w:shd w:val="clear" w:color="000000" w:fill="FFFFFF"/>
            <w:vAlign w:val="center"/>
          </w:tcPr>
          <w:p>
            <w:pPr>
              <w:widowControl/>
              <w:jc w:val="center"/>
              <w:rPr>
                <w:rFonts w:ascii="Default" w:hAnsi="Default" w:eastAsia="宋体" w:cs="Arial"/>
                <w:b/>
                <w:bCs/>
                <w:kern w:val="0"/>
                <w:sz w:val="36"/>
                <w:szCs w:val="36"/>
              </w:rPr>
            </w:pPr>
            <w:r>
              <w:rPr>
                <w:rFonts w:ascii="Default" w:hAnsi="Default" w:eastAsia="宋体" w:cs="Arial"/>
                <w:b/>
                <w:bCs/>
                <w:kern w:val="0"/>
                <w:sz w:val="36"/>
                <w:szCs w:val="36"/>
              </w:rPr>
              <w:t>采购预算明细表</w:t>
            </w:r>
          </w:p>
        </w:tc>
      </w:tr>
      <w:tr>
        <w:tblPrEx>
          <w:tblCellMar>
            <w:top w:w="0" w:type="dxa"/>
            <w:left w:w="108" w:type="dxa"/>
            <w:bottom w:w="0" w:type="dxa"/>
            <w:right w:w="108" w:type="dxa"/>
          </w:tblCellMar>
        </w:tblPrEx>
        <w:trPr>
          <w:trHeight w:val="405" w:hRule="atLeast"/>
        </w:trPr>
        <w:tc>
          <w:tcPr>
            <w:tcW w:w="4580" w:type="dxa"/>
            <w:tcBorders>
              <w:top w:val="nil"/>
              <w:left w:val="nil"/>
              <w:bottom w:val="nil"/>
              <w:right w:val="nil"/>
            </w:tcBorders>
            <w:shd w:val="clear" w:color="000000" w:fill="FFFFFF"/>
          </w:tcPr>
          <w:p>
            <w:pPr>
              <w:widowControl/>
              <w:jc w:val="left"/>
              <w:rPr>
                <w:rFonts w:ascii="Default" w:hAnsi="Default" w:eastAsia="宋体" w:cs="Arial"/>
                <w:kern w:val="0"/>
                <w:sz w:val="20"/>
                <w:szCs w:val="20"/>
              </w:rPr>
            </w:pPr>
            <w:r>
              <w:rPr>
                <w:rFonts w:ascii="Default" w:hAnsi="Default" w:eastAsia="宋体" w:cs="Arial"/>
                <w:kern w:val="0"/>
                <w:sz w:val="20"/>
                <w:szCs w:val="20"/>
              </w:rPr>
              <w:t>　</w:t>
            </w:r>
          </w:p>
        </w:tc>
        <w:tc>
          <w:tcPr>
            <w:tcW w:w="4580" w:type="dxa"/>
            <w:tcBorders>
              <w:top w:val="nil"/>
              <w:left w:val="nil"/>
              <w:bottom w:val="nil"/>
              <w:right w:val="nil"/>
            </w:tcBorders>
            <w:shd w:val="clear" w:color="000000" w:fill="FFFFFF"/>
          </w:tcPr>
          <w:p>
            <w:pPr>
              <w:widowControl/>
              <w:jc w:val="right"/>
              <w:rPr>
                <w:rFonts w:ascii="Default" w:hAnsi="Default" w:eastAsia="宋体" w:cs="Arial"/>
                <w:kern w:val="0"/>
                <w:sz w:val="20"/>
                <w:szCs w:val="20"/>
              </w:rPr>
            </w:pPr>
            <w:r>
              <w:rPr>
                <w:rFonts w:ascii="Default" w:hAnsi="Default" w:eastAsia="宋体" w:cs="Arial"/>
                <w:kern w:val="0"/>
                <w:sz w:val="20"/>
                <w:szCs w:val="20"/>
              </w:rPr>
              <w:t xml:space="preserve">单位：万元  </w:t>
            </w:r>
          </w:p>
        </w:tc>
      </w:tr>
      <w:tr>
        <w:tblPrEx>
          <w:tblCellMar>
            <w:top w:w="0" w:type="dxa"/>
            <w:left w:w="108" w:type="dxa"/>
            <w:bottom w:w="0" w:type="dxa"/>
            <w:right w:w="108" w:type="dxa"/>
          </w:tblCellMar>
        </w:tblPrEx>
        <w:trPr>
          <w:trHeight w:val="855" w:hRule="atLeast"/>
        </w:trPr>
        <w:tc>
          <w:tcPr>
            <w:tcW w:w="45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Default" w:hAnsi="Default" w:eastAsia="宋体" w:cs="Arial"/>
                <w:b/>
                <w:bCs/>
                <w:kern w:val="0"/>
                <w:sz w:val="28"/>
                <w:szCs w:val="28"/>
              </w:rPr>
            </w:pPr>
            <w:r>
              <w:rPr>
                <w:rFonts w:ascii="Default" w:hAnsi="Default" w:eastAsia="宋体" w:cs="Arial"/>
                <w:b/>
                <w:bCs/>
                <w:kern w:val="0"/>
                <w:sz w:val="28"/>
                <w:szCs w:val="28"/>
              </w:rPr>
              <w:t>项目</w:t>
            </w:r>
          </w:p>
        </w:tc>
        <w:tc>
          <w:tcPr>
            <w:tcW w:w="458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Default" w:hAnsi="Default" w:eastAsia="宋体" w:cs="Arial"/>
                <w:b/>
                <w:bCs/>
                <w:kern w:val="0"/>
                <w:sz w:val="28"/>
                <w:szCs w:val="28"/>
              </w:rPr>
            </w:pPr>
            <w:r>
              <w:rPr>
                <w:rFonts w:ascii="Default" w:hAnsi="Default" w:eastAsia="宋体" w:cs="Arial"/>
                <w:b/>
                <w:bCs/>
                <w:kern w:val="0"/>
                <w:sz w:val="28"/>
                <w:szCs w:val="28"/>
              </w:rPr>
              <w:t>一般公共预算财政拨款</w:t>
            </w:r>
          </w:p>
        </w:tc>
      </w:tr>
      <w:tr>
        <w:tblPrEx>
          <w:tblCellMar>
            <w:top w:w="0" w:type="dxa"/>
            <w:left w:w="108" w:type="dxa"/>
            <w:bottom w:w="0" w:type="dxa"/>
            <w:right w:w="108" w:type="dxa"/>
          </w:tblCellMar>
        </w:tblPrEx>
        <w:trPr>
          <w:trHeight w:val="390" w:hRule="atLeast"/>
        </w:trPr>
        <w:tc>
          <w:tcPr>
            <w:tcW w:w="458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6"/>
                <w:szCs w:val="26"/>
              </w:rPr>
            </w:pPr>
            <w:r>
              <w:rPr>
                <w:rFonts w:ascii="Default" w:hAnsi="Default" w:eastAsia="宋体" w:cs="Arial"/>
                <w:kern w:val="0"/>
                <w:sz w:val="26"/>
                <w:szCs w:val="26"/>
              </w:rPr>
              <w:t xml:space="preserve">    合计  </w:t>
            </w:r>
          </w:p>
        </w:tc>
        <w:tc>
          <w:tcPr>
            <w:tcW w:w="458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6"/>
                <w:szCs w:val="26"/>
              </w:rPr>
            </w:pPr>
            <w:r>
              <w:rPr>
                <w:rFonts w:ascii="Default" w:hAnsi="Default" w:eastAsia="宋体" w:cs="Arial"/>
                <w:kern w:val="0"/>
                <w:sz w:val="26"/>
                <w:szCs w:val="26"/>
              </w:rPr>
              <w:t>51.00</w:t>
            </w:r>
          </w:p>
        </w:tc>
      </w:tr>
      <w:tr>
        <w:tblPrEx>
          <w:tblCellMar>
            <w:top w:w="0" w:type="dxa"/>
            <w:left w:w="108" w:type="dxa"/>
            <w:bottom w:w="0" w:type="dxa"/>
            <w:right w:w="108" w:type="dxa"/>
          </w:tblCellMar>
        </w:tblPrEx>
        <w:trPr>
          <w:trHeight w:val="390" w:hRule="atLeast"/>
        </w:trPr>
        <w:tc>
          <w:tcPr>
            <w:tcW w:w="458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6"/>
                <w:szCs w:val="26"/>
              </w:rPr>
            </w:pPr>
            <w:r>
              <w:rPr>
                <w:rFonts w:ascii="Default" w:hAnsi="Default" w:eastAsia="宋体" w:cs="Arial"/>
                <w:kern w:val="0"/>
                <w:sz w:val="26"/>
                <w:szCs w:val="26"/>
              </w:rPr>
              <w:t xml:space="preserve">        货物类  </w:t>
            </w:r>
          </w:p>
        </w:tc>
        <w:tc>
          <w:tcPr>
            <w:tcW w:w="458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6"/>
                <w:szCs w:val="26"/>
              </w:rPr>
            </w:pPr>
            <w:r>
              <w:rPr>
                <w:rFonts w:ascii="Default" w:hAnsi="Default" w:eastAsia="宋体" w:cs="Arial"/>
                <w:kern w:val="0"/>
                <w:sz w:val="26"/>
                <w:szCs w:val="26"/>
              </w:rPr>
              <w:t>0.00</w:t>
            </w:r>
          </w:p>
        </w:tc>
      </w:tr>
      <w:tr>
        <w:tblPrEx>
          <w:tblCellMar>
            <w:top w:w="0" w:type="dxa"/>
            <w:left w:w="108" w:type="dxa"/>
            <w:bottom w:w="0" w:type="dxa"/>
            <w:right w:w="108" w:type="dxa"/>
          </w:tblCellMar>
        </w:tblPrEx>
        <w:trPr>
          <w:trHeight w:val="390" w:hRule="atLeast"/>
        </w:trPr>
        <w:tc>
          <w:tcPr>
            <w:tcW w:w="458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6"/>
                <w:szCs w:val="26"/>
              </w:rPr>
            </w:pPr>
            <w:r>
              <w:rPr>
                <w:rFonts w:ascii="Default" w:hAnsi="Default" w:eastAsia="宋体" w:cs="Arial"/>
                <w:kern w:val="0"/>
                <w:sz w:val="26"/>
                <w:szCs w:val="26"/>
              </w:rPr>
              <w:t xml:space="preserve">        服务类  </w:t>
            </w:r>
          </w:p>
        </w:tc>
        <w:tc>
          <w:tcPr>
            <w:tcW w:w="458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6"/>
                <w:szCs w:val="26"/>
              </w:rPr>
            </w:pPr>
            <w:r>
              <w:rPr>
                <w:rFonts w:ascii="Default" w:hAnsi="Default" w:eastAsia="宋体" w:cs="Arial"/>
                <w:kern w:val="0"/>
                <w:sz w:val="26"/>
                <w:szCs w:val="26"/>
              </w:rPr>
              <w:t>51.00</w:t>
            </w:r>
          </w:p>
        </w:tc>
      </w:tr>
      <w:tr>
        <w:tblPrEx>
          <w:tblCellMar>
            <w:top w:w="0" w:type="dxa"/>
            <w:left w:w="108" w:type="dxa"/>
            <w:bottom w:w="0" w:type="dxa"/>
            <w:right w:w="108" w:type="dxa"/>
          </w:tblCellMar>
        </w:tblPrEx>
        <w:trPr>
          <w:trHeight w:val="390" w:hRule="atLeast"/>
        </w:trPr>
        <w:tc>
          <w:tcPr>
            <w:tcW w:w="4580" w:type="dxa"/>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Default" w:hAnsi="Default" w:eastAsia="宋体" w:cs="Arial"/>
                <w:kern w:val="0"/>
                <w:sz w:val="26"/>
                <w:szCs w:val="26"/>
              </w:rPr>
            </w:pPr>
            <w:r>
              <w:rPr>
                <w:rFonts w:ascii="Default" w:hAnsi="Default" w:eastAsia="宋体" w:cs="Arial"/>
                <w:kern w:val="0"/>
                <w:sz w:val="26"/>
                <w:szCs w:val="26"/>
              </w:rPr>
              <w:t xml:space="preserve">        工程类  </w:t>
            </w:r>
          </w:p>
        </w:tc>
        <w:tc>
          <w:tcPr>
            <w:tcW w:w="4580" w:type="dxa"/>
            <w:tcBorders>
              <w:top w:val="nil"/>
              <w:left w:val="nil"/>
              <w:bottom w:val="single" w:color="000000" w:sz="4" w:space="0"/>
              <w:right w:val="single" w:color="000000" w:sz="4" w:space="0"/>
            </w:tcBorders>
            <w:shd w:val="clear" w:color="000000" w:fill="FFFFFF"/>
            <w:vAlign w:val="center"/>
          </w:tcPr>
          <w:p>
            <w:pPr>
              <w:widowControl/>
              <w:jc w:val="right"/>
              <w:rPr>
                <w:rFonts w:ascii="Default" w:hAnsi="Default" w:eastAsia="宋体" w:cs="Arial"/>
                <w:kern w:val="0"/>
                <w:sz w:val="26"/>
                <w:szCs w:val="26"/>
              </w:rPr>
            </w:pPr>
            <w:r>
              <w:rPr>
                <w:rFonts w:ascii="Default" w:hAnsi="Default" w:eastAsia="宋体" w:cs="Arial"/>
                <w:kern w:val="0"/>
                <w:sz w:val="26"/>
                <w:szCs w:val="26"/>
              </w:rPr>
              <w:t>0.00</w:t>
            </w:r>
          </w:p>
        </w:tc>
      </w:tr>
    </w:tbl>
    <w:p>
      <w:pPr>
        <w:pStyle w:val="4"/>
        <w:tabs>
          <w:tab w:val="center" w:pos="4153"/>
          <w:tab w:val="left" w:pos="7275"/>
        </w:tabs>
        <w:spacing w:line="600" w:lineRule="exact"/>
        <w:ind w:firstLine="640"/>
        <w:jc w:val="left"/>
        <w:rPr>
          <w:rFonts w:ascii="方正仿宋_GBK" w:eastAsia="方正仿宋_GBK"/>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Default">
    <w:altName w:val="Times New Roman"/>
    <w:panose1 w:val="00000000000000000000"/>
    <w:charset w:val="00"/>
    <w:family w:val="auto"/>
    <w:pitch w:val="default"/>
    <w:sig w:usb0="00000000" w:usb1="00000000" w:usb2="00000000" w:usb3="00000000" w:csb0="00000001" w:csb1="00000000"/>
  </w:font>
  <w:font w:name="Arial">
    <w:altName w:val="Times New Roman"/>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7F1BC"/>
    <w:multiLevelType w:val="singleLevel"/>
    <w:tmpl w:val="5847F1B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6D80"/>
    <w:rsid w:val="0002126B"/>
    <w:rsid w:val="000A2F83"/>
    <w:rsid w:val="000D57B5"/>
    <w:rsid w:val="0014346A"/>
    <w:rsid w:val="001875E4"/>
    <w:rsid w:val="003620E7"/>
    <w:rsid w:val="00380EDF"/>
    <w:rsid w:val="00452672"/>
    <w:rsid w:val="00467CF1"/>
    <w:rsid w:val="00684CE3"/>
    <w:rsid w:val="00746D80"/>
    <w:rsid w:val="00836CA9"/>
    <w:rsid w:val="009717A9"/>
    <w:rsid w:val="009C533F"/>
    <w:rsid w:val="00BC3B0D"/>
    <w:rsid w:val="00EA2C98"/>
    <w:rsid w:val="00F5431C"/>
    <w:rsid w:val="00F979A5"/>
    <w:rsid w:val="00FD40E0"/>
    <w:rsid w:val="BEFD0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1793</Words>
  <Characters>10226</Characters>
  <Lines>85</Lines>
  <Paragraphs>23</Paragraphs>
  <TotalTime>67</TotalTime>
  <ScaleCrop>false</ScaleCrop>
  <LinksUpToDate>false</LinksUpToDate>
  <CharactersWithSpaces>11996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2021-02-26T16:03:00Z</dcterms:created>
  <dc:creator>Administrator</dc:creator>
  <cp:lastModifiedBy>twll</cp:lastModifiedBy>
  <dcterms:modified xsi:type="dcterms:W3CDTF">2023-05-12T11:53:51Z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