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bookmarkStart w:id="0" w:name="_Hlk37239649"/>
      <w:bookmarkEnd w:id="0"/>
      <w:bookmarkStart w:id="1" w:name="OLE_LINK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维府〔2025〕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bookmarkEnd w:id="1"/>
    <w:p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重庆市铜梁区维新镇人民政府</w:t>
      </w:r>
    </w:p>
    <w:p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关于印发《维新镇冬春火灾防控“百日攻坚”行动工作方案》的通知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，相关板块：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现将《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维新镇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冬春火灾防控“百日攻坚”行动工作方案》印发给你们，请结合实际，认真组织实施。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重庆市铜梁区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维新镇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人民政府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2025年1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pStyle w:val="2"/>
        <w:wordWrap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（此件公开发布）</w:t>
      </w:r>
    </w:p>
    <w:p>
      <w:pP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Style w:val="14"/>
          <w:rFonts w:hint="default" w:ascii="Times New Roman" w:hAnsi="Times New Roman" w:cs="Times New Roman"/>
          <w:lang w:val="en-US" w:eastAsia="zh-CN"/>
        </w:rPr>
      </w:pPr>
      <w:r>
        <w:rPr>
          <w:rStyle w:val="14"/>
          <w:rFonts w:hint="default" w:ascii="Times New Roman" w:hAnsi="Times New Roman" w:cs="Times New Roman"/>
          <w:lang w:val="en-US" w:eastAsia="zh-CN"/>
        </w:rPr>
        <w:t>维新镇冬春火灾防控“百日攻坚”行动工作方案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left"/>
        <w:textAlignment w:val="auto"/>
        <w:rPr>
          <w:rStyle w:val="14"/>
          <w:rFonts w:hint="default" w:ascii="Times New Roman" w:hAnsi="Times New Roman" w:cs="Times New Roman"/>
          <w:lang w:val="en-US" w:eastAsia="zh-CN"/>
        </w:rPr>
      </w:pP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根据《全区冬春火灾防控“百日攻坚”行动工作方案》要求，结合</w:t>
      </w:r>
      <w:r>
        <w:rPr>
          <w:rFonts w:hint="default" w:ascii="Times New Roman" w:hAnsi="Times New Roman" w:cs="Times New Roman"/>
          <w:lang w:eastAsia="zh-CN"/>
        </w:rPr>
        <w:t>我镇</w:t>
      </w:r>
      <w:r>
        <w:rPr>
          <w:rFonts w:hint="default" w:ascii="Times New Roman" w:hAnsi="Times New Roman" w:cs="Times New Roman"/>
        </w:rPr>
        <w:t>实际，特制定本工作方案。</w:t>
      </w:r>
    </w:p>
    <w:p>
      <w:pPr>
        <w:pStyle w:val="4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一、工作目标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认真贯彻落实习近平总书记关于消防安全的重要指示批示精神，按照市委市政府部署要求和区委区政府工作安排，</w:t>
      </w:r>
      <w:r>
        <w:rPr>
          <w:rFonts w:hint="default" w:ascii="Times New Roman" w:hAnsi="Times New Roman" w:cs="Times New Roman"/>
        </w:rPr>
        <w:t>坚持“人民至上、生命至上”理念，围绕“防大火、遏亡人、控总量”核心目标，聚焦高层建筑、老旧小区、“九小场所”、电动自行车管理等薄弱环节和风险领域，通过百日攻坚行动，实现火灾隐患排查整治全面覆盖、居民消防安全意识显著提升、基层应急响应能力切实增强，坚决杜绝重特大火灾事故，有效压降一般性火灾事故，确保</w:t>
      </w:r>
      <w:r>
        <w:rPr>
          <w:rFonts w:hint="default" w:ascii="Times New Roman" w:hAnsi="Times New Roman" w:cs="Times New Roman"/>
          <w:lang w:eastAsia="zh-CN"/>
        </w:rPr>
        <w:t>镇</w:t>
      </w:r>
      <w:r>
        <w:rPr>
          <w:rFonts w:hint="default" w:ascii="Times New Roman" w:hAnsi="Times New Roman" w:cs="Times New Roman"/>
        </w:rPr>
        <w:t>消防安全形势平稳可控。</w:t>
      </w:r>
    </w:p>
    <w:p>
      <w:pPr>
        <w:pStyle w:val="4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二、重点任务与细化措施</w:t>
      </w:r>
    </w:p>
    <w:p>
      <w:pPr>
        <w:pStyle w:val="5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（一）</w:t>
      </w:r>
      <w:r>
        <w:rPr>
          <w:rFonts w:hint="default" w:ascii="Times New Roman" w:hAnsi="Times New Roman" w:cs="Times New Roman"/>
        </w:rPr>
        <w:t>强化组织领导与责任体系构建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成立工作专班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成立</w:t>
      </w:r>
      <w:r>
        <w:rPr>
          <w:rFonts w:hint="default" w:ascii="Times New Roman" w:hAnsi="Times New Roman" w:cs="Times New Roman"/>
          <w:lang w:eastAsia="zh-CN"/>
        </w:rPr>
        <w:t>维新镇</w:t>
      </w:r>
      <w:r>
        <w:rPr>
          <w:rFonts w:hint="default" w:ascii="Times New Roman" w:hAnsi="Times New Roman" w:cs="Times New Roman"/>
        </w:rPr>
        <w:t>冬春火灾防控“百日攻坚”行动工作专班</w:t>
      </w:r>
      <w:r>
        <w:rPr>
          <w:rFonts w:hint="default" w:ascii="Times New Roman" w:hAnsi="Times New Roman" w:cs="Times New Roman"/>
          <w:lang w:eastAsia="zh-CN"/>
        </w:rPr>
        <w:t>，由</w:t>
      </w:r>
      <w:r>
        <w:rPr>
          <w:rFonts w:hint="default" w:ascii="Times New Roman" w:hAnsi="Times New Roman" w:cs="Times New Roman"/>
          <w:kern w:val="32"/>
          <w:sz w:val="32"/>
          <w:szCs w:val="32"/>
          <w:lang w:val="en-US" w:eastAsia="zh-CN"/>
        </w:rPr>
        <w:t>镇长朱文彬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任组长，</w:t>
      </w:r>
      <w:r>
        <w:rPr>
          <w:rFonts w:hint="default" w:ascii="Times New Roman" w:hAnsi="Times New Roman" w:cs="Times New Roman"/>
          <w:kern w:val="32"/>
          <w:sz w:val="32"/>
          <w:szCs w:val="32"/>
          <w:lang w:val="en-US" w:eastAsia="zh-CN"/>
        </w:rPr>
        <w:t>吴小华、罗晓威、王建华、秦海深、张兴洪、陈智勇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任副组长，</w:t>
      </w:r>
      <w:r>
        <w:rPr>
          <w:rFonts w:hint="default" w:ascii="Times New Roman" w:hAnsi="Times New Roman" w:cs="Times New Roman"/>
          <w:kern w:val="32"/>
          <w:sz w:val="32"/>
          <w:szCs w:val="32"/>
          <w:lang w:val="en-US" w:eastAsia="zh-CN"/>
        </w:rPr>
        <w:t>刘书刚、王仕伟、冯妍茜、高翔、曾倩、胡兴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等岗位负责人以及各村（社区）书记为成员。安全应急岗负责专项整治工作专班的统筹、组织和协调工作。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</w:rPr>
        <w:t>层层动员与任务分解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立即召开</w:t>
      </w:r>
      <w:r>
        <w:rPr>
          <w:rFonts w:hint="default" w:ascii="Times New Roman" w:hAnsi="Times New Roman" w:cs="Times New Roman"/>
          <w:lang w:val="en-US" w:eastAsia="zh-CN"/>
        </w:rPr>
        <w:t>镇、村（社区）</w:t>
      </w:r>
      <w:r>
        <w:rPr>
          <w:rFonts w:hint="default" w:ascii="Times New Roman" w:hAnsi="Times New Roman" w:cs="Times New Roman"/>
        </w:rPr>
        <w:t>两级动员部署会，传达区级方案精神，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分析研判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当前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冬春消防安全形势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cs="Times New Roman"/>
        </w:rPr>
        <w:t>将区</w:t>
      </w:r>
      <w:r>
        <w:rPr>
          <w:rFonts w:hint="default" w:ascii="Times New Roman" w:hAnsi="Times New Roman" w:cs="Times New Roman"/>
          <w:lang w:eastAsia="zh-CN"/>
        </w:rPr>
        <w:t>级</w:t>
      </w:r>
      <w:r>
        <w:rPr>
          <w:rFonts w:hint="default" w:ascii="Times New Roman" w:hAnsi="Times New Roman" w:cs="Times New Roman"/>
        </w:rPr>
        <w:t>方案中26项重点任务逐条分解到各</w:t>
      </w:r>
      <w:r>
        <w:rPr>
          <w:rFonts w:hint="default" w:ascii="Times New Roman" w:hAnsi="Times New Roman" w:cs="Times New Roman"/>
          <w:lang w:val="en-US" w:eastAsia="zh-CN"/>
        </w:rPr>
        <w:t>村（</w:t>
      </w:r>
      <w:r>
        <w:rPr>
          <w:rFonts w:hint="default" w:ascii="Times New Roman" w:hAnsi="Times New Roman" w:cs="Times New Roman"/>
        </w:rPr>
        <w:t>社区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、各</w:t>
      </w:r>
      <w:r>
        <w:rPr>
          <w:rFonts w:hint="default" w:ascii="Times New Roman" w:hAnsi="Times New Roman" w:cs="Times New Roman"/>
          <w:lang w:eastAsia="zh-CN"/>
        </w:rPr>
        <w:t>岗位</w:t>
      </w:r>
      <w:r>
        <w:rPr>
          <w:rFonts w:hint="default" w:ascii="Times New Roman" w:hAnsi="Times New Roman" w:cs="Times New Roman"/>
        </w:rPr>
        <w:t>，明确责任人</w:t>
      </w:r>
      <w:r>
        <w:rPr>
          <w:rFonts w:hint="default" w:ascii="Times New Roman" w:hAnsi="Times New Roman" w:cs="Times New Roman"/>
          <w:lang w:eastAsia="zh-CN"/>
        </w:rPr>
        <w:t>与</w:t>
      </w:r>
      <w:r>
        <w:rPr>
          <w:rFonts w:hint="default" w:ascii="Times New Roman" w:hAnsi="Times New Roman" w:cs="Times New Roman"/>
        </w:rPr>
        <w:t>时间</w:t>
      </w:r>
      <w:r>
        <w:rPr>
          <w:rFonts w:hint="default" w:ascii="Times New Roman" w:hAnsi="Times New Roman" w:cs="Times New Roman"/>
          <w:lang w:eastAsia="zh-CN"/>
        </w:rPr>
        <w:t>节点，制发镇</w:t>
      </w:r>
      <w:r>
        <w:rPr>
          <w:rFonts w:hint="default" w:ascii="Times New Roman" w:hAnsi="Times New Roman" w:cs="Times New Roman"/>
        </w:rPr>
        <w:t>具体实施方案。</w:t>
      </w:r>
    </w:p>
    <w:p>
      <w:pPr>
        <w:pStyle w:val="5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（二）</w:t>
      </w:r>
      <w:r>
        <w:rPr>
          <w:rFonts w:hint="default" w:ascii="Times New Roman" w:hAnsi="Times New Roman" w:cs="Times New Roman"/>
        </w:rPr>
        <w:t>深化电气火灾风险综合治理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</w:t>
      </w:r>
      <w:r>
        <w:rPr>
          <w:rFonts w:hint="default" w:ascii="Times New Roman" w:hAnsi="Times New Roman" w:cs="Times New Roman"/>
        </w:rPr>
        <w:t>开展</w:t>
      </w:r>
      <w:r>
        <w:rPr>
          <w:rFonts w:hint="default" w:ascii="Times New Roman" w:hAnsi="Times New Roman" w:cs="Times New Roman"/>
          <w:lang w:eastAsia="zh-CN"/>
        </w:rPr>
        <w:t>电气火灾隐患</w:t>
      </w:r>
      <w:r>
        <w:rPr>
          <w:rFonts w:hint="default" w:ascii="Times New Roman" w:hAnsi="Times New Roman" w:cs="Times New Roman"/>
        </w:rPr>
        <w:t>专项排查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由</w:t>
      </w:r>
      <w:r>
        <w:rPr>
          <w:rFonts w:hint="default" w:ascii="Times New Roman" w:hAnsi="Times New Roman" w:cs="Times New Roman"/>
          <w:lang w:val="en-US" w:eastAsia="zh-CN"/>
        </w:rPr>
        <w:t>镇</w:t>
      </w:r>
      <w:r>
        <w:rPr>
          <w:rFonts w:hint="default" w:ascii="Times New Roman" w:hAnsi="Times New Roman" w:cs="Times New Roman"/>
          <w:lang w:eastAsia="zh-CN"/>
        </w:rPr>
        <w:t>经济发展岗</w:t>
      </w:r>
      <w:r>
        <w:rPr>
          <w:rFonts w:hint="default" w:ascii="Times New Roman" w:hAnsi="Times New Roman" w:cs="Times New Roman"/>
        </w:rPr>
        <w:t>牵头，会同</w:t>
      </w:r>
      <w:r>
        <w:rPr>
          <w:rFonts w:hint="default" w:ascii="Times New Roman" w:hAnsi="Times New Roman" w:cs="Times New Roman"/>
          <w:lang w:eastAsia="zh-CN"/>
        </w:rPr>
        <w:t>电力公司</w:t>
      </w:r>
      <w:r>
        <w:rPr>
          <w:rFonts w:hint="default" w:ascii="Times New Roman" w:hAnsi="Times New Roman" w:cs="Times New Roman"/>
        </w:rPr>
        <w:t>，组织</w:t>
      </w:r>
      <w:r>
        <w:rPr>
          <w:rFonts w:hint="default" w:ascii="Times New Roman" w:hAnsi="Times New Roman" w:cs="Times New Roman"/>
          <w:lang w:val="en-US" w:eastAsia="zh-CN"/>
        </w:rPr>
        <w:t>村（</w:t>
      </w:r>
      <w:r>
        <w:rPr>
          <w:rFonts w:hint="default" w:ascii="Times New Roman" w:hAnsi="Times New Roman" w:cs="Times New Roman"/>
        </w:rPr>
        <w:t>社区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网格员、物业人员，</w:t>
      </w:r>
      <w:r>
        <w:rPr>
          <w:rFonts w:hint="default" w:ascii="Times New Roman" w:hAnsi="Times New Roman" w:cs="Times New Roman"/>
          <w:lang w:eastAsia="zh-CN"/>
        </w:rPr>
        <w:t>重点</w:t>
      </w:r>
      <w:r>
        <w:rPr>
          <w:rFonts w:hint="default" w:ascii="Times New Roman" w:hAnsi="Times New Roman" w:cs="Times New Roman"/>
        </w:rPr>
        <w:t>对</w:t>
      </w:r>
      <w:r>
        <w:rPr>
          <w:rFonts w:hint="default" w:ascii="Times New Roman" w:hAnsi="Times New Roman" w:cs="Times New Roman"/>
          <w:lang w:val="en-US" w:eastAsia="zh-CN"/>
        </w:rPr>
        <w:t>农民新村、场镇</w:t>
      </w:r>
      <w:r>
        <w:rPr>
          <w:rFonts w:hint="default" w:ascii="Times New Roman" w:hAnsi="Times New Roman" w:cs="Times New Roman"/>
          <w:lang w:eastAsia="zh-CN"/>
        </w:rPr>
        <w:t>等片区的</w:t>
      </w:r>
      <w:r>
        <w:rPr>
          <w:rFonts w:hint="default" w:ascii="Times New Roman" w:hAnsi="Times New Roman" w:cs="Times New Roman"/>
        </w:rPr>
        <w:t>老旧</w:t>
      </w:r>
      <w:r>
        <w:rPr>
          <w:rFonts w:hint="default" w:ascii="Times New Roman" w:hAnsi="Times New Roman" w:cs="Times New Roman"/>
          <w:lang w:val="en-US" w:eastAsia="zh-CN"/>
        </w:rPr>
        <w:t>房屋</w:t>
      </w:r>
      <w:r>
        <w:rPr>
          <w:rFonts w:hint="default" w:ascii="Times New Roman" w:hAnsi="Times New Roman" w:cs="Times New Roman"/>
        </w:rPr>
        <w:t>、沿街商铺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菜市场、学校</w:t>
      </w:r>
      <w:r>
        <w:rPr>
          <w:rFonts w:hint="default" w:ascii="Times New Roman" w:hAnsi="Times New Roman" w:cs="Times New Roman"/>
          <w:lang w:eastAsia="zh-CN"/>
        </w:rPr>
        <w:t>等点位</w:t>
      </w:r>
      <w:r>
        <w:rPr>
          <w:rFonts w:hint="default" w:ascii="Times New Roman" w:hAnsi="Times New Roman" w:cs="Times New Roman"/>
        </w:rPr>
        <w:t>的电气安全排查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检查电线私拉乱接、老化破损等问题。</w:t>
      </w:r>
      <w:r>
        <w:rPr>
          <w:rFonts w:hint="default" w:ascii="Times New Roman" w:hAnsi="Times New Roman" w:cs="Times New Roman"/>
          <w:lang w:eastAsia="zh-CN"/>
        </w:rPr>
        <w:t>（责任单位：经济发展岗、各村社区）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4.</w:t>
      </w:r>
      <w:r>
        <w:rPr>
          <w:rFonts w:hint="default" w:ascii="Times New Roman" w:hAnsi="Times New Roman" w:cs="Times New Roman"/>
        </w:rPr>
        <w:t>推动老旧线路改造落地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对排查中发现的普遍性、区域性老旧电气线路隐患，由</w:t>
      </w:r>
      <w:r>
        <w:rPr>
          <w:rFonts w:hint="default" w:ascii="Times New Roman" w:hAnsi="Times New Roman" w:cs="Times New Roman"/>
          <w:lang w:eastAsia="zh-CN"/>
        </w:rPr>
        <w:t>镇经济发展岗</w:t>
      </w:r>
      <w:r>
        <w:rPr>
          <w:rFonts w:hint="default" w:ascii="Times New Roman" w:hAnsi="Times New Roman" w:cs="Times New Roman"/>
        </w:rPr>
        <w:t>梳理汇总，积极向区</w:t>
      </w:r>
      <w:r>
        <w:rPr>
          <w:rFonts w:hint="default" w:ascii="Times New Roman" w:hAnsi="Times New Roman" w:cs="Times New Roman"/>
          <w:lang w:eastAsia="zh-CN"/>
        </w:rPr>
        <w:t>级</w:t>
      </w:r>
      <w:r>
        <w:rPr>
          <w:rFonts w:hint="default" w:ascii="Times New Roman" w:hAnsi="Times New Roman" w:cs="Times New Roman"/>
        </w:rPr>
        <w:t>部门申报，争取</w:t>
      </w:r>
      <w:r>
        <w:rPr>
          <w:rFonts w:hint="default" w:ascii="Times New Roman" w:hAnsi="Times New Roman" w:cs="Times New Roman"/>
          <w:lang w:eastAsia="zh-CN"/>
        </w:rPr>
        <w:t>电气线路</w:t>
      </w:r>
      <w:r>
        <w:rPr>
          <w:rFonts w:hint="default" w:ascii="Times New Roman" w:hAnsi="Times New Roman" w:cs="Times New Roman"/>
        </w:rPr>
        <w:t>改造或专项维修计划，从源头消除隐患。</w:t>
      </w:r>
      <w:r>
        <w:rPr>
          <w:rFonts w:hint="default" w:ascii="Times New Roman" w:hAnsi="Times New Roman" w:cs="Times New Roman"/>
          <w:lang w:eastAsia="zh-CN"/>
        </w:rPr>
        <w:t>（责任单位：经济发展岗、各村社区）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5.</w:t>
      </w:r>
      <w:r>
        <w:rPr>
          <w:rFonts w:hint="default" w:ascii="Times New Roman" w:hAnsi="Times New Roman" w:cs="Times New Roman"/>
        </w:rPr>
        <w:t>加强用电安全宣传引导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组织基层力量，聚焦老旧小区以及“九小场所”，深入开展电气火灾隐患安全宣传，通过发放</w:t>
      </w:r>
      <w:r>
        <w:rPr>
          <w:rFonts w:hint="default" w:ascii="Times New Roman" w:hAnsi="Times New Roman" w:cs="Times New Roman"/>
          <w:lang w:eastAsia="zh-CN"/>
        </w:rPr>
        <w:t>宣传资料</w:t>
      </w:r>
      <w:r>
        <w:rPr>
          <w:rFonts w:hint="default" w:ascii="Times New Roman" w:hAnsi="Times New Roman" w:cs="Times New Roman"/>
        </w:rPr>
        <w:t>、案例讲解等方式，反复提醒、劝导群众不购买“三无”电器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不超负荷用电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离家时做到“人走电断”，全面提升居民的安全意识和自防自救能力，从源头上筑牢电气火灾防线。</w:t>
      </w:r>
      <w:r>
        <w:rPr>
          <w:rFonts w:hint="default" w:ascii="Times New Roman" w:hAnsi="Times New Roman" w:cs="Times New Roman"/>
          <w:lang w:eastAsia="zh-CN"/>
        </w:rPr>
        <w:t>（责任单位：经济发展岗、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安全应急岗</w:t>
      </w:r>
      <w:r>
        <w:rPr>
          <w:rFonts w:hint="default" w:ascii="Times New Roman" w:hAnsi="Times New Roman" w:cs="Times New Roman"/>
          <w:kern w:val="3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lang w:eastAsia="zh-CN"/>
        </w:rPr>
        <w:t>各村社区）</w:t>
      </w:r>
    </w:p>
    <w:p>
      <w:pPr>
        <w:pStyle w:val="5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（三）</w:t>
      </w:r>
      <w:r>
        <w:rPr>
          <w:rFonts w:hint="default" w:ascii="Times New Roman" w:hAnsi="Times New Roman" w:cs="Times New Roman"/>
        </w:rPr>
        <w:t>严格各类用火行为安全管控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6.</w:t>
      </w:r>
      <w:r>
        <w:rPr>
          <w:rFonts w:hint="default" w:ascii="Times New Roman" w:hAnsi="Times New Roman" w:cs="Times New Roman"/>
        </w:rPr>
        <w:t>聚焦</w:t>
      </w:r>
      <w:r>
        <w:rPr>
          <w:rFonts w:hint="default" w:ascii="Times New Roman" w:hAnsi="Times New Roman" w:cs="Times New Roman"/>
          <w:lang w:eastAsia="zh-CN"/>
        </w:rPr>
        <w:t>防范一氧化碳中毒。</w:t>
      </w:r>
      <w:r>
        <w:rPr>
          <w:rFonts w:hint="default" w:ascii="Times New Roman" w:hAnsi="Times New Roman" w:cs="Times New Roman"/>
        </w:rPr>
        <w:t>各</w:t>
      </w:r>
      <w:r>
        <w:rPr>
          <w:rFonts w:hint="default" w:ascii="Times New Roman" w:hAnsi="Times New Roman" w:cs="Times New Roman"/>
          <w:lang w:eastAsia="zh-CN"/>
        </w:rPr>
        <w:t>村（社区）</w:t>
      </w:r>
      <w:r>
        <w:rPr>
          <w:rFonts w:hint="default" w:ascii="Times New Roman" w:hAnsi="Times New Roman" w:cs="Times New Roman"/>
        </w:rPr>
        <w:t>在12月底前，对辖区内独居老人、留守儿童、残障人士</w:t>
      </w:r>
      <w:r>
        <w:rPr>
          <w:rFonts w:hint="default" w:ascii="Times New Roman" w:hAnsi="Times New Roman" w:cs="Times New Roman"/>
          <w:lang w:eastAsia="zh-CN"/>
        </w:rPr>
        <w:t>、失能老人等重点群体</w:t>
      </w:r>
      <w:r>
        <w:rPr>
          <w:rFonts w:hint="default" w:ascii="Times New Roman" w:hAnsi="Times New Roman" w:cs="Times New Roman"/>
        </w:rPr>
        <w:t>完成至少一次上门走访。面对面讲解安全取暖、防范一氧化碳中毒知识，检查取暖设备安全状况，鼓励更换淘汰不合格的“小太阳”、电热毯等产品。</w:t>
      </w:r>
      <w:r>
        <w:rPr>
          <w:rFonts w:hint="default" w:ascii="Times New Roman" w:hAnsi="Times New Roman" w:cs="Times New Roman"/>
          <w:lang w:eastAsia="zh-CN"/>
        </w:rPr>
        <w:t>持续</w:t>
      </w:r>
      <w:r>
        <w:rPr>
          <w:rFonts w:hint="default" w:ascii="Times New Roman" w:hAnsi="Times New Roman" w:cs="Times New Roman"/>
        </w:rPr>
        <w:t>推广安装</w:t>
      </w:r>
      <w:r>
        <w:rPr>
          <w:rFonts w:hint="default" w:ascii="Times New Roman" w:hAnsi="Times New Roman" w:cs="Times New Roman"/>
          <w:lang w:eastAsia="zh-CN"/>
        </w:rPr>
        <w:t>一氧化碳报警器</w:t>
      </w:r>
      <w:r>
        <w:rPr>
          <w:rFonts w:hint="default" w:ascii="Times New Roman" w:hAnsi="Times New Roman" w:cs="Times New Roman"/>
        </w:rPr>
        <w:t>。</w:t>
      </w:r>
      <w:r>
        <w:rPr>
          <w:rFonts w:hint="default" w:ascii="Times New Roman" w:hAnsi="Times New Roman" w:cs="Times New Roman"/>
          <w:lang w:eastAsia="zh-CN"/>
        </w:rPr>
        <w:t>（责任单位：安全应急岗、各村社区）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7.</w:t>
      </w:r>
      <w:r>
        <w:rPr>
          <w:rFonts w:hint="default" w:ascii="Times New Roman" w:hAnsi="Times New Roman" w:cs="Times New Roman"/>
        </w:rPr>
        <w:t>强化</w:t>
      </w:r>
      <w:r>
        <w:rPr>
          <w:rFonts w:hint="default" w:ascii="Times New Roman" w:hAnsi="Times New Roman" w:cs="Times New Roman"/>
          <w:lang w:eastAsia="zh-CN"/>
        </w:rPr>
        <w:t>野外</w:t>
      </w:r>
      <w:r>
        <w:rPr>
          <w:rFonts w:hint="default" w:ascii="Times New Roman" w:hAnsi="Times New Roman" w:cs="Times New Roman"/>
        </w:rPr>
        <w:t>用火巡查劝导</w:t>
      </w:r>
      <w:r>
        <w:rPr>
          <w:rFonts w:hint="default" w:ascii="Times New Roman" w:hAnsi="Times New Roman" w:cs="Times New Roman"/>
          <w:lang w:eastAsia="zh-CN"/>
        </w:rPr>
        <w:t>。发动巡逻</w:t>
      </w:r>
      <w:r>
        <w:rPr>
          <w:rFonts w:hint="default" w:ascii="Times New Roman" w:hAnsi="Times New Roman" w:cs="Times New Roman"/>
        </w:rPr>
        <w:t>劝导队，在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烧荒积肥</w:t>
      </w:r>
      <w:r>
        <w:rPr>
          <w:rFonts w:hint="default" w:ascii="Times New Roman" w:hAnsi="Times New Roman" w:cs="Times New Roman"/>
        </w:rPr>
        <w:t>、传统祭祀节日等重点时段，加强对闲置空地、田间地头</w:t>
      </w:r>
      <w:r>
        <w:rPr>
          <w:rFonts w:hint="default" w:ascii="Times New Roman" w:hAnsi="Times New Roman" w:cs="Times New Roman"/>
          <w:lang w:eastAsia="zh-CN"/>
        </w:rPr>
        <w:t>、墓区</w:t>
      </w:r>
      <w:r>
        <w:rPr>
          <w:rFonts w:hint="default" w:ascii="Times New Roman" w:hAnsi="Times New Roman" w:cs="Times New Roman"/>
        </w:rPr>
        <w:t>的巡逻，及时制止露天焚烧、烧荒等行为。</w:t>
      </w:r>
      <w:r>
        <w:rPr>
          <w:rFonts w:hint="default" w:ascii="Times New Roman" w:hAnsi="Times New Roman" w:cs="Times New Roman"/>
          <w:lang w:eastAsia="zh-CN"/>
        </w:rPr>
        <w:t>（责任单位：</w:t>
      </w:r>
      <w:r>
        <w:rPr>
          <w:rFonts w:hint="default" w:ascii="Times New Roman" w:hAnsi="Times New Roman" w:cs="Times New Roman"/>
          <w:lang w:val="en-US" w:eastAsia="zh-CN"/>
        </w:rPr>
        <w:t>产业发展服务中心</w:t>
      </w:r>
      <w:r>
        <w:rPr>
          <w:rFonts w:hint="default" w:ascii="Times New Roman" w:hAnsi="Times New Roman" w:cs="Times New Roman"/>
          <w:lang w:eastAsia="zh-CN"/>
        </w:rPr>
        <w:t>、各村社区）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jc w:val="both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8.</w:t>
      </w:r>
      <w:r>
        <w:rPr>
          <w:rFonts w:hint="default" w:ascii="Times New Roman" w:hAnsi="Times New Roman" w:cs="Times New Roman"/>
          <w:lang w:val="en-US" w:eastAsia="zh-CN"/>
        </w:rPr>
        <w:t>推广文明安全熏制。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针对群众冬季熏制腊肉的传统习俗，</w:t>
      </w:r>
      <w:r>
        <w:rPr>
          <w:rFonts w:hint="default" w:ascii="Times New Roman" w:hAnsi="Times New Roman" w:cs="Times New Roman"/>
          <w:lang w:eastAsia="zh-CN"/>
        </w:rPr>
        <w:t>各村（社区）要提醒群众合理设置熏制场所，与周边建筑、化粪池、电动自行车停放充电场所、燃气和电力设施、林草等保持安全距离，引导群众不在住宅小区、人员密集场所、“三合一”场所等区域搭棚熏烤，同时配备必要的消防器材，落实现场守护力量。（责任单位：各村社区）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9.</w:t>
      </w:r>
      <w:r>
        <w:rPr>
          <w:rFonts w:hint="default" w:ascii="Times New Roman" w:hAnsi="Times New Roman" w:cs="Times New Roman"/>
        </w:rPr>
        <w:t>规范烟花爆竹管理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积极配合</w:t>
      </w:r>
      <w:r>
        <w:rPr>
          <w:rFonts w:hint="default" w:ascii="Times New Roman" w:hAnsi="Times New Roman" w:cs="Times New Roman"/>
          <w:lang w:eastAsia="zh-CN"/>
        </w:rPr>
        <w:t>区级部门</w:t>
      </w:r>
      <w:r>
        <w:rPr>
          <w:rFonts w:hint="default" w:ascii="Times New Roman" w:hAnsi="Times New Roman" w:cs="Times New Roman"/>
        </w:rPr>
        <w:t>做好烟花爆竹</w:t>
      </w:r>
      <w:r>
        <w:rPr>
          <w:rFonts w:hint="default" w:ascii="Times New Roman" w:hAnsi="Times New Roman" w:cs="Times New Roman"/>
          <w:lang w:eastAsia="zh-CN"/>
        </w:rPr>
        <w:t>“打非治违”工作，强化</w:t>
      </w:r>
      <w:r>
        <w:rPr>
          <w:rFonts w:hint="default" w:ascii="Times New Roman" w:hAnsi="Times New Roman" w:cs="Times New Roman"/>
        </w:rPr>
        <w:t>零售点的安全巡查，严禁在禁放区域销售、燃放。组织各</w:t>
      </w:r>
      <w:r>
        <w:rPr>
          <w:rFonts w:hint="default" w:ascii="Times New Roman" w:hAnsi="Times New Roman" w:cs="Times New Roman"/>
          <w:lang w:eastAsia="zh-CN"/>
        </w:rPr>
        <w:t>村（社区）</w:t>
      </w:r>
      <w:r>
        <w:rPr>
          <w:rFonts w:hint="default" w:ascii="Times New Roman" w:hAnsi="Times New Roman" w:cs="Times New Roman"/>
        </w:rPr>
        <w:t>通过张贴禁放通告、悬挂宣传横幅、利用社区电子屏和居民微信群推送警示信息等多种形式，广泛宣传禁放政策，并</w:t>
      </w:r>
      <w:r>
        <w:rPr>
          <w:rFonts w:hint="default" w:ascii="Times New Roman" w:hAnsi="Times New Roman" w:cs="Times New Roman"/>
          <w:lang w:eastAsia="zh-CN"/>
        </w:rPr>
        <w:t>在除夕、大年十五等重点时间点组织开展禁放巡逻。（责任单位：安全应急岗、</w:t>
      </w:r>
      <w:r>
        <w:rPr>
          <w:rFonts w:hint="default" w:ascii="Times New Roman" w:hAnsi="Times New Roman" w:cs="Times New Roman"/>
          <w:lang w:val="en-US" w:eastAsia="zh-CN"/>
        </w:rPr>
        <w:t>维新警务室</w:t>
      </w:r>
      <w:r>
        <w:rPr>
          <w:rFonts w:hint="default" w:ascii="Times New Roman" w:hAnsi="Times New Roman" w:cs="Times New Roman"/>
          <w:lang w:eastAsia="zh-CN"/>
        </w:rPr>
        <w:t>、各村社区）</w:t>
      </w:r>
    </w:p>
    <w:p>
      <w:pPr>
        <w:pStyle w:val="5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（四）</w:t>
      </w:r>
      <w:r>
        <w:rPr>
          <w:rFonts w:hint="default" w:ascii="Times New Roman" w:hAnsi="Times New Roman" w:cs="Times New Roman"/>
        </w:rPr>
        <w:t>推进重点领域消防安全整治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相关板块、岗位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要紧盯电动自行车安全隐患全链条整治、人员密集场所动火作业和建筑保温材料专项整治22个方面49项任务，对照梳理、挂图作战，确保按期完成任务；要深入推进“生命通道”、厂房库房、电动两轮车停放充电场所等专项整治行动，持续加大排查整治力度，严防隐患问题反弹回潮</w:t>
      </w:r>
      <w:r>
        <w:rPr>
          <w:rFonts w:hint="default" w:ascii="Times New Roman" w:hAnsi="Times New Roman" w:cs="Times New Roman"/>
        </w:rPr>
        <w:t>。</w:t>
      </w:r>
      <w:r>
        <w:rPr>
          <w:rFonts w:hint="default" w:ascii="Times New Roman" w:hAnsi="Times New Roman" w:cs="Times New Roman"/>
          <w:lang w:eastAsia="zh-CN"/>
        </w:rPr>
        <w:t>（责任单位：安全应急岗、经济发展岗、各村社区）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11.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民政、卫生健康、教育、商务等部门要加大行业监管力度，紧盯养老机构、医院、学校和教培机构、商场市场等火灾高风险对象，组织开展排查检查，重点整治违规使用易燃可燃材料装饰装修、占堵疏散通道、损坏停用消防设施、违规设置防盗网等问题，督促火灾高危单位依法开展消防安全评估、消防设施检测，全面加强单位消防管理，严防火灾事故发生。</w:t>
      </w:r>
      <w:r>
        <w:rPr>
          <w:rFonts w:hint="default" w:ascii="Times New Roman" w:hAnsi="Times New Roman" w:cs="Times New Roman"/>
          <w:lang w:eastAsia="zh-CN"/>
        </w:rPr>
        <w:t>（责任单位：安全应急岗、经济发展岗、民政事务岗、文化服务中心、各村社区）</w:t>
      </w:r>
    </w:p>
    <w:p>
      <w:pPr>
        <w:pStyle w:val="5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（五）</w:t>
      </w:r>
      <w:r>
        <w:rPr>
          <w:rFonts w:hint="default" w:ascii="Times New Roman" w:hAnsi="Times New Roman" w:cs="Times New Roman"/>
        </w:rPr>
        <w:t>关注薄弱对象与“九小场所”监管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12.</w:t>
      </w:r>
      <w:r>
        <w:rPr>
          <w:rFonts w:hint="default" w:ascii="Times New Roman" w:hAnsi="Times New Roman" w:cs="Times New Roman"/>
        </w:rPr>
        <w:t>落实特殊群体关爱措施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建立由</w:t>
      </w:r>
      <w:r>
        <w:rPr>
          <w:rFonts w:hint="default" w:ascii="Times New Roman" w:hAnsi="Times New Roman" w:cs="Times New Roman"/>
          <w:lang w:eastAsia="zh-CN"/>
        </w:rPr>
        <w:t>村（社区）干部、</w:t>
      </w:r>
      <w:r>
        <w:rPr>
          <w:rFonts w:hint="default" w:ascii="Times New Roman" w:hAnsi="Times New Roman" w:cs="Times New Roman"/>
        </w:rPr>
        <w:t>网格员组成的“一对一”帮扶小组，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通过结对帮扶、敲门提示等形式，一对一开展帮扶服务，持续推广“独居老人安全守护”应用，推广安装独立式感烟探测器、可燃气体探测器等预警设施，防止“小火亡人”。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cs="Times New Roman"/>
          <w:lang w:eastAsia="zh-CN"/>
        </w:rPr>
        <w:t>责任单位：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各村社区）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13.</w:t>
      </w:r>
      <w:r>
        <w:rPr>
          <w:rFonts w:hint="default" w:ascii="Times New Roman" w:hAnsi="Times New Roman" w:cs="Times New Roman"/>
        </w:rPr>
        <w:t>加强“九小场所”常态化巡查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组织社区网格员、综治专干，对辖区内小商店、小餐馆、小作坊等“九小场所”</w:t>
      </w:r>
      <w:r>
        <w:rPr>
          <w:rFonts w:hint="default" w:ascii="Times New Roman" w:hAnsi="Times New Roman" w:cs="Times New Roman"/>
          <w:lang w:eastAsia="zh-CN"/>
        </w:rPr>
        <w:t>开展一次全覆盖巡查</w:t>
      </w:r>
      <w:r>
        <w:rPr>
          <w:rFonts w:hint="default" w:ascii="Times New Roman" w:hAnsi="Times New Roman" w:cs="Times New Roman"/>
        </w:rPr>
        <w:t>。重点检查防盗网是否开设逃生窗、消防器材是否配备有效、安全出口是否畅通、是否存在“三合一”现象等，并</w:t>
      </w:r>
      <w:r>
        <w:rPr>
          <w:rFonts w:hint="default" w:ascii="Times New Roman" w:hAnsi="Times New Roman" w:cs="Times New Roman"/>
          <w:lang w:eastAsia="zh-CN"/>
        </w:rPr>
        <w:t>详细记录</w:t>
      </w:r>
      <w:r>
        <w:rPr>
          <w:rFonts w:hint="default" w:ascii="Times New Roman" w:hAnsi="Times New Roman" w:cs="Times New Roman"/>
        </w:rPr>
        <w:t>《</w:t>
      </w:r>
      <w:r>
        <w:rPr>
          <w:rFonts w:hint="default" w:ascii="Times New Roman" w:hAnsi="Times New Roman" w:cs="Times New Roman"/>
          <w:lang w:val="en-US" w:eastAsia="zh-CN"/>
        </w:rPr>
        <w:t>维新镇冬春火灾防控“百日攻坚”行动</w:t>
      </w:r>
      <w:r>
        <w:rPr>
          <w:rFonts w:hint="default" w:ascii="Times New Roman" w:hAnsi="Times New Roman" w:cs="Times New Roman"/>
        </w:rPr>
        <w:t>检查记录》</w:t>
      </w:r>
      <w:r>
        <w:rPr>
          <w:rFonts w:hint="default" w:ascii="Times New Roman" w:hAnsi="Times New Roman" w:cs="Times New Roman"/>
          <w:lang w:eastAsia="zh-CN"/>
        </w:rPr>
        <w:t>（附件一）</w:t>
      </w:r>
      <w:r>
        <w:rPr>
          <w:rFonts w:hint="default" w:ascii="Times New Roman" w:hAnsi="Times New Roman" w:cs="Times New Roman"/>
        </w:rPr>
        <w:t>，督促经营者</w:t>
      </w:r>
      <w:r>
        <w:rPr>
          <w:rFonts w:hint="default" w:ascii="Times New Roman" w:hAnsi="Times New Roman" w:cs="Times New Roman"/>
          <w:lang w:eastAsia="zh-CN"/>
        </w:rPr>
        <w:t>按时整改</w:t>
      </w:r>
      <w:r>
        <w:rPr>
          <w:rFonts w:hint="default" w:ascii="Times New Roman" w:hAnsi="Times New Roman" w:cs="Times New Roman"/>
        </w:rPr>
        <w:t>。</w:t>
      </w:r>
      <w:r>
        <w:rPr>
          <w:rFonts w:hint="default" w:ascii="Times New Roman" w:hAnsi="Times New Roman" w:cs="Times New Roman"/>
          <w:lang w:eastAsia="zh-CN"/>
        </w:rPr>
        <w:t>（责任单位：安全应急岗、各村社区）</w:t>
      </w:r>
    </w:p>
    <w:p>
      <w:pPr>
        <w:pStyle w:val="5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（六）</w:t>
      </w:r>
      <w:r>
        <w:rPr>
          <w:rFonts w:hint="default" w:ascii="Times New Roman" w:hAnsi="Times New Roman" w:cs="Times New Roman"/>
        </w:rPr>
        <w:t>开展靶向精准消防宣传培训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14.</w:t>
      </w:r>
      <w:r>
        <w:rPr>
          <w:rFonts w:hint="default" w:ascii="Times New Roman" w:hAnsi="Times New Roman" w:cs="Times New Roman"/>
          <w:lang w:eastAsia="zh-CN"/>
        </w:rPr>
        <w:t>持续开展“消防宣传月”系列活动。</w:t>
      </w:r>
      <w:r>
        <w:rPr>
          <w:rFonts w:hint="default" w:ascii="Times New Roman" w:hAnsi="Times New Roman" w:cs="Times New Roman"/>
          <w:lang w:val="en-US" w:eastAsia="zh-CN"/>
        </w:rPr>
        <w:t>11月为</w:t>
      </w:r>
      <w:r>
        <w:rPr>
          <w:rFonts w:hint="default" w:ascii="Times New Roman" w:hAnsi="Times New Roman" w:cs="Times New Roman"/>
          <w:lang w:eastAsia="zh-CN"/>
        </w:rPr>
        <w:t>“消防宣传月”，围绕“全民消防，生命至上”主题，持续开展好消防安全“五进”工作，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要利用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LED屏、标语、横幅、海报等宣传媒介，广泛播发消防安全宣传资料，通过多种途径扩大影响力，大力营造浓厚氛围。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相关岗位要及时报送消防安全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方面的先进典型和经验做法，曝光火灾隐患和消防安全违法行为，引导各级落实消防安全责任</w:t>
      </w:r>
      <w:r>
        <w:rPr>
          <w:rFonts w:hint="default" w:ascii="Times New Roman" w:hAnsi="Times New Roman" w:cs="Times New Roman"/>
          <w:lang w:eastAsia="zh-CN"/>
        </w:rPr>
        <w:t>。（责任单位：安全应急岗、经济发展岗、民政事务岗、文化服务中心、各村社区）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15.</w:t>
      </w:r>
      <w:r>
        <w:rPr>
          <w:rFonts w:hint="default" w:ascii="Times New Roman" w:hAnsi="Times New Roman" w:cs="Times New Roman"/>
        </w:rPr>
        <w:t>深化“敲门行动”与实操培训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组织</w:t>
      </w:r>
      <w:r>
        <w:rPr>
          <w:rFonts w:hint="default" w:ascii="Times New Roman" w:hAnsi="Times New Roman" w:cs="Times New Roman"/>
          <w:lang w:eastAsia="zh-CN"/>
        </w:rPr>
        <w:t>镇</w:t>
      </w:r>
      <w:r>
        <w:rPr>
          <w:rFonts w:hint="default" w:ascii="Times New Roman" w:hAnsi="Times New Roman" w:cs="Times New Roman"/>
        </w:rPr>
        <w:t>干部、社区网格员、消防志愿者下沉网格，入户发放宣传资料，帮助查找家庭火灾隐患。</w:t>
      </w:r>
      <w:r>
        <w:rPr>
          <w:rFonts w:hint="default" w:ascii="Times New Roman" w:hAnsi="Times New Roman" w:cs="Times New Roman"/>
          <w:lang w:eastAsia="zh-CN"/>
        </w:rPr>
        <w:t>督导物业小区、商场超市、娱乐场所、养老服务机构等人员密集场所</w:t>
      </w:r>
      <w:r>
        <w:rPr>
          <w:rFonts w:hint="default" w:ascii="Times New Roman" w:hAnsi="Times New Roman" w:cs="Times New Roman"/>
        </w:rPr>
        <w:t>组织一次消防疏散演练和灭火器实操培训。</w:t>
      </w:r>
      <w:r>
        <w:rPr>
          <w:rFonts w:hint="default" w:ascii="Times New Roman" w:hAnsi="Times New Roman" w:cs="Times New Roman"/>
          <w:lang w:eastAsia="zh-CN"/>
        </w:rPr>
        <w:t>（责任单位：安全应急岗、经济发展岗、民政事务岗、文化服务中心、各村社区）</w:t>
      </w:r>
    </w:p>
    <w:p>
      <w:pPr>
        <w:pStyle w:val="5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（七）</w:t>
      </w:r>
      <w:r>
        <w:rPr>
          <w:rFonts w:hint="default" w:ascii="Times New Roman" w:hAnsi="Times New Roman" w:cs="Times New Roman"/>
        </w:rPr>
        <w:t>做实做细灭火救援应急准备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16.</w:t>
      </w:r>
      <w:r>
        <w:rPr>
          <w:rFonts w:hint="default" w:ascii="Times New Roman" w:hAnsi="Times New Roman" w:cs="Times New Roman"/>
        </w:rPr>
        <w:t>提升</w:t>
      </w:r>
      <w:r>
        <w:rPr>
          <w:rFonts w:hint="default" w:ascii="Times New Roman" w:hAnsi="Times New Roman" w:cs="Times New Roman"/>
          <w:lang w:eastAsia="zh-CN"/>
        </w:rPr>
        <w:t>消防站</w:t>
      </w:r>
      <w:r>
        <w:rPr>
          <w:rFonts w:hint="default" w:ascii="Times New Roman" w:hAnsi="Times New Roman" w:cs="Times New Roman"/>
        </w:rPr>
        <w:t>实战能力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将</w:t>
      </w:r>
      <w:r>
        <w:rPr>
          <w:rFonts w:hint="default" w:ascii="Times New Roman" w:hAnsi="Times New Roman" w:cs="Times New Roman"/>
          <w:lang w:eastAsia="zh-CN"/>
        </w:rPr>
        <w:t>专业应急救援维新镇大队、</w:t>
      </w:r>
      <w:r>
        <w:rPr>
          <w:rFonts w:hint="default" w:ascii="Times New Roman" w:hAnsi="Times New Roman" w:cs="Times New Roman"/>
          <w:lang w:val="en-US" w:eastAsia="zh-CN"/>
        </w:rPr>
        <w:t>维新</w:t>
      </w:r>
      <w:r>
        <w:rPr>
          <w:rFonts w:hint="default" w:ascii="Times New Roman" w:hAnsi="Times New Roman" w:cs="Times New Roman"/>
          <w:lang w:eastAsia="zh-CN"/>
        </w:rPr>
        <w:t>小型消防站、村（社区）</w:t>
      </w:r>
      <w:r>
        <w:rPr>
          <w:rFonts w:hint="default" w:ascii="Times New Roman" w:hAnsi="Times New Roman" w:cs="Times New Roman"/>
        </w:rPr>
        <w:t>微型消防站纳入统一调度体系。每</w:t>
      </w:r>
      <w:r>
        <w:rPr>
          <w:rFonts w:hint="default" w:ascii="Times New Roman" w:hAnsi="Times New Roman" w:cs="Times New Roman"/>
          <w:lang w:eastAsia="zh-CN"/>
        </w:rPr>
        <w:t>半年</w:t>
      </w:r>
      <w:r>
        <w:rPr>
          <w:rFonts w:hint="default" w:ascii="Times New Roman" w:hAnsi="Times New Roman" w:cs="Times New Roman"/>
        </w:rPr>
        <w:t>至少组织一次</w:t>
      </w:r>
      <w:r>
        <w:rPr>
          <w:rFonts w:hint="default" w:ascii="Times New Roman" w:hAnsi="Times New Roman" w:cs="Times New Roman"/>
          <w:lang w:eastAsia="zh-CN"/>
        </w:rPr>
        <w:t>消防应急</w:t>
      </w:r>
      <w:r>
        <w:rPr>
          <w:rFonts w:hint="default" w:ascii="Times New Roman" w:hAnsi="Times New Roman" w:cs="Times New Roman"/>
        </w:rPr>
        <w:t>演练，检验应急响应速度。</w:t>
      </w:r>
      <w:r>
        <w:rPr>
          <w:rFonts w:hint="default" w:ascii="Times New Roman" w:hAnsi="Times New Roman" w:cs="Times New Roman"/>
          <w:lang w:eastAsia="zh-CN"/>
        </w:rPr>
        <w:t>定期组织应急</w:t>
      </w:r>
      <w:r>
        <w:rPr>
          <w:rFonts w:hint="default" w:ascii="Times New Roman" w:hAnsi="Times New Roman" w:cs="Times New Roman"/>
        </w:rPr>
        <w:t>队员</w:t>
      </w:r>
      <w:r>
        <w:rPr>
          <w:rFonts w:hint="default" w:ascii="Times New Roman" w:hAnsi="Times New Roman" w:cs="Times New Roman"/>
          <w:lang w:eastAsia="zh-CN"/>
        </w:rPr>
        <w:t>学习消防安全知识技能</w:t>
      </w:r>
      <w:r>
        <w:rPr>
          <w:rFonts w:hint="default" w:ascii="Times New Roman" w:hAnsi="Times New Roman" w:cs="Times New Roman"/>
        </w:rPr>
        <w:t>，提升火灾扑救能力。</w:t>
      </w:r>
      <w:r>
        <w:rPr>
          <w:rFonts w:hint="default" w:ascii="Times New Roman" w:hAnsi="Times New Roman" w:cs="Times New Roman"/>
          <w:lang w:eastAsia="zh-CN"/>
        </w:rPr>
        <w:t>（责任单位：安全应急岗、各村社区）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18.</w:t>
      </w:r>
      <w:r>
        <w:rPr>
          <w:rFonts w:hint="default" w:ascii="Times New Roman" w:hAnsi="Times New Roman" w:cs="Times New Roman"/>
        </w:rPr>
        <w:t>强化节假日应急值守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在元旦、春节、元宵节等重点节日期间，执行“</w:t>
      </w:r>
      <w:r>
        <w:rPr>
          <w:rFonts w:hint="default" w:ascii="Times New Roman" w:hAnsi="Times New Roman" w:cs="Times New Roman"/>
          <w:lang w:eastAsia="zh-CN"/>
        </w:rPr>
        <w:t>镇</w:t>
      </w:r>
      <w:r>
        <w:rPr>
          <w:rFonts w:hint="default" w:ascii="Times New Roman" w:hAnsi="Times New Roman" w:cs="Times New Roman"/>
        </w:rPr>
        <w:t>领导带班、科室人员备勤、社区网格巡查、微站前置驻守”的四级响应机制。在重点节庆活动场所</w:t>
      </w:r>
      <w:r>
        <w:rPr>
          <w:rFonts w:hint="default" w:ascii="Times New Roman" w:hAnsi="Times New Roman" w:cs="Times New Roman"/>
          <w:lang w:eastAsia="zh-CN"/>
        </w:rPr>
        <w:t>开展巡逻巡查</w:t>
      </w:r>
      <w:r>
        <w:rPr>
          <w:rFonts w:hint="default" w:ascii="Times New Roman" w:hAnsi="Times New Roman" w:cs="Times New Roman"/>
        </w:rPr>
        <w:t>，确保</w:t>
      </w:r>
      <w:r>
        <w:rPr>
          <w:rFonts w:hint="default" w:ascii="Times New Roman" w:hAnsi="Times New Roman" w:cs="Times New Roman"/>
          <w:lang w:eastAsia="zh-CN"/>
        </w:rPr>
        <w:t>第一时间</w:t>
      </w:r>
      <w:r>
        <w:rPr>
          <w:rFonts w:hint="default" w:ascii="Times New Roman" w:hAnsi="Times New Roman" w:cs="Times New Roman"/>
        </w:rPr>
        <w:t>响应。</w:t>
      </w:r>
      <w:r>
        <w:rPr>
          <w:rFonts w:hint="default" w:ascii="Times New Roman" w:hAnsi="Times New Roman" w:cs="Times New Roman"/>
          <w:lang w:eastAsia="zh-CN"/>
        </w:rPr>
        <w:t>（责任单位：安全应急岗、各村社区）</w:t>
      </w:r>
    </w:p>
    <w:p>
      <w:pPr>
        <w:pStyle w:val="4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三、时间步骤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部署发动阶段（2025年11月30日前）：完成方案制定、机构成立、动员部署和任务分解。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</w:rPr>
        <w:t>组织实施阶段（2025年12月1日至2026年3月25日）：全面铺开各项排查整治、宣传教育和应急演练工作。</w:t>
      </w:r>
      <w:r>
        <w:rPr>
          <w:rFonts w:hint="default" w:ascii="Times New Roman" w:hAnsi="Times New Roman" w:cs="Times New Roman"/>
          <w:lang w:eastAsia="zh-CN"/>
        </w:rPr>
        <w:t>工作专班</w:t>
      </w:r>
      <w:r>
        <w:rPr>
          <w:rFonts w:hint="default" w:ascii="Times New Roman" w:hAnsi="Times New Roman" w:cs="Times New Roman"/>
        </w:rPr>
        <w:t>实行“每</w:t>
      </w:r>
      <w:r>
        <w:rPr>
          <w:rFonts w:hint="default" w:ascii="Times New Roman" w:hAnsi="Times New Roman" w:cs="Times New Roman"/>
          <w:lang w:eastAsia="zh-CN"/>
        </w:rPr>
        <w:t>月</w:t>
      </w:r>
      <w:r>
        <w:rPr>
          <w:rFonts w:hint="default" w:ascii="Times New Roman" w:hAnsi="Times New Roman" w:cs="Times New Roman"/>
        </w:rPr>
        <w:t>一汇总、每月一调度”，及时解决推进中的问题。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3.</w:t>
      </w:r>
      <w:r>
        <w:rPr>
          <w:rFonts w:hint="default" w:ascii="Times New Roman" w:hAnsi="Times New Roman" w:cs="Times New Roman"/>
        </w:rPr>
        <w:t>总结提升阶段（2026年3月26日至3月31日）：全面总结“百日攻坚”行动成效，梳理行之有效的经验做法，固化为</w:t>
      </w:r>
      <w:r>
        <w:rPr>
          <w:rFonts w:hint="default" w:ascii="Times New Roman" w:hAnsi="Times New Roman" w:cs="Times New Roman"/>
          <w:lang w:eastAsia="zh-CN"/>
        </w:rPr>
        <w:t>镇</w:t>
      </w:r>
      <w:r>
        <w:rPr>
          <w:rFonts w:hint="default" w:ascii="Times New Roman" w:hAnsi="Times New Roman" w:cs="Times New Roman"/>
        </w:rPr>
        <w:t>长效管理机制，并形成总结报告上报区消防安全专业委员会办公室。</w:t>
      </w:r>
    </w:p>
    <w:p>
      <w:pPr>
        <w:pStyle w:val="4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四、保障措施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（一）强化组织领导。</w:t>
      </w:r>
      <w:r>
        <w:rPr>
          <w:rFonts w:hint="default" w:ascii="Times New Roman" w:hAnsi="Times New Roman" w:cs="Times New Roman"/>
          <w:lang w:eastAsia="zh-CN"/>
        </w:rPr>
        <w:t>各板块、各岗位，</w:t>
      </w:r>
      <w:r>
        <w:rPr>
          <w:rFonts w:hint="default" w:ascii="Times New Roman" w:hAnsi="Times New Roman" w:cs="Times New Roman"/>
        </w:rPr>
        <w:t>各</w:t>
      </w:r>
      <w:r>
        <w:rPr>
          <w:rFonts w:hint="default" w:ascii="Times New Roman" w:hAnsi="Times New Roman" w:cs="Times New Roman"/>
          <w:lang w:eastAsia="zh-CN"/>
        </w:rPr>
        <w:t>村（社区）</w:t>
      </w:r>
      <w:r>
        <w:rPr>
          <w:rFonts w:hint="default" w:ascii="Times New Roman" w:hAnsi="Times New Roman" w:cs="Times New Roman"/>
        </w:rPr>
        <w:t>要坚决贯彻落实习近平总书记重要指示精神，</w:t>
      </w:r>
      <w:r>
        <w:rPr>
          <w:rFonts w:hint="default" w:ascii="Times New Roman" w:hAnsi="Times New Roman" w:cs="Times New Roman"/>
          <w:lang w:eastAsia="zh-CN"/>
        </w:rPr>
        <w:t>认真做好</w:t>
      </w:r>
      <w:r>
        <w:rPr>
          <w:rFonts w:hint="default" w:ascii="Times New Roman" w:hAnsi="Times New Roman" w:cs="Times New Roman"/>
        </w:rPr>
        <w:t>冬春火灾防控“百日攻坚”行动</w:t>
      </w:r>
      <w:r>
        <w:rPr>
          <w:rFonts w:hint="default" w:ascii="Times New Roman" w:hAnsi="Times New Roman" w:cs="Times New Roman"/>
          <w:lang w:eastAsia="zh-CN"/>
        </w:rPr>
        <w:t>工作</w:t>
      </w:r>
      <w:r>
        <w:rPr>
          <w:rFonts w:hint="default" w:ascii="Times New Roman" w:hAnsi="Times New Roman" w:cs="Times New Roman"/>
        </w:rPr>
        <w:t>，采取有效措施，</w:t>
      </w:r>
      <w:r>
        <w:rPr>
          <w:rFonts w:hint="default" w:ascii="Times New Roman" w:hAnsi="Times New Roman" w:cs="Times New Roman"/>
          <w:lang w:eastAsia="zh-CN"/>
        </w:rPr>
        <w:t>积极</w:t>
      </w:r>
      <w:r>
        <w:rPr>
          <w:rFonts w:hint="default" w:ascii="Times New Roman" w:hAnsi="Times New Roman" w:cs="Times New Roman"/>
        </w:rPr>
        <w:t>排查风险隐患，坚决遏制各类火灾事故多发连发势头，确保人民群众生命财产安全和社会大局稳定。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（二）强化统筹推进。</w:t>
      </w:r>
      <w:r>
        <w:rPr>
          <w:rFonts w:hint="default" w:ascii="Times New Roman" w:hAnsi="Times New Roman" w:cs="Times New Roman"/>
          <w:lang w:eastAsia="zh-CN"/>
        </w:rPr>
        <w:t>各板块、各岗位，</w:t>
      </w:r>
      <w:r>
        <w:rPr>
          <w:rFonts w:hint="default" w:ascii="Times New Roman" w:hAnsi="Times New Roman" w:cs="Times New Roman"/>
        </w:rPr>
        <w:t>各</w:t>
      </w:r>
      <w:r>
        <w:rPr>
          <w:rFonts w:hint="default" w:ascii="Times New Roman" w:hAnsi="Times New Roman" w:cs="Times New Roman"/>
          <w:lang w:eastAsia="zh-CN"/>
        </w:rPr>
        <w:t>村（社区）</w:t>
      </w:r>
      <w:r>
        <w:rPr>
          <w:rFonts w:hint="default" w:ascii="Times New Roman" w:hAnsi="Times New Roman" w:cs="Times New Roman"/>
        </w:rPr>
        <w:t>要将冬春火灾防控“百日攻坚”行动</w:t>
      </w:r>
      <w:r>
        <w:rPr>
          <w:rFonts w:hint="default" w:ascii="Times New Roman" w:hAnsi="Times New Roman" w:cs="Times New Roman"/>
          <w:lang w:eastAsia="zh-CN"/>
        </w:rPr>
        <w:t>工作</w:t>
      </w:r>
      <w:r>
        <w:rPr>
          <w:rFonts w:hint="default" w:ascii="Times New Roman" w:hAnsi="Times New Roman" w:cs="Times New Roman"/>
        </w:rPr>
        <w:t>与安全治本攻坚三年行动、</w:t>
      </w:r>
      <w:r>
        <w:rPr>
          <w:rFonts w:hint="default" w:ascii="Times New Roman" w:hAnsi="Times New Roman" w:cs="Times New Roman"/>
          <w:lang w:eastAsia="zh-CN"/>
        </w:rPr>
        <w:t>重大事故隐患排查</w:t>
      </w:r>
      <w:r>
        <w:rPr>
          <w:rFonts w:hint="default" w:ascii="Times New Roman" w:hAnsi="Times New Roman" w:cs="Times New Roman"/>
        </w:rPr>
        <w:t>等重点任务有效结合、同步推进，找准隐患问题集中的重点领域、敏感场所、薄弱环节，</w:t>
      </w:r>
      <w:r>
        <w:rPr>
          <w:rFonts w:hint="default" w:ascii="Times New Roman" w:hAnsi="Times New Roman" w:cs="Times New Roman"/>
          <w:lang w:eastAsia="zh-CN"/>
        </w:rPr>
        <w:t>确保隐患找得出、找得快</w:t>
      </w:r>
      <w:r>
        <w:rPr>
          <w:rFonts w:hint="default" w:ascii="Times New Roman" w:hAnsi="Times New Roman" w:cs="Times New Roman"/>
        </w:rPr>
        <w:t>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（三）强化追责问效。</w:t>
      </w:r>
      <w:r>
        <w:rPr>
          <w:rFonts w:hint="default" w:ascii="Times New Roman" w:hAnsi="Times New Roman" w:cs="Times New Roman"/>
          <w:lang w:eastAsia="zh-CN"/>
        </w:rPr>
        <w:t>镇安全应急岗</w:t>
      </w:r>
      <w:r>
        <w:rPr>
          <w:rFonts w:hint="default" w:ascii="Times New Roman" w:hAnsi="Times New Roman" w:cs="Times New Roman"/>
        </w:rPr>
        <w:t>将冬春火灾防控“百日攻坚”行动纳入日常督导检查内容，加强过程监管和责任追究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。行动期间，发生较大事故的，按程序启动责任倒查机制，依规依纪依法</w:t>
      </w:r>
      <w:r>
        <w:rPr>
          <w:rFonts w:hint="default" w:ascii="Times New Roman" w:hAnsi="Times New Roman" w:cs="Times New Roman"/>
          <w:lang w:val="en-US" w:eastAsia="zh-CN"/>
        </w:rPr>
        <w:t>严肃追究相关人员责任。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请相关岗位、</w:t>
      </w:r>
      <w:r>
        <w:rPr>
          <w:rFonts w:hint="default" w:ascii="Times New Roman" w:hAnsi="Times New Roman" w:cs="Times New Roman"/>
        </w:rPr>
        <w:t>各</w:t>
      </w:r>
      <w:r>
        <w:rPr>
          <w:rFonts w:hint="default" w:ascii="Times New Roman" w:hAnsi="Times New Roman" w:cs="Times New Roman"/>
          <w:lang w:eastAsia="zh-CN"/>
        </w:rPr>
        <w:t>村（社区）于每月</w:t>
      </w:r>
      <w:r>
        <w:rPr>
          <w:rFonts w:hint="default" w:ascii="Times New Roman" w:hAnsi="Times New Roman" w:cs="Times New Roman"/>
          <w:lang w:val="en-US" w:eastAsia="zh-CN"/>
        </w:rPr>
        <w:t>20日前报送《维新镇冬春火灾防控“百日攻坚”行动工作隐患台账》（附件二）至安全应急岗胡兴处</w:t>
      </w:r>
      <w:r>
        <w:rPr>
          <w:rFonts w:hint="default" w:ascii="Times New Roman" w:hAnsi="Times New Roman" w:cs="Times New Roman"/>
        </w:rPr>
        <w:t>。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附件：1.维新镇冬春火灾防控“百日攻坚”行动</w:t>
      </w:r>
      <w:r>
        <w:rPr>
          <w:rFonts w:hint="default" w:ascii="Times New Roman" w:hAnsi="Times New Roman" w:cs="Times New Roman"/>
          <w:lang w:eastAsia="zh-CN"/>
        </w:rPr>
        <w:t>检查记录</w:t>
      </w:r>
    </w:p>
    <w:p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ind w:left="320" w:leftChars="100" w:firstLine="1280" w:firstLineChars="4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2.维新镇冬春火灾防控“百日攻坚”行动工作隐患台账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0" w:lineRule="atLeas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1</w:t>
      </w:r>
    </w:p>
    <w:p>
      <w:pPr>
        <w:overflowPunct w:val="0"/>
        <w:adjustRightInd w:val="0"/>
        <w:snapToGrid w:val="0"/>
        <w:spacing w:line="0" w:lineRule="atLeas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  <w:t>维新镇冬春火灾防控“百日攻坚”行动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检查记录</w:t>
      </w:r>
    </w:p>
    <w:p>
      <w:pPr>
        <w:overflowPunct w:val="0"/>
        <w:adjustRightInd w:val="0"/>
        <w:snapToGrid w:val="0"/>
        <w:spacing w:line="340" w:lineRule="exact"/>
        <w:ind w:left="0" w:leftChars="0" w:right="-334" w:firstLine="0" w:firstLineChars="0"/>
        <w:rPr>
          <w:rFonts w:hint="default" w:ascii="Times New Roman" w:hAnsi="Times New Roman" w:eastAsia="方正楷体_GBK" w:cs="Times New Roman"/>
          <w:spacing w:val="4"/>
          <w:sz w:val="18"/>
          <w:szCs w:val="18"/>
        </w:rPr>
      </w:pPr>
      <w:r>
        <w:rPr>
          <w:rFonts w:hint="default" w:ascii="Times New Roman" w:hAnsi="Times New Roman" w:eastAsia="方正楷体_GBK" w:cs="Times New Roman"/>
          <w:spacing w:val="4"/>
          <w:sz w:val="28"/>
          <w:szCs w:val="28"/>
        </w:rPr>
        <w:t>检查单位：（盖章）</w:t>
      </w:r>
      <w:r>
        <w:rPr>
          <w:rFonts w:hint="default" w:ascii="Times New Roman" w:hAnsi="Times New Roman" w:eastAsia="方正楷体_GBK" w:cs="Times New Roman"/>
          <w:spacing w:val="4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楷体_GBK" w:cs="Times New Roman"/>
          <w:spacing w:val="4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楷体_GBK" w:cs="Times New Roman"/>
          <w:spacing w:val="4"/>
          <w:sz w:val="28"/>
          <w:szCs w:val="28"/>
        </w:rPr>
        <w:t>编号：〔202</w:t>
      </w:r>
      <w:r>
        <w:rPr>
          <w:rFonts w:hint="default" w:ascii="Times New Roman" w:hAnsi="Times New Roman" w:eastAsia="方正楷体_GBK" w:cs="Times New Roman"/>
          <w:spacing w:val="4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pacing w:val="4"/>
          <w:sz w:val="28"/>
          <w:szCs w:val="28"/>
        </w:rPr>
        <w:t>〕第</w:t>
      </w:r>
      <w:r>
        <w:rPr>
          <w:rFonts w:hint="default" w:ascii="Times New Roman" w:hAnsi="Times New Roman" w:eastAsia="方正楷体_GBK" w:cs="Times New Roman"/>
          <w:spacing w:val="4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楷体_GBK" w:cs="Times New Roman"/>
          <w:spacing w:val="4"/>
          <w:sz w:val="28"/>
          <w:szCs w:val="28"/>
        </w:rPr>
        <w:t>号</w:t>
      </w:r>
    </w:p>
    <w:tbl>
      <w:tblPr>
        <w:tblStyle w:val="11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53"/>
        <w:gridCol w:w="47"/>
        <w:gridCol w:w="1601"/>
        <w:gridCol w:w="119"/>
        <w:gridCol w:w="2203"/>
        <w:gridCol w:w="1620"/>
        <w:gridCol w:w="1800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被检查单位（场所）名称</w:t>
            </w: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责任人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    址</w:t>
            </w:r>
          </w:p>
        </w:tc>
        <w:tc>
          <w:tcPr>
            <w:tcW w:w="5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检查人员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（签名）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单位随同检查人员（签名）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检查日期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9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检查内容和情况记录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" w:hRule="atLeast"/>
          <w:jc w:val="center"/>
        </w:trPr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单位场所履行消防安全职责情况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消防管理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 是否存在住宿与生产、储存、经营一种或几种功能混合设置在同一连通空间内的情况           □是      □否     □不涉及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是否存在私拉乱接电气线路等违章用电现象  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建筑防火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消防车通道   □畅通    □堵塞   □占用    □不涉及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4. 疏散通道     □畅通    □堵塞   □锁闭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5. 安全出口     □畅通    □堵塞   □锁闭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6. 人员密集场所外墙门窗上是否设置影响逃生、灭火救援的障碍物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□是      □否     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消防设施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 室外消火栓是否被埋压、圈占、遮挡      □是    □否  □不涉及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 室内消火栓   □完好有效 □损坏或配件不齐□无水 □被遮挡、圈占  □不涉及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9. 灭火器是否完好有效     □是（压力表应指向绿色区域）□否  □未配置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10. 疏散指示标志□完好有效□损坏   □缺少  □不涉及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 应急照明    □完好有效□损坏   □缺少  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危险品管理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12. 是否存在违章电焊、气焊或在具有火灾、爆炸危险的场所吸烟、使用明火             □是      □否     □不涉及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13. 是否存在违反消防安全规定进入生产、储存易燃易爆危险品场所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□是      □否     □不涉及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 生产、储存、经营易燃易爆危险品的场所与居住场所是否设置在同一建筑物内         □是      □否     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6" w:hRule="atLeast"/>
          <w:jc w:val="center"/>
        </w:trPr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其他火灾隐患、消防安全违法行为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15.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6" w:hRule="atLeast"/>
          <w:jc w:val="center"/>
        </w:trPr>
        <w:tc>
          <w:tcPr>
            <w:tcW w:w="9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对以上第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条火灾隐患（违法行为），你单位（场所）应立即采取措施进行整改消除；在火灾隐患（违法行为）消除前，应采取确保消防安全、防止火灾发生的措施。对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条火灾隐患（违法行为）责令你于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日前整改完毕。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方正黑体_GBK" w:cs="Times New Roman"/>
        </w:rPr>
        <w:sectPr>
          <w:footerReference r:id="rId5" w:type="default"/>
          <w:pgSz w:w="11906" w:h="16838"/>
          <w:pgMar w:top="1984" w:right="1446" w:bottom="1644" w:left="1446" w:header="851" w:footer="1531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</w:t>
      </w:r>
    </w:p>
    <w:tbl>
      <w:tblPr>
        <w:tblStyle w:val="11"/>
        <w:tblpPr w:leftFromText="180" w:rightFromText="180" w:vertAnchor="text" w:horzAnchor="page" w:tblpX="1381" w:tblpY="117"/>
        <w:tblOverlap w:val="never"/>
        <w:tblW w:w="14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814"/>
        <w:gridCol w:w="1217"/>
        <w:gridCol w:w="1465"/>
        <w:gridCol w:w="1939"/>
        <w:gridCol w:w="924"/>
        <w:gridCol w:w="2391"/>
        <w:gridCol w:w="1737"/>
        <w:gridCol w:w="1556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86" w:hRule="atLeast"/>
        </w:trPr>
        <w:tc>
          <w:tcPr>
            <w:tcW w:w="1442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lang w:val="en-US" w:eastAsia="zh-CN" w:bidi="ar"/>
              </w:rPr>
              <w:t>维新镇</w:t>
            </w:r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冬春火灾防控“百日攻坚”行动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lang w:val="en-US" w:eastAsia="zh-CN" w:bidi="ar"/>
              </w:rPr>
              <w:t>工作隐患台账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6" w:hRule="atLeast"/>
        </w:trPr>
        <w:tc>
          <w:tcPr>
            <w:tcW w:w="14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（盖章）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：       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填报时间：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 xml:space="preserve">                 填报人：         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 xml:space="preserve">                 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 xml:space="preserve">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0"/>
                <w:szCs w:val="20"/>
              </w:rPr>
            </w:pPr>
            <w:r>
              <w:rPr>
                <w:rStyle w:val="1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                   时间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         领域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检查点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位名称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0"/>
                <w:szCs w:val="20"/>
              </w:rPr>
            </w:pPr>
            <w:r>
              <w:rPr>
                <w:rStyle w:val="1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问题描述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0"/>
                <w:szCs w:val="20"/>
              </w:rPr>
            </w:pPr>
            <w:r>
              <w:rPr>
                <w:rStyle w:val="1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是否重大隐患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0"/>
                <w:szCs w:val="20"/>
              </w:rPr>
            </w:pPr>
            <w:r>
              <w:rPr>
                <w:rStyle w:val="1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整改措施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                   时限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整改责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任单位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0"/>
                <w:szCs w:val="20"/>
              </w:rPr>
            </w:pPr>
            <w:r>
              <w:rPr>
                <w:rStyle w:val="17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是否完成整改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方正黑体_GBK" w:cs="Times New Roman"/>
        </w:rPr>
        <w:sectPr>
          <w:pgSz w:w="16838" w:h="11906" w:orient="landscape"/>
          <w:pgMar w:top="1587" w:right="1440" w:bottom="1474" w:left="1440" w:header="851" w:footer="1474" w:gutter="0"/>
          <w:pgNumType w:fmt="numberInDash"/>
          <w:cols w:space="720" w:num="1"/>
          <w:rtlGutter w:val="0"/>
          <w:docGrid w:type="lines" w:linePitch="591" w:charSpace="0"/>
        </w:sectPr>
      </w:pPr>
    </w:p>
    <w:p>
      <w:pPr>
        <w:ind w:left="0" w:leftChars="0" w:firstLine="0" w:firstLineChars="0"/>
        <w:rPr>
          <w:rFonts w:hint="default"/>
        </w:rPr>
      </w:pPr>
      <w:bookmarkStart w:id="2" w:name="_GoBack"/>
      <w:bookmarkEnd w:id="2"/>
    </w:p>
    <w:sectPr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fci wne:fciName="Wpsaigc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39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9.6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Q2OWUzODE5YzYxN2QwNzA1ZTg3Y2Y4MTU5OTMifQ=="/>
  </w:docVars>
  <w:rsids>
    <w:rsidRoot w:val="00000000"/>
    <w:rsid w:val="031C69F7"/>
    <w:rsid w:val="041F64DD"/>
    <w:rsid w:val="04261BBB"/>
    <w:rsid w:val="06A46153"/>
    <w:rsid w:val="070F1F08"/>
    <w:rsid w:val="0DE60F97"/>
    <w:rsid w:val="0F8E048E"/>
    <w:rsid w:val="144D7891"/>
    <w:rsid w:val="1469768A"/>
    <w:rsid w:val="160E37F9"/>
    <w:rsid w:val="18005D4F"/>
    <w:rsid w:val="18C141E8"/>
    <w:rsid w:val="198A4263"/>
    <w:rsid w:val="19C555EB"/>
    <w:rsid w:val="1A1D6E85"/>
    <w:rsid w:val="1FA354BF"/>
    <w:rsid w:val="200D79FA"/>
    <w:rsid w:val="210C1A01"/>
    <w:rsid w:val="219914E7"/>
    <w:rsid w:val="221136F9"/>
    <w:rsid w:val="265B4B11"/>
    <w:rsid w:val="293B2E83"/>
    <w:rsid w:val="2C697FAE"/>
    <w:rsid w:val="2F5A1165"/>
    <w:rsid w:val="302E0344"/>
    <w:rsid w:val="30765C00"/>
    <w:rsid w:val="320C7AB3"/>
    <w:rsid w:val="32C4038E"/>
    <w:rsid w:val="330B2CF7"/>
    <w:rsid w:val="333608BE"/>
    <w:rsid w:val="342E2D1F"/>
    <w:rsid w:val="357A11D7"/>
    <w:rsid w:val="381C0324"/>
    <w:rsid w:val="3AF70469"/>
    <w:rsid w:val="3B251BE5"/>
    <w:rsid w:val="3C2D6FAD"/>
    <w:rsid w:val="3C4165AB"/>
    <w:rsid w:val="3FCE63A8"/>
    <w:rsid w:val="4337061D"/>
    <w:rsid w:val="45413006"/>
    <w:rsid w:val="469F2F65"/>
    <w:rsid w:val="48427933"/>
    <w:rsid w:val="49B27967"/>
    <w:rsid w:val="49E8275C"/>
    <w:rsid w:val="55CF47D0"/>
    <w:rsid w:val="55FF3E23"/>
    <w:rsid w:val="59E2259A"/>
    <w:rsid w:val="5A4A16F4"/>
    <w:rsid w:val="5C25339C"/>
    <w:rsid w:val="5C917CF5"/>
    <w:rsid w:val="5D417C08"/>
    <w:rsid w:val="6A142691"/>
    <w:rsid w:val="6C6F3E6A"/>
    <w:rsid w:val="6F95A44F"/>
    <w:rsid w:val="70F112FE"/>
    <w:rsid w:val="72326EE0"/>
    <w:rsid w:val="73155AC0"/>
    <w:rsid w:val="73441F01"/>
    <w:rsid w:val="748D6E00"/>
    <w:rsid w:val="75274ED0"/>
    <w:rsid w:val="75F23E97"/>
    <w:rsid w:val="767769CA"/>
    <w:rsid w:val="7AF75AAB"/>
    <w:rsid w:val="7BDF5792"/>
    <w:rsid w:val="7C3C40BE"/>
    <w:rsid w:val="7ED20058"/>
    <w:rsid w:val="7F67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pacing w:line="594" w:lineRule="exact"/>
      <w:ind w:firstLine="880" w:firstLineChars="200"/>
      <w:jc w:val="both"/>
    </w:pPr>
    <w:rPr>
      <w:rFonts w:ascii="方正仿宋_GBK" w:hAnsi="方正仿宋_GBK" w:eastAsia="方正仿宋_GBK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4" w:lineRule="exac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default" w:ascii="宋体" w:hAnsi="宋体" w:eastAsia="方正楷体_GBK" w:cs="宋体"/>
      <w:bCs/>
      <w:sz w:val="32"/>
      <w:szCs w:val="27"/>
      <w:lang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6">
    <w:name w:val="Body Text"/>
    <w:basedOn w:val="1"/>
    <w:next w:val="1"/>
    <w:unhideWhenUsed/>
    <w:qFormat/>
    <w:uiPriority w:val="99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Message Header"/>
    <w:basedOn w:val="1"/>
    <w:next w:val="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1 Char"/>
    <w:link w:val="3"/>
    <w:qFormat/>
    <w:uiPriority w:val="0"/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character" w:customStyle="1" w:styleId="15">
    <w:name w:val="font6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8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51"/>
    <w:basedOn w:val="12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4346</Words>
  <Characters>4438</Characters>
  <Lines>0</Lines>
  <Paragraphs>0</Paragraphs>
  <TotalTime>9</TotalTime>
  <ScaleCrop>false</ScaleCrop>
  <LinksUpToDate>false</LinksUpToDate>
  <CharactersWithSpaces>4922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2024-03-25T19:54:00Z</dcterms:created>
  <dc:creator>Administrator</dc:creator>
  <cp:lastModifiedBy>Uos</cp:lastModifiedBy>
  <cp:lastPrinted>2025-12-01T11:08:00Z</cp:lastPrinted>
  <dcterms:modified xsi:type="dcterms:W3CDTF">2025-12-08T14:54:06Z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9B4CF04E80E1449E94A148E982F7B1CF_12</vt:lpwstr>
  </property>
  <property fmtid="{D5CDD505-2E9C-101B-9397-08002B2CF9AE}" pid="4" name="KSOTemplateDocerSaveRecord">
    <vt:lpwstr>eyJoZGlkIjoiYWJjZDY4MTAwNDg5MGY0MDJkYWEzMDU3ZmFiYjdmMWMiLCJ1c2VySWQiOiIxMTIxMTA2MDMzIn0=</vt:lpwstr>
  </property>
</Properties>
</file>