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铜梁区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维新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镇202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按照《预算法》要求，公开镇级“三公”经费预算。202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年镇级“三公”经费预算为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万元，严格落实了中央八项规定和政府过“紧日子”十条措施相关要求，严控“三公”经费支出预算。其中：因公出国（境）费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万元，公务接待费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万元，公务用车运行维护费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万元，公务用车购置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9"/>
        <w:tblW w:w="9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eastAsia="zh-CN"/>
              </w:rPr>
              <w:t>维新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</w:tbl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NTQ2OWUzODE5YzYxN2QwNzA1ZTg3Y2Y4MTU5OTMifQ=="/>
  </w:docVars>
  <w:rsids>
    <w:rsidRoot w:val="00000000"/>
    <w:rsid w:val="03D13A60"/>
    <w:rsid w:val="0E636B28"/>
    <w:rsid w:val="1DBA6A51"/>
    <w:rsid w:val="2A471A80"/>
    <w:rsid w:val="485F4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</Words>
  <Characters>239</Characters>
  <Lines>1</Lines>
  <Paragraphs>1</Paragraphs>
  <TotalTime>4</TotalTime>
  <ScaleCrop>false</ScaleCrop>
  <LinksUpToDate>false</LinksUpToDate>
  <CharactersWithSpaces>239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蔚然成风</cp:lastModifiedBy>
  <cp:lastPrinted>2022-02-11T06:55:00Z</cp:lastPrinted>
  <dcterms:modified xsi:type="dcterms:W3CDTF">2023-03-13T02:05:16Z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CCA84C5484BE421698852A782B4C2F43</vt:lpwstr>
  </property>
</Properties>
</file>