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维新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镇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lang w:eastAsia="zh-CN"/>
        </w:rPr>
        <w:t>20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年财政预算执行情况和202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年财政预算草案的报告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——202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日在重庆市铜梁区维新镇第二十届人民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代表大会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第三次会议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eastAsia="zh-CN"/>
        </w:rPr>
        <w:t>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各位代表：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受镇人民政府的委托，现向大会报告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维新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镇20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年财政预算执行情况和202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年财政预算草案，提请大会审查，并请列席人员提出意见。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20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年财政预算执行情况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年，在镇党委的正确领导下，在镇人大的监督支持下，镇政府及其财政部门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突出保障“三保”重点支出，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实施积极的财政政策，全面服务我镇建设的发展目标，克服各种困难，努力开拓创新，做到开源节流，落实科学理财，优化支出结构，为实现我镇经济社会发展提供持续稳健的财力保障。现将20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年预算执行情况报告如下：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2022年一般公共预算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执行情况</w:t>
      </w:r>
    </w:p>
    <w:tbl>
      <w:tblPr>
        <w:tblStyle w:val="8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740"/>
        <w:gridCol w:w="277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36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2022年维新镇一般公共预算收支执行表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righ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收入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执行数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支出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执行数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一般公共预算本级收入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47.03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一般公共预算本级支出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2194.95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上级补助收入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2,147.91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上解上级支出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托底保障补助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2,041.86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专项补助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106.05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社会保障和就业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27.41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交通运输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23.90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科学技术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农林水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44.74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其他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年终结余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动用预算稳定调节基金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0.01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其中：净结余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收 入 总 计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2194.95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both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支 出 总 计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2194.95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4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年一般公共预算本级收入实现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47.03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，其中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税收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完成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38.05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比上年减少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82.6%，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非税收入完成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0.68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，比上年增加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277%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上级补助收入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2147.91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，其中，托底保障补助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2041.86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，专项补助106.05万元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；动用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预算稳定调节基金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0.01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，补充预算稳定调节基金0万元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。一般公共预算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总收入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2194.95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一般公共预算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2194.95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万元，上解上级支出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万元，补充预算稳定调节基金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万元，一般公共预算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总支出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2194.95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般公共服务支出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776.55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——文化旅游体育与传媒支出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36.38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——社会保障和就业支出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319.27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卫生健康支出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91.47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节能环保支出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82.05万元。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农林水支出693.15万元。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交通运输支出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93.06万元。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——住房保障支出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46.57万元。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——灾害防治及应急管理支出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46.44万元。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科学技术支出10万元。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4" w:lineRule="exact"/>
        <w:ind w:right="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 （二）2022年政府性基金预算执行情况</w:t>
      </w:r>
    </w:p>
    <w:tbl>
      <w:tblPr>
        <w:tblStyle w:val="8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740"/>
        <w:gridCol w:w="277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2022年维新镇政府性基金预算收支执行表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jc w:val="righ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收入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执行数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支出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执行数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政府性基金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 xml:space="preserve">收入 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其他支出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上级补助收入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217.1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结算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补助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上解上级支出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 xml:space="preserve"> 专项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转移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补助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收入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217.1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  <w:t>调出资金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 xml:space="preserve">    其他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年终结余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收 入 总 计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217.1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  <w:t>支 出 总 计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217.1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4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2022年政府性基金预算收入0万元，其中上级补助收入217.1万元；2022年政府性基金预算总收入217.1万元。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2022年政府性基金预算支出217.1万元。其中：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其他地方自行试用点项目收益债券收入安排的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217.1万元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二、2022年财政工作开展情况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强化收入征管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，增强招商引税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一是加强税收收入的管理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税务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部门的联系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随时掌握税源情况以及纳税户的应缴未缴情况，加大欠税追收力度。二是加强非税收入的管理。根据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非税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的实际情况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组织非税收入入库，确保全年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非税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全部缴库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（二）严格控制财政支出。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一是严格按照财务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制度的要求管理各项支出。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二是树立过紧日子思想，严把预算支出关口，压减非刚性、非重点支出，取消不必要支出；三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是合理调度使用资金，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突出“三保”重点支出优先顺序，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管好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用好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财政资金。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方正楷体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（三）加强惠农资金的监管。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确保党和政府的惠农政策真正落到实处，把好事办好，实事办实，充分体现党和政府对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三农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的支持和关怀。一是重点监管项目，对项目建设的事前、事中、事后的每一个环节的监管。二是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重点监管资金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，严格支付手续审核，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通过一卡通发放至受益群众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（四）加强农村财务的管理。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按照农村财务管理办法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，规范农村财务行为。一是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针对各村组情况对村组财务进行了财务清理，对村组财务发现的问题进行财务规范。二是加强队伍力量，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明确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专人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具体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农村财务。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是根据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《重庆市铜梁区农业委员会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重庆市铜梁区财政局关于印发铜梁区村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（居）、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组集体经济组织财务管理指导意见的通知》（铜农委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〔2018〕96号）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文件要求，农村财务核算已全部纳入镇委托会计核算，对村社级财务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凭证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全部纳入镇委托管理。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是根据农委相关要求，开展新一轮五分之一村（社区）的农财审计工作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，本次审计新堰村、杨柳村，针对提出的审计问题落实专人进行了整改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Cs w:val="0"/>
          <w:color w:val="auto"/>
          <w:sz w:val="32"/>
          <w:szCs w:val="32"/>
          <w:lang w:val="en-US" w:eastAsia="zh-CN"/>
        </w:rPr>
        <w:t>2023年财政预算草案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2023年是全面贯彻落实党的二十大精神的开局之年，做好财政工作意义重大。综合分析全镇财政经济形势，现将预算编制草案报告如下：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坚持以习近平新时代中国特色社会主义思想为指引，全面贯彻落实党的二十大精神和中央经济工作会议精神，认真落实市委部署要求，坚持稳中求进工作总基调，完整、准确、全面贯彻新发展理念，努力实现稳进增效、除险清患、惠民有感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实现全镇经济社会和谐发展开好局、起好步。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一般公共预算收支情况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年，根据区级相关规定镇街实行托底保障支出模式，202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一般公共预算收入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预计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2283.85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财政拨款收入预计为2018.76万元，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镇级收入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55万元，其中税收收入预计50万元，非税收入预计5万元，上年结转结余为210.09万元。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具体安排如下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般公共服务支出预算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609.8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国防支出预算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文化旅游体育和传媒支出预算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——社会保障和就业支出预算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189.34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——卫生健康支出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68.86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节能环保支出预算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66.5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——城乡社区支出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——农林水支出预算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1086.79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——交通运输支出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45.5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——住房保障支出预算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67.24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24.83万元。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lang w:val="en-US" w:eastAsia="zh-CN"/>
        </w:rPr>
        <w:t>四、2023年财政工作重点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（一）坚持财源建设，扎实推进招商引税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坚持全区“一盘棋”思想，积极招引建筑业、第三产业服务业项目等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总部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经济落户维新，努力培植税源经济。加强税源调查分析，建立健全基础台账，进一步挖掘税收潜力。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（二）加强预算执行，建立绩效财政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推行经费支出精细化管理，细化预算项目支出，对财政资金投入工程项目及时介入内审和绩效评价，使财政资金真正在“阳光”下运行，充分发挥财政资金的作用，加强我镇的财务管理，规范资金审批制度。树立节俭意识，严格控制消费性支出，确保财政资金运行更加科学化、规范化和高效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（三）优化支出结构，保障民生改善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牢固树立“过紧日子”思想，强化预算执行；严格执行厉行节约规定，加强对“三公”经费的管理，压缩一般性支出。落实村级组织运转经费，支持农村基层组织建设。财政资金在确保用于工资发放、机构正常运转和社会安全、稳定支出之后，应进一步加大农业、教育、社会保障等事关经济社会发展的支出，同时再尽量多办一些事关人民群众生产生活的好事、实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（四）坚持依法理财，接受人大监督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贯彻《预算法》《重庆市预算审查监督条例》，严格按照人大批准的预算执行，执行中出现预算调整事项，严格履行预算调整程序。认真落实人大有关预算决算的决议。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各位代表！2023年，我们将在镇党委政府的坚强领导下，在镇人大的监督下，以习近平新时代中国特色社会主义思想为指引，把党中央各项决策部署全面落实在财政工作当中，为维新经济社会持续健康发展作出新的更大的贡献！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adjustRightInd/>
        <w:snapToGrid/>
        <w:spacing w:before="0" w:beforeAutospacing="0" w:after="0" w:afterAutospacing="0" w:line="594" w:lineRule="exact"/>
        <w:ind w:left="0" w:leftChars="0" w:right="0" w:firstLine="634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adjustRightInd/>
        <w:snapToGrid/>
        <w:spacing w:line="594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adjustRightInd/>
        <w:snapToGrid/>
        <w:spacing w:line="594" w:lineRule="exact"/>
        <w:ind w:left="0" w:leftChars="0" w:right="0"/>
        <w:jc w:val="right"/>
        <w:textAlignment w:val="auto"/>
        <w:outlineLvl w:val="9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7" w:h="16840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4"/>
                  <w:rPr>
                    <w:rStyle w:val="10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rStyle w:val="10"/>
                    <w:sz w:val="32"/>
                    <w:szCs w:val="32"/>
                  </w:rPr>
                  <w:instrText xml:space="preserve">PAGE 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rStyle w:val="10"/>
                    <w:sz w:val="32"/>
                    <w:szCs w:val="32"/>
                  </w:rPr>
                  <w:t>- 1 -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xNTQ2OWUzODE5YzYxN2QwNzA1ZTg3Y2Y4MTU5OTMifQ=="/>
  </w:docVars>
  <w:rsids>
    <w:rsidRoot w:val="00000000"/>
    <w:rsid w:val="018502B5"/>
    <w:rsid w:val="01E72C6C"/>
    <w:rsid w:val="03F62DA4"/>
    <w:rsid w:val="10E55348"/>
    <w:rsid w:val="11B04EDA"/>
    <w:rsid w:val="13385187"/>
    <w:rsid w:val="140C28EF"/>
    <w:rsid w:val="147731E6"/>
    <w:rsid w:val="152143B8"/>
    <w:rsid w:val="15A563D8"/>
    <w:rsid w:val="1796247C"/>
    <w:rsid w:val="1C1B332C"/>
    <w:rsid w:val="1DCB4E4A"/>
    <w:rsid w:val="214B5DBC"/>
    <w:rsid w:val="21820804"/>
    <w:rsid w:val="21EC14BA"/>
    <w:rsid w:val="22BE4F7D"/>
    <w:rsid w:val="22BE6D2B"/>
    <w:rsid w:val="24C20D54"/>
    <w:rsid w:val="25381017"/>
    <w:rsid w:val="25442FE0"/>
    <w:rsid w:val="25BC39F6"/>
    <w:rsid w:val="27C923FA"/>
    <w:rsid w:val="292F238F"/>
    <w:rsid w:val="2D742E08"/>
    <w:rsid w:val="379C7549"/>
    <w:rsid w:val="37D90437"/>
    <w:rsid w:val="3CCA47F2"/>
    <w:rsid w:val="3F756304"/>
    <w:rsid w:val="411E335F"/>
    <w:rsid w:val="41FD11C6"/>
    <w:rsid w:val="43601A0D"/>
    <w:rsid w:val="443B5FD6"/>
    <w:rsid w:val="464047A4"/>
    <w:rsid w:val="46BC4F00"/>
    <w:rsid w:val="47811F51"/>
    <w:rsid w:val="4AE747C1"/>
    <w:rsid w:val="4EB90223"/>
    <w:rsid w:val="4EBE4B2D"/>
    <w:rsid w:val="5186674D"/>
    <w:rsid w:val="51C21AE4"/>
    <w:rsid w:val="54257997"/>
    <w:rsid w:val="55A7727C"/>
    <w:rsid w:val="567B387F"/>
    <w:rsid w:val="567F6E75"/>
    <w:rsid w:val="58132694"/>
    <w:rsid w:val="5C620CA7"/>
    <w:rsid w:val="5CCB5CF1"/>
    <w:rsid w:val="5EA31A17"/>
    <w:rsid w:val="6400429D"/>
    <w:rsid w:val="65530F79"/>
    <w:rsid w:val="65A11CE5"/>
    <w:rsid w:val="664F27DA"/>
    <w:rsid w:val="6D5C2995"/>
    <w:rsid w:val="6D663E0B"/>
    <w:rsid w:val="6DE035C6"/>
    <w:rsid w:val="729606F7"/>
    <w:rsid w:val="736D6C6F"/>
    <w:rsid w:val="738B7B30"/>
    <w:rsid w:val="7476433D"/>
    <w:rsid w:val="76BB697E"/>
    <w:rsid w:val="78E3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center"/>
    </w:pPr>
    <w:rPr>
      <w:rFonts w:ascii="华文中宋" w:eastAsia="华文中宋" w:cs="Times New Roman"/>
      <w:sz w:val="36"/>
      <w:lang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4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UserStyle_0"/>
    <w:basedOn w:val="1"/>
    <w:qFormat/>
    <w:uiPriority w:val="0"/>
    <w:pPr>
      <w:ind w:firstLine="200" w:firstLineChars="200"/>
      <w:jc w:val="left"/>
      <w:textAlignment w:val="baseline"/>
    </w:pPr>
    <w:rPr>
      <w:rFonts w:eastAsia="仿宋_GB2312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2642</Words>
  <Characters>2989</Characters>
  <Lines>0</Lines>
  <Paragraphs>0</Paragraphs>
  <TotalTime>6</TotalTime>
  <ScaleCrop>false</ScaleCrop>
  <LinksUpToDate>false</LinksUpToDate>
  <CharactersWithSpaces>3077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2020-03-30T10:33:00Z</dcterms:created>
  <dc:creator>绿茵</dc:creator>
  <cp:lastModifiedBy>蔚然成风</cp:lastModifiedBy>
  <cp:lastPrinted>2023-03-13T02:03:00Z</cp:lastPrinted>
  <dcterms:modified xsi:type="dcterms:W3CDTF">2023-03-13T02:07:48Z</dcterms:modified>
  <dc:title>高楼镇2022年财政预算执行情况和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249041329_btnclosed</vt:lpwstr>
  </property>
  <property fmtid="{D5CDD505-2E9C-101B-9397-08002B2CF9AE}" pid="4" name="ICV">
    <vt:lpwstr>DCBACCD63BB140E4A4989040AC02F65D</vt:lpwstr>
  </property>
</Properties>
</file>