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lang w:eastAsia="zh-CN"/>
        </w:rPr>
        <w:t>重庆市铜梁区</w:t>
      </w:r>
      <w:r>
        <w:rPr>
          <w:rFonts w:hint="default" w:ascii="Times New Roman" w:hAnsi="Times New Roman" w:eastAsia="方正小标宋_GBK" w:cs="Times New Roman"/>
          <w:sz w:val="44"/>
          <w:lang w:val="en-US" w:eastAsia="zh-CN"/>
        </w:rPr>
        <w:t>维新</w:t>
      </w:r>
      <w:r>
        <w:rPr>
          <w:rFonts w:hint="default" w:ascii="Times New Roman" w:hAnsi="Times New Roman" w:eastAsia="方正小标宋_GBK" w:cs="Times New Roman"/>
          <w:sz w:val="44"/>
          <w:lang w:eastAsia="zh-CN"/>
        </w:rPr>
        <w:t>镇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sz w:val="44"/>
          <w:lang w:eastAsia="zh-CN"/>
        </w:rPr>
        <w:t>20</w:t>
      </w:r>
      <w:r>
        <w:rPr>
          <w:rFonts w:hint="default" w:ascii="Times New Roman" w:hAnsi="Times New Roman" w:eastAsia="方正小标宋_GBK" w:cs="Times New Roman"/>
          <w:sz w:val="44"/>
          <w:lang w:val="en-US" w:eastAsia="zh-CN"/>
        </w:rPr>
        <w:t>22</w:t>
      </w:r>
      <w:r>
        <w:rPr>
          <w:rFonts w:hint="default" w:ascii="Times New Roman" w:hAnsi="Times New Roman" w:eastAsia="方正小标宋_GBK" w:cs="Times New Roman"/>
          <w:sz w:val="44"/>
          <w:lang w:eastAsia="zh-CN"/>
        </w:rPr>
        <w:t>年财政预算执行情况和202</w:t>
      </w:r>
      <w:r>
        <w:rPr>
          <w:rFonts w:hint="default" w:ascii="Times New Roman" w:hAnsi="Times New Roman" w:eastAsia="方正小标宋_GBK" w:cs="Times New Roman"/>
          <w:sz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sz w:val="44"/>
          <w:lang w:eastAsia="zh-CN"/>
        </w:rPr>
        <w:t>年财政预算草案的报告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/>
        <w:jc w:val="center"/>
        <w:textAlignment w:val="auto"/>
        <w:rPr>
          <w:rFonts w:hint="default" w:ascii="Times New Roman" w:hAnsi="Times New Roman" w:eastAsia="方正仿宋_GBK" w:cs="Times New Roman"/>
          <w:kern w:val="0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28"/>
          <w:szCs w:val="28"/>
          <w:lang w:eastAsia="zh-CN"/>
        </w:rPr>
        <w:t>——202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  <w:lang w:eastAsia="zh-CN"/>
        </w:rPr>
        <w:t>年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  <w:lang w:eastAsia="zh-CN"/>
        </w:rPr>
        <w:t>月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  <w:lang w:eastAsia="zh-CN"/>
        </w:rPr>
        <w:t>日在重庆市铜梁区维新镇第二十届人民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13" w:afterLines="100" w:afterAutospacing="0" w:line="594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28"/>
          <w:szCs w:val="28"/>
          <w:lang w:eastAsia="zh-CN"/>
        </w:rPr>
        <w:t>代表大会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第三次会议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  <w:lang w:eastAsia="zh-CN"/>
        </w:rPr>
        <w:t>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/>
        <w:textAlignment w:val="auto"/>
        <w:outlineLvl w:val="9"/>
        <w:rPr>
          <w:rFonts w:hint="default" w:ascii="Times New Roman" w:hAnsi="Times New Roman" w:eastAsia="仿宋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各位代表：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受镇人民政府的委托，现向大会报告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维新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镇20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年财政预算执行情况和202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年财政预算草案，提请大会审查，并请列席人员提出意见。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20</w:t>
      </w:r>
      <w:r>
        <w:rPr>
          <w:rFonts w:hint="default" w:ascii="Times New Roman" w:hAnsi="Times New Roman" w:eastAsia="方正黑体_GBK" w:cs="Times New Roman"/>
          <w:bCs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年财政预算执行情况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年，在镇党委的正确领导下，在镇人大的监督支持下，镇政府及其财政部门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突出保障“三保”重点支出，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实施积极的财政政策，全面服务我镇建设的发展目标，克服各种困难，努力开拓创新，做到开源节流，落实科学理财，优化支出结构，为实现我镇经济社会发展提供持续稳健的财力保障。现将20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年预算执行情况报告如下：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94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2022年一般公共预算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执行情况</w:t>
      </w:r>
    </w:p>
    <w:tbl>
      <w:tblPr>
        <w:tblStyle w:val="8"/>
        <w:tblW w:w="93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1740"/>
        <w:gridCol w:w="2775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936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32"/>
                <w:lang w:val="en-US" w:eastAsia="zh-CN"/>
              </w:rPr>
              <w:t>2022年维新镇一般公共预算收支执行表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jc w:val="right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32"/>
                <w:lang w:val="en-US" w:eastAsia="zh-CN"/>
              </w:rPr>
              <w:t xml:space="preserve">                        </w:t>
            </w:r>
            <w:r>
              <w:rPr>
                <w:rFonts w:hint="default" w:ascii="Times New Roman" w:hAnsi="Times New Roman" w:eastAsia="方正楷体_GBK" w:cs="Times New Roman"/>
                <w:sz w:val="28"/>
                <w:szCs w:val="28"/>
                <w:lang w:val="en-US" w:eastAsia="zh-CN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eastAsia="zh-CN"/>
              </w:rPr>
              <w:t>收入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eastAsia="zh-CN"/>
              </w:rPr>
              <w:t>执行数</w:t>
            </w:r>
          </w:p>
        </w:tc>
        <w:tc>
          <w:tcPr>
            <w:tcW w:w="27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jc w:val="both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eastAsia="zh-CN"/>
              </w:rPr>
              <w:t>支出</w:t>
            </w: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eastAsia="zh-CN"/>
              </w:rPr>
              <w:t>执行数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  <w:t>一般公共预算本级收入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47.03</w:t>
            </w:r>
          </w:p>
        </w:tc>
        <w:tc>
          <w:tcPr>
            <w:tcW w:w="27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jc w:val="both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  <w:t>一般公共预算本级支出</w:t>
            </w: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2194.95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  <w:t>上级补助收入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2,147.91</w:t>
            </w:r>
          </w:p>
        </w:tc>
        <w:tc>
          <w:tcPr>
            <w:tcW w:w="27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jc w:val="both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  <w:t>上解上级支出</w:t>
            </w: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  <w:t>托底保障补助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2,041.86</w:t>
            </w:r>
          </w:p>
        </w:tc>
        <w:tc>
          <w:tcPr>
            <w:tcW w:w="27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jc w:val="both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  <w:t>专项补助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106.05</w:t>
            </w:r>
          </w:p>
        </w:tc>
        <w:tc>
          <w:tcPr>
            <w:tcW w:w="27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jc w:val="both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  <w:t>社会保障和就业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27.41</w:t>
            </w:r>
          </w:p>
        </w:tc>
        <w:tc>
          <w:tcPr>
            <w:tcW w:w="27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jc w:val="both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  <w:t>交通运输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23.90</w:t>
            </w:r>
          </w:p>
        </w:tc>
        <w:tc>
          <w:tcPr>
            <w:tcW w:w="27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jc w:val="both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科学技术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7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jc w:val="both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农林水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44.74</w:t>
            </w:r>
          </w:p>
        </w:tc>
        <w:tc>
          <w:tcPr>
            <w:tcW w:w="27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jc w:val="both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  <w:t>其他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7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jc w:val="both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  <w:t>年终结余</w:t>
            </w: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  <w:t>动用预算稳定调节基金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0.01</w:t>
            </w:r>
          </w:p>
        </w:tc>
        <w:tc>
          <w:tcPr>
            <w:tcW w:w="27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jc w:val="both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  <w:t>其中：净结余</w:t>
            </w: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jc w:val="left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  <w:t>收 入 总 计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2194.95</w:t>
            </w:r>
          </w:p>
        </w:tc>
        <w:tc>
          <w:tcPr>
            <w:tcW w:w="27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jc w:val="both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  <w:t>支 出 总 计</w:t>
            </w: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2194.95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94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年一般公共预算本级收入实现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47.03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万元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，其中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税收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收入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完成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38.05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万元，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比上年减少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82.6%，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非税收入完成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0.68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万元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，比上年增加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277%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上级补助收入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2147.91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万元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，其中，托底保障补助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2041.86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万元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，专项补助106.05万元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；动用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预算稳定调节基金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0.01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万元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，补充预算稳定调节基金0万元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。一般公共预算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总收入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2194.95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一般公共预算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支出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2194.95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万元，上解上级支出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万元，补充预算稳定调节基金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万元，一般公共预算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总支出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2194.95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万元。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其中：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——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般公共服务支出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776.55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万元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——文化旅游体育与传媒支出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36.38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万元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——社会保障和就业支出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319.27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万元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——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卫生健康支出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91.47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——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节能环保支出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82.05万元。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——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农林水支出693.15万元。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——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交通运输支出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93.06万元。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——住房保障支出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46.57万元。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——灾害防治及应急管理支出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46.44万元。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——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科学技术支出10万元。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94" w:lineRule="exact"/>
        <w:ind w:right="0"/>
        <w:jc w:val="both"/>
        <w:textAlignment w:val="auto"/>
        <w:outlineLvl w:val="9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 xml:space="preserve">   （二）2022年政府性基金预算执行情况</w:t>
      </w:r>
    </w:p>
    <w:tbl>
      <w:tblPr>
        <w:tblStyle w:val="8"/>
        <w:tblW w:w="93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1740"/>
        <w:gridCol w:w="2775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32"/>
                <w:lang w:val="en-US" w:eastAsia="zh-CN"/>
              </w:rPr>
              <w:t>2022年维新镇政府性基金预算收支执行表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jc w:val="right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32"/>
                <w:lang w:val="en-US" w:eastAsia="zh-CN"/>
              </w:rPr>
              <w:t xml:space="preserve">                        </w:t>
            </w:r>
            <w:r>
              <w:rPr>
                <w:rFonts w:hint="default" w:ascii="Times New Roman" w:hAnsi="Times New Roman" w:eastAsia="方正楷体_GBK" w:cs="Times New Roman"/>
                <w:sz w:val="28"/>
                <w:szCs w:val="28"/>
                <w:lang w:val="en-US" w:eastAsia="zh-CN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eastAsia="zh-CN"/>
              </w:rPr>
              <w:t>收入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eastAsia="zh-CN"/>
              </w:rPr>
              <w:t>执行数</w:t>
            </w:r>
          </w:p>
        </w:tc>
        <w:tc>
          <w:tcPr>
            <w:tcW w:w="27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eastAsia="zh-CN"/>
              </w:rPr>
              <w:t>支出</w:t>
            </w: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eastAsia="zh-CN"/>
              </w:rPr>
              <w:t>执行数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政府性基金</w:t>
            </w:r>
            <w:r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  <w:t xml:space="preserve">收入 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7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eastAsia="zh-CN"/>
              </w:rPr>
              <w:t>其他支出</w:t>
            </w: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217.1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  <w:t>上级补助收入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217.1</w:t>
            </w:r>
          </w:p>
        </w:tc>
        <w:tc>
          <w:tcPr>
            <w:tcW w:w="27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8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eastAsia="zh-CN"/>
              </w:rPr>
              <w:t>结算</w:t>
            </w:r>
            <w:r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  <w:t>补助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7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  <w:t>上解上级支出</w:t>
            </w: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  <w:t xml:space="preserve"> 专项</w:t>
            </w: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eastAsia="zh-CN"/>
              </w:rPr>
              <w:t>转移</w:t>
            </w:r>
            <w:r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  <w:t>补助</w:t>
            </w: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eastAsia="zh-CN"/>
              </w:rPr>
              <w:t>收入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217.1</w:t>
            </w:r>
          </w:p>
        </w:tc>
        <w:tc>
          <w:tcPr>
            <w:tcW w:w="27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eastAsia="zh-CN"/>
              </w:rPr>
              <w:t>调出资金</w:t>
            </w: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  <w:t xml:space="preserve">    其他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7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  <w:t>年终结余</w:t>
            </w: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  <w:t>收 入 总 计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217.1</w:t>
            </w:r>
          </w:p>
        </w:tc>
        <w:tc>
          <w:tcPr>
            <w:tcW w:w="27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  <w:t>支 出 总 计</w:t>
            </w: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217.1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94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 xml:space="preserve">    2022年政府性基金预算收入0万元，其中上级补助收入217.1万元；2022年政府性基金预算总收入217.1万元。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2022年政府性基金预算支出217.1万元。其中：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——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其他地方自行试用点项目收益债券收入安排的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支出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217.1万元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Cs w:val="0"/>
          <w:color w:val="auto"/>
          <w:sz w:val="32"/>
          <w:szCs w:val="32"/>
          <w:lang w:val="en-US" w:eastAsia="zh-CN"/>
        </w:rPr>
        <w:t>二、2022年财政工作开展情况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  <w:t>强化收入征管</w:t>
      </w: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  <w:lang w:eastAsia="zh-CN"/>
        </w:rPr>
        <w:t>，增强招商引税</w:t>
      </w: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一是加强税收收入的管理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加强同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税务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部门的联系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随时掌握税源情况以及纳税户的应缴未缴情况，加大欠税追收力度。二是加强非税收入的管理。根据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非税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收入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的实际情况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组织非税收入入库，确保全年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非税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收入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全部缴库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  <w:lang w:val="en-US" w:eastAsia="zh-CN"/>
        </w:rPr>
        <w:t>（二）严格控制财政支出。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一是严格按照财务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管理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制度的要求管理各项支出。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二是树立过紧日子思想，严把预算支出关口，压减非刚性、非重点支出，取消不必要支出；三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是合理调度使用资金，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突出“三保”重点支出优先顺序，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管好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用好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财政资金。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eastAsia="方正楷体_GBK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  <w:lang w:val="en-US" w:eastAsia="zh-CN"/>
        </w:rPr>
        <w:t>（三）加强惠农资金的监管。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确保党和政府的惠农政策真正落到实处，把好事办好，实事办实，充分体现党和政府对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三农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的支持和关怀。一是重点监管项目，对项目建设的事前、事中、事后的每一个环节的监管。二是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重点监管资金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，严格支付手续审核，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通过一卡通发放至受益群众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  <w:lang w:val="en-US" w:eastAsia="zh-CN"/>
        </w:rPr>
        <w:t>（四）加强农村财务的管理。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按照农村财务管理办法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，规范农村财务行为。一是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针对各村组情况对村组财务进行了财务清理，对村组财务发现的问题进行财务规范。二是加强队伍力量，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明确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专人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具体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审核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农村财务。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是根据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《重庆市铜梁区农业委员会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重庆市铜梁区财政局关于印发铜梁区村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（居）、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组集体经济组织财务管理指导意见的通知》（铜农委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〔2018〕96号）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文件要求，农村财务核算已全部纳入镇委托会计核算，对村社级财务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凭证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全部纳入镇委托管理。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是根据农委相关要求，开展新一轮五分之一村（社区）的农财审计工作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，本次审计新堰村、杨柳村，针对提出的审计问题落实专人进行了整改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方正黑体_GBK" w:cs="Times New Roman"/>
          <w:bCs w:val="0"/>
          <w:color w:val="auto"/>
          <w:sz w:val="32"/>
          <w:szCs w:val="32"/>
          <w:lang w:val="en-US" w:eastAsia="zh-CN"/>
        </w:rPr>
        <w:t>2023年财政预算草案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2023年是全面贯彻落实党的二十大精神的开局之年，做好财政工作意义重大。综合分析全镇财政经济形势，现将预算编制草案报告如下：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指导思想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坚持以习近平新时代中国特色社会主义思想为指引，全面贯彻落实党的二十大精神和中央经济工作会议精神，认真落实市委部署要求，坚持稳中求进工作总基调，完整、准确、全面贯彻新发展理念，努力实现稳进增效、除险清患、惠民有感，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实现全镇经济社会和谐发展开好局、起好步。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（二）202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年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一般公共预算收支情况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年，根据区级相关规定镇街实行托底保障支出模式，202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一般公共预算收入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预计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2283.85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万元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财政拨款收入预计为2018.76万元，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镇级收入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55万元，其中税收收入预计50万元，非税收入预计5万元，上年结转结余为210.09万元。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具体安排如下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——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般公共服务支出预算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609.8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——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国防支出预算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2万元。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——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文化旅游体育和传媒支出预算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——社会保障和就业支出预算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189.34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——卫生健康支出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预算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68.86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——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节能环保支出预算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66.5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万元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——城乡社区支出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预算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56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——农林水支出预算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1086.79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——交通运输支出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预算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45.5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——住房保障支出预算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67.24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——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其他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支出预算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24.83万元。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color w:val="000000"/>
          <w:sz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lang w:val="en-US" w:eastAsia="zh-CN"/>
        </w:rPr>
        <w:t>四、2023年财政工作重点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楷体_GBK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Cs/>
          <w:sz w:val="32"/>
          <w:szCs w:val="32"/>
          <w:lang w:val="en-US" w:eastAsia="zh-CN"/>
        </w:rPr>
        <w:t>（一）坚持财源建设，扎实推进招商引税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坚持全区“一盘棋”思想，积极招引建筑业、第三产业服务业项目等</w:t>
      </w:r>
      <w:r>
        <w:rPr>
          <w:rFonts w:hint="eastAsia" w:eastAsia="方正仿宋_GBK" w:cs="Times New Roman"/>
          <w:bCs/>
          <w:sz w:val="32"/>
          <w:szCs w:val="32"/>
          <w:lang w:val="en-US" w:eastAsia="zh-CN"/>
        </w:rPr>
        <w:t>总部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经济落户维新，努力培植税源经济。加强税源调查分析，建立健全基础台账，进一步挖掘税收潜力。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楷体_GBK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Cs/>
          <w:sz w:val="32"/>
          <w:szCs w:val="32"/>
          <w:lang w:val="en-US" w:eastAsia="zh-CN"/>
        </w:rPr>
        <w:t>（二）加强预算执行，建立绩效财政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推行经费支出精细化管理，细化预算项目支出，对财政资金投入工程项目及时介入内审和绩效评价，使财政资金真正在“阳光”下运行，充分发挥财政资金的作用，加强我镇的财务管理，规范资金审批制度。树立节俭意识，严格控制消费性支出，确保财政资金运行更加科学化、规范化和高效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楷体_GBK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Cs/>
          <w:sz w:val="32"/>
          <w:szCs w:val="32"/>
          <w:lang w:val="en-US" w:eastAsia="zh-CN"/>
        </w:rPr>
        <w:t>（三）优化支出结构，保障民生改善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牢固树立“过紧日子”思想，强化预算执行；严格执行厉行节约规定，加强对“三公”经费的管理，压缩一般性支出。落实村级组织运转经费，支持农村基层组织建设。财政资金在确保用于工资发放、机构正常运转和社会安全、稳定支出之后，应进一步加大农业、教育、社会保障等事关经济社会发展的支出，同时再尽量多办一些事关人民群众生产生活的好事、实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楷体_GBK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Cs/>
          <w:sz w:val="32"/>
          <w:szCs w:val="32"/>
          <w:lang w:val="en-US" w:eastAsia="zh-CN"/>
        </w:rPr>
        <w:t>（四）坚持依法理财，接受人大监督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贯彻《预算法》《重庆市预算审查监督条例》，严格按照人大批准的预算执行，执行中出现预算调整事项，严格履行预算调整程序。认真落实人大有关预算决算的决议。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各位代表！2023年，我们将在镇党委政府的坚强领导下，在镇人大的监督下，以习近平新时代中国特色社会主义思想为指引，把党中央各项决策部署全面落实在财政工作当中，为维新经济社会持续健康发展作出新的更大的贡献！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adjustRightInd/>
        <w:snapToGrid/>
        <w:spacing w:before="0" w:beforeAutospacing="0" w:after="0" w:afterAutospacing="0" w:line="594" w:lineRule="exact"/>
        <w:ind w:left="0" w:leftChars="0" w:right="0" w:firstLine="634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adjustRightInd/>
        <w:snapToGrid/>
        <w:spacing w:line="594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</w:rPr>
      </w:pPr>
    </w:p>
    <w:p>
      <w:pPr>
        <w:adjustRightInd/>
        <w:snapToGrid/>
        <w:spacing w:line="594" w:lineRule="exact"/>
        <w:ind w:left="0" w:leftChars="0" w:right="0"/>
        <w:jc w:val="right"/>
        <w:textAlignment w:val="auto"/>
        <w:outlineLvl w:val="9"/>
        <w:rPr>
          <w:rFonts w:hint="default" w:ascii="Times New Roman" w:hAnsi="Times New Roman" w:cs="Times New Roman"/>
        </w:rPr>
      </w:pPr>
    </w:p>
    <w:sectPr>
      <w:footerReference r:id="rId3" w:type="default"/>
      <w:footerReference r:id="rId4" w:type="even"/>
      <w:pgSz w:w="11907" w:h="16840"/>
      <w:pgMar w:top="1984" w:right="1446" w:bottom="1644" w:left="1446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rect id="文本框 1" o:spid="_x0000_s4097" o:spt="1" style="position:absolute;left:0pt;margin-top:0pt;height:144pt;width:144pt;mso-position-horizontal:outside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4"/>
                  <w:rPr>
                    <w:rStyle w:val="10"/>
                  </w:rPr>
                </w:pPr>
                <w:r>
                  <w:rPr>
                    <w:sz w:val="32"/>
                    <w:szCs w:val="32"/>
                  </w:rPr>
                  <w:fldChar w:fldCharType="begin"/>
                </w:r>
                <w:r>
                  <w:rPr>
                    <w:rStyle w:val="10"/>
                    <w:sz w:val="32"/>
                    <w:szCs w:val="32"/>
                  </w:rPr>
                  <w:instrText xml:space="preserve">PAGE  </w:instrText>
                </w:r>
                <w:r>
                  <w:rPr>
                    <w:sz w:val="32"/>
                    <w:szCs w:val="32"/>
                  </w:rPr>
                  <w:fldChar w:fldCharType="separate"/>
                </w:r>
                <w:r>
                  <w:rPr>
                    <w:rStyle w:val="10"/>
                    <w:sz w:val="32"/>
                    <w:szCs w:val="32"/>
                  </w:rPr>
                  <w:t>- 1 -</w:t>
                </w:r>
                <w:r>
                  <w:rPr>
                    <w:sz w:val="32"/>
                    <w:szCs w:val="32"/>
                  </w:rPr>
                  <w:fldChar w:fldCharType="end"/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mUxNTQ2OWUzODE5YzYxN2QwNzA1ZTg3Y2Y4MTU5OTMifQ=="/>
  </w:docVars>
  <w:rsids>
    <w:rsidRoot w:val="00000000"/>
    <w:rsid w:val="018502B5"/>
    <w:rsid w:val="01E72C6C"/>
    <w:rsid w:val="03F62DA4"/>
    <w:rsid w:val="10E55348"/>
    <w:rsid w:val="11B04EDA"/>
    <w:rsid w:val="13385187"/>
    <w:rsid w:val="140C28EF"/>
    <w:rsid w:val="147731E6"/>
    <w:rsid w:val="152143B8"/>
    <w:rsid w:val="15A563D8"/>
    <w:rsid w:val="1796247C"/>
    <w:rsid w:val="1C1B332C"/>
    <w:rsid w:val="1DCB4E4A"/>
    <w:rsid w:val="214B5DBC"/>
    <w:rsid w:val="21820804"/>
    <w:rsid w:val="21EC14BA"/>
    <w:rsid w:val="22BE4F7D"/>
    <w:rsid w:val="22BE6D2B"/>
    <w:rsid w:val="24C20D54"/>
    <w:rsid w:val="25381017"/>
    <w:rsid w:val="25442FE0"/>
    <w:rsid w:val="25BC39F6"/>
    <w:rsid w:val="27C923FA"/>
    <w:rsid w:val="292F238F"/>
    <w:rsid w:val="2D742E08"/>
    <w:rsid w:val="379C7549"/>
    <w:rsid w:val="37D90437"/>
    <w:rsid w:val="3CCA47F2"/>
    <w:rsid w:val="3F756304"/>
    <w:rsid w:val="411E335F"/>
    <w:rsid w:val="41FD11C6"/>
    <w:rsid w:val="43601A0D"/>
    <w:rsid w:val="443B5FD6"/>
    <w:rsid w:val="464047A4"/>
    <w:rsid w:val="46BC4F00"/>
    <w:rsid w:val="47811F51"/>
    <w:rsid w:val="4AE747C1"/>
    <w:rsid w:val="4EB90223"/>
    <w:rsid w:val="4EBE4B2D"/>
    <w:rsid w:val="5186674D"/>
    <w:rsid w:val="51C21AE4"/>
    <w:rsid w:val="54257997"/>
    <w:rsid w:val="55A7727C"/>
    <w:rsid w:val="567B387F"/>
    <w:rsid w:val="567F6E75"/>
    <w:rsid w:val="58132694"/>
    <w:rsid w:val="5C620CA7"/>
    <w:rsid w:val="5CCB5CF1"/>
    <w:rsid w:val="5EA31A17"/>
    <w:rsid w:val="6400429D"/>
    <w:rsid w:val="65530F79"/>
    <w:rsid w:val="65A11CE5"/>
    <w:rsid w:val="664F27DA"/>
    <w:rsid w:val="6D5C2995"/>
    <w:rsid w:val="6D663E0B"/>
    <w:rsid w:val="6DE035C6"/>
    <w:rsid w:val="729606F7"/>
    <w:rsid w:val="736D6C6F"/>
    <w:rsid w:val="738B7B30"/>
    <w:rsid w:val="7476433D"/>
    <w:rsid w:val="76BB697E"/>
    <w:rsid w:val="78E34B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jc w:val="center"/>
    </w:pPr>
    <w:rPr>
      <w:rFonts w:ascii="华文中宋" w:eastAsia="华文中宋" w:cs="Times New Roman"/>
      <w:sz w:val="36"/>
      <w:lang w:bidi="ar-SA"/>
    </w:rPr>
  </w:style>
  <w:style w:type="paragraph" w:styleId="4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索引 51"/>
    <w:basedOn w:val="1"/>
    <w:next w:val="1"/>
    <w:qFormat/>
    <w:uiPriority w:val="0"/>
    <w:pPr>
      <w:ind w:left="1680"/>
    </w:pPr>
    <w:rPr>
      <w:rFonts w:ascii="Calibri" w:hAnsi="Calibri" w:eastAsia="宋体" w:cs="Times New Roman"/>
      <w:szCs w:val="24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UserStyle_0"/>
    <w:basedOn w:val="1"/>
    <w:qFormat/>
    <w:uiPriority w:val="0"/>
    <w:pPr>
      <w:ind w:firstLine="200" w:firstLineChars="200"/>
      <w:jc w:val="left"/>
      <w:textAlignment w:val="baseline"/>
    </w:pPr>
    <w:rPr>
      <w:rFonts w:eastAsia="仿宋_GB2312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2642</Words>
  <Characters>2989</Characters>
  <Lines>0</Lines>
  <Paragraphs>0</Paragraphs>
  <TotalTime>6</TotalTime>
  <ScaleCrop>false</ScaleCrop>
  <LinksUpToDate>false</LinksUpToDate>
  <CharactersWithSpaces>3077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2020-03-30T10:33:00Z</dcterms:created>
  <dc:creator>绿茵</dc:creator>
  <cp:lastModifiedBy>蔚然成风</cp:lastModifiedBy>
  <cp:lastPrinted>2023-03-13T02:03:00Z</cp:lastPrinted>
  <dcterms:modified xsi:type="dcterms:W3CDTF">2023-03-13T02:07:48Z</dcterms:modified>
  <dc:title>高楼镇2022年财政预算执行情况和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249041329_btnclosed</vt:lpwstr>
  </property>
  <property fmtid="{D5CDD505-2E9C-101B-9397-08002B2CF9AE}" pid="4" name="ICV">
    <vt:lpwstr>DCBACCD63BB140E4A4989040AC02F65D</vt:lpwstr>
  </property>
</Properties>
</file>