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维新镇2021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三公经费预算为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较上年基本持平，严格落实了中央八项规定和政府过“紧日子”十条措施相关要求，严控“三公”经费支出预算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铜梁区维新镇2021年“三公”经费支出预算表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8F33869"/>
    <w:rsid w:val="64D176C3"/>
    <w:rsid w:val="681405D6"/>
    <w:rsid w:val="6D495973"/>
    <w:rsid w:val="757D004C"/>
    <w:rsid w:val="75B32328"/>
    <w:rsid w:val="78026832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2022-01-17T11:58:42Z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SaveFontToCloudKey">
    <vt:lpwstr>258778170_btnclosed</vt:lpwstr>
  </property>
</Properties>
</file>