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540" w:firstLineChars="200"/>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黑体" w:cs="黑体"/>
          <w:b w:val="0"/>
          <w:bCs w:val="0"/>
          <w:color w:val="auto"/>
          <w:sz w:val="32"/>
          <w:szCs w:val="32"/>
          <w:shd w:val="clear" w:color="auto" w:fill="FFFFFF"/>
        </w:rPr>
      </w:pPr>
      <w:r>
        <w:rPr>
          <w:rStyle w:val="7"/>
          <w:rFonts w:hint="eastAsia" w:ascii="方正黑体_GBK" w:hAnsi="方正黑体_GBK" w:eastAsia="方正黑体_GBK" w:cs="方正黑体_GBK"/>
          <w:b w:val="0"/>
          <w:bCs w:val="0"/>
          <w:color w:val="auto"/>
          <w:sz w:val="32"/>
          <w:szCs w:val="32"/>
          <w:shd w:val="clear" w:color="auto" w:fill="FFFFFF"/>
        </w:rPr>
        <w:t>一、</w:t>
      </w:r>
      <w:r>
        <w:rPr>
          <w:rStyle w:val="7"/>
          <w:rFonts w:hint="eastAsia" w:ascii="方正黑体_GBK" w:hAnsi="方正黑体_GBK" w:eastAsia="方正黑体_GBK" w:cs="方正黑体_GBK"/>
          <w:b w:val="0"/>
          <w:bCs w:val="0"/>
          <w:color w:val="auto"/>
          <w:sz w:val="32"/>
          <w:szCs w:val="32"/>
          <w:shd w:val="clear" w:color="auto" w:fill="FFFFFF"/>
          <w:lang w:eastAsia="zh-CN"/>
        </w:rPr>
        <w:t>单位</w:t>
      </w:r>
      <w:r>
        <w:rPr>
          <w:rStyle w:val="7"/>
          <w:rFonts w:hint="eastAsia" w:ascii="方正黑体_GBK" w:hAnsi="方正黑体_GBK"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主要职责任务是保障和改善村镇居住环境，促进乡村生态文明发展，加强农村、场镇建设管理和环境卫生管理，提供技术、管理、咨询服务，完成主管部门交办的其他任务。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default"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rPr>
        <w:t>重庆市铜梁区维新镇乡村</w:t>
      </w:r>
      <w:r>
        <w:rPr>
          <w:rFonts w:hint="eastAsia" w:ascii="Times New Roman" w:hAnsi="Times New Roman" w:eastAsia="方正仿宋_GBK" w:cs="方正仿宋_GBK"/>
          <w:b w:val="0"/>
          <w:bCs w:val="0"/>
          <w:color w:val="auto"/>
          <w:sz w:val="32"/>
          <w:szCs w:val="32"/>
          <w:lang w:eastAsia="zh-CN"/>
        </w:rPr>
        <w:t>生态治理</w:t>
      </w:r>
      <w:r>
        <w:rPr>
          <w:rFonts w:hint="eastAsia" w:ascii="Times New Roman" w:hAnsi="Times New Roman" w:eastAsia="方正仿宋_GBK" w:cs="方正仿宋_GBK"/>
          <w:b w:val="0"/>
          <w:bCs w:val="0"/>
          <w:color w:val="auto"/>
          <w:sz w:val="32"/>
          <w:szCs w:val="32"/>
        </w:rPr>
        <w:t>中心</w:t>
      </w:r>
      <w:r>
        <w:rPr>
          <w:rStyle w:val="7"/>
          <w:rFonts w:hint="eastAsia" w:ascii="Times New Roman" w:hAnsi="Times New Roman" w:eastAsia="方正仿宋_GBK" w:cs="方正仿宋_GBK"/>
          <w:b w:val="0"/>
          <w:bCs w:val="0"/>
          <w:color w:val="auto"/>
          <w:sz w:val="32"/>
          <w:szCs w:val="32"/>
          <w:shd w:val="clear" w:color="auto" w:fill="FFFFFF"/>
          <w:lang w:eastAsia="zh-CN"/>
        </w:rPr>
        <w:t>设主任</w:t>
      </w:r>
      <w:r>
        <w:rPr>
          <w:rStyle w:val="7"/>
          <w:rFonts w:hint="eastAsia" w:ascii="Times New Roman" w:hAnsi="Times New Roman" w:eastAsia="方正仿宋_GBK" w:cs="方正仿宋_GBK"/>
          <w:b w:val="0"/>
          <w:bCs w:val="0"/>
          <w:color w:val="auto"/>
          <w:sz w:val="32"/>
          <w:szCs w:val="32"/>
          <w:shd w:val="clear" w:color="auto" w:fill="FFFFFF"/>
          <w:lang w:val="en-US" w:eastAsia="zh-CN"/>
        </w:rPr>
        <w:t>1名，其宗旨是为乡村振兴工作提供服务保障。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val="0"/>
          <w:color w:val="auto"/>
          <w:sz w:val="32"/>
          <w:szCs w:val="32"/>
          <w:shd w:val="clear" w:color="auto" w:fill="FFFFFF"/>
        </w:rPr>
      </w:pPr>
      <w:r>
        <w:rPr>
          <w:rStyle w:val="7"/>
          <w:rFonts w:hint="eastAsia" w:ascii="方正黑体_GBK" w:hAnsi="方正黑体_GBK" w:eastAsia="方正黑体_GBK" w:cs="方正黑体_GBK"/>
          <w:b w:val="0"/>
          <w:bCs w:val="0"/>
          <w:color w:val="auto"/>
          <w:sz w:val="32"/>
          <w:szCs w:val="32"/>
          <w:shd w:val="clear" w:color="auto" w:fill="FFFFFF"/>
        </w:rPr>
        <w:t>二、</w:t>
      </w:r>
      <w:r>
        <w:rPr>
          <w:rStyle w:val="7"/>
          <w:rFonts w:hint="eastAsia" w:ascii="方正黑体_GBK" w:hAnsi="方正黑体_GBK" w:eastAsia="方正黑体_GBK" w:cs="方正黑体_GBK"/>
          <w:b w:val="0"/>
          <w:bCs w:val="0"/>
          <w:color w:val="auto"/>
          <w:sz w:val="32"/>
          <w:szCs w:val="32"/>
          <w:shd w:val="clear" w:color="auto" w:fill="FFFFFF"/>
          <w:lang w:eastAsia="zh-CN"/>
        </w:rPr>
        <w:t>单位</w:t>
      </w:r>
      <w:r>
        <w:rPr>
          <w:rStyle w:val="7"/>
          <w:rFonts w:hint="eastAsia" w:ascii="方正黑体_GBK" w:hAnsi="方正黑体_GBK" w:eastAsia="方正黑体_GBK" w:cs="方正黑体_GBK"/>
          <w:b w:val="0"/>
          <w:bCs w:val="0"/>
          <w:color w:val="auto"/>
          <w:sz w:val="32"/>
          <w:szCs w:val="32"/>
          <w:shd w:val="clear" w:color="auto" w:fill="FFFFFF"/>
        </w:rPr>
        <w:t>决算</w:t>
      </w:r>
      <w:r>
        <w:rPr>
          <w:rStyle w:val="7"/>
          <w:rFonts w:hint="eastAsia" w:ascii="方正黑体_GBK" w:hAnsi="方正黑体_GBK" w:eastAsia="方正黑体_GBK" w:cs="方正黑体_GBK"/>
          <w:b w:val="0"/>
          <w:bCs w:val="0"/>
          <w:color w:val="auto"/>
          <w:sz w:val="32"/>
          <w:szCs w:val="32"/>
          <w:shd w:val="clear" w:color="auto" w:fill="FFFFFF"/>
          <w:lang w:eastAsia="zh-CN"/>
        </w:rPr>
        <w:t>收支</w:t>
      </w:r>
      <w:r>
        <w:rPr>
          <w:rStyle w:val="7"/>
          <w:rFonts w:hint="eastAsia" w:ascii="方正黑体_GBK" w:hAnsi="方正黑体_GBK" w:eastAsia="方正黑体_GBK" w:cs="方正黑体_GBK"/>
          <w:b w:val="0"/>
          <w:bCs w:val="0"/>
          <w:color w:val="auto"/>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w:t>
      </w:r>
      <w:r>
        <w:rPr>
          <w:rStyle w:val="7"/>
          <w:rFonts w:hint="eastAsia" w:ascii="方正楷体_GBK" w:hAnsi="方正楷体_GBK" w:eastAsia="方正楷体_GBK" w:cs="方正楷体_GBK"/>
          <w:b w:val="0"/>
          <w:bCs w:val="0"/>
          <w:color w:val="auto"/>
          <w:sz w:val="32"/>
          <w:szCs w:val="32"/>
          <w:shd w:val="clear" w:color="auto" w:fill="FFFFFF"/>
          <w:lang w:val="en-US" w:eastAsia="zh-CN"/>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度收入总计62.81万元，支出总计</w:t>
      </w:r>
      <w:r>
        <w:rPr>
          <w:rFonts w:ascii="Times New Roman" w:hAnsi="Times New Roman" w:eastAsia="方正仿宋_GBK" w:cs="方正仿宋_GBK"/>
          <w:b w:val="0"/>
          <w:bCs w:val="0"/>
          <w:color w:val="auto"/>
          <w:sz w:val="32"/>
          <w:szCs w:val="32"/>
        </w:rPr>
        <w:t>62.81</w:t>
      </w:r>
      <w:r>
        <w:rPr>
          <w:rFonts w:ascii="Times New Roman" w:hAnsi="Times New Roman" w:eastAsia="方正仿宋_GBK" w:cs="方正仿宋_GBK"/>
          <w:b w:val="0"/>
          <w:bCs w:val="0"/>
          <w:color w:val="auto"/>
          <w:sz w:val="32"/>
          <w:szCs w:val="32"/>
          <w:shd w:val="clear" w:color="auto" w:fill="FFFFFF"/>
        </w:rPr>
        <w:t>万元。收、支与2023年度相比，增加62.81万元，增长100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度收入合计62.81万元，与2023年度相比，增加62.81万元，增长100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62.81</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62.81</w:t>
      </w:r>
      <w:r>
        <w:rPr>
          <w:rFonts w:ascii="Times New Roman" w:hAnsi="Times New Roman" w:eastAsia="方正仿宋_GBK" w:cs="方正仿宋_GBK"/>
          <w:b w:val="0"/>
          <w:bCs w:val="0"/>
          <w:color w:val="auto"/>
          <w:sz w:val="32"/>
          <w:szCs w:val="32"/>
          <w:shd w:val="clear" w:color="auto" w:fill="FFFFFF"/>
        </w:rPr>
        <w:t>万元，与2023年度相比，增加62.81万元，增长100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61.13</w:t>
      </w:r>
      <w:r>
        <w:rPr>
          <w:rFonts w:ascii="Times New Roman" w:hAnsi="Times New Roman" w:eastAsia="方正仿宋_GBK" w:cs="方正仿宋_GBK"/>
          <w:b w:val="0"/>
          <w:bCs w:val="0"/>
          <w:color w:val="auto"/>
          <w:sz w:val="32"/>
          <w:szCs w:val="32"/>
          <w:shd w:val="clear" w:color="auto" w:fill="FFFFFF"/>
        </w:rPr>
        <w:t>万元，占97.3%；项目支出</w:t>
      </w:r>
      <w:r>
        <w:rPr>
          <w:rFonts w:ascii="Times New Roman" w:hAnsi="Times New Roman" w:eastAsia="方正仿宋_GBK" w:cs="方正仿宋_GBK"/>
          <w:b w:val="0"/>
          <w:bCs w:val="0"/>
          <w:color w:val="auto"/>
          <w:sz w:val="32"/>
          <w:szCs w:val="32"/>
        </w:rPr>
        <w:t>1.68</w:t>
      </w:r>
      <w:r>
        <w:rPr>
          <w:rFonts w:ascii="Times New Roman" w:hAnsi="Times New Roman" w:eastAsia="方正仿宋_GBK" w:cs="方正仿宋_GBK"/>
          <w:b w:val="0"/>
          <w:bCs w:val="0"/>
          <w:color w:val="auto"/>
          <w:sz w:val="32"/>
          <w:szCs w:val="32"/>
          <w:shd w:val="clear" w:color="auto" w:fill="FFFFFF"/>
        </w:rPr>
        <w:t>万元，占2.</w:t>
      </w:r>
      <w:r>
        <w:rPr>
          <w:rFonts w:hint="eastAsia" w:ascii="Times New Roman" w:hAnsi="Times New Roman" w:eastAsia="方正仿宋_GBK" w:cs="方正仿宋_GBK"/>
          <w:b w:val="0"/>
          <w:bCs w:val="0"/>
          <w:color w:val="auto"/>
          <w:sz w:val="32"/>
          <w:szCs w:val="32"/>
          <w:shd w:val="clear" w:color="auto" w:fill="FFFFFF"/>
          <w:lang w:val="en-US" w:eastAsia="zh-CN"/>
        </w:rPr>
        <w:t>7</w:t>
      </w:r>
      <w:r>
        <w:rPr>
          <w:rFonts w:ascii="Times New Roman" w:hAnsi="Times New Roman" w:eastAsia="方正仿宋_GBK" w:cs="方正仿宋_GBK"/>
          <w:b w:val="0"/>
          <w:bCs w:val="0"/>
          <w:color w:val="auto"/>
          <w:sz w:val="32"/>
          <w:szCs w:val="32"/>
          <w:shd w:val="clear" w:color="auto" w:fill="FFFFFF"/>
        </w:rPr>
        <w:t>%；经营支出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度财政拨款收、支总计62.81万元。与202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62.81</w:t>
      </w:r>
      <w:r>
        <w:rPr>
          <w:rFonts w:ascii="Times New Roman" w:hAnsi="Times New Roman" w:eastAsia="方正仿宋_GBK" w:cs="方正仿宋_GBK"/>
          <w:b w:val="0"/>
          <w:bCs w:val="0"/>
          <w:color w:val="auto"/>
          <w:sz w:val="32"/>
          <w:szCs w:val="32"/>
          <w:shd w:val="clear" w:color="auto" w:fill="FFFFFF"/>
        </w:rPr>
        <w:t>万元，与2023年度相比，增加62.81万元，增长100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。较年初预算数减少7.94万元，下降11.2%。主要原因是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62.81</w:t>
      </w:r>
      <w:r>
        <w:rPr>
          <w:rFonts w:ascii="Times New Roman" w:hAnsi="Times New Roman" w:eastAsia="方正仿宋_GBK" w:cs="方正仿宋_GBK"/>
          <w:b w:val="0"/>
          <w:bCs w:val="0"/>
          <w:color w:val="auto"/>
          <w:sz w:val="32"/>
          <w:szCs w:val="32"/>
          <w:shd w:val="clear" w:color="auto" w:fill="FFFFFF"/>
        </w:rPr>
        <w:t>万元，与2023年度相比，增加62.81万元，增长100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。较年初预算数减少7.94万元，下降11.2%。主要原因是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highlight w:val="cyan"/>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（1）社会保障与就业支出</w:t>
      </w:r>
      <w:r>
        <w:rPr>
          <w:rFonts w:ascii="Times New Roman" w:hAnsi="Times New Roman" w:eastAsia="方正仿宋_GBK" w:cs="方正仿宋_GBK"/>
          <w:b w:val="0"/>
          <w:bCs w:val="0"/>
          <w:color w:val="auto"/>
          <w:sz w:val="32"/>
          <w:szCs w:val="32"/>
        </w:rPr>
        <w:t>5.59</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8.9</w:t>
      </w:r>
      <w:r>
        <w:rPr>
          <w:rFonts w:ascii="Times New Roman" w:hAnsi="Times New Roman" w:eastAsia="方正仿宋_GBK" w:cs="方正仿宋_GBK"/>
          <w:b w:val="0"/>
          <w:bCs w:val="0"/>
          <w:color w:val="auto"/>
          <w:sz w:val="32"/>
          <w:szCs w:val="32"/>
          <w:shd w:val="clear" w:color="auto" w:fill="FFFFFF"/>
        </w:rPr>
        <w:t>%，较年初预算数增加0.09万元，增长1.6%，主要原因是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2.94</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4.</w:t>
      </w:r>
      <w:r>
        <w:rPr>
          <w:rFonts w:hint="eastAsia" w:ascii="Times New Roman" w:hAnsi="Times New Roman" w:eastAsia="方正仿宋_GBK" w:cs="方正仿宋_GBK"/>
          <w:b w:val="0"/>
          <w:bCs w:val="0"/>
          <w:color w:val="auto"/>
          <w:sz w:val="32"/>
          <w:szCs w:val="32"/>
          <w:lang w:val="en-US" w:eastAsia="zh-CN"/>
        </w:rPr>
        <w:t>7</w:t>
      </w:r>
      <w:r>
        <w:rPr>
          <w:rFonts w:ascii="Times New Roman" w:hAnsi="Times New Roman" w:eastAsia="方正仿宋_GBK" w:cs="方正仿宋_GBK"/>
          <w:b w:val="0"/>
          <w:bCs w:val="0"/>
          <w:color w:val="auto"/>
          <w:sz w:val="32"/>
          <w:szCs w:val="32"/>
          <w:shd w:val="clear" w:color="auto" w:fill="FFFFFF"/>
        </w:rPr>
        <w:t>%，较年初预算数减少0.04万元，下降1.3%，主要原因是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）节能环保支出</w:t>
      </w:r>
      <w:r>
        <w:rPr>
          <w:rFonts w:ascii="Times New Roman" w:hAnsi="Times New Roman" w:eastAsia="方正仿宋_GBK" w:cs="方正仿宋_GBK"/>
          <w:b w:val="0"/>
          <w:bCs w:val="0"/>
          <w:color w:val="auto"/>
          <w:sz w:val="32"/>
          <w:szCs w:val="32"/>
        </w:rPr>
        <w:t>52.15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83.0</w:t>
      </w:r>
      <w:r>
        <w:rPr>
          <w:rFonts w:ascii="Times New Roman" w:hAnsi="Times New Roman" w:eastAsia="方正仿宋_GBK" w:cs="方正仿宋_GBK"/>
          <w:b w:val="0"/>
          <w:bCs w:val="0"/>
          <w:color w:val="auto"/>
          <w:sz w:val="32"/>
          <w:szCs w:val="32"/>
          <w:shd w:val="clear" w:color="auto" w:fill="FFFFFF"/>
        </w:rPr>
        <w:t>%，较年初预算数减少5.68万元，下降9.8%，主要原因是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4</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住房保障支出2.12</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3.</w:t>
      </w:r>
      <w:r>
        <w:rPr>
          <w:rFonts w:hint="eastAsia" w:ascii="Times New Roman" w:hAnsi="Times New Roman" w:eastAsia="方正仿宋_GBK" w:cs="方正仿宋_GBK"/>
          <w:b w:val="0"/>
          <w:bCs w:val="0"/>
          <w:color w:val="auto"/>
          <w:sz w:val="32"/>
          <w:szCs w:val="32"/>
          <w:lang w:val="en-US" w:eastAsia="zh-CN"/>
        </w:rPr>
        <w:t>4</w:t>
      </w:r>
      <w:r>
        <w:rPr>
          <w:rFonts w:ascii="Times New Roman" w:hAnsi="Times New Roman" w:eastAsia="方正仿宋_GBK" w:cs="方正仿宋_GBK"/>
          <w:b w:val="0"/>
          <w:bCs w:val="0"/>
          <w:color w:val="auto"/>
          <w:sz w:val="32"/>
          <w:szCs w:val="32"/>
          <w:shd w:val="clear" w:color="auto" w:fill="FFFFFF"/>
        </w:rPr>
        <w:t>%，较年初预算数减少0.63万元，下降22.9%，主要原因是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61.13</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54.66</w:t>
      </w:r>
      <w:r>
        <w:rPr>
          <w:rFonts w:ascii="Times New Roman" w:hAnsi="Times New Roman" w:eastAsia="方正仿宋_GBK" w:cs="方正仿宋_GBK"/>
          <w:b w:val="0"/>
          <w:bCs w:val="0"/>
          <w:color w:val="auto"/>
          <w:sz w:val="32"/>
          <w:szCs w:val="32"/>
          <w:shd w:val="clear" w:color="auto" w:fill="FFFFFF"/>
        </w:rPr>
        <w:t>万元，与2023年度相比，增加54.66万元，增长100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bookmarkStart w:id="0" w:name="_GoBack"/>
      <w:bookmarkEnd w:id="0"/>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6.46</w:t>
      </w:r>
      <w:r>
        <w:rPr>
          <w:rFonts w:ascii="Times New Roman" w:hAnsi="Times New Roman" w:eastAsia="方正仿宋_GBK" w:cs="方正仿宋_GBK"/>
          <w:b w:val="0"/>
          <w:bCs w:val="0"/>
          <w:color w:val="auto"/>
          <w:sz w:val="32"/>
          <w:szCs w:val="32"/>
          <w:shd w:val="clear" w:color="auto" w:fill="FFFFFF"/>
        </w:rPr>
        <w:t>万元，与2023年度相比，增加6.46万元，增长100.0%，主要原因是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度无政府性基金预算财政拨款收支。</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hint="eastAsia" w:ascii="方正黑体_GBK" w:hAnsi="方正黑体_GBK" w:eastAsia="方正黑体_GBK" w:cs="方正黑体_GBK"/>
          <w:b w:val="0"/>
          <w:bCs w:val="0"/>
          <w:color w:val="auto"/>
          <w:sz w:val="32"/>
          <w:szCs w:val="32"/>
          <w:shd w:val="clear" w:color="auto" w:fill="FFFFFF"/>
        </w:rPr>
        <w:t>三、</w:t>
      </w:r>
      <w:r>
        <w:rPr>
          <w:rStyle w:val="7"/>
          <w:rFonts w:hint="eastAsia" w:ascii="方正黑体_GBK" w:hAnsi="方正黑体_GBK" w:eastAsia="方正黑体_GBK" w:cs="方正黑体_GBK"/>
          <w:b w:val="0"/>
          <w:bCs w:val="0"/>
          <w:color w:val="auto"/>
          <w:sz w:val="32"/>
          <w:szCs w:val="32"/>
          <w:shd w:val="clear" w:color="auto" w:fill="FFFFFF"/>
          <w:lang w:eastAsia="zh-CN"/>
        </w:rPr>
        <w:t>财政拨款</w:t>
      </w:r>
      <w:r>
        <w:rPr>
          <w:rStyle w:val="7"/>
          <w:rFonts w:hint="eastAsia" w:ascii="方正黑体_GBK" w:hAnsi="方正黑体_GBK" w:eastAsia="方正黑体_GBK" w:cs="方正黑体_GBK"/>
          <w:b w:val="0"/>
          <w:bCs w:val="0"/>
          <w:color w:val="auto"/>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val="0"/>
          <w:color w:val="auto"/>
          <w:sz w:val="32"/>
          <w:szCs w:val="32"/>
          <w:shd w:val="clear" w:color="auto" w:fill="FFFFFF"/>
        </w:rPr>
      </w:pPr>
      <w:r>
        <w:rPr>
          <w:rStyle w:val="7"/>
          <w:rFonts w:hint="eastAsia" w:ascii="方正黑体_GBK" w:hAnsi="方正黑体_GBK" w:eastAsia="方正黑体_GBK" w:cs="方正黑体_GBK"/>
          <w:b w:val="0"/>
          <w:bCs w:val="0"/>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val="0"/>
          <w:color w:val="auto"/>
          <w:sz w:val="32"/>
          <w:szCs w:val="32"/>
          <w:shd w:val="clear" w:color="auto" w:fill="FFFFFF"/>
          <w:lang w:val="en-US" w:eastAsia="zh-CN" w:bidi="ar-SA"/>
        </w:rPr>
      </w:pPr>
      <w:r>
        <w:rPr>
          <w:rStyle w:val="7"/>
          <w:rFonts w:hint="eastAsia" w:ascii="方正黑体_GBK" w:hAnsi="方正黑体_GBK" w:eastAsia="方正黑体_GBK" w:cs="方正黑体_GBK"/>
          <w:b w:val="0"/>
          <w:bCs w:val="0"/>
          <w:color w:val="auto"/>
          <w:sz w:val="32"/>
          <w:szCs w:val="32"/>
          <w:shd w:val="clear" w:color="auto" w:fill="FFFFFF"/>
          <w:lang w:val="en-US" w:eastAsia="zh-CN" w:bidi="ar-SA"/>
        </w:rPr>
        <w:t>五、2024年度预算绩效管理情况说明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1.68</w:t>
      </w:r>
      <w:r>
        <w:rPr>
          <w:rFonts w:hint="eastAsia" w:ascii="Times New Roman" w:hAnsi="Times New Roman" w:eastAsia="方正仿宋_GBK" w:cs="方正仿宋_GBK"/>
          <w:b w:val="0"/>
          <w:bCs w:val="0"/>
          <w:color w:val="auto"/>
          <w:kern w:val="0"/>
          <w:sz w:val="32"/>
          <w:szCs w:val="32"/>
          <w:shd w:val="clear"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方正楷体_GBK" w:hAnsi="方正楷体_GBK" w:eastAsia="方正楷体_GBK" w:cs="方正楷体_GBK"/>
          <w:b w:val="0"/>
          <w:bCs w:val="0"/>
          <w:color w:val="auto"/>
          <w:sz w:val="32"/>
          <w:szCs w:val="32"/>
          <w:shd w:val="clear" w:color="auto" w:fill="FFFFFF"/>
        </w:rPr>
      </w:pPr>
      <w:r>
        <w:rPr>
          <w:rStyle w:val="7"/>
          <w:rFonts w:hint="eastAsia" w:ascii="方正楷体_GBK" w:hAnsi="方正楷体_GBK" w:eastAsia="方正楷体_GBK" w:cs="方正楷体_GBK"/>
          <w:b w:val="0"/>
          <w:bCs w:val="0"/>
          <w:color w:val="auto"/>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eastAsia="zh-CN"/>
        </w:rPr>
        <w:t>重庆市铜梁区维新镇乡村生态治理中心</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r>
        <w:rPr>
          <w:rFonts w:hint="eastAsia" w:ascii="Times New Roman" w:hAnsi="Times New Roman" w:eastAsia="方正仿宋_GBK" w:cs="方正仿宋_GBK"/>
          <w:b w:val="0"/>
          <w:bCs w:val="0"/>
          <w:color w:val="auto"/>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楷体_GBK" w:hAnsi="方正楷体_GBK" w:eastAsia="方正楷体_GBK" w:cs="方正楷体_GBK"/>
          <w:b w:val="0"/>
          <w:bCs w:val="0"/>
          <w:color w:val="auto"/>
          <w:sz w:val="32"/>
          <w:szCs w:val="32"/>
          <w:shd w:val="clear" w:color="auto" w:fill="FFFFFF"/>
          <w:lang w:val="en-US" w:eastAsia="zh-CN"/>
        </w:rPr>
      </w:pPr>
      <w:r>
        <w:rPr>
          <w:rStyle w:val="7"/>
          <w:rFonts w:hint="eastAsia" w:ascii="方正楷体_GBK" w:hAnsi="方正楷体_GBK" w:eastAsia="方正楷体_GBK" w:cs="方正楷体_GBK"/>
          <w:b w:val="0"/>
          <w:bCs w:val="0"/>
          <w:color w:val="auto"/>
          <w:sz w:val="32"/>
          <w:szCs w:val="32"/>
          <w:shd w:val="clear" w:color="auto" w:fill="FFFFFF"/>
          <w:lang w:val="en-US" w:eastAsia="zh-CN"/>
        </w:rPr>
        <w:t>（三）财政重点绩效评价情况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方正黑体_GBK" w:hAnsi="方正黑体_GBK"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val="0"/>
          <w:color w:val="auto"/>
          <w:sz w:val="32"/>
          <w:szCs w:val="32"/>
          <w:shd w:val="clear" w:color="auto" w:fill="FFFFFF"/>
          <w:lang w:val="en-US" w:eastAsia="zh-CN" w:bidi="ar-SA"/>
        </w:rPr>
      </w:pPr>
      <w:r>
        <w:rPr>
          <w:rStyle w:val="7"/>
          <w:rFonts w:hint="eastAsia" w:ascii="方正黑体_GBK" w:hAnsi="方正黑体_GBK" w:eastAsia="方正黑体_GBK" w:cs="方正黑体_GBK"/>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126133"/>
    <w:rsid w:val="075678DB"/>
    <w:rsid w:val="08051BCA"/>
    <w:rsid w:val="08887FC5"/>
    <w:rsid w:val="08B84F60"/>
    <w:rsid w:val="08BA052C"/>
    <w:rsid w:val="08BC164A"/>
    <w:rsid w:val="08DB07BA"/>
    <w:rsid w:val="098305D0"/>
    <w:rsid w:val="09B72B6E"/>
    <w:rsid w:val="0A3851D8"/>
    <w:rsid w:val="0A5C4B69"/>
    <w:rsid w:val="0AEC3BC7"/>
    <w:rsid w:val="0B156133"/>
    <w:rsid w:val="0B9335CE"/>
    <w:rsid w:val="0C607422"/>
    <w:rsid w:val="0C7927C4"/>
    <w:rsid w:val="0C9B098C"/>
    <w:rsid w:val="0D11728C"/>
    <w:rsid w:val="0D673E11"/>
    <w:rsid w:val="0DA816F2"/>
    <w:rsid w:val="0DB50EFE"/>
    <w:rsid w:val="0DDA54E4"/>
    <w:rsid w:val="0E3A5F83"/>
    <w:rsid w:val="0F0F6666"/>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E74543"/>
    <w:rsid w:val="15F43D2F"/>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4FF59CB"/>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F43C69"/>
    <w:rsid w:val="3337290D"/>
    <w:rsid w:val="34802AFF"/>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D92F45"/>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5C7FB7"/>
    <w:rsid w:val="5AE75037"/>
    <w:rsid w:val="5B58571C"/>
    <w:rsid w:val="5B8376C2"/>
    <w:rsid w:val="5B96133A"/>
    <w:rsid w:val="5C1336B7"/>
    <w:rsid w:val="5C263CE4"/>
    <w:rsid w:val="5C5D2777"/>
    <w:rsid w:val="5D290C69"/>
    <w:rsid w:val="5D537F41"/>
    <w:rsid w:val="5EFA176D"/>
    <w:rsid w:val="5EFC2DD6"/>
    <w:rsid w:val="5F0247F9"/>
    <w:rsid w:val="5F2D4A41"/>
    <w:rsid w:val="601C34ED"/>
    <w:rsid w:val="60A958A9"/>
    <w:rsid w:val="60D22ADB"/>
    <w:rsid w:val="61025A59"/>
    <w:rsid w:val="613D5BBC"/>
    <w:rsid w:val="614B7B86"/>
    <w:rsid w:val="61536C39"/>
    <w:rsid w:val="628230A6"/>
    <w:rsid w:val="62944DD7"/>
    <w:rsid w:val="62AB52B7"/>
    <w:rsid w:val="634D1435"/>
    <w:rsid w:val="63B63E54"/>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BD1B99"/>
    <w:rsid w:val="692172FD"/>
    <w:rsid w:val="6A3829EE"/>
    <w:rsid w:val="6B474EF5"/>
    <w:rsid w:val="6C350C0C"/>
    <w:rsid w:val="6C560CAE"/>
    <w:rsid w:val="6D0615E4"/>
    <w:rsid w:val="6D903FF5"/>
    <w:rsid w:val="6DA955B8"/>
    <w:rsid w:val="6DE346AB"/>
    <w:rsid w:val="6F273B18"/>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