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/>
        <w:jc w:val="center"/>
        <w:textAlignment w:val="auto"/>
        <w:rPr>
          <w:rStyle w:val="6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重庆市铜梁区维新镇人民政府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/>
        </w:rPr>
        <w:br w:type="textWrapping"/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sz w:val="44"/>
          <w:szCs w:val="44"/>
          <w:shd w:val="clear" w:color="auto" w:fill="FFFFFF"/>
          <w:lang w:eastAsia="zh-CN"/>
        </w:rPr>
        <w:t>年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  <w:t>“三公”经费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sz w:val="40"/>
          <w:szCs w:val="40"/>
          <w:lang w:eastAsia="zh-CN"/>
        </w:rPr>
        <w:t>决算汇总</w:t>
      </w:r>
      <w:r>
        <w:rPr>
          <w:rStyle w:val="6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  <w:t>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800" w:firstLineChars="200"/>
        <w:jc w:val="left"/>
        <w:textAlignment w:val="auto"/>
        <w:rPr>
          <w:rStyle w:val="6"/>
          <w:rFonts w:hint="eastAsia" w:ascii="Times New Roman" w:hAnsi="Times New Roman" w:eastAsia="方正小标宋_GBK" w:cs="方正小标宋_GBK"/>
          <w:b w:val="0"/>
          <w:bCs/>
          <w:sz w:val="40"/>
          <w:szCs w:val="4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一</w:t>
      </w: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“三公”经费支出总体情况说明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年度“三公”经费支出共计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万元，较年初预算数</w:t>
      </w:r>
      <w:r>
        <w:rPr>
          <w:rFonts w:ascii="Times New Roman" w:hAnsi="Times New Roman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主要原因是厉行节俭，严格控制“三公”经费使用。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较上年支出数减少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0.03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万元，下降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%，主要原因是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厉行节俭，缩减“三公”经费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二</w:t>
      </w: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“三公”经费分项支出情况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因公出国（境）费用0万元，费用支出较年初预算数增加0万元，较上年支出数增加0万元，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2024年度我单位无因公出国（境）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与上年度决算数持平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公务车购置费0万元，费用支出较年初预算数增加0万元，较上年支出数增加0万元，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2024年度我单位无公务车购置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与上年度决算数持平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公务车运行维护费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万元，主要用于机要文件交换、区内因公出行、各种业务检查、应急处突等工作所需车辆的燃料费、维修费、过桥过路费、洗车停车费、保险费等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费用支出较年初预算数</w:t>
      </w:r>
      <w:r>
        <w:rPr>
          <w:rFonts w:ascii="Times New Roman" w:hAnsi="Times New Roman" w:eastAsia="方正仿宋_GBK" w:cs="方正仿宋_GBK"/>
          <w:b w:val="0"/>
          <w:bCs w:val="0"/>
          <w:color w:val="auto"/>
          <w:sz w:val="32"/>
          <w:szCs w:val="32"/>
          <w:shd w:val="clear" w:color="auto" w:fill="FFFFFF"/>
        </w:rPr>
        <w:t>无增减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，较上年支出数减少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0.03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万元，下降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0.3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%，主要原因是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</w:rPr>
        <w:t>厉行节俭，严格控制“三公”经费使用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公务接待费0万元，费用支出较年初预算数增加0万元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较上年支出数增加0万元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2024年度我单位无公务接待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支出，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与上年度决算数持平。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left"/>
        <w:textAlignment w:val="auto"/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</w:pP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三</w:t>
      </w: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  <w:lang w:eastAsia="zh-CN"/>
        </w:rPr>
        <w:t>、</w:t>
      </w:r>
      <w:r>
        <w:rPr>
          <w:rStyle w:val="6"/>
          <w:rFonts w:hint="eastAsia" w:ascii="Times New Roman" w:hAnsi="Times New Roman" w:eastAsia="方正黑体_GBK" w:cs="方正黑体_GBK"/>
          <w:b w:val="0"/>
          <w:bCs/>
          <w:sz w:val="32"/>
          <w:szCs w:val="32"/>
        </w:rPr>
        <w:t>“三公”经费实物量情况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因公出国（境）共计0个团组，0人；公务用车购置0辆，公务车保有量为7辆；国内公务接待0批次0人，其中：国内外事接待0批次，0人；国（境）外公务接待0批次，0人。202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年本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人均接待费0元，车均购置费0万元，车均维护费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万元。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420" w:firstLineChars="200"/>
        <w:jc w:val="left"/>
        <w:textAlignment w:val="auto"/>
        <w:rPr>
          <w:rFonts w:ascii="Times New Roman" w:hAnsi="Times New Roma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D5F69"/>
    <w:rsid w:val="0959634A"/>
    <w:rsid w:val="0AC34C73"/>
    <w:rsid w:val="0BB1406C"/>
    <w:rsid w:val="1A971D1B"/>
    <w:rsid w:val="2FF519F3"/>
    <w:rsid w:val="44BD2AAC"/>
    <w:rsid w:val="525E4562"/>
    <w:rsid w:val="5820203B"/>
    <w:rsid w:val="6072723D"/>
    <w:rsid w:val="60913E6F"/>
    <w:rsid w:val="68140F36"/>
    <w:rsid w:val="6F765E2F"/>
    <w:rsid w:val="773FFB24"/>
    <w:rsid w:val="77D017BF"/>
    <w:rsid w:val="FCFF4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2023-10-17T14:28:00Z</dcterms:created>
  <dc:creator>czs</dc:creator>
  <cp:lastModifiedBy>壬湛崩簿巡</cp:lastModifiedBy>
  <cp:lastPrinted>2025-10-27T07:37:32Z</cp:lastPrinted>
  <dcterms:modified xsi:type="dcterms:W3CDTF">2025-10-27T07:38:01Z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4D60D10CBD91DB614FD92C6500561A54</vt:lpwstr>
  </property>
</Properties>
</file>