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420"/>
        <w:jc w:val="left"/>
        <w:rPr>
          <w:sz w:val="31"/>
          <w:szCs w:val="31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一、预算收支决算情况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  <w:rPr>
          <w:sz w:val="32"/>
          <w:szCs w:val="32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（一）一般公共预算收支情况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全镇本级一般公共预算收入实现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47.03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万元，为年初预算的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100.0%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，比上年减少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78.0%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，其中税收收入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38.05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82.0%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；非税收入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8.98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万元。加上托底保障补助、结算补助、专项转移支付补助、上年结转、动用预算稳定调节基金等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2,147.92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万元，收入总计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2,194.95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全镇本级一般公共预算支出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2,194.95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万元，为年初预算的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121.19%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，比上年减少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21.6%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。加上结转下年、安排预算稳定调节基金、上解上级支出等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2,194.95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万元，当年实现收支平衡。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政府性基金预算收支情况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全镇政府性基金收入上级补助收入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217.1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万元，加上上年结转收入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万元，收入总计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217.1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全镇政府性基金支出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217.1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万元。加上上解上级支出、调出资金、结转下年支出等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217.1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万元。当年实现收支平衡。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国有资本经营预算收支情况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我镇无国有资本经营预算收支。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</w:rPr>
        <w:t>二、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</w:rPr>
        <w:t>年地方财力及平衡情况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（一）一般公共预算财力及平衡情况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全镇一般公共预算财力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2,194.95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万元。由一般公共预算收入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47.03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万元，加上级补助收入、上年结余、动用预算稳定调节基金等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2,147.92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万元构成。支出总计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2,194.95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万元，由一般公共预算支出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2,194.95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万元，加上解支出、安排预算稳定调节基金、结转下年等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万元等构成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当年收支平衡。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（二）政府性基金预算财力及平衡情况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政府性基金财力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217.1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万元，由上级补助收入、上年结余等构成。支出总计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217.1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万元，由政府性基金支出、结转下年支出、上解上级支出、调出资金等构成，当年收支平衡。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（三）国有资本经营预算财力及平衡情况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我镇无国有资本经营预算及支出情况。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</w:rPr>
        <w:t>三、其他重点报告事项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（一）财政转移支付安排情况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年我镇收到上级转移支付补助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2,365.02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万元，其中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: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一般公共预算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2,147.92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万元，政府性基金预算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217.1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（二）政府债务限额、余额及变动情况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年，我镇无地方政府债务。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（三）预算绩效管理开展情况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预算绩效管理工作开展情况。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根据预算绩效管理要求，我单位对部门整体和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个项目开展了绩效自评，其中，以填报自评表形式开展自评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项，涉及资金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2412.04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万元。从评价情况来看，我单位预算绩效项目开展完成良好，保证了项目资金投入，绩效指标完成度高，服务对象满意度好。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绩效自评结果。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）绩效目标自评表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部门整体绩效自评表详见附件。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）项目绩效自评表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见附件。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绩效自评报告或案例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我单位未委托第三方开展绩效评价。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关于绩效自评结果的说明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我单位对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个项目进行绩效自评，其中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个已完成年度绩效目标，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个未完成年度绩效目标。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（四）重点绩效评价结果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本单位未开展重点绩效评价。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１.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重庆市铜梁区维新镇人民政府总决算公开报表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　　　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２.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重庆市铜梁区维新镇人民政府2022年度部门整体绩效自评表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　　　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３.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重庆市铜梁区维新镇人民政府2022年度二级项目绩效自评表</w:t>
      </w:r>
    </w:p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DE5MDI2ZWJkMzkwYzU2YjBiNmQ2MTE1MGMxODgifQ=="/>
  </w:docVars>
  <w:rsids>
    <w:rsidRoot w:val="00000000"/>
    <w:rsid w:val="0959634A"/>
    <w:rsid w:val="1A971D1B"/>
    <w:rsid w:val="476D11A4"/>
    <w:rsid w:val="5820203B"/>
    <w:rsid w:val="68140F36"/>
    <w:rsid w:val="6F765E2F"/>
    <w:rsid w:val="773FFB24"/>
    <w:rsid w:val="77D017BF"/>
    <w:rsid w:val="FAFFF532"/>
    <w:rsid w:val="FCFF4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2023-10-17T14:28:00Z</dcterms:created>
  <dc:creator>czs</dc:creator>
  <cp:lastModifiedBy>tlww</cp:lastModifiedBy>
  <dcterms:modified xsi:type="dcterms:W3CDTF">2023-10-31T16:03:47Z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4D60D10CBD91DB614FD92C6500561A54</vt:lpwstr>
  </property>
</Properties>
</file>