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40603">
      <w:pPr>
        <w:keepNext/>
        <w:keepLines/>
        <w:snapToGrid w:val="0"/>
        <w:spacing w:line="360" w:lineRule="auto"/>
        <w:jc w:val="center"/>
        <w:outlineLvl w:val="1"/>
        <w:rPr>
          <w:rFonts w:hint="eastAsia" w:ascii="华文中宋" w:hAnsi="华文中宋" w:eastAsia="华文中宋" w:cs="Microsoft Sans Serif"/>
          <w:b/>
          <w:bCs/>
          <w:color w:val="auto"/>
          <w:sz w:val="44"/>
          <w:szCs w:val="44"/>
          <w:highlight w:val="none"/>
          <w:lang w:val="zh-CN"/>
        </w:rPr>
      </w:pPr>
      <w:bookmarkStart w:id="0" w:name="_Toc303538975"/>
      <w:bookmarkEnd w:id="0"/>
      <w:bookmarkStart w:id="1" w:name="_Toc303538974"/>
      <w:bookmarkEnd w:id="1"/>
      <w:bookmarkStart w:id="2" w:name="_Toc303538972"/>
      <w:bookmarkEnd w:id="2"/>
      <w:bookmarkStart w:id="3" w:name="_Toc303538973"/>
      <w:bookmarkEnd w:id="3"/>
      <w:bookmarkStart w:id="4" w:name="_Toc303538976"/>
      <w:bookmarkEnd w:id="4"/>
      <w:bookmarkStart w:id="5" w:name="_Toc59810377"/>
      <w:bookmarkStart w:id="6" w:name="_Toc33183533"/>
      <w:bookmarkStart w:id="7" w:name="_Toc351203632"/>
      <w:bookmarkStart w:id="8" w:name="_Toc351203480"/>
      <w:bookmarkStart w:id="9" w:name="_Toc296890982"/>
      <w:bookmarkStart w:id="10" w:name="_Toc296503025"/>
      <w:r>
        <w:rPr>
          <w:rFonts w:hint="eastAsia" w:ascii="华文中宋" w:hAnsi="华文中宋" w:eastAsia="华文中宋" w:cs="Microsoft Sans Serif"/>
          <w:b/>
          <w:bCs/>
          <w:color w:val="auto"/>
          <w:sz w:val="44"/>
          <w:szCs w:val="44"/>
          <w:highlight w:val="none"/>
          <w:lang w:val="zh-CN"/>
        </w:rPr>
        <w:t xml:space="preserve">铜梁区维新镇2026年小型水利工程维修养护项目 </w:t>
      </w:r>
    </w:p>
    <w:p w14:paraId="18ADDCA8">
      <w:pPr>
        <w:keepNext/>
        <w:keepLines/>
        <w:snapToGrid w:val="0"/>
        <w:spacing w:line="360" w:lineRule="auto"/>
        <w:jc w:val="center"/>
        <w:outlineLvl w:val="1"/>
        <w:rPr>
          <w:rFonts w:hint="eastAsia" w:ascii="华文中宋" w:hAnsi="华文中宋" w:eastAsia="华文中宋" w:cs="Microsoft Sans Serif"/>
          <w:b/>
          <w:bCs/>
          <w:color w:val="auto"/>
          <w:sz w:val="44"/>
          <w:szCs w:val="44"/>
          <w:highlight w:val="none"/>
          <w:lang w:val="zh-CN"/>
        </w:rPr>
      </w:pPr>
      <w:r>
        <w:rPr>
          <w:rFonts w:hint="eastAsia" w:ascii="华文中宋" w:hAnsi="华文中宋" w:eastAsia="华文中宋" w:cs="Microsoft Sans Serif"/>
          <w:b/>
          <w:bCs/>
          <w:color w:val="auto"/>
          <w:sz w:val="44"/>
          <w:szCs w:val="44"/>
          <w:highlight w:val="none"/>
          <w:lang w:val="zh-CN"/>
        </w:rPr>
        <w:t>施工合同</w:t>
      </w:r>
    </w:p>
    <w:p w14:paraId="0F5325F2">
      <w:pPr>
        <w:keepNext/>
        <w:keepLines/>
        <w:snapToGrid w:val="0"/>
        <w:spacing w:line="360" w:lineRule="auto"/>
        <w:jc w:val="center"/>
        <w:outlineLvl w:val="1"/>
        <w:rPr>
          <w:rFonts w:ascii="华文中宋" w:hAnsi="华文中宋" w:eastAsia="华文中宋" w:cs="Microsoft Sans Serif"/>
          <w:bCs/>
          <w:color w:val="auto"/>
          <w:sz w:val="44"/>
          <w:szCs w:val="44"/>
          <w:highlight w:val="none"/>
          <w:lang w:val="zh-CN"/>
        </w:rPr>
      </w:pPr>
      <w:r>
        <w:rPr>
          <w:rFonts w:hint="eastAsia" w:ascii="华文中宋" w:hAnsi="华文中宋" w:eastAsia="华文中宋" w:cs="Microsoft Sans Serif"/>
          <w:b/>
          <w:bCs/>
          <w:color w:val="auto"/>
          <w:sz w:val="44"/>
          <w:szCs w:val="44"/>
          <w:highlight w:val="none"/>
          <w:lang w:val="zh-CN"/>
        </w:rPr>
        <w:t>第一部分 合同协议书</w:t>
      </w:r>
      <w:bookmarkEnd w:id="5"/>
      <w:bookmarkEnd w:id="6"/>
    </w:p>
    <w:p w14:paraId="40FFD072">
      <w:pPr>
        <w:snapToGrid w:val="0"/>
        <w:spacing w:line="600" w:lineRule="exact"/>
        <w:ind w:firstLine="482" w:firstLineChars="200"/>
        <w:rPr>
          <w:rFonts w:ascii="仿宋_GB2312" w:hAnsi="华文仿宋" w:eastAsia="仿宋_GB2312" w:cs="Microsoft Sans Serif"/>
          <w:b/>
          <w:color w:val="auto"/>
          <w:sz w:val="24"/>
          <w:highlight w:val="none"/>
        </w:rPr>
      </w:pPr>
    </w:p>
    <w:p w14:paraId="0F4EB1EF">
      <w:pPr>
        <w:snapToGrid w:val="0"/>
        <w:spacing w:line="6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 xml:space="preserve">重庆市铜梁区维新镇人民政府    </w:t>
      </w:r>
      <w:r>
        <w:rPr>
          <w:rFonts w:hint="eastAsia" w:ascii="宋体" w:hAnsi="宋体" w:cs="宋体"/>
          <w:b/>
          <w:color w:val="auto"/>
          <w:szCs w:val="21"/>
          <w:highlight w:val="none"/>
          <w:u w:val="single"/>
        </w:rPr>
        <w:t xml:space="preserve">     </w:t>
      </w:r>
    </w:p>
    <w:p w14:paraId="57D017A7">
      <w:pPr>
        <w:snapToGrid w:val="0"/>
        <w:spacing w:line="6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               </w:t>
      </w:r>
    </w:p>
    <w:p w14:paraId="4259D29A">
      <w:pPr>
        <w:snapToGrid w:val="0"/>
        <w:spacing w:line="60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根据《中华人民共和国民法典》、《中华人民共和国建筑法》及有关法律、法规规定，遵循平等、自愿、公平和诚实信用的原则，双方就</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lang w:eastAsia="zh-CN"/>
        </w:rPr>
        <w:t>铜梁区维新镇2026年小型水利工程维修养护项目</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工程施工及有关事项协商一致，共同达成如下协议：</w:t>
      </w:r>
    </w:p>
    <w:p w14:paraId="1D69734E">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1" w:name="_Toc33183534"/>
      <w:r>
        <w:rPr>
          <w:rFonts w:hint="eastAsia" w:ascii="宋体" w:hAnsi="宋体" w:cs="宋体"/>
          <w:b/>
          <w:bCs/>
          <w:color w:val="auto"/>
          <w:szCs w:val="21"/>
          <w:highlight w:val="none"/>
          <w:lang w:val="zh-CN"/>
        </w:rPr>
        <w:t>一、工程概况</w:t>
      </w:r>
      <w:bookmarkEnd w:id="11"/>
    </w:p>
    <w:p w14:paraId="3D471304">
      <w:pPr>
        <w:snapToGrid w:val="0"/>
        <w:spacing w:line="6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lang w:eastAsia="zh-CN"/>
        </w:rPr>
        <w:t>铜梁区维新镇2026年小型水利工程维修养护项目</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14:paraId="27C94B00">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 xml:space="preserve">铜梁区维新镇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14:paraId="36C48BA1">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      </w:t>
      </w:r>
      <w:r>
        <w:rPr>
          <w:rFonts w:hint="eastAsia" w:ascii="宋体" w:hAnsi="宋体" w:cs="宋体"/>
          <w:bCs/>
          <w:color w:val="auto"/>
          <w:szCs w:val="21"/>
          <w:highlight w:val="none"/>
        </w:rPr>
        <w:t>。</w:t>
      </w:r>
    </w:p>
    <w:p w14:paraId="700C5A1F">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14:paraId="7B600265">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5.工程内容：</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14:paraId="54ED00F7">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6.工程承包范围：</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14:paraId="262807C6">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2" w:name="_Toc33183535"/>
      <w:r>
        <w:rPr>
          <w:rFonts w:hint="eastAsia" w:ascii="宋体" w:hAnsi="宋体" w:cs="宋体"/>
          <w:b/>
          <w:bCs/>
          <w:color w:val="auto"/>
          <w:szCs w:val="21"/>
          <w:highlight w:val="none"/>
          <w:lang w:val="zh-CN"/>
        </w:rPr>
        <w:t>二、合同工期</w:t>
      </w:r>
      <w:bookmarkEnd w:id="12"/>
    </w:p>
    <w:p w14:paraId="247C3B4F">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承包人投标函中承诺的工期总日历天数：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60</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日历天。工期总日历天数与根据下述计划开工完工（竣工）日期计算的工期天数不一致的，以工期总日历天数为准。</w:t>
      </w:r>
    </w:p>
    <w:p w14:paraId="68B4C61E">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计划开工日期：</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日，实际开工日期以监理人发出的工程开工通知中明确的开工日期为准。</w:t>
      </w:r>
    </w:p>
    <w:p w14:paraId="0386EDD4">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计划完工（竣工）日期</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日，实际完工日期以合同工程完工证书中写明的日期为准。</w:t>
      </w:r>
    </w:p>
    <w:p w14:paraId="0FC7444F">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3" w:name="_Toc33183536"/>
      <w:r>
        <w:rPr>
          <w:rFonts w:hint="eastAsia" w:ascii="宋体" w:hAnsi="宋体" w:cs="宋体"/>
          <w:b/>
          <w:bCs/>
          <w:color w:val="auto"/>
          <w:szCs w:val="21"/>
          <w:highlight w:val="none"/>
          <w:lang w:val="zh-CN"/>
        </w:rPr>
        <w:t>三、质量标准</w:t>
      </w:r>
      <w:bookmarkEnd w:id="13"/>
    </w:p>
    <w:p w14:paraId="43B4AB33">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工程质量符合</w:t>
      </w:r>
      <w:r>
        <w:rPr>
          <w:rFonts w:hint="eastAsia" w:ascii="宋体" w:hAnsi="宋体" w:cs="宋体"/>
          <w:color w:val="auto"/>
          <w:szCs w:val="21"/>
          <w:highlight w:val="none"/>
          <w:u w:val="single"/>
        </w:rPr>
        <w:t>国家有关施工质量验收规范和标准要求，达到合格</w:t>
      </w:r>
      <w:r>
        <w:rPr>
          <w:rFonts w:hint="eastAsia" w:ascii="宋体" w:hAnsi="宋体" w:cs="宋体"/>
          <w:color w:val="auto"/>
          <w:szCs w:val="21"/>
          <w:highlight w:val="none"/>
        </w:rPr>
        <w:t>标准。</w:t>
      </w:r>
    </w:p>
    <w:p w14:paraId="2C23D7F6">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4" w:name="_Toc33183537"/>
      <w:r>
        <w:rPr>
          <w:rFonts w:hint="eastAsia" w:ascii="宋体" w:hAnsi="宋体" w:cs="宋体"/>
          <w:b/>
          <w:bCs/>
          <w:color w:val="auto"/>
          <w:szCs w:val="21"/>
          <w:highlight w:val="none"/>
          <w:lang w:val="zh-CN"/>
        </w:rPr>
        <w:t>四、签约合同价与合同价格形式</w:t>
      </w:r>
      <w:bookmarkEnd w:id="14"/>
      <w:r>
        <w:rPr>
          <w:rFonts w:hint="eastAsia" w:ascii="宋体" w:hAnsi="宋体" w:cs="宋体"/>
          <w:b/>
          <w:bCs/>
          <w:color w:val="auto"/>
          <w:szCs w:val="21"/>
          <w:highlight w:val="none"/>
          <w:lang w:val="zh-CN"/>
        </w:rPr>
        <w:tab/>
      </w:r>
    </w:p>
    <w:p w14:paraId="0F2C2798">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1.承包人投标函中承诺的中标价为：</w:t>
      </w:r>
    </w:p>
    <w:p w14:paraId="796A2B15">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E296A3B">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2.签约合同价为：</w:t>
      </w:r>
    </w:p>
    <w:p w14:paraId="30977E45">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2711BE66">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w:t>
      </w:r>
    </w:p>
    <w:p w14:paraId="6CD21C62">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（1）安全生产费：</w:t>
      </w:r>
    </w:p>
    <w:p w14:paraId="609A630F">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3B7D2EAF">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（2）材料和工程设备暂估价金额：</w:t>
      </w:r>
    </w:p>
    <w:p w14:paraId="401F9485">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304E2323">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（3）专业工程暂估价金额：</w:t>
      </w:r>
    </w:p>
    <w:p w14:paraId="5DC3E282">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879D2C6">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（4）暂列金额：</w:t>
      </w:r>
    </w:p>
    <w:p w14:paraId="74318760">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D44D6A4">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（5）人工费（工资款）</w:t>
      </w:r>
    </w:p>
    <w:p w14:paraId="47F393BC">
      <w:pPr>
        <w:snapToGrid w:val="0"/>
        <w:spacing w:line="600" w:lineRule="exact"/>
        <w:ind w:firstLine="420" w:firstLineChars="200"/>
        <w:rPr>
          <w:rFonts w:hint="eastAsia"/>
          <w:color w:val="auto"/>
          <w:highlight w:val="none"/>
        </w:rPr>
      </w:pPr>
      <w:r>
        <w:rPr>
          <w:rFonts w:hint="eastAsia" w:ascii="宋体" w:hAnsi="宋体" w:cs="宋体"/>
          <w:color w:val="auto"/>
          <w:szCs w:val="21"/>
          <w:highlight w:val="none"/>
        </w:rPr>
        <w:t>该项目实行人工费（工资款）与其他工程款分账管理，发包人将应付工程款中的人工费（工资款），以不低于已完成合同价款的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（不低于25%），农民工工资单独支付至承包人设立的农民工工资专用账户。</w:t>
      </w:r>
    </w:p>
    <w:p w14:paraId="471B06BE">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3.合同价格形式：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3778491">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5" w:name="_Toc33183538"/>
      <w:r>
        <w:rPr>
          <w:rFonts w:hint="eastAsia" w:ascii="宋体" w:hAnsi="宋体" w:cs="宋体"/>
          <w:b/>
          <w:bCs/>
          <w:color w:val="auto"/>
          <w:szCs w:val="21"/>
          <w:highlight w:val="none"/>
          <w:lang w:val="zh-CN"/>
        </w:rPr>
        <w:t>五、项目经理及技术负责人</w:t>
      </w:r>
      <w:bookmarkEnd w:id="15"/>
    </w:p>
    <w:p w14:paraId="6430C35A">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w:t>
      </w:r>
      <w:r>
        <w:rPr>
          <w:rFonts w:hint="eastAsia" w:ascii="宋体" w:hAnsi="宋体"/>
          <w:color w:val="auto"/>
          <w:szCs w:val="21"/>
          <w:highlight w:val="none"/>
        </w:rPr>
        <w:t>投标文件中承诺的项目经理</w:t>
      </w:r>
      <w:r>
        <w:rPr>
          <w:rFonts w:hint="eastAsia" w:ascii="宋体" w:hAnsi="宋体" w:cs="宋体"/>
          <w:color w:val="auto"/>
          <w:szCs w:val="21"/>
          <w:highlight w:val="none"/>
        </w:rPr>
        <w:t>：</w:t>
      </w:r>
    </w:p>
    <w:p w14:paraId="56EF3AA2">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441170">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BD10EF">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建造师注册证书：</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BBAA263">
      <w:pPr>
        <w:snapToGrid w:val="0"/>
        <w:spacing w:line="6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2、承包人</w:t>
      </w:r>
      <w:r>
        <w:rPr>
          <w:rFonts w:hint="eastAsia" w:ascii="宋体" w:hAnsi="宋体"/>
          <w:color w:val="auto"/>
          <w:szCs w:val="21"/>
          <w:highlight w:val="none"/>
        </w:rPr>
        <w:t>投标文件中承诺的技术负责人</w:t>
      </w:r>
      <w:r>
        <w:rPr>
          <w:rFonts w:hint="eastAsia" w:ascii="宋体" w:hAnsi="宋体" w:cs="宋体"/>
          <w:color w:val="auto"/>
          <w:szCs w:val="21"/>
          <w:highlight w:val="none"/>
        </w:rPr>
        <w:t>：</w:t>
      </w:r>
    </w:p>
    <w:p w14:paraId="5CF7E6B7">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3BFA841">
      <w:pPr>
        <w:pStyle w:val="2"/>
        <w:spacing w:line="600" w:lineRule="exact"/>
        <w:ind w:firstLine="840" w:firstLineChars="400"/>
        <w:rPr>
          <w:rFonts w:hint="eastAsia" w:ascii="宋体" w:hAnsi="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p>
    <w:p w14:paraId="540D6237">
      <w:pPr>
        <w:pStyle w:val="2"/>
        <w:spacing w:line="600" w:lineRule="exact"/>
        <w:ind w:firstLine="840" w:firstLineChars="400"/>
        <w:rPr>
          <w:rFonts w:hint="eastAsia" w:ascii="宋体" w:hAnsi="宋体" w:cs="宋体"/>
          <w:color w:val="auto"/>
          <w:szCs w:val="21"/>
          <w:highlight w:val="none"/>
        </w:rPr>
      </w:pPr>
      <w:r>
        <w:rPr>
          <w:rFonts w:hint="eastAsia" w:ascii="宋体" w:hAnsi="宋体"/>
          <w:color w:val="auto"/>
          <w:szCs w:val="21"/>
          <w:highlight w:val="none"/>
        </w:rPr>
        <w:t>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5AA119">
      <w:pPr>
        <w:keepNext/>
        <w:keepLines/>
        <w:snapToGrid w:val="0"/>
        <w:spacing w:line="600" w:lineRule="exact"/>
        <w:ind w:firstLine="422" w:firstLineChars="200"/>
        <w:outlineLvl w:val="3"/>
        <w:rPr>
          <w:rFonts w:hint="eastAsia" w:ascii="宋体" w:hAnsi="宋体" w:cs="宋体"/>
          <w:b/>
          <w:color w:val="auto"/>
          <w:szCs w:val="21"/>
          <w:highlight w:val="none"/>
        </w:rPr>
      </w:pPr>
      <w:bookmarkStart w:id="16" w:name="_Toc33183539"/>
      <w:r>
        <w:rPr>
          <w:rFonts w:hint="eastAsia" w:ascii="宋体" w:hAnsi="宋体" w:cs="宋体"/>
          <w:b/>
          <w:bCs/>
          <w:color w:val="auto"/>
          <w:szCs w:val="21"/>
          <w:highlight w:val="none"/>
          <w:lang w:val="zh-CN"/>
        </w:rPr>
        <w:t>六、合同文件构成</w:t>
      </w:r>
      <w:bookmarkEnd w:id="16"/>
    </w:p>
    <w:p w14:paraId="711E1ADF">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合同由以下文件构成：</w:t>
      </w:r>
    </w:p>
    <w:p w14:paraId="322DE2BD">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（1）合同协议书；</w:t>
      </w:r>
    </w:p>
    <w:p w14:paraId="7578D88C">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（2）中标通知书；</w:t>
      </w:r>
    </w:p>
    <w:p w14:paraId="4E28EEB3">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（3）投标函及投标函附录；</w:t>
      </w:r>
    </w:p>
    <w:p w14:paraId="48BCB77F">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（4）专用合同条款及其附件；</w:t>
      </w:r>
    </w:p>
    <w:p w14:paraId="5CB375C3">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（5）通用合同条款；</w:t>
      </w:r>
    </w:p>
    <w:p w14:paraId="2E5DB45B">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w:t>
      </w:r>
      <w:r>
        <w:rPr>
          <w:rFonts w:hint="eastAsia" w:ascii="宋体" w:hAnsi="宋体"/>
          <w:color w:val="auto"/>
          <w:szCs w:val="21"/>
          <w:highlight w:val="none"/>
        </w:rPr>
        <w:t>（投标函及投标函附录除外）</w:t>
      </w:r>
      <w:r>
        <w:rPr>
          <w:rFonts w:hint="eastAsia" w:ascii="宋体" w:hAnsi="宋体" w:cs="宋体"/>
          <w:color w:val="auto"/>
          <w:szCs w:val="21"/>
          <w:highlight w:val="none"/>
        </w:rPr>
        <w:t>；</w:t>
      </w:r>
    </w:p>
    <w:p w14:paraId="6C5151DB">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（7）招标文件及修改文件；</w:t>
      </w:r>
    </w:p>
    <w:p w14:paraId="2D21AA35">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（8）技术标准和要求；</w:t>
      </w:r>
    </w:p>
    <w:p w14:paraId="37A2AD7B">
      <w:pPr>
        <w:adjustRightInd w:val="0"/>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（9）图纸；</w:t>
      </w:r>
    </w:p>
    <w:p w14:paraId="48642F38">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（10）其他合同文件。</w:t>
      </w:r>
    </w:p>
    <w:p w14:paraId="559929BF">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在合同订立、履行过程中形成的与合同有关的书面形式的文件均构成合同文件组成部分。</w:t>
      </w:r>
    </w:p>
    <w:p w14:paraId="09D84A4B">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958B7E7">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7" w:name="_Toc33183540"/>
      <w:r>
        <w:rPr>
          <w:rFonts w:hint="eastAsia" w:ascii="宋体" w:hAnsi="宋体" w:cs="宋体"/>
          <w:b/>
          <w:bCs/>
          <w:color w:val="auto"/>
          <w:szCs w:val="21"/>
          <w:highlight w:val="none"/>
          <w:lang w:val="zh-CN"/>
        </w:rPr>
        <w:t>七、承诺</w:t>
      </w:r>
      <w:bookmarkEnd w:id="17"/>
    </w:p>
    <w:p w14:paraId="52FE64D6">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00EB1976">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cs="宋体"/>
          <w:bCs/>
          <w:color w:val="auto"/>
          <w:szCs w:val="21"/>
          <w:highlight w:val="none"/>
        </w:rPr>
        <w:t>。</w:t>
      </w:r>
    </w:p>
    <w:p w14:paraId="176ED8F3">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1A11E395">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8" w:name="_Toc33183541"/>
      <w:r>
        <w:rPr>
          <w:rFonts w:hint="eastAsia" w:ascii="宋体" w:hAnsi="宋体" w:cs="宋体"/>
          <w:b/>
          <w:bCs/>
          <w:color w:val="auto"/>
          <w:szCs w:val="21"/>
          <w:highlight w:val="none"/>
          <w:lang w:val="zh-CN"/>
        </w:rPr>
        <w:t>八、词语含义</w:t>
      </w:r>
      <w:bookmarkEnd w:id="18"/>
    </w:p>
    <w:p w14:paraId="27A2285D">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本协议书中词语含义与专用合同条款及通用合同条款中赋予的含义相同。</w:t>
      </w:r>
    </w:p>
    <w:p w14:paraId="363F538B">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9" w:name="_Toc33183542"/>
      <w:r>
        <w:rPr>
          <w:rFonts w:hint="eastAsia" w:ascii="宋体" w:hAnsi="宋体" w:cs="宋体"/>
          <w:b/>
          <w:bCs/>
          <w:color w:val="auto"/>
          <w:szCs w:val="21"/>
          <w:highlight w:val="none"/>
          <w:lang w:val="zh-CN"/>
        </w:rPr>
        <w:t>九、签订时间</w:t>
      </w:r>
      <w:bookmarkEnd w:id="19"/>
    </w:p>
    <w:p w14:paraId="23659EEF">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1E826923">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0" w:name="_Toc33183543"/>
      <w:r>
        <w:rPr>
          <w:rFonts w:hint="eastAsia" w:ascii="宋体" w:hAnsi="宋体" w:cs="宋体"/>
          <w:b/>
          <w:bCs/>
          <w:color w:val="auto"/>
          <w:szCs w:val="21"/>
          <w:highlight w:val="none"/>
          <w:lang w:val="zh-CN"/>
        </w:rPr>
        <w:t>十、签订地点</w:t>
      </w:r>
      <w:bookmarkEnd w:id="20"/>
    </w:p>
    <w:p w14:paraId="21576099">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08A3125D">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1" w:name="_Toc33183544"/>
      <w:r>
        <w:rPr>
          <w:rFonts w:hint="eastAsia" w:ascii="宋体" w:hAnsi="宋体" w:cs="宋体"/>
          <w:b/>
          <w:bCs/>
          <w:color w:val="auto"/>
          <w:szCs w:val="21"/>
          <w:highlight w:val="none"/>
          <w:lang w:val="zh-CN"/>
        </w:rPr>
        <w:t>十一、补充协议</w:t>
      </w:r>
      <w:bookmarkEnd w:id="21"/>
    </w:p>
    <w:p w14:paraId="7FDB99BE">
      <w:pPr>
        <w:snapToGrid w:val="0"/>
        <w:spacing w:line="60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6A457772">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2" w:name="_Toc33183545"/>
      <w:r>
        <w:rPr>
          <w:rFonts w:hint="eastAsia" w:ascii="宋体" w:hAnsi="宋体" w:cs="宋体"/>
          <w:b/>
          <w:bCs/>
          <w:color w:val="auto"/>
          <w:szCs w:val="21"/>
          <w:highlight w:val="none"/>
          <w:lang w:val="zh-CN"/>
        </w:rPr>
        <w:t>十二、合同生效</w:t>
      </w:r>
      <w:bookmarkEnd w:id="22"/>
    </w:p>
    <w:p w14:paraId="59466F76">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合同在以下条件全部满足之后生效：</w:t>
      </w:r>
    </w:p>
    <w:p w14:paraId="4A685D6C">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1.合同</w:t>
      </w:r>
      <w:r>
        <w:rPr>
          <w:rFonts w:hint="eastAsia" w:ascii="宋体" w:hAnsi="宋体" w:cs="宋体"/>
          <w:color w:val="auto"/>
          <w:szCs w:val="21"/>
          <w:highlight w:val="none"/>
        </w:rPr>
        <w:t>经双方法定代表人或其委托代理人签字并加盖</w:t>
      </w:r>
      <w:r>
        <w:rPr>
          <w:rFonts w:hint="eastAsia" w:ascii="宋体" w:hAnsi="宋体" w:cs="宋体"/>
          <w:snapToGrid w:val="0"/>
          <w:color w:val="auto"/>
          <w:kern w:val="0"/>
          <w:szCs w:val="21"/>
          <w:highlight w:val="none"/>
        </w:rPr>
        <w:t>公章或合同专用章</w:t>
      </w:r>
      <w:r>
        <w:rPr>
          <w:rFonts w:hint="eastAsia" w:ascii="宋体" w:hAnsi="宋体" w:cs="宋体"/>
          <w:color w:val="auto"/>
          <w:szCs w:val="21"/>
          <w:highlight w:val="none"/>
        </w:rPr>
        <w:t>；</w:t>
      </w:r>
    </w:p>
    <w:p w14:paraId="5D595054">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2.采用保函形式递交履约担保的，承包人按合同约定向发包人提交履约担保后。</w:t>
      </w:r>
    </w:p>
    <w:p w14:paraId="5C5CB322">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4CCD3C1E">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3" w:name="_Toc33183546"/>
      <w:r>
        <w:rPr>
          <w:rFonts w:hint="eastAsia" w:ascii="宋体" w:hAnsi="宋体" w:cs="宋体"/>
          <w:b/>
          <w:bCs/>
          <w:color w:val="auto"/>
          <w:szCs w:val="21"/>
          <w:highlight w:val="none"/>
          <w:lang w:val="zh-CN"/>
        </w:rPr>
        <w:t>十三、合同份数</w:t>
      </w:r>
      <w:bookmarkEnd w:id="23"/>
    </w:p>
    <w:p w14:paraId="621A7406">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份，其中正本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份，双方各持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份，副本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份，双方各执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份。副本与正本不一致时，以正本为准。</w:t>
      </w:r>
    </w:p>
    <w:p w14:paraId="2FA42CC0">
      <w:pPr>
        <w:snapToGrid w:val="0"/>
        <w:spacing w:line="600" w:lineRule="exact"/>
        <w:rPr>
          <w:rFonts w:hint="eastAsia" w:ascii="宋体" w:hAnsi="宋体" w:cs="宋体"/>
          <w:bCs/>
          <w:color w:val="auto"/>
          <w:szCs w:val="21"/>
          <w:highlight w:val="none"/>
        </w:rPr>
      </w:pPr>
    </w:p>
    <w:p w14:paraId="4900B5A0">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（以下为签字盖章页）。</w:t>
      </w:r>
    </w:p>
    <w:p w14:paraId="0A74D6F0">
      <w:pPr>
        <w:pStyle w:val="2"/>
        <w:spacing w:line="600" w:lineRule="exact"/>
        <w:rPr>
          <w:rFonts w:hint="eastAsia" w:ascii="宋体" w:hAnsi="宋体" w:cs="宋体"/>
          <w:color w:val="auto"/>
          <w:szCs w:val="21"/>
          <w:highlight w:val="none"/>
        </w:rPr>
      </w:pPr>
    </w:p>
    <w:p w14:paraId="6B1FEEE8">
      <w:pPr>
        <w:pStyle w:val="2"/>
        <w:spacing w:line="600" w:lineRule="exact"/>
        <w:rPr>
          <w:rFonts w:hint="eastAsia" w:ascii="宋体" w:hAnsi="宋体" w:cs="宋体"/>
          <w:color w:val="auto"/>
          <w:szCs w:val="21"/>
          <w:highlight w:val="none"/>
        </w:rPr>
      </w:pPr>
    </w:p>
    <w:p w14:paraId="04B39ABB">
      <w:pPr>
        <w:pStyle w:val="2"/>
        <w:spacing w:line="600" w:lineRule="exact"/>
        <w:rPr>
          <w:rFonts w:hint="eastAsia" w:ascii="宋体" w:hAnsi="宋体" w:cs="宋体"/>
          <w:color w:val="auto"/>
          <w:szCs w:val="21"/>
          <w:highlight w:val="none"/>
        </w:rPr>
      </w:pPr>
    </w:p>
    <w:p w14:paraId="71CDDB32">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发包人：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（公章）</w:t>
      </w:r>
    </w:p>
    <w:p w14:paraId="1FF74B22">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p>
    <w:p w14:paraId="001D7F91">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统一社会信用代码：</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1B660700">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税人识别号：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0373E29A">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600BBF09">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6835114C">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359DA50E">
      <w:pPr>
        <w:adjustRightInd w:val="0"/>
        <w:spacing w:line="360" w:lineRule="auto"/>
        <w:ind w:firstLine="420" w:firstLineChars="200"/>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账    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76C2FB12">
      <w:pPr>
        <w:pStyle w:val="2"/>
        <w:rPr>
          <w:rFonts w:hint="eastAsia" w:ascii="宋体" w:hAnsi="宋体" w:cs="宋体"/>
          <w:color w:val="auto"/>
          <w:szCs w:val="21"/>
          <w:highlight w:val="none"/>
        </w:rPr>
      </w:pPr>
    </w:p>
    <w:p w14:paraId="5BE9CEA6">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承包人：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（公章）</w:t>
      </w:r>
    </w:p>
    <w:p w14:paraId="492312D1">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p>
    <w:p w14:paraId="68835F1B">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统一社会信用代码：</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452D8E40">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税人识别号：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42342482">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7AFA6618">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3149F870">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18D0F243">
      <w:pP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kern w:val="0"/>
          <w:szCs w:val="21"/>
          <w:highlight w:val="none"/>
        </w:rPr>
        <w:t>账    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14:paraId="5F43D735">
      <w:pPr>
        <w:adjustRightInd w:val="0"/>
        <w:snapToGrid w:val="0"/>
        <w:spacing w:line="600" w:lineRule="exact"/>
        <w:rPr>
          <w:rFonts w:hint="eastAsia" w:ascii="宋体" w:hAnsi="宋体" w:cs="宋体"/>
          <w:b/>
          <w:snapToGrid w:val="0"/>
          <w:color w:val="auto"/>
          <w:spacing w:val="1"/>
          <w:w w:val="99"/>
          <w:kern w:val="0"/>
          <w:position w:val="-2"/>
          <w:szCs w:val="21"/>
          <w:highlight w:val="none"/>
        </w:rPr>
      </w:pPr>
    </w:p>
    <w:p w14:paraId="354B37B1">
      <w:pPr>
        <w:adjustRightInd w:val="0"/>
        <w:snapToGrid w:val="0"/>
        <w:spacing w:line="600" w:lineRule="exact"/>
        <w:jc w:val="righ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签约时间：     年  月  日</w:t>
      </w:r>
    </w:p>
    <w:p w14:paraId="5DC7F46C">
      <w:pPr>
        <w:keepNext/>
        <w:keepLines/>
        <w:snapToGrid w:val="0"/>
        <w:spacing w:line="360" w:lineRule="auto"/>
        <w:jc w:val="center"/>
        <w:outlineLvl w:val="1"/>
        <w:rPr>
          <w:rFonts w:ascii="华文中宋" w:hAnsi="华文中宋" w:eastAsia="华文中宋" w:cs="Microsoft Sans Serif"/>
          <w:b/>
          <w:bCs/>
          <w:color w:val="auto"/>
          <w:sz w:val="44"/>
          <w:szCs w:val="44"/>
          <w:highlight w:val="none"/>
          <w:lang w:val="zh-CN"/>
        </w:rPr>
      </w:pPr>
      <w:r>
        <w:rPr>
          <w:rFonts w:hint="eastAsia" w:ascii="宋体" w:hAnsi="宋体" w:cs="宋体"/>
          <w:b/>
          <w:bCs/>
          <w:snapToGrid w:val="0"/>
          <w:color w:val="auto"/>
          <w:kern w:val="0"/>
          <w:sz w:val="32"/>
          <w:szCs w:val="32"/>
          <w:highlight w:val="none"/>
          <w:lang w:val="zh-CN"/>
        </w:rPr>
        <w:br w:type="page"/>
      </w:r>
      <w:bookmarkStart w:id="24" w:name="_Toc33183547"/>
      <w:bookmarkStart w:id="25" w:name="_Toc59810378"/>
      <w:r>
        <w:rPr>
          <w:rFonts w:hint="eastAsia" w:ascii="华文中宋" w:hAnsi="华文中宋" w:eastAsia="华文中宋" w:cs="Microsoft Sans Serif"/>
          <w:b/>
          <w:bCs/>
          <w:color w:val="auto"/>
          <w:sz w:val="44"/>
          <w:szCs w:val="44"/>
          <w:highlight w:val="none"/>
          <w:lang w:val="zh-CN"/>
        </w:rPr>
        <w:t>第二部分 通用合同条款</w:t>
      </w:r>
      <w:bookmarkEnd w:id="24"/>
      <w:bookmarkEnd w:id="25"/>
    </w:p>
    <w:p w14:paraId="750687FD">
      <w:pPr>
        <w:spacing w:line="360" w:lineRule="auto"/>
        <w:rPr>
          <w:rFonts w:hint="eastAsia" w:ascii="宋体" w:hAnsi="宋体" w:cs="宋体"/>
          <w:color w:val="auto"/>
          <w:szCs w:val="21"/>
          <w:highlight w:val="none"/>
        </w:rPr>
      </w:pPr>
      <w:bookmarkStart w:id="26" w:name="_Toc221951109"/>
      <w:r>
        <w:rPr>
          <w:rFonts w:hint="eastAsia" w:ascii="宋体" w:hAnsi="宋体" w:cs="宋体"/>
          <w:color w:val="auto"/>
          <w:sz w:val="21"/>
          <w:szCs w:val="21"/>
          <w:highlight w:val="none"/>
        </w:rPr>
        <w:t>参照《建设工程施工合同(示范文本)》(GF-2017-0201)通用合同条款</w:t>
      </w:r>
      <w:r>
        <w:rPr>
          <w:rFonts w:hint="eastAsia" w:ascii="宋体" w:hAnsi="宋体" w:cs="宋体"/>
          <w:color w:val="auto"/>
          <w:szCs w:val="21"/>
          <w:highlight w:val="none"/>
        </w:rPr>
        <w:t>。</w:t>
      </w:r>
      <w:bookmarkEnd w:id="26"/>
      <w:r>
        <w:rPr>
          <w:rFonts w:hint="eastAsia" w:ascii="宋体" w:hAnsi="宋体" w:cs="宋体"/>
          <w:color w:val="auto"/>
          <w:szCs w:val="21"/>
          <w:highlight w:val="none"/>
        </w:rPr>
        <w:t xml:space="preserve"> </w:t>
      </w:r>
    </w:p>
    <w:p w14:paraId="130A3DF2">
      <w:pPr>
        <w:pStyle w:val="2"/>
        <w:rPr>
          <w:rFonts w:hint="eastAsia"/>
          <w:color w:val="auto"/>
          <w:highlight w:val="none"/>
        </w:rPr>
      </w:pPr>
      <w:r>
        <w:rPr>
          <w:rFonts w:hint="eastAsia" w:ascii="宋体" w:hAnsi="宋体" w:cs="宋体"/>
          <w:color w:val="auto"/>
          <w:szCs w:val="21"/>
          <w:highlight w:val="none"/>
        </w:rPr>
        <w:t xml:space="preserve"> </w:t>
      </w:r>
    </w:p>
    <w:p w14:paraId="1C8CC0F9">
      <w:pPr>
        <w:ind w:right="248"/>
        <w:rPr>
          <w:rFonts w:ascii="宋体" w:hAnsi="宋体" w:cs="宋体"/>
          <w:color w:val="auto"/>
          <w:szCs w:val="21"/>
          <w:highlight w:val="none"/>
        </w:rPr>
      </w:pPr>
      <w:r>
        <w:rPr>
          <w:rFonts w:ascii="宋体" w:hAnsi="宋体" w:cs="宋体"/>
          <w:color w:val="auto"/>
          <w:szCs w:val="21"/>
          <w:highlight w:val="none"/>
        </w:rPr>
        <w:br w:type="page"/>
      </w:r>
    </w:p>
    <w:p w14:paraId="58D26F31">
      <w:pPr>
        <w:keepNext/>
        <w:keepLines/>
        <w:snapToGrid w:val="0"/>
        <w:spacing w:line="360" w:lineRule="auto"/>
        <w:jc w:val="center"/>
        <w:outlineLvl w:val="1"/>
        <w:rPr>
          <w:rFonts w:ascii="宋体" w:hAnsi="宋体"/>
          <w:b/>
          <w:bCs/>
          <w:color w:val="auto"/>
          <w:kern w:val="0"/>
          <w:sz w:val="44"/>
          <w:szCs w:val="44"/>
          <w:highlight w:val="none"/>
        </w:rPr>
      </w:pPr>
      <w:bookmarkStart w:id="27" w:name="_Toc33183706"/>
      <w:bookmarkStart w:id="28" w:name="_Toc59810403"/>
      <w:r>
        <w:rPr>
          <w:rFonts w:hint="eastAsia" w:ascii="宋体" w:hAnsi="宋体"/>
          <w:b/>
          <w:bCs/>
          <w:color w:val="auto"/>
          <w:kern w:val="0"/>
          <w:sz w:val="44"/>
          <w:szCs w:val="44"/>
          <w:highlight w:val="none"/>
        </w:rPr>
        <w:t xml:space="preserve">第三部分 </w:t>
      </w:r>
      <w:r>
        <w:rPr>
          <w:rFonts w:hint="eastAsia" w:ascii="华文中宋" w:hAnsi="华文中宋" w:eastAsia="华文中宋" w:cs="Microsoft Sans Serif"/>
          <w:b/>
          <w:bCs/>
          <w:color w:val="auto"/>
          <w:sz w:val="44"/>
          <w:szCs w:val="44"/>
          <w:highlight w:val="none"/>
          <w:lang w:val="zh-CN"/>
        </w:rPr>
        <w:t>专用</w:t>
      </w:r>
      <w:r>
        <w:rPr>
          <w:rFonts w:hint="eastAsia" w:ascii="宋体" w:hAnsi="宋体"/>
          <w:b/>
          <w:bCs/>
          <w:color w:val="auto"/>
          <w:kern w:val="0"/>
          <w:sz w:val="44"/>
          <w:szCs w:val="44"/>
          <w:highlight w:val="none"/>
        </w:rPr>
        <w:t>合同条款</w:t>
      </w:r>
      <w:bookmarkEnd w:id="27"/>
      <w:bookmarkEnd w:id="28"/>
    </w:p>
    <w:p w14:paraId="01F3A2AF">
      <w:pPr>
        <w:pStyle w:val="5"/>
        <w:spacing w:line="360" w:lineRule="auto"/>
        <w:rPr>
          <w:rFonts w:hint="eastAsia" w:ascii="宋体" w:hAnsi="宋体" w:cs="宋体"/>
          <w:color w:val="auto"/>
          <w:sz w:val="21"/>
          <w:szCs w:val="21"/>
          <w:highlight w:val="none"/>
        </w:rPr>
      </w:pPr>
      <w:bookmarkStart w:id="29" w:name="_Toc229305387"/>
      <w:bookmarkStart w:id="30" w:name="_Toc221951111"/>
      <w:bookmarkStart w:id="31" w:name="_Toc222032696"/>
      <w:bookmarkStart w:id="32" w:name="_Toc222031029"/>
      <w:bookmarkStart w:id="33" w:name="_Toc59810404"/>
      <w:bookmarkStart w:id="34" w:name="_Toc222029527"/>
      <w:bookmarkStart w:id="35" w:name="_Toc33183707"/>
      <w:bookmarkStart w:id="36" w:name="_Toc222033878"/>
      <w:r>
        <w:rPr>
          <w:rFonts w:hint="eastAsia" w:ascii="宋体" w:hAnsi="宋体" w:cs="宋体"/>
          <w:color w:val="auto"/>
          <w:sz w:val="21"/>
          <w:szCs w:val="21"/>
          <w:highlight w:val="none"/>
        </w:rPr>
        <w:t>1.一般约定</w:t>
      </w:r>
      <w:bookmarkEnd w:id="29"/>
      <w:bookmarkEnd w:id="30"/>
      <w:bookmarkEnd w:id="31"/>
      <w:bookmarkEnd w:id="32"/>
      <w:bookmarkEnd w:id="33"/>
      <w:bookmarkEnd w:id="34"/>
      <w:bookmarkEnd w:id="35"/>
      <w:bookmarkEnd w:id="36"/>
    </w:p>
    <w:p w14:paraId="7359F5FF">
      <w:pPr>
        <w:keepNext/>
        <w:keepLines/>
        <w:snapToGrid w:val="0"/>
        <w:spacing w:line="600" w:lineRule="exact"/>
        <w:ind w:firstLine="420" w:firstLineChars="200"/>
        <w:outlineLvl w:val="3"/>
        <w:rPr>
          <w:rFonts w:hint="eastAsia" w:ascii="宋体" w:hAnsi="宋体" w:cs="宋体"/>
          <w:color w:val="auto"/>
          <w:szCs w:val="21"/>
          <w:highlight w:val="none"/>
        </w:rPr>
      </w:pPr>
      <w:bookmarkStart w:id="37" w:name="_Toc221951112"/>
      <w:bookmarkStart w:id="38" w:name="_Toc33183708"/>
      <w:r>
        <w:rPr>
          <w:rFonts w:hint="eastAsia" w:ascii="宋体" w:hAnsi="宋体" w:cs="宋体"/>
          <w:color w:val="auto"/>
          <w:szCs w:val="21"/>
          <w:highlight w:val="none"/>
        </w:rPr>
        <w:t>1.1  词语定义</w:t>
      </w:r>
      <w:bookmarkEnd w:id="37"/>
      <w:bookmarkEnd w:id="38"/>
    </w:p>
    <w:p w14:paraId="134B914C">
      <w:pPr>
        <w:snapToGrid w:val="0"/>
        <w:spacing w:line="360" w:lineRule="auto"/>
        <w:ind w:firstLine="420" w:firstLineChars="200"/>
        <w:rPr>
          <w:rFonts w:hint="eastAsia" w:ascii="宋体" w:hAnsi="宋体" w:cs="宋体"/>
          <w:color w:val="auto"/>
          <w:kern w:val="0"/>
          <w:szCs w:val="21"/>
          <w:highlight w:val="none"/>
        </w:rPr>
      </w:pPr>
      <w:bookmarkStart w:id="39" w:name="_Toc221951113"/>
      <w:r>
        <w:rPr>
          <w:rFonts w:hint="eastAsia" w:ascii="宋体" w:hAnsi="宋体" w:cs="宋体"/>
          <w:color w:val="auto"/>
          <w:kern w:val="0"/>
          <w:szCs w:val="21"/>
          <w:highlight w:val="none"/>
        </w:rPr>
        <w:t>1.1.1 合同</w:t>
      </w:r>
    </w:p>
    <w:p w14:paraId="2797C37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1.1.1.6 技术标准和要求：</w:t>
      </w:r>
      <w:r>
        <w:rPr>
          <w:rFonts w:hint="eastAsia" w:ascii="宋体" w:hAnsi="宋体" w:cs="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p>
    <w:p w14:paraId="6793643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1.1.1.8 已标价工程量清单：</w:t>
      </w:r>
      <w:r>
        <w:rPr>
          <w:rFonts w:hint="eastAsia" w:ascii="宋体" w:hAnsi="宋体" w:cs="宋体"/>
          <w:color w:val="auto"/>
          <w:kern w:val="0"/>
          <w:szCs w:val="21"/>
          <w:highlight w:val="none"/>
          <w:u w:val="single"/>
        </w:rPr>
        <w:t>指构成合同文件组成部分的已标明价格、经算术性错误修正及其他错误修正（如有）且承包人已确认的最终的工程量清单。</w:t>
      </w:r>
    </w:p>
    <w:p w14:paraId="6FD4E764">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1.1.1.9 其他合同文件：</w:t>
      </w:r>
      <w:r>
        <w:rPr>
          <w:rFonts w:hint="eastAsia" w:ascii="宋体" w:hAnsi="宋体" w:cs="宋体"/>
          <w:color w:val="auto"/>
          <w:kern w:val="0"/>
          <w:szCs w:val="21"/>
          <w:highlight w:val="none"/>
          <w:u w:val="single"/>
        </w:rPr>
        <w:t>按照合同协议书〔第六条〕约定执行。</w:t>
      </w:r>
    </w:p>
    <w:p w14:paraId="2A1FC4D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本项补充1.1.1.10～1.1.1.15目：</w:t>
      </w:r>
    </w:p>
    <w:p w14:paraId="3F77434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1.1.1.10招标文件：</w:t>
      </w:r>
      <w:r>
        <w:rPr>
          <w:rFonts w:hint="eastAsia" w:ascii="宋体" w:hAnsi="宋体"/>
          <w:color w:val="auto"/>
          <w:kern w:val="0"/>
          <w:szCs w:val="21"/>
          <w:highlight w:val="none"/>
          <w:u w:val="single"/>
        </w:rPr>
        <w:t>指本工程的招标文件、图纸、其他技术资料及招标人发出的对招标文件所作的澄清、修改、修改等资料</w:t>
      </w:r>
      <w:r>
        <w:rPr>
          <w:rFonts w:hint="eastAsia" w:ascii="宋体" w:hAnsi="宋体"/>
          <w:color w:val="auto"/>
          <w:kern w:val="0"/>
          <w:szCs w:val="21"/>
          <w:highlight w:val="none"/>
        </w:rPr>
        <w:t>。</w:t>
      </w:r>
    </w:p>
    <w:p w14:paraId="229A9A5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14:paraId="15A0918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1.1.1.12 重大设计变更：</w:t>
      </w:r>
      <w:r>
        <w:rPr>
          <w:rFonts w:hint="eastAsia" w:ascii="宋体" w:hAnsi="宋体"/>
          <w:color w:val="auto"/>
          <w:kern w:val="0"/>
          <w:szCs w:val="21"/>
          <w:highlight w:val="none"/>
          <w:u w:val="single"/>
        </w:rPr>
        <w:t>中小型工程以《重庆市水利工程建设项目设计变更及投资概算调整管理办法》（渝水基[2007]20号文）为准，大型工程以“关于印发《水利工程设计变更管理暂行办法》的通知”（水规计[2012]93号文）为准。</w:t>
      </w:r>
    </w:p>
    <w:p w14:paraId="0B35E77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1.1.1.13 公章：专指法人单位名称章。</w:t>
      </w:r>
    </w:p>
    <w:p w14:paraId="5DDB533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1.1.1.14 到岗：指承包人按照到岗履职承诺安排满足办理施工许可手续相关要求的项目主要管理人员实际到施工现场就职履约的行为。</w:t>
      </w:r>
    </w:p>
    <w:p w14:paraId="1A7E1A5C">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1.1.1.15 项目法人：指具有民事权利能力和民事行为能力，依法独立享有民事权利和承担民事义务，以建设项目为目的，从事项目管理的机构、单位或组织。</w:t>
      </w:r>
    </w:p>
    <w:p w14:paraId="65A775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1.1.2  合同当事人和人员</w:t>
      </w:r>
      <w:bookmarkEnd w:id="39"/>
    </w:p>
    <w:p w14:paraId="16EAC12D">
      <w:pPr>
        <w:spacing w:line="360" w:lineRule="auto"/>
        <w:ind w:firstLine="420" w:firstLineChars="200"/>
        <w:rPr>
          <w:rFonts w:hint="eastAsia" w:ascii="宋体" w:hAnsi="宋体" w:cs="宋体"/>
          <w:color w:val="auto"/>
          <w:szCs w:val="21"/>
          <w:highlight w:val="none"/>
        </w:rPr>
      </w:pPr>
      <w:bookmarkStart w:id="40" w:name="_Toc221951114"/>
      <w:r>
        <w:rPr>
          <w:rFonts w:hint="eastAsia" w:ascii="宋体" w:hAnsi="宋体" w:cs="宋体"/>
          <w:color w:val="auto"/>
          <w:szCs w:val="21"/>
          <w:highlight w:val="none"/>
        </w:rPr>
        <w:t>1.1.2.2  发包人：</w:t>
      </w:r>
      <w:r>
        <w:rPr>
          <w:rFonts w:hint="eastAsia" w:ascii="宋体" w:hAnsi="宋体" w:cs="宋体"/>
          <w:color w:val="auto"/>
          <w:szCs w:val="21"/>
          <w:highlight w:val="none"/>
          <w:u w:val="single"/>
        </w:rPr>
        <w:t xml:space="preserve">       (填入发包人的名称)       </w:t>
      </w:r>
      <w:bookmarkEnd w:id="40"/>
      <w:r>
        <w:rPr>
          <w:rFonts w:hint="eastAsia" w:ascii="宋体" w:hAnsi="宋体" w:cs="宋体"/>
          <w:color w:val="auto"/>
          <w:szCs w:val="21"/>
          <w:highlight w:val="none"/>
        </w:rPr>
        <w:t>；</w:t>
      </w:r>
    </w:p>
    <w:p w14:paraId="5AA6538A">
      <w:pPr>
        <w:spacing w:line="360" w:lineRule="auto"/>
        <w:ind w:firstLine="840" w:firstLineChars="400"/>
        <w:jc w:val="left"/>
        <w:rPr>
          <w:rFonts w:hint="eastAsia"/>
          <w:color w:val="auto"/>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11C4D4DE">
      <w:pPr>
        <w:spacing w:line="360" w:lineRule="auto"/>
        <w:ind w:firstLine="420" w:firstLineChars="200"/>
        <w:rPr>
          <w:rFonts w:hint="eastAsia" w:ascii="宋体" w:hAnsi="宋体" w:cs="宋体"/>
          <w:color w:val="auto"/>
          <w:szCs w:val="21"/>
          <w:highlight w:val="none"/>
        </w:rPr>
      </w:pPr>
      <w:bookmarkStart w:id="41" w:name="_Toc221951115"/>
      <w:r>
        <w:rPr>
          <w:rFonts w:hint="eastAsia" w:ascii="宋体" w:hAnsi="宋体" w:cs="宋体"/>
          <w:color w:val="auto"/>
          <w:szCs w:val="21"/>
          <w:highlight w:val="none"/>
        </w:rPr>
        <w:t>1.1.2.3  承包人：</w:t>
      </w:r>
      <w:r>
        <w:rPr>
          <w:rFonts w:hint="eastAsia" w:ascii="宋体" w:hAnsi="宋体" w:cs="宋体"/>
          <w:color w:val="auto"/>
          <w:szCs w:val="21"/>
          <w:highlight w:val="none"/>
          <w:u w:val="single"/>
        </w:rPr>
        <w:t xml:space="preserve">      (签约后填入承包人的名称)    </w:t>
      </w:r>
      <w:r>
        <w:rPr>
          <w:rFonts w:hint="eastAsia" w:ascii="宋体" w:hAnsi="宋体" w:cs="宋体"/>
          <w:color w:val="auto"/>
          <w:szCs w:val="21"/>
          <w:highlight w:val="none"/>
        </w:rPr>
        <w:t>；</w:t>
      </w:r>
    </w:p>
    <w:p w14:paraId="170D951E">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14:paraId="45EFD88A">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bookmarkEnd w:id="41"/>
    </w:p>
    <w:p w14:paraId="16FA94CB">
      <w:pPr>
        <w:spacing w:line="360" w:lineRule="auto"/>
        <w:ind w:firstLine="420" w:firstLineChars="200"/>
        <w:rPr>
          <w:rFonts w:hint="eastAsia" w:ascii="宋体" w:hAnsi="宋体" w:cs="宋体"/>
          <w:color w:val="auto"/>
          <w:szCs w:val="21"/>
          <w:highlight w:val="none"/>
        </w:rPr>
      </w:pPr>
      <w:bookmarkStart w:id="42" w:name="_Toc221951116"/>
      <w:r>
        <w:rPr>
          <w:rFonts w:hint="eastAsia" w:ascii="宋体" w:hAnsi="宋体" w:cs="宋体"/>
          <w:color w:val="auto"/>
          <w:szCs w:val="21"/>
          <w:highlight w:val="none"/>
        </w:rPr>
        <w:t>1.1.2.5  分包人：</w:t>
      </w:r>
      <w:r>
        <w:rPr>
          <w:rFonts w:hint="eastAsia" w:ascii="宋体" w:hAnsi="宋体" w:cs="宋体"/>
          <w:color w:val="auto"/>
          <w:szCs w:val="21"/>
          <w:highlight w:val="none"/>
          <w:u w:val="single"/>
        </w:rPr>
        <w:t xml:space="preserve">      (签约后填入分包人的名称)   </w:t>
      </w:r>
      <w:r>
        <w:rPr>
          <w:rFonts w:hint="eastAsia" w:ascii="宋体" w:hAnsi="宋体" w:cs="宋体"/>
          <w:color w:val="auto"/>
          <w:szCs w:val="21"/>
          <w:highlight w:val="none"/>
        </w:rPr>
        <w:t>；</w:t>
      </w:r>
    </w:p>
    <w:p w14:paraId="2BDD3B04">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14:paraId="1978E72D">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bookmarkEnd w:id="42"/>
    </w:p>
    <w:p w14:paraId="51D2593C">
      <w:pPr>
        <w:spacing w:line="360" w:lineRule="auto"/>
        <w:ind w:firstLine="420" w:firstLineChars="200"/>
        <w:rPr>
          <w:rFonts w:hint="eastAsia" w:ascii="宋体" w:hAnsi="宋体" w:cs="宋体"/>
          <w:color w:val="auto"/>
          <w:szCs w:val="21"/>
          <w:highlight w:val="none"/>
        </w:rPr>
      </w:pPr>
      <w:bookmarkStart w:id="43" w:name="_Toc221951117"/>
      <w:r>
        <w:rPr>
          <w:rFonts w:hint="eastAsia" w:ascii="宋体" w:hAnsi="宋体" w:cs="宋体"/>
          <w:color w:val="auto"/>
          <w:szCs w:val="21"/>
          <w:highlight w:val="none"/>
        </w:rPr>
        <w:t>1.1.2.6  监理人：</w:t>
      </w:r>
      <w:r>
        <w:rPr>
          <w:rFonts w:hint="eastAsia" w:ascii="宋体" w:hAnsi="宋体" w:cs="宋体"/>
          <w:color w:val="auto"/>
          <w:szCs w:val="21"/>
          <w:highlight w:val="none"/>
          <w:u w:val="single"/>
        </w:rPr>
        <w:t xml:space="preserve">      (填入监理人名称)           </w:t>
      </w:r>
      <w:bookmarkEnd w:id="43"/>
      <w:r>
        <w:rPr>
          <w:rFonts w:hint="eastAsia" w:ascii="宋体" w:hAnsi="宋体" w:cs="宋体"/>
          <w:color w:val="auto"/>
          <w:szCs w:val="21"/>
          <w:highlight w:val="none"/>
        </w:rPr>
        <w:t>；</w:t>
      </w:r>
    </w:p>
    <w:p w14:paraId="3008E827">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14:paraId="65E1B134">
      <w:pPr>
        <w:spacing w:line="360" w:lineRule="auto"/>
        <w:ind w:firstLine="840" w:firstLineChars="400"/>
        <w:jc w:val="left"/>
        <w:rPr>
          <w:rFonts w:hint="eastAsia"/>
          <w:color w:val="auto"/>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492EAFE1">
      <w:pPr>
        <w:spacing w:line="360" w:lineRule="auto"/>
        <w:rPr>
          <w:rFonts w:hint="eastAsia" w:ascii="宋体" w:hAnsi="宋体" w:cs="宋体"/>
          <w:color w:val="auto"/>
          <w:szCs w:val="21"/>
          <w:highlight w:val="none"/>
        </w:rPr>
      </w:pPr>
      <w:bookmarkStart w:id="44" w:name="_Toc221951125"/>
      <w:r>
        <w:rPr>
          <w:rFonts w:hint="eastAsia" w:ascii="宋体" w:hAnsi="宋体" w:cs="宋体"/>
          <w:color w:val="auto"/>
          <w:szCs w:val="21"/>
          <w:highlight w:val="none"/>
        </w:rPr>
        <w:t>1.1.4  日期</w:t>
      </w:r>
      <w:bookmarkEnd w:id="44"/>
    </w:p>
    <w:p w14:paraId="546FC3FB">
      <w:pPr>
        <w:spacing w:line="360" w:lineRule="auto"/>
        <w:ind w:firstLine="420" w:firstLineChars="200"/>
        <w:rPr>
          <w:rFonts w:hint="eastAsia" w:ascii="宋体" w:hAnsi="宋体" w:cs="宋体"/>
          <w:color w:val="auto"/>
          <w:szCs w:val="21"/>
          <w:highlight w:val="none"/>
        </w:rPr>
      </w:pPr>
      <w:bookmarkStart w:id="45" w:name="_Toc221951126"/>
      <w:r>
        <w:rPr>
          <w:rFonts w:hint="eastAsia" w:ascii="宋体" w:hAnsi="宋体" w:cs="宋体"/>
          <w:color w:val="auto"/>
          <w:szCs w:val="21"/>
          <w:highlight w:val="none"/>
        </w:rPr>
        <w:t>1.1.4.5  缺陷责任期：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45"/>
    </w:p>
    <w:p w14:paraId="49C0C882">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工程质量保修期：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853275">
      <w:pPr>
        <w:keepNext/>
        <w:keepLines/>
        <w:snapToGrid w:val="0"/>
        <w:spacing w:line="600" w:lineRule="exact"/>
        <w:ind w:firstLine="420" w:firstLineChars="200"/>
        <w:outlineLvl w:val="3"/>
        <w:rPr>
          <w:rFonts w:hint="eastAsia" w:ascii="宋体" w:hAnsi="宋体" w:cs="宋体"/>
          <w:color w:val="auto"/>
          <w:szCs w:val="21"/>
          <w:highlight w:val="none"/>
        </w:rPr>
      </w:pPr>
      <w:bookmarkStart w:id="46" w:name="_Toc33183709"/>
      <w:bookmarkStart w:id="47" w:name="_Toc221951127"/>
      <w:r>
        <w:rPr>
          <w:rFonts w:hint="eastAsia" w:ascii="宋体" w:hAnsi="宋体" w:cs="宋体"/>
          <w:color w:val="auto"/>
          <w:szCs w:val="21"/>
          <w:highlight w:val="none"/>
        </w:rPr>
        <w:t>1.4  合同文件的优先顺序</w:t>
      </w:r>
      <w:bookmarkEnd w:id="46"/>
      <w:bookmarkEnd w:id="47"/>
    </w:p>
    <w:p w14:paraId="3C85942B">
      <w:pPr>
        <w:spacing w:line="360" w:lineRule="auto"/>
        <w:ind w:firstLine="420" w:firstLineChars="200"/>
        <w:jc w:val="left"/>
        <w:rPr>
          <w:rFonts w:ascii="宋体" w:hAnsi="宋体"/>
          <w:color w:val="auto"/>
          <w:szCs w:val="21"/>
          <w:highlight w:val="none"/>
        </w:rPr>
      </w:pPr>
      <w:bookmarkStart w:id="48" w:name="_Toc221951128"/>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列明的文件顺序执行</w:t>
      </w:r>
      <w:r>
        <w:rPr>
          <w:rFonts w:hint="eastAsia" w:ascii="宋体" w:hAnsi="宋体"/>
          <w:color w:val="auto"/>
          <w:szCs w:val="21"/>
          <w:highlight w:val="none"/>
        </w:rPr>
        <w:t>。</w:t>
      </w:r>
    </w:p>
    <w:bookmarkEnd w:id="48"/>
    <w:p w14:paraId="129B4E18">
      <w:pPr>
        <w:keepNext/>
        <w:keepLines/>
        <w:snapToGrid w:val="0"/>
        <w:spacing w:line="600" w:lineRule="exact"/>
        <w:ind w:firstLine="420" w:firstLineChars="200"/>
        <w:outlineLvl w:val="3"/>
        <w:rPr>
          <w:rFonts w:hint="eastAsia" w:ascii="宋体" w:hAnsi="宋体" w:cs="宋体"/>
          <w:color w:val="auto"/>
          <w:szCs w:val="21"/>
          <w:highlight w:val="none"/>
        </w:rPr>
      </w:pPr>
      <w:bookmarkStart w:id="49" w:name="_Toc33183710"/>
      <w:r>
        <w:rPr>
          <w:rFonts w:hint="eastAsia" w:ascii="宋体" w:hAnsi="宋体" w:cs="宋体"/>
          <w:color w:val="auto"/>
          <w:szCs w:val="21"/>
          <w:highlight w:val="none"/>
        </w:rPr>
        <w:t>1.6 图纸和承包人文件</w:t>
      </w:r>
      <w:bookmarkEnd w:id="49"/>
    </w:p>
    <w:p w14:paraId="09DFA0E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 图纸的提供</w:t>
      </w:r>
    </w:p>
    <w:p w14:paraId="25A7FFC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发包人向承包人提供图纸的期限：</w:t>
      </w:r>
      <w:r>
        <w:rPr>
          <w:rFonts w:hint="eastAsia" w:ascii="宋体" w:hAnsi="宋体" w:cs="宋体"/>
          <w:color w:val="auto"/>
          <w:kern w:val="0"/>
          <w:szCs w:val="21"/>
          <w:highlight w:val="none"/>
          <w:u w:val="single"/>
        </w:rPr>
        <w:t>通用合同条款第11.1款〔开工通知〕载明的开工日期前   天</w:t>
      </w:r>
      <w:r>
        <w:rPr>
          <w:rFonts w:hint="eastAsia" w:ascii="宋体" w:hAnsi="宋体" w:cs="宋体"/>
          <w:color w:val="auto"/>
          <w:kern w:val="0"/>
          <w:szCs w:val="21"/>
          <w:highlight w:val="none"/>
        </w:rPr>
        <w:t>；</w:t>
      </w:r>
    </w:p>
    <w:p w14:paraId="69DE856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发包人向承包人提供图纸的数量：</w:t>
      </w:r>
      <w:r>
        <w:rPr>
          <w:rFonts w:hint="eastAsia" w:ascii="宋体" w:hAnsi="宋体" w:cs="宋体"/>
          <w:color w:val="auto"/>
          <w:kern w:val="0"/>
          <w:szCs w:val="21"/>
          <w:highlight w:val="none"/>
          <w:u w:val="single"/>
        </w:rPr>
        <w:t xml:space="preserve">    套</w:t>
      </w:r>
      <w:r>
        <w:rPr>
          <w:rFonts w:hint="eastAsia" w:ascii="宋体" w:hAnsi="宋体" w:cs="宋体"/>
          <w:color w:val="auto"/>
          <w:kern w:val="0"/>
          <w:szCs w:val="21"/>
          <w:highlight w:val="none"/>
        </w:rPr>
        <w:t>；</w:t>
      </w:r>
    </w:p>
    <w:p w14:paraId="19D28EE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发包人向承包人提供图纸的内容：</w:t>
      </w:r>
      <w:r>
        <w:rPr>
          <w:rFonts w:hint="eastAsia" w:ascii="宋体" w:hAnsi="宋体" w:cs="宋体"/>
          <w:color w:val="auto"/>
          <w:kern w:val="0"/>
          <w:szCs w:val="21"/>
          <w:highlight w:val="none"/>
          <w:u w:val="single"/>
        </w:rPr>
        <w:t>工程承包范围内满足工程进度要求的设计文件</w:t>
      </w:r>
      <w:r>
        <w:rPr>
          <w:rFonts w:hint="eastAsia" w:ascii="宋体" w:hAnsi="宋体" w:cs="宋体"/>
          <w:color w:val="auto"/>
          <w:kern w:val="0"/>
          <w:szCs w:val="21"/>
          <w:highlight w:val="none"/>
        </w:rPr>
        <w:t>；</w:t>
      </w:r>
    </w:p>
    <w:p w14:paraId="6D7A3BF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发包人组织承包人、监理人和设计人进行图纸会审和设计交底、安全交底的时间：</w:t>
      </w:r>
      <w:r>
        <w:rPr>
          <w:rFonts w:hint="eastAsia" w:ascii="宋体" w:hAnsi="宋体" w:cs="宋体"/>
          <w:color w:val="auto"/>
          <w:kern w:val="0"/>
          <w:szCs w:val="21"/>
          <w:highlight w:val="none"/>
          <w:u w:val="single"/>
        </w:rPr>
        <w:t>提供满足工程进度要求的设计文件后    天内</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承包人可以书面方式通过监理人向发包人申请进行紧急的设计交底，发包人认为确有必要且条件许可时，应尽快组织实施承包人申请的设计交底</w:t>
      </w:r>
      <w:r>
        <w:rPr>
          <w:rFonts w:hint="eastAsia" w:ascii="宋体" w:hAnsi="宋体" w:cs="宋体"/>
          <w:color w:val="auto"/>
          <w:kern w:val="0"/>
          <w:szCs w:val="21"/>
          <w:highlight w:val="none"/>
        </w:rPr>
        <w:t>。</w:t>
      </w:r>
    </w:p>
    <w:p w14:paraId="5F5E4C9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1.6.2 承包人提供的文件</w:t>
      </w:r>
    </w:p>
    <w:p w14:paraId="30986A4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承包人提供文件的数量：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。需要由承包人提供的书面文件，包括但不限于：</w:t>
      </w:r>
      <w:r>
        <w:rPr>
          <w:rFonts w:hint="eastAsia" w:ascii="宋体" w:hAnsi="宋体" w:cs="宋体"/>
          <w:color w:val="auto"/>
          <w:kern w:val="0"/>
          <w:szCs w:val="21"/>
          <w:highlight w:val="none"/>
          <w:u w:val="single"/>
        </w:rPr>
        <w:t>施工组织设计、专项施工方案、危险性较大的单项工程（如有）、安全应急方案、进度计划、报表及计划、合同工程完工资料（或工程竣工资料）及施工过程中因工程变更需要报送的施工方案、施工过程中涉及工程价款变更的相关资料、完整的完工结算资料等</w:t>
      </w:r>
      <w:r>
        <w:rPr>
          <w:rFonts w:hint="eastAsia" w:ascii="宋体" w:hAnsi="宋体" w:cs="宋体"/>
          <w:color w:val="auto"/>
          <w:kern w:val="0"/>
          <w:szCs w:val="21"/>
          <w:highlight w:val="none"/>
        </w:rPr>
        <w:t>。</w:t>
      </w:r>
    </w:p>
    <w:p w14:paraId="40B623E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承包人提供文件的期限：</w:t>
      </w:r>
    </w:p>
    <w:p w14:paraId="2D44CD0C">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方案应在专项方案实施7日前通过审查（含专家论证）。施工组织设计和专项方案经监理人审批同意后执行。承包人应接受监理人、发包人对其提交的施工组织设计和专项方案中不合理的工期安排及技术措施、方案的修改意见，并修改完善后重新报批，直至获得批准</w:t>
      </w:r>
      <w:r>
        <w:rPr>
          <w:rFonts w:hint="eastAsia" w:ascii="宋体" w:hAnsi="宋体" w:cs="宋体"/>
          <w:color w:val="auto"/>
          <w:kern w:val="0"/>
          <w:szCs w:val="21"/>
          <w:highlight w:val="none"/>
        </w:rPr>
        <w:t>。</w:t>
      </w:r>
    </w:p>
    <w:p w14:paraId="1E1CD246">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每月  日前报送上月工程进度完成报表</w:t>
      </w:r>
      <w:r>
        <w:rPr>
          <w:rFonts w:hint="eastAsia" w:ascii="宋体" w:hAnsi="宋体" w:cs="宋体"/>
          <w:color w:val="auto"/>
          <w:kern w:val="0"/>
          <w:szCs w:val="21"/>
          <w:highlight w:val="none"/>
        </w:rPr>
        <w:t>。</w:t>
      </w:r>
    </w:p>
    <w:p w14:paraId="01633F74">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u w:val="single"/>
        </w:rPr>
        <w:t>合同另有约定的,按照其约定</w:t>
      </w:r>
      <w:r>
        <w:rPr>
          <w:rFonts w:hint="eastAsia" w:ascii="宋体" w:hAnsi="宋体" w:cs="宋体"/>
          <w:color w:val="auto"/>
          <w:kern w:val="0"/>
          <w:szCs w:val="21"/>
          <w:highlight w:val="none"/>
        </w:rPr>
        <w:t>。</w:t>
      </w:r>
    </w:p>
    <w:p w14:paraId="78CD433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承包人提供的文件的形式：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14:paraId="4205B7C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承包人提供的文件的费用：</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14:paraId="5215141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发包人审批承包人文件的期限：</w:t>
      </w:r>
      <w:r>
        <w:rPr>
          <w:rFonts w:hint="eastAsia" w:ascii="宋体" w:hAnsi="宋体" w:cs="宋体"/>
          <w:color w:val="auto"/>
          <w:kern w:val="0"/>
          <w:szCs w:val="21"/>
          <w:highlight w:val="none"/>
          <w:u w:val="single"/>
        </w:rPr>
        <w:t>收到后14天内；合同另有约定的，从其约定</w:t>
      </w:r>
      <w:r>
        <w:rPr>
          <w:rFonts w:hint="eastAsia" w:ascii="宋体" w:hAnsi="宋体" w:cs="宋体"/>
          <w:color w:val="auto"/>
          <w:kern w:val="0"/>
          <w:szCs w:val="21"/>
          <w:highlight w:val="none"/>
        </w:rPr>
        <w:t>。</w:t>
      </w:r>
    </w:p>
    <w:p w14:paraId="25C2EE72">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监理人、发包人的修改意见和审批，不免除或减轻承包人对该工作、工程、材料、工程设备等应承担的责任和义务。</w:t>
      </w:r>
    </w:p>
    <w:p w14:paraId="23C5870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1.6.4 图纸的错误</w:t>
      </w:r>
    </w:p>
    <w:p w14:paraId="27B0906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32949CD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承包人不得利用图纸的差错、遗漏或缺陷，从中获得不正当的利益。</w:t>
      </w:r>
    </w:p>
    <w:p w14:paraId="488C0EFB">
      <w:pPr>
        <w:pStyle w:val="2"/>
        <w:rPr>
          <w:rFonts w:hint="eastAsia" w:ascii="宋体" w:hAnsi="宋体" w:cs="宋体"/>
          <w:color w:val="auto"/>
          <w:szCs w:val="21"/>
          <w:highlight w:val="none"/>
        </w:rPr>
      </w:pPr>
      <w:bookmarkStart w:id="50" w:name="_Toc221951129"/>
      <w:r>
        <w:rPr>
          <w:rFonts w:hint="eastAsia" w:ascii="宋体" w:hAnsi="宋体" w:cs="宋体"/>
          <w:color w:val="auto"/>
          <w:szCs w:val="21"/>
          <w:highlight w:val="none"/>
        </w:rPr>
        <w:t>1.7  联络</w:t>
      </w:r>
      <w:bookmarkEnd w:id="50"/>
    </w:p>
    <w:p w14:paraId="0444223D">
      <w:pPr>
        <w:snapToGrid w:val="0"/>
        <w:spacing w:line="360" w:lineRule="auto"/>
        <w:ind w:firstLine="420" w:firstLineChars="200"/>
        <w:rPr>
          <w:rFonts w:hint="eastAsia" w:ascii="宋体" w:hAnsi="宋体" w:cs="宋体"/>
          <w:color w:val="auto"/>
          <w:kern w:val="0"/>
          <w:szCs w:val="21"/>
          <w:highlight w:val="none"/>
        </w:rPr>
      </w:pPr>
      <w:bookmarkStart w:id="51" w:name="_Toc221951130"/>
      <w:r>
        <w:rPr>
          <w:rFonts w:hint="eastAsia" w:ascii="宋体" w:hAnsi="宋体" w:cs="宋体"/>
          <w:color w:val="auto"/>
          <w:kern w:val="0"/>
          <w:szCs w:val="21"/>
          <w:highlight w:val="none"/>
        </w:rPr>
        <w:t>1.7.1 发包人和承包人应当在</w:t>
      </w:r>
      <w:r>
        <w:rPr>
          <w:rFonts w:hint="eastAsia" w:ascii="宋体" w:hAnsi="宋体" w:cs="宋体"/>
          <w:color w:val="auto"/>
          <w:kern w:val="0"/>
          <w:szCs w:val="21"/>
          <w:highlight w:val="none"/>
          <w:u w:val="single"/>
        </w:rPr>
        <w:t>1</w:t>
      </w:r>
      <w:r>
        <w:rPr>
          <w:rFonts w:hint="eastAsia" w:ascii="宋体" w:hAnsi="宋体" w:cs="宋体"/>
          <w:color w:val="auto"/>
          <w:kern w:val="0"/>
          <w:szCs w:val="21"/>
          <w:highlight w:val="none"/>
        </w:rPr>
        <w:t>天内将与合同有关的通知、批准、证明、证书、指示、指令、要求、请求、同意、意见、确定和决定等书面函件送达对方当事人，并办理书面签收手续。</w:t>
      </w:r>
    </w:p>
    <w:p w14:paraId="68D03153">
      <w:pPr>
        <w:tabs>
          <w:tab w:val="left" w:pos="7513"/>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207127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436521C">
      <w:pPr>
        <w:tabs>
          <w:tab w:val="left" w:pos="7513"/>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A7FD5D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F771078">
      <w:pPr>
        <w:tabs>
          <w:tab w:val="left" w:pos="7371"/>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49515DF">
      <w:pPr>
        <w:tabs>
          <w:tab w:val="left" w:pos="7371"/>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bookmarkEnd w:id="51"/>
    </w:p>
    <w:p w14:paraId="0069C97E">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1.9 严禁贿赂</w:t>
      </w:r>
    </w:p>
    <w:p w14:paraId="6AFF2C5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本款补充如下：</w:t>
      </w:r>
    </w:p>
    <w:p w14:paraId="49E11BD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在合同执行过程中，发包人和承包人应严格履行附件7《重庆市水利工程建设廉政合同》。</w:t>
      </w:r>
    </w:p>
    <w:p w14:paraId="0A7B8B4D">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本条补充1.13、1.14款如下：</w:t>
      </w:r>
    </w:p>
    <w:p w14:paraId="724748C4">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1.13 知识产权</w:t>
      </w:r>
    </w:p>
    <w:p w14:paraId="30A0CC85">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szCs w:val="21"/>
          <w:highlight w:val="none"/>
          <w:u w:val="single"/>
        </w:rPr>
        <w:t>属于发包人。</w:t>
      </w:r>
    </w:p>
    <w:p w14:paraId="07162CA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关于发包人提供的上述文件的使用限制的要求：</w:t>
      </w:r>
      <w:r>
        <w:rPr>
          <w:rFonts w:hint="eastAsia" w:ascii="宋体" w:hAnsi="宋体" w:cs="宋体"/>
          <w:color w:val="auto"/>
          <w:kern w:val="0"/>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4428BA4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1.13.2 承包人为实施工程所编制的文件，除署名权以外的著作权属于发包人，承包人可因实施工程的运行、调试、维修、改造等目的而复制、使用此类文件，但不能用于与合同无关的其他事项。</w:t>
      </w:r>
    </w:p>
    <w:p w14:paraId="48B9967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1.13.3 合同当事人保证在履行合同过程中不侵犯对方及第三方的知识产权。</w:t>
      </w:r>
    </w:p>
    <w:p w14:paraId="21D89E51">
      <w:pPr>
        <w:keepNext/>
        <w:keepLines/>
        <w:snapToGrid w:val="0"/>
        <w:spacing w:line="600" w:lineRule="exact"/>
        <w:ind w:firstLine="420" w:firstLineChars="200"/>
        <w:outlineLvl w:val="3"/>
        <w:rPr>
          <w:rFonts w:ascii="宋体" w:hAnsi="宋体" w:cs="宋体"/>
          <w:color w:val="auto"/>
          <w:szCs w:val="21"/>
          <w:highlight w:val="none"/>
        </w:rPr>
      </w:pPr>
      <w:bookmarkStart w:id="52" w:name="_Toc532377330"/>
      <w:r>
        <w:rPr>
          <w:rFonts w:hint="eastAsia" w:ascii="宋体" w:hAnsi="宋体" w:cs="宋体"/>
          <w:color w:val="auto"/>
          <w:szCs w:val="21"/>
          <w:highlight w:val="none"/>
        </w:rPr>
        <w:t>1.14工程量清单错误的修正</w:t>
      </w:r>
      <w:bookmarkEnd w:id="52"/>
    </w:p>
    <w:p w14:paraId="183F123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002C44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5C4E0E45">
      <w:pPr>
        <w:spacing w:line="360" w:lineRule="auto"/>
        <w:ind w:firstLine="420" w:firstLineChars="200"/>
        <w:jc w:val="left"/>
        <w:rPr>
          <w:rFonts w:hint="eastAsia"/>
          <w:color w:val="auto"/>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9EF791E">
      <w:pPr>
        <w:pStyle w:val="5"/>
        <w:spacing w:line="360" w:lineRule="auto"/>
        <w:rPr>
          <w:rFonts w:hint="eastAsia" w:ascii="宋体" w:hAnsi="宋体" w:cs="宋体"/>
          <w:color w:val="auto"/>
          <w:sz w:val="21"/>
          <w:szCs w:val="21"/>
          <w:highlight w:val="none"/>
        </w:rPr>
      </w:pPr>
      <w:bookmarkStart w:id="53" w:name="_Toc221951131"/>
      <w:bookmarkStart w:id="54" w:name="_Toc222033879"/>
      <w:bookmarkStart w:id="55" w:name="_Toc222029528"/>
      <w:bookmarkStart w:id="56" w:name="_Toc222031030"/>
      <w:bookmarkStart w:id="57" w:name="_Toc59810405"/>
      <w:bookmarkStart w:id="58" w:name="_Toc229305388"/>
      <w:bookmarkStart w:id="59" w:name="_Toc33183711"/>
      <w:bookmarkStart w:id="60" w:name="_Toc222032697"/>
      <w:r>
        <w:rPr>
          <w:rFonts w:hint="eastAsia" w:ascii="宋体" w:hAnsi="宋体" w:cs="宋体"/>
          <w:color w:val="auto"/>
          <w:sz w:val="21"/>
          <w:szCs w:val="21"/>
          <w:highlight w:val="none"/>
        </w:rPr>
        <w:t>2.发包人义务</w:t>
      </w:r>
      <w:bookmarkEnd w:id="53"/>
      <w:bookmarkEnd w:id="54"/>
      <w:bookmarkEnd w:id="55"/>
      <w:bookmarkEnd w:id="56"/>
      <w:bookmarkEnd w:id="57"/>
      <w:bookmarkEnd w:id="58"/>
      <w:bookmarkEnd w:id="59"/>
      <w:bookmarkEnd w:id="60"/>
    </w:p>
    <w:p w14:paraId="1F1CE93E">
      <w:pPr>
        <w:keepNext/>
        <w:keepLines/>
        <w:snapToGrid w:val="0"/>
        <w:spacing w:line="600" w:lineRule="exact"/>
        <w:ind w:firstLine="420" w:firstLineChars="200"/>
        <w:outlineLvl w:val="3"/>
        <w:rPr>
          <w:rFonts w:hint="eastAsia" w:ascii="宋体" w:hAnsi="宋体" w:cs="宋体"/>
          <w:color w:val="auto"/>
          <w:szCs w:val="21"/>
          <w:highlight w:val="none"/>
        </w:rPr>
      </w:pPr>
      <w:bookmarkStart w:id="61" w:name="_Toc221951132"/>
      <w:bookmarkStart w:id="62" w:name="_Toc33183712"/>
      <w:r>
        <w:rPr>
          <w:rFonts w:hint="eastAsia" w:ascii="宋体" w:hAnsi="宋体" w:cs="宋体"/>
          <w:color w:val="auto"/>
          <w:szCs w:val="21"/>
          <w:highlight w:val="none"/>
        </w:rPr>
        <w:t>2.3  提供施工场地</w:t>
      </w:r>
      <w:bookmarkEnd w:id="61"/>
      <w:bookmarkEnd w:id="62"/>
    </w:p>
    <w:p w14:paraId="52E47E31">
      <w:pPr>
        <w:adjustRightInd w:val="0"/>
        <w:snapToGrid w:val="0"/>
        <w:spacing w:line="360" w:lineRule="auto"/>
        <w:ind w:firstLine="420" w:firstLineChars="200"/>
        <w:rPr>
          <w:rFonts w:hint="eastAsia" w:ascii="宋体" w:hAnsi="宋体" w:cs="宋体"/>
          <w:b/>
          <w:bCs/>
          <w:color w:val="auto"/>
          <w:szCs w:val="21"/>
          <w:highlight w:val="none"/>
        </w:rPr>
      </w:pPr>
      <w:bookmarkStart w:id="63" w:name="_Toc221951133"/>
      <w:r>
        <w:rPr>
          <w:rFonts w:hint="eastAsia" w:ascii="宋体" w:hAnsi="宋体" w:cs="宋体"/>
          <w:color w:val="auto"/>
          <w:szCs w:val="21"/>
          <w:highlight w:val="none"/>
        </w:rPr>
        <w:t>2.3.2发包人提供的施工场地范围为：</w:t>
      </w:r>
      <w:bookmarkEnd w:id="63"/>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rPr>
        <w:t>。</w:t>
      </w:r>
      <w:r>
        <w:rPr>
          <w:rFonts w:hint="eastAsia" w:ascii="宋体" w:hAnsi="宋体" w:cs="宋体"/>
          <w:color w:val="auto"/>
          <w:kern w:val="0"/>
          <w:szCs w:val="21"/>
          <w:highlight w:val="none"/>
        </w:rPr>
        <w:t>施工场地的提供采用以下第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种方式：</w:t>
      </w:r>
      <w:r>
        <w:rPr>
          <w:rFonts w:hint="eastAsia" w:ascii="宋体" w:hAnsi="宋体" w:cs="宋体"/>
          <w:b/>
          <w:bCs/>
          <w:color w:val="auto"/>
          <w:szCs w:val="21"/>
          <w:highlight w:val="none"/>
        </w:rPr>
        <w:t xml:space="preserve">  </w:t>
      </w:r>
    </w:p>
    <w:p w14:paraId="2278C6E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（1）一次提供全部施工场地：发包人于</w:t>
      </w:r>
      <w:r>
        <w:rPr>
          <w:rFonts w:hint="eastAsia" w:ascii="宋体" w:hAnsi="宋体" w:cs="宋体"/>
          <w:color w:val="auto"/>
          <w:kern w:val="0"/>
          <w:szCs w:val="21"/>
          <w:highlight w:val="none"/>
          <w:u w:val="single"/>
        </w:rPr>
        <w:t>开工</w:t>
      </w:r>
      <w:r>
        <w:rPr>
          <w:rFonts w:hint="eastAsia" w:ascii="宋体" w:hAnsi="宋体" w:cs="宋体"/>
          <w:color w:val="auto"/>
          <w:kern w:val="0"/>
          <w:szCs w:val="21"/>
          <w:highlight w:val="none"/>
        </w:rPr>
        <w:t>前向承包人提供合同工程用地范围内的施工场地。</w:t>
      </w:r>
    </w:p>
    <w:p w14:paraId="605EBDE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（2）分次提供全部施工场地：</w:t>
      </w:r>
      <w:r>
        <w:rPr>
          <w:rFonts w:hint="eastAsia" w:ascii="宋体" w:hAnsi="宋体" w:cs="宋体"/>
          <w:color w:val="auto"/>
          <w:kern w:val="0"/>
          <w:szCs w:val="21"/>
          <w:highlight w:val="none"/>
          <w:u w:val="single"/>
        </w:rPr>
        <w:t>发包人按约定的时间分次向承包人提供合同工程用地范围内的施工场地</w:t>
      </w:r>
      <w:r>
        <w:rPr>
          <w:rFonts w:hint="eastAsia" w:ascii="宋体" w:hAnsi="宋体" w:cs="宋体"/>
          <w:color w:val="auto"/>
          <w:kern w:val="0"/>
          <w:szCs w:val="21"/>
          <w:highlight w:val="none"/>
        </w:rPr>
        <w:t>。</w:t>
      </w:r>
    </w:p>
    <w:p w14:paraId="6DA72D1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承包人编制的施工组织计划已充分考虑了施工场地提供的因素</w:t>
      </w:r>
      <w:r>
        <w:rPr>
          <w:rFonts w:hint="eastAsia" w:ascii="宋体" w:hAnsi="宋体" w:cs="宋体"/>
          <w:color w:val="auto"/>
          <w:kern w:val="0"/>
          <w:szCs w:val="21"/>
          <w:highlight w:val="none"/>
        </w:rPr>
        <w:t>。</w:t>
      </w:r>
    </w:p>
    <w:p w14:paraId="5D7D2359">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2.3.3承包人自行勘察的施工场地范围为：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D078CE">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本项补充2.3.4、2.3.5项如下：：</w:t>
      </w:r>
    </w:p>
    <w:p w14:paraId="495F77D4">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2.3.4关于发包人负责提供施工场地的要求：发包人负责办理施工场地的征用及与之有关的拆迁赔偿手续并承担相关费用。承包人在按10.1款规定提交施工进度计划的同时，应向监理人提交一份按施工先后次序所需的施工场地计划。监理人应在收到此计划后的</w:t>
      </w:r>
      <w:r>
        <w:rPr>
          <w:rFonts w:hint="eastAsia" w:ascii="宋体" w:hAnsi="宋体" w:cs="宋体"/>
          <w:color w:val="auto"/>
          <w:kern w:val="0"/>
          <w:szCs w:val="21"/>
          <w:highlight w:val="none"/>
          <w:u w:val="single"/>
        </w:rPr>
        <w:t>7</w:t>
      </w:r>
      <w:r>
        <w:rPr>
          <w:rFonts w:hint="eastAsia" w:ascii="宋体" w:hAnsi="宋体" w:cs="宋体"/>
          <w:color w:val="auto"/>
          <w:kern w:val="0"/>
          <w:szCs w:val="21"/>
          <w:highlight w:val="none"/>
        </w:rPr>
        <w:t>天内审核并转报发包人核备。发包人应在监理人发出本工程或分部工程开工通知之前，对承包人开工所需的施工场地办妥征用手续和相关拆迁赔偿手续，移交承包人使用，以使承包人能够及时开工；此后按承包人提交并经监理人同意的合同进度计划的安排，分期（也可以一次）将施工所需的其余施工场地办妥征用以及拆迁赔偿手续，移交承包人使用，以使承包人能够连续不间断地施工。由于承包人施工考虑不周或措施不当等原因而造成的超计划占地或拆迁等所发生的征用和赔偿费用，应由承包人承担。</w:t>
      </w:r>
    </w:p>
    <w:p w14:paraId="323F3C3B">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2.3.5关于发包人应负责提供其他施工所需要条件的要求：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DFDED74">
      <w:pPr>
        <w:keepNext/>
        <w:keepLines/>
        <w:snapToGrid w:val="0"/>
        <w:spacing w:line="600" w:lineRule="exact"/>
        <w:ind w:firstLine="420" w:firstLineChars="200"/>
        <w:outlineLvl w:val="3"/>
        <w:rPr>
          <w:rFonts w:hint="eastAsia" w:ascii="宋体" w:hAnsi="宋体" w:cs="宋体"/>
          <w:color w:val="auto"/>
          <w:szCs w:val="21"/>
          <w:highlight w:val="none"/>
        </w:rPr>
      </w:pPr>
      <w:bookmarkStart w:id="64" w:name="_Toc221951134"/>
      <w:bookmarkStart w:id="65" w:name="_Toc33183713"/>
      <w:r>
        <w:rPr>
          <w:rFonts w:hint="eastAsia" w:ascii="宋体" w:hAnsi="宋体" w:cs="宋体"/>
          <w:color w:val="auto"/>
          <w:szCs w:val="21"/>
          <w:highlight w:val="none"/>
        </w:rPr>
        <w:t>2.8  其它义务</w:t>
      </w:r>
      <w:bookmarkEnd w:id="64"/>
      <w:bookmarkEnd w:id="65"/>
      <w:r>
        <w:rPr>
          <w:rFonts w:hint="eastAsia" w:ascii="宋体" w:hAnsi="宋体" w:cs="宋体"/>
          <w:color w:val="auto"/>
          <w:szCs w:val="21"/>
          <w:highlight w:val="none"/>
        </w:rPr>
        <w:t xml:space="preserve">  </w:t>
      </w:r>
    </w:p>
    <w:p w14:paraId="16DBCC93">
      <w:pPr>
        <w:snapToGrid w:val="0"/>
        <w:spacing w:line="360" w:lineRule="auto"/>
        <w:ind w:firstLine="480"/>
        <w:rPr>
          <w:rFonts w:ascii="宋体" w:hAnsi="宋体" w:cs="宋体"/>
          <w:color w:val="auto"/>
          <w:szCs w:val="21"/>
          <w:highlight w:val="none"/>
        </w:rPr>
      </w:pPr>
      <w:bookmarkStart w:id="66" w:name="_Toc221951135"/>
      <w:r>
        <w:rPr>
          <w:rFonts w:hint="eastAsia" w:ascii="宋体" w:hAnsi="宋体" w:cs="宋体"/>
          <w:color w:val="auto"/>
          <w:szCs w:val="21"/>
          <w:highlight w:val="none"/>
        </w:rPr>
        <w:t xml:space="preserve"> </w:t>
      </w:r>
      <w:bookmarkEnd w:id="66"/>
      <w:r>
        <w:rPr>
          <w:rFonts w:hint="eastAsia" w:ascii="宋体" w:hAnsi="宋体" w:cs="宋体"/>
          <w:color w:val="auto"/>
          <w:szCs w:val="21"/>
          <w:highlight w:val="none"/>
        </w:rPr>
        <w:t>本款补充2.8.1</w:t>
      </w:r>
      <w:r>
        <w:rPr>
          <w:rFonts w:hint="eastAsia" w:ascii="宋体" w:hAnsi="宋体" w:cs="宋体"/>
          <w:color w:val="auto"/>
          <w:kern w:val="0"/>
          <w:szCs w:val="21"/>
          <w:highlight w:val="none"/>
        </w:rPr>
        <w:t>～</w:t>
      </w:r>
      <w:r>
        <w:rPr>
          <w:rFonts w:hint="eastAsia" w:ascii="宋体" w:hAnsi="宋体" w:cs="宋体"/>
          <w:color w:val="auto"/>
          <w:szCs w:val="21"/>
          <w:highlight w:val="none"/>
        </w:rPr>
        <w:t>2.8.4项：</w:t>
      </w:r>
    </w:p>
    <w:p w14:paraId="6DD34DB8">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szCs w:val="21"/>
          <w:highlight w:val="none"/>
        </w:rPr>
        <w:t>2.8.1</w:t>
      </w:r>
      <w:r>
        <w:rPr>
          <w:rFonts w:hint="eastAsia" w:ascii="宋体" w:hAnsi="宋体" w:cs="宋体"/>
          <w:color w:val="auto"/>
          <w:kern w:val="0"/>
          <w:szCs w:val="21"/>
          <w:highlight w:val="none"/>
        </w:rPr>
        <w:t>发包人代表</w:t>
      </w:r>
    </w:p>
    <w:p w14:paraId="5E31E35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发包人代表：</w:t>
      </w:r>
    </w:p>
    <w:p w14:paraId="47A3CB4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71149E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7F52BA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职    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3A1F8D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2EDED9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817C10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邮    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ECB0EB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发包人对发包人代表的授权范围如下：</w:t>
      </w:r>
      <w:r>
        <w:rPr>
          <w:rFonts w:hint="eastAsia" w:ascii="宋体" w:hAnsi="宋体" w:cs="宋体"/>
          <w:color w:val="auto"/>
          <w:kern w:val="0"/>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s="宋体"/>
          <w:color w:val="auto"/>
          <w:kern w:val="0"/>
          <w:szCs w:val="21"/>
          <w:highlight w:val="none"/>
        </w:rPr>
        <w:t>。</w:t>
      </w:r>
    </w:p>
    <w:p w14:paraId="04A1C6FA">
      <w:pPr>
        <w:keepNext/>
        <w:keepLines/>
        <w:spacing w:line="360" w:lineRule="auto"/>
        <w:ind w:firstLine="420" w:firstLineChars="200"/>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2.8.2 资金来源证明及支付担保</w:t>
      </w:r>
    </w:p>
    <w:p w14:paraId="1CBD845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发包人提供资金来源证明的期限要求：</w:t>
      </w:r>
      <w:r>
        <w:rPr>
          <w:rFonts w:hint="eastAsia" w:ascii="宋体" w:hAnsi="宋体" w:cs="宋体"/>
          <w:color w:val="auto"/>
          <w:kern w:val="0"/>
          <w:szCs w:val="21"/>
          <w:highlight w:val="none"/>
          <w:u w:val="single"/>
        </w:rPr>
        <w:t>不采用</w:t>
      </w:r>
      <w:r>
        <w:rPr>
          <w:rFonts w:hint="eastAsia" w:ascii="宋体" w:hAnsi="宋体" w:cs="宋体"/>
          <w:color w:val="auto"/>
          <w:kern w:val="0"/>
          <w:szCs w:val="21"/>
          <w:highlight w:val="none"/>
        </w:rPr>
        <w:t>。</w:t>
      </w:r>
    </w:p>
    <w:p w14:paraId="49DEC85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发包人是否提供支付担保：</w:t>
      </w:r>
      <w:r>
        <w:rPr>
          <w:rFonts w:hint="eastAsia" w:ascii="宋体" w:hAnsi="宋体" w:cs="宋体"/>
          <w:color w:val="auto"/>
          <w:kern w:val="0"/>
          <w:szCs w:val="21"/>
          <w:highlight w:val="none"/>
          <w:u w:val="single"/>
        </w:rPr>
        <w:t>提供</w:t>
      </w:r>
      <w:r>
        <w:rPr>
          <w:rFonts w:hint="eastAsia" w:ascii="宋体" w:hAnsi="宋体" w:cs="宋体"/>
          <w:color w:val="auto"/>
          <w:kern w:val="0"/>
          <w:szCs w:val="21"/>
          <w:highlight w:val="none"/>
        </w:rPr>
        <w:t>。</w:t>
      </w:r>
    </w:p>
    <w:p w14:paraId="31E1A5E5">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发包人提供支付担保的形式：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1A4B43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95CF54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6B8B8C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150F35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BCDF968">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2.8.3组织竣工验收</w:t>
      </w:r>
    </w:p>
    <w:p w14:paraId="489AFDF9">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发包人应按合同约定及时组织法人验收，配合政府验收。</w:t>
      </w:r>
    </w:p>
    <w:p w14:paraId="3812937C">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2.8.4其他义务</w:t>
      </w:r>
    </w:p>
    <w:p w14:paraId="2579CF61">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（1）与承包人签订《重庆市水利工程建设安全生产合同》、《重庆市水利工程建设廉政合同》、《按期支付农民工工资合同》。</w:t>
      </w:r>
    </w:p>
    <w:p w14:paraId="58025443">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（2）施工场地征用、搬迁和移民安置由发包人负责。</w:t>
      </w:r>
    </w:p>
    <w:p w14:paraId="1CA5D2E1">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由于发包人未能按照本项规定办妥永久征地征用手续，影响承包人及时使用施工场地造成的费用增加和（或）工期延误应由发包人承担。由于承包人未能按照本项规定提交施工场地计划，影响发包人办理施工场地征用手续造成的费用增加和（或）工期延误由承包人承担。</w:t>
      </w:r>
    </w:p>
    <w:p w14:paraId="3B2F36CE">
      <w:pPr>
        <w:pStyle w:val="5"/>
        <w:spacing w:line="360" w:lineRule="auto"/>
        <w:rPr>
          <w:rFonts w:hint="eastAsia" w:ascii="宋体" w:hAnsi="宋体" w:cs="宋体"/>
          <w:color w:val="auto"/>
          <w:sz w:val="21"/>
          <w:szCs w:val="21"/>
          <w:highlight w:val="none"/>
        </w:rPr>
      </w:pPr>
      <w:bookmarkStart w:id="67" w:name="_Toc222029529"/>
      <w:bookmarkStart w:id="68" w:name="_Toc221951140"/>
      <w:bookmarkStart w:id="69" w:name="_Toc222032698"/>
      <w:bookmarkStart w:id="70" w:name="_Toc33183714"/>
      <w:bookmarkStart w:id="71" w:name="_Toc229305389"/>
      <w:bookmarkStart w:id="72" w:name="_Toc59810406"/>
      <w:bookmarkStart w:id="73" w:name="_Toc222033880"/>
      <w:bookmarkStart w:id="74" w:name="_Toc222031031"/>
      <w:r>
        <w:rPr>
          <w:rFonts w:hint="eastAsia" w:ascii="宋体" w:hAnsi="宋体" w:cs="宋体"/>
          <w:color w:val="auto"/>
          <w:sz w:val="21"/>
          <w:szCs w:val="21"/>
          <w:highlight w:val="none"/>
        </w:rPr>
        <w:t>3.监理人</w:t>
      </w:r>
      <w:bookmarkEnd w:id="67"/>
      <w:bookmarkEnd w:id="68"/>
      <w:bookmarkEnd w:id="69"/>
      <w:bookmarkEnd w:id="70"/>
      <w:bookmarkEnd w:id="71"/>
      <w:bookmarkEnd w:id="72"/>
      <w:bookmarkEnd w:id="73"/>
      <w:bookmarkEnd w:id="74"/>
    </w:p>
    <w:p w14:paraId="20E9EEE1">
      <w:pPr>
        <w:keepNext/>
        <w:keepLines/>
        <w:snapToGrid w:val="0"/>
        <w:spacing w:line="600" w:lineRule="exact"/>
        <w:ind w:firstLine="420" w:firstLineChars="200"/>
        <w:outlineLvl w:val="3"/>
        <w:rPr>
          <w:rFonts w:hint="eastAsia" w:ascii="宋体" w:hAnsi="宋体" w:cs="宋体"/>
          <w:color w:val="auto"/>
          <w:szCs w:val="21"/>
          <w:highlight w:val="none"/>
        </w:rPr>
      </w:pPr>
      <w:bookmarkStart w:id="75" w:name="_Toc221951141"/>
      <w:bookmarkStart w:id="76" w:name="_Toc33183715"/>
      <w:r>
        <w:rPr>
          <w:rFonts w:hint="eastAsia" w:ascii="宋体" w:hAnsi="宋体" w:cs="宋体"/>
          <w:color w:val="auto"/>
          <w:szCs w:val="21"/>
          <w:highlight w:val="none"/>
        </w:rPr>
        <w:t>3.1  监理人的职责和权力</w:t>
      </w:r>
      <w:bookmarkEnd w:id="75"/>
      <w:bookmarkEnd w:id="76"/>
    </w:p>
    <w:p w14:paraId="05C4C7E6">
      <w:pPr>
        <w:pStyle w:val="2"/>
        <w:spacing w:line="360" w:lineRule="auto"/>
        <w:ind w:firstLine="420" w:firstLineChars="200"/>
        <w:rPr>
          <w:rFonts w:hint="eastAsia" w:ascii="宋体" w:hAnsi="宋体" w:cs="宋体"/>
          <w:color w:val="auto"/>
          <w:kern w:val="0"/>
          <w:szCs w:val="21"/>
          <w:highlight w:val="none"/>
          <w:u w:val="single"/>
        </w:rPr>
      </w:pPr>
      <w:bookmarkStart w:id="77" w:name="_Toc221951142"/>
      <w:r>
        <w:rPr>
          <w:rFonts w:hint="eastAsia" w:ascii="宋体" w:hAnsi="宋体" w:cs="宋体"/>
          <w:color w:val="auto"/>
          <w:kern w:val="0"/>
          <w:szCs w:val="21"/>
          <w:highlight w:val="none"/>
        </w:rPr>
        <w:t>3.1.1</w:t>
      </w:r>
      <w:bookmarkEnd w:id="77"/>
      <w:r>
        <w:rPr>
          <w:rFonts w:hint="eastAsia" w:ascii="宋体" w:hAnsi="宋体" w:cs="宋体"/>
          <w:color w:val="auto"/>
          <w:kern w:val="0"/>
          <w:szCs w:val="21"/>
          <w:highlight w:val="none"/>
        </w:rPr>
        <w:t>　</w:t>
      </w:r>
      <w:bookmarkStart w:id="78" w:name="_Toc221951143"/>
      <w:r>
        <w:rPr>
          <w:rFonts w:hint="eastAsia" w:ascii="宋体" w:hAnsi="宋体" w:cs="宋体"/>
          <w:color w:val="auto"/>
          <w:kern w:val="0"/>
          <w:szCs w:val="21"/>
          <w:highlight w:val="none"/>
        </w:rPr>
        <w:t>监理人须根据发包人事先批准的权力范围行使权力，发包人批准的权力范围：</w:t>
      </w:r>
      <w:bookmarkEnd w:id="78"/>
      <w:bookmarkStart w:id="79" w:name="_Toc221951144"/>
      <w:r>
        <w:rPr>
          <w:rFonts w:hint="eastAsia" w:ascii="宋体" w:hAnsi="宋体" w:cs="宋体"/>
          <w:color w:val="auto"/>
          <w:kern w:val="0"/>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见发包人与监理人就本工程签订的监理合同；任何涉及费用确定和（或）工期调整，或者设计变更，或者变更估价，或者涉及经济责任的事项，监理工程师在发出指令或通知前，须征得发包人同意。</w:t>
      </w:r>
    </w:p>
    <w:p w14:paraId="267DDBC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关于监理人的监理内容：</w:t>
      </w:r>
      <w:r>
        <w:rPr>
          <w:rFonts w:hint="eastAsia" w:ascii="宋体" w:hAnsi="宋体" w:cs="宋体"/>
          <w:color w:val="auto"/>
          <w:kern w:val="0"/>
          <w:szCs w:val="21"/>
          <w:highlight w:val="none"/>
          <w:u w:val="single"/>
        </w:rPr>
        <w:t>见发包人与监理人就本工程签订的监理合同</w:t>
      </w:r>
      <w:r>
        <w:rPr>
          <w:rFonts w:hint="eastAsia" w:ascii="宋体" w:hAnsi="宋体" w:cs="宋体"/>
          <w:color w:val="auto"/>
          <w:kern w:val="0"/>
          <w:szCs w:val="21"/>
          <w:highlight w:val="none"/>
        </w:rPr>
        <w:t>。</w:t>
      </w:r>
    </w:p>
    <w:p w14:paraId="76DA4D39">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关于监理人在施工现场的办公场所、生活场所的提供和费用承担的约定：</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w:t>
      </w:r>
    </w:p>
    <w:bookmarkEnd w:id="79"/>
    <w:p w14:paraId="22874B2E">
      <w:pPr>
        <w:keepNext/>
        <w:keepLines/>
        <w:snapToGrid w:val="0"/>
        <w:spacing w:line="600" w:lineRule="exact"/>
        <w:ind w:firstLine="420" w:firstLineChars="200"/>
        <w:outlineLvl w:val="3"/>
        <w:rPr>
          <w:rFonts w:hint="eastAsia" w:ascii="宋体" w:hAnsi="宋体" w:cs="宋体"/>
          <w:color w:val="auto"/>
          <w:szCs w:val="21"/>
          <w:highlight w:val="none"/>
        </w:rPr>
      </w:pPr>
      <w:bookmarkStart w:id="80" w:name="_Toc33183716"/>
      <w:r>
        <w:rPr>
          <w:rFonts w:hint="eastAsia" w:ascii="宋体" w:hAnsi="宋体" w:cs="宋体"/>
          <w:color w:val="auto"/>
          <w:kern w:val="0"/>
          <w:szCs w:val="21"/>
          <w:highlight w:val="none"/>
        </w:rPr>
        <w:t>3.2总</w:t>
      </w:r>
      <w:r>
        <w:rPr>
          <w:rFonts w:hint="eastAsia" w:ascii="宋体" w:hAnsi="宋体" w:cs="宋体"/>
          <w:color w:val="auto"/>
          <w:szCs w:val="21"/>
          <w:highlight w:val="none"/>
        </w:rPr>
        <w:t>监理工程师</w:t>
      </w:r>
      <w:bookmarkEnd w:id="80"/>
    </w:p>
    <w:p w14:paraId="11DE68C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总监理工程师：</w:t>
      </w:r>
    </w:p>
    <w:p w14:paraId="33AB28D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314D41C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4EFB958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E50B69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                    </w:t>
      </w:r>
      <w:r>
        <w:rPr>
          <w:rFonts w:hint="eastAsia" w:ascii="宋体" w:hAnsi="宋体" w:cs="宋体"/>
          <w:color w:val="auto"/>
          <w:kern w:val="0"/>
          <w:szCs w:val="21"/>
          <w:highlight w:val="none"/>
        </w:rPr>
        <w:t>；</w:t>
      </w:r>
    </w:p>
    <w:p w14:paraId="1080F97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关于监理人的其他约定：</w:t>
      </w:r>
      <w:r>
        <w:rPr>
          <w:rFonts w:hint="eastAsia" w:ascii="宋体" w:hAnsi="宋体" w:cs="宋体"/>
          <w:color w:val="auto"/>
          <w:kern w:val="0"/>
          <w:szCs w:val="21"/>
          <w:highlight w:val="none"/>
          <w:u w:val="single"/>
        </w:rPr>
        <w:t>见发包人与监理人就本工程签订的监理合同</w:t>
      </w:r>
      <w:r>
        <w:rPr>
          <w:rFonts w:hint="eastAsia" w:ascii="宋体" w:hAnsi="宋体" w:cs="宋体"/>
          <w:color w:val="auto"/>
          <w:kern w:val="0"/>
          <w:szCs w:val="21"/>
          <w:highlight w:val="none"/>
        </w:rPr>
        <w:t>。</w:t>
      </w:r>
    </w:p>
    <w:p w14:paraId="2B790C99">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3.5 商定或确定</w:t>
      </w:r>
    </w:p>
    <w:p w14:paraId="6734885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在发包人和承包人不能通过协商达成一致意见时，发包人授权监理人对以下事项进行确定：</w:t>
      </w:r>
    </w:p>
    <w:p w14:paraId="3107133D">
      <w:pPr>
        <w:pStyle w:val="2"/>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w:t>
      </w:r>
    </w:p>
    <w:p w14:paraId="4868ACB6">
      <w:pPr>
        <w:pStyle w:val="2"/>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w:t>
      </w:r>
    </w:p>
    <w:p w14:paraId="48972A04">
      <w:pPr>
        <w:pStyle w:val="5"/>
        <w:spacing w:line="360" w:lineRule="auto"/>
        <w:rPr>
          <w:rFonts w:hint="eastAsia" w:ascii="宋体" w:hAnsi="宋体" w:cs="宋体"/>
          <w:color w:val="auto"/>
          <w:sz w:val="21"/>
          <w:szCs w:val="21"/>
          <w:highlight w:val="none"/>
        </w:rPr>
      </w:pPr>
      <w:bookmarkStart w:id="81" w:name="_Toc33183717"/>
      <w:bookmarkStart w:id="82" w:name="_Toc221951150"/>
      <w:bookmarkStart w:id="83" w:name="_Toc222033881"/>
      <w:bookmarkStart w:id="84" w:name="_Toc229305390"/>
      <w:bookmarkStart w:id="85" w:name="_Toc59810407"/>
      <w:bookmarkStart w:id="86" w:name="_Toc222031032"/>
      <w:bookmarkStart w:id="87" w:name="_Toc222032699"/>
      <w:bookmarkStart w:id="88" w:name="_Toc222029530"/>
      <w:r>
        <w:rPr>
          <w:rFonts w:hint="eastAsia" w:ascii="宋体" w:hAnsi="宋体" w:cs="宋体"/>
          <w:color w:val="auto"/>
          <w:sz w:val="21"/>
          <w:szCs w:val="21"/>
          <w:highlight w:val="none"/>
        </w:rPr>
        <w:t>4.承包人</w:t>
      </w:r>
      <w:bookmarkEnd w:id="81"/>
      <w:bookmarkEnd w:id="82"/>
      <w:bookmarkEnd w:id="83"/>
      <w:bookmarkEnd w:id="84"/>
      <w:bookmarkEnd w:id="85"/>
      <w:bookmarkEnd w:id="86"/>
      <w:bookmarkEnd w:id="87"/>
      <w:bookmarkEnd w:id="88"/>
    </w:p>
    <w:p w14:paraId="50E71F4A">
      <w:pPr>
        <w:keepNext/>
        <w:keepLines/>
        <w:snapToGrid w:val="0"/>
        <w:spacing w:line="600" w:lineRule="exact"/>
        <w:ind w:firstLine="420" w:firstLineChars="200"/>
        <w:outlineLvl w:val="3"/>
        <w:rPr>
          <w:rFonts w:hint="eastAsia" w:ascii="宋体" w:hAnsi="宋体" w:cs="宋体"/>
          <w:color w:val="auto"/>
          <w:szCs w:val="21"/>
          <w:highlight w:val="none"/>
        </w:rPr>
      </w:pPr>
      <w:bookmarkStart w:id="89" w:name="_Toc33183718"/>
      <w:bookmarkStart w:id="90" w:name="_Toc221951151"/>
      <w:r>
        <w:rPr>
          <w:rFonts w:hint="eastAsia" w:ascii="宋体" w:hAnsi="宋体" w:cs="宋体"/>
          <w:color w:val="auto"/>
          <w:szCs w:val="21"/>
          <w:highlight w:val="none"/>
        </w:rPr>
        <w:t>4.1  承包人的一般义务</w:t>
      </w:r>
      <w:bookmarkEnd w:id="89"/>
      <w:bookmarkEnd w:id="90"/>
    </w:p>
    <w:p w14:paraId="7235076E">
      <w:pPr>
        <w:snapToGrid w:val="0"/>
        <w:spacing w:line="360" w:lineRule="auto"/>
        <w:ind w:firstLine="420" w:firstLineChars="200"/>
        <w:rPr>
          <w:rFonts w:hint="eastAsia" w:ascii="宋体" w:hAnsi="宋体" w:cs="宋体"/>
          <w:color w:val="auto"/>
          <w:kern w:val="0"/>
          <w:szCs w:val="21"/>
          <w:highlight w:val="none"/>
        </w:rPr>
      </w:pPr>
      <w:bookmarkStart w:id="91" w:name="_Toc221951152"/>
      <w:r>
        <w:rPr>
          <w:rFonts w:hint="eastAsia" w:ascii="宋体" w:hAnsi="宋体" w:cs="宋体"/>
          <w:color w:val="auto"/>
          <w:kern w:val="0"/>
          <w:szCs w:val="21"/>
          <w:highlight w:val="none"/>
        </w:rPr>
        <w:t>4.1.3完成各项承包工作</w:t>
      </w:r>
    </w:p>
    <w:p w14:paraId="7800940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(1)办理法律规定和合同约定应由承包人办理的许可和批准，并将办理结果书面报送发包人留存；协助发包人办理施工所需的相关证件及手续。  </w:t>
      </w:r>
    </w:p>
    <w:p w14:paraId="1A3EA30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2A76924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(3)按法律规定和合同约定采取施工安全和环境保护措施，办理工伤保险，确保工程及人员、材料、设备和设施的安全。</w:t>
      </w:r>
    </w:p>
    <w:p w14:paraId="0158409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 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投标时施工组织设计的措施保障水平。</w:t>
      </w:r>
    </w:p>
    <w:p w14:paraId="1D545E1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按照约定采取施工安全措施，确保工程及其人员、材料、设备和设施的安全，防止因工程施工造成的人身伤害和财产损失。</w:t>
      </w:r>
    </w:p>
    <w:p w14:paraId="7D19D64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将发包人按合同约定支付的各项价款专用于合同工程，且应及时支付其雇用人员工资，并及时向分包人支付合同价款。</w:t>
      </w:r>
    </w:p>
    <w:p w14:paraId="7BF4269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承包人提交的竣工资料的内容：</w:t>
      </w:r>
      <w:r>
        <w:rPr>
          <w:rFonts w:hint="eastAsia" w:ascii="宋体" w:hAnsi="宋体" w:cs="宋体"/>
          <w:color w:val="auto"/>
          <w:kern w:val="0"/>
          <w:szCs w:val="21"/>
          <w:highlight w:val="none"/>
          <w:u w:val="single"/>
        </w:rPr>
        <w:t>按《重庆市水利工程建设项目竣工档案编制办法》（渝水【2011】39号）规定执行</w:t>
      </w:r>
      <w:r>
        <w:rPr>
          <w:rFonts w:hint="eastAsia" w:ascii="宋体" w:hAnsi="宋体" w:cs="宋体"/>
          <w:color w:val="auto"/>
          <w:kern w:val="0"/>
          <w:szCs w:val="21"/>
          <w:highlight w:val="none"/>
        </w:rPr>
        <w:t>。</w:t>
      </w:r>
    </w:p>
    <w:p w14:paraId="786CE9A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承包人需要提交的竣工资料套数：</w:t>
      </w:r>
      <w:r>
        <w:rPr>
          <w:rFonts w:hint="eastAsia" w:ascii="宋体" w:hAnsi="宋体" w:cs="宋体"/>
          <w:color w:val="auto"/>
          <w:kern w:val="0"/>
          <w:szCs w:val="21"/>
          <w:highlight w:val="none"/>
          <w:u w:val="single"/>
        </w:rPr>
        <w:t>完整竣工资料一式     套（含电子文档）</w:t>
      </w:r>
      <w:r>
        <w:rPr>
          <w:rFonts w:hint="eastAsia" w:ascii="宋体" w:hAnsi="宋体" w:cs="宋体"/>
          <w:color w:val="auto"/>
          <w:kern w:val="0"/>
          <w:szCs w:val="21"/>
          <w:highlight w:val="none"/>
        </w:rPr>
        <w:t>。</w:t>
      </w:r>
    </w:p>
    <w:p w14:paraId="4260A41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承包人提交的竣工资料的费用承担：</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14:paraId="68AF71A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承包人提交的竣工资料移交时间：</w:t>
      </w:r>
      <w:r>
        <w:rPr>
          <w:rFonts w:hint="eastAsia" w:ascii="宋体" w:hAnsi="宋体" w:cs="宋体"/>
          <w:color w:val="auto"/>
          <w:kern w:val="0"/>
          <w:szCs w:val="21"/>
          <w:highlight w:val="none"/>
          <w:u w:val="single"/>
        </w:rPr>
        <w:t>工程完工验收合格后     个月内移交给发包人</w:t>
      </w:r>
      <w:r>
        <w:rPr>
          <w:rFonts w:hint="eastAsia" w:ascii="宋体" w:hAnsi="宋体" w:cs="宋体"/>
          <w:color w:val="auto"/>
          <w:kern w:val="0"/>
          <w:szCs w:val="21"/>
          <w:highlight w:val="none"/>
        </w:rPr>
        <w:t>。</w:t>
      </w:r>
    </w:p>
    <w:p w14:paraId="7D86532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承包人提交的竣工资料形式要求：</w:t>
      </w:r>
      <w:r>
        <w:rPr>
          <w:rFonts w:hint="eastAsia" w:ascii="宋体" w:hAnsi="宋体" w:cs="宋体"/>
          <w:color w:val="auto"/>
          <w:kern w:val="0"/>
          <w:szCs w:val="21"/>
          <w:highlight w:val="none"/>
          <w:u w:val="single"/>
        </w:rPr>
        <w:t>完整的书面文件及电子文档</w:t>
      </w:r>
      <w:r>
        <w:rPr>
          <w:rFonts w:hint="eastAsia" w:ascii="宋体" w:hAnsi="宋体" w:cs="宋体"/>
          <w:color w:val="auto"/>
          <w:kern w:val="0"/>
          <w:szCs w:val="21"/>
          <w:highlight w:val="none"/>
        </w:rPr>
        <w:t>。</w:t>
      </w:r>
    </w:p>
    <w:p w14:paraId="5C15235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4.1.4对施工作业和施工方法的完备性负责</w:t>
      </w:r>
    </w:p>
    <w:p w14:paraId="4CAA490C">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本项补充4.1.4.1目如下：</w:t>
      </w:r>
    </w:p>
    <w:p w14:paraId="150D528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4.1.4.1施工组织设计的提交和修改</w:t>
      </w:r>
    </w:p>
    <w:p w14:paraId="2D051A1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（1）承包人提交详细施工组织设计的期限的约定：</w:t>
      </w:r>
      <w:r>
        <w:rPr>
          <w:rFonts w:hint="eastAsia" w:ascii="宋体" w:hAnsi="宋体" w:cs="宋体"/>
          <w:color w:val="auto"/>
          <w:kern w:val="0"/>
          <w:szCs w:val="21"/>
          <w:highlight w:val="none"/>
          <w:u w:val="single"/>
        </w:rPr>
        <w:t>合同签订后14天内，但最迟不得晚于开工通知载明的开工日期前7天</w:t>
      </w:r>
      <w:r>
        <w:rPr>
          <w:rFonts w:hint="eastAsia" w:ascii="宋体" w:hAnsi="宋体" w:cs="宋体"/>
          <w:color w:val="auto"/>
          <w:kern w:val="0"/>
          <w:szCs w:val="21"/>
          <w:highlight w:val="none"/>
        </w:rPr>
        <w:t>。</w:t>
      </w:r>
    </w:p>
    <w:p w14:paraId="36205D35">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（2）承包人编制施工组织设计的内容：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C2DC572">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（3）发包人和监理人在收到详细的施工组织设计后确认或提出修改意见的期限：</w:t>
      </w:r>
      <w:r>
        <w:rPr>
          <w:rFonts w:hint="eastAsia" w:ascii="宋体" w:hAnsi="宋体" w:cs="宋体"/>
          <w:color w:val="auto"/>
          <w:kern w:val="0"/>
          <w:szCs w:val="21"/>
          <w:highlight w:val="none"/>
          <w:u w:val="single"/>
        </w:rPr>
        <w:t>收到施工组织设计后     天内</w:t>
      </w:r>
      <w:r>
        <w:rPr>
          <w:rFonts w:hint="eastAsia" w:ascii="宋体" w:hAnsi="宋体" w:cs="宋体"/>
          <w:color w:val="auto"/>
          <w:kern w:val="0"/>
          <w:szCs w:val="21"/>
          <w:highlight w:val="none"/>
        </w:rPr>
        <w:t>。</w:t>
      </w:r>
    </w:p>
    <w:p w14:paraId="517A5895">
      <w:pPr>
        <w:pStyle w:val="2"/>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color w:val="auto"/>
          <w:highlight w:val="none"/>
        </w:rPr>
        <w:t>本款补充细化4.1.9、4.1.10项如下：</w:t>
      </w:r>
    </w:p>
    <w:p w14:paraId="4059BCEB">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4.1.9工程的维护和照管</w:t>
      </w:r>
    </w:p>
    <w:p w14:paraId="6F26650D">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完工验收证书颁发前，承包人应负责照管和维护工程及将用于或安装在本工程中的材料、设备。完工验收证书颁发时尚有部分未完工工程的，承包人还应负责该未完工工程、材料、设备的照管和维护工作，直至完工后移交给发包人为止。</w:t>
      </w:r>
    </w:p>
    <w:p w14:paraId="61166FD2">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在承包人负责照管与维护期间，如果本工程或材料、设备等发生损失或损害，除不可抗力原因之外，承包人均应自费弥补，并达到合同要求。承包人还应对按第23项（索赔）规定而实施作业过程中由承包人造成的对工程的任何损失或损害负责。</w:t>
      </w:r>
    </w:p>
    <w:p w14:paraId="1C6B4D17">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4.1.10其他义务</w:t>
      </w:r>
    </w:p>
    <w:p w14:paraId="1589FE8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（1）在开始施工之前，承包人应核查、复测本工程的各种基准标志。承包人应及时将上述基准标志中存在的错误、不完整或其他缺陷通知发包人，以便发包人核实后重新确认。</w:t>
      </w:r>
    </w:p>
    <w:p w14:paraId="72CDE3D5">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6259FAA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59AC839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（4）承包人应服从发包人要求的管理模式、工作方式和工作要求，同时接受监理人、跟审单位（如有）的管理和全程监督，配合项目结、决算的办理。</w:t>
      </w:r>
    </w:p>
    <w:p w14:paraId="1E21E27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 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重庆市水利建设市场主体信用信息平台。工资支付表应如实记录支付单位、支付时间、支付对象、支付数额、支付对象的身份证号和签字等信息。民工花名册和工资支付表应报监理人备查。</w:t>
      </w:r>
    </w:p>
    <w:p w14:paraId="228CF96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14:paraId="62E25A7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60FFE8F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（8）承包人应履行的其他义务：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C15B03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4.2  履约担保</w:t>
      </w:r>
    </w:p>
    <w:p w14:paraId="751EA2DC">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本款补充4.2.1～4.2.3项如下：</w:t>
      </w:r>
    </w:p>
    <w:p w14:paraId="6459D3F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4.2.1 承包人是否提供履约担保：</w:t>
      </w:r>
      <w:r>
        <w:rPr>
          <w:rFonts w:hint="eastAsia" w:ascii="宋体" w:hAnsi="宋体" w:cs="宋体"/>
          <w:color w:val="auto"/>
          <w:kern w:val="0"/>
          <w:szCs w:val="21"/>
          <w:highlight w:val="none"/>
          <w:u w:val="single"/>
        </w:rPr>
        <w:t>提供</w:t>
      </w:r>
      <w:r>
        <w:rPr>
          <w:rFonts w:hint="eastAsia" w:ascii="宋体" w:hAnsi="宋体" w:cs="宋体"/>
          <w:color w:val="auto"/>
          <w:kern w:val="0"/>
          <w:szCs w:val="21"/>
          <w:highlight w:val="none"/>
        </w:rPr>
        <w:t>。</w:t>
      </w:r>
      <w:r>
        <w:rPr>
          <w:rFonts w:hint="eastAsia" w:ascii="宋体" w:hAnsi="宋体"/>
          <w:color w:val="auto"/>
          <w:kern w:val="0"/>
          <w:szCs w:val="21"/>
          <w:highlight w:val="none"/>
        </w:rPr>
        <w:t>若投标人为联合体，由联合体牵头人或按照联合体协议的约定提交履约担保。</w:t>
      </w:r>
    </w:p>
    <w:p w14:paraId="7014A48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4.2.2承包人提供履约担保的形式、金额及期限：</w:t>
      </w:r>
    </w:p>
    <w:p w14:paraId="17D51505">
      <w:pPr>
        <w:snapToGrid w:val="0"/>
        <w:spacing w:line="400" w:lineRule="exact"/>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（1）履约担保的形式：</w:t>
      </w:r>
      <w:r>
        <w:rPr>
          <w:rFonts w:hint="eastAsia" w:ascii="宋体" w:hAnsi="宋体"/>
          <w:color w:val="auto"/>
          <w:kern w:val="0"/>
          <w:szCs w:val="21"/>
          <w:highlight w:val="none"/>
          <w:u w:val="none"/>
          <w:lang w:eastAsia="zh-CN"/>
        </w:rPr>
        <w:t>现金或保函或现金+保函的组合</w:t>
      </w:r>
      <w:r>
        <w:rPr>
          <w:rFonts w:hint="eastAsia" w:ascii="宋体" w:hAnsi="宋体"/>
          <w:color w:val="auto"/>
          <w:kern w:val="0"/>
          <w:szCs w:val="21"/>
          <w:highlight w:val="none"/>
          <w:u w:val="none"/>
        </w:rPr>
        <w:t>；</w:t>
      </w:r>
      <w:r>
        <w:rPr>
          <w:rFonts w:hint="eastAsia" w:ascii="宋体" w:hAnsi="宋体" w:cs="宋体"/>
          <w:color w:val="auto"/>
          <w:kern w:val="0"/>
          <w:szCs w:val="21"/>
          <w:highlight w:val="none"/>
          <w:u w:val="none"/>
        </w:rPr>
        <w:t>采用保函形式的，保函必须为不可撤销且见索即付</w:t>
      </w:r>
      <w:r>
        <w:rPr>
          <w:rFonts w:hint="eastAsia" w:ascii="宋体" w:hAnsi="宋体"/>
          <w:color w:val="auto"/>
          <w:kern w:val="0"/>
          <w:szCs w:val="21"/>
          <w:highlight w:val="none"/>
          <w:u w:val="none"/>
        </w:rPr>
        <w:t>。</w:t>
      </w:r>
    </w:p>
    <w:p w14:paraId="2B9A3C87">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（2）履约担保的金额：</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w:t>
      </w:r>
    </w:p>
    <w:p w14:paraId="22CD4FFF">
      <w:pPr>
        <w:tabs>
          <w:tab w:val="left" w:pos="1134"/>
        </w:tabs>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（3）履约担保的提交时间：</w:t>
      </w:r>
      <w:r>
        <w:rPr>
          <w:rFonts w:hint="eastAsia" w:ascii="宋体" w:hAnsi="宋体" w:cs="宋体"/>
          <w:color w:val="auto"/>
          <w:kern w:val="0"/>
          <w:szCs w:val="21"/>
          <w:highlight w:val="none"/>
          <w:u w:val="single"/>
        </w:rPr>
        <w:t>在合同签订前，承包人按担保金额向发包人提交履约担保。</w:t>
      </w:r>
    </w:p>
    <w:p w14:paraId="2F5711C0">
      <w:pPr>
        <w:tabs>
          <w:tab w:val="left" w:pos="1134"/>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（4）履约担保的期限：</w:t>
      </w:r>
      <w:r>
        <w:rPr>
          <w:rFonts w:hint="eastAsia" w:ascii="宋体" w:hAnsi="宋体" w:cs="宋体"/>
          <w:color w:val="auto"/>
          <w:kern w:val="0"/>
          <w:szCs w:val="21"/>
          <w:highlight w:val="none"/>
          <w:u w:val="single"/>
        </w:rPr>
        <w:t>自提交履约担保之日起至发包人颁发合同工程完工证书止</w:t>
      </w:r>
      <w:r>
        <w:rPr>
          <w:rFonts w:hint="eastAsia" w:ascii="宋体" w:hAnsi="宋体" w:cs="宋体"/>
          <w:color w:val="auto"/>
          <w:kern w:val="0"/>
          <w:szCs w:val="21"/>
          <w:highlight w:val="none"/>
        </w:rPr>
        <w:t>。</w:t>
      </w:r>
    </w:p>
    <w:p w14:paraId="52840A4E">
      <w:pPr>
        <w:tabs>
          <w:tab w:val="left" w:pos="1134"/>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（5）履约担保的退还时间：</w:t>
      </w:r>
      <w:r>
        <w:rPr>
          <w:rFonts w:hint="eastAsia" w:ascii="宋体" w:hAnsi="宋体"/>
          <w:color w:val="auto"/>
          <w:szCs w:val="21"/>
          <w:highlight w:val="none"/>
          <w:u w:val="single"/>
        </w:rPr>
        <w:t>采用现金担保的，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28天内无息退还，</w:t>
      </w:r>
      <w:r>
        <w:rPr>
          <w:rFonts w:hint="eastAsia" w:ascii="宋体" w:hAnsi="宋体"/>
          <w:color w:val="auto"/>
          <w:szCs w:val="21"/>
          <w:highlight w:val="none"/>
          <w:u w:val="single"/>
        </w:rPr>
        <w:t>或按工程实际情况约定分阶段退还，</w:t>
      </w:r>
      <w:r>
        <w:rPr>
          <w:rFonts w:hint="eastAsia" w:ascii="宋体" w:hAnsi="宋体" w:cs="宋体"/>
          <w:color w:val="auto"/>
          <w:szCs w:val="21"/>
          <w:highlight w:val="none"/>
          <w:u w:val="single"/>
        </w:rPr>
        <w:t xml:space="preserve">阶段划分按以下标准执行：                       </w:t>
      </w:r>
      <w:r>
        <w:rPr>
          <w:rFonts w:hint="eastAsia" w:ascii="宋体" w:hAnsi="宋体" w:cs="宋体"/>
          <w:color w:val="auto"/>
          <w:kern w:val="0"/>
          <w:szCs w:val="21"/>
          <w:highlight w:val="none"/>
        </w:rPr>
        <w:t>。</w:t>
      </w:r>
      <w:r>
        <w:rPr>
          <w:rFonts w:hint="eastAsia" w:ascii="宋体" w:hAnsi="宋体"/>
          <w:color w:val="auto"/>
          <w:szCs w:val="21"/>
          <w:highlight w:val="none"/>
          <w:u w:val="single"/>
        </w:rPr>
        <w:t>采用</w:t>
      </w:r>
      <w:r>
        <w:rPr>
          <w:rFonts w:hint="eastAsia" w:ascii="宋体" w:hAnsi="宋体"/>
          <w:color w:val="auto"/>
          <w:szCs w:val="21"/>
          <w:highlight w:val="none"/>
          <w:u w:val="single"/>
          <w:lang w:eastAsia="zh-CN"/>
        </w:rPr>
        <w:t>保函</w:t>
      </w:r>
      <w:r>
        <w:rPr>
          <w:rFonts w:hint="eastAsia" w:ascii="宋体" w:hAnsi="宋体"/>
          <w:color w:val="auto"/>
          <w:szCs w:val="21"/>
          <w:highlight w:val="none"/>
          <w:u w:val="single"/>
        </w:rPr>
        <w:t>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w:t>
      </w:r>
      <w:r>
        <w:rPr>
          <w:rFonts w:hint="eastAsia" w:ascii="宋体" w:hAnsi="宋体"/>
          <w:color w:val="auto"/>
          <w:szCs w:val="21"/>
          <w:highlight w:val="none"/>
          <w:u w:val="single"/>
        </w:rPr>
        <w:t>内退还，或按工程实际情况约定分阶段退还，</w:t>
      </w:r>
      <w:r>
        <w:rPr>
          <w:rFonts w:hint="eastAsia" w:ascii="宋体" w:hAnsi="宋体" w:cs="宋体"/>
          <w:color w:val="auto"/>
          <w:szCs w:val="21"/>
          <w:highlight w:val="none"/>
          <w:u w:val="single"/>
        </w:rPr>
        <w:t xml:space="preserve">阶段划分按以下标准执行：                                                        </w:t>
      </w:r>
      <w:r>
        <w:rPr>
          <w:rFonts w:hint="eastAsia" w:ascii="宋体" w:hAnsi="宋体" w:cs="宋体"/>
          <w:color w:val="auto"/>
          <w:kern w:val="0"/>
          <w:szCs w:val="21"/>
          <w:highlight w:val="none"/>
        </w:rPr>
        <w:t>。</w:t>
      </w:r>
    </w:p>
    <w:bookmarkEnd w:id="91"/>
    <w:p w14:paraId="7E1A468A">
      <w:pPr>
        <w:keepNext/>
        <w:keepLines/>
        <w:snapToGrid w:val="0"/>
        <w:spacing w:line="600" w:lineRule="exact"/>
        <w:ind w:firstLine="420" w:firstLineChars="200"/>
        <w:outlineLvl w:val="3"/>
        <w:rPr>
          <w:rFonts w:hint="eastAsia" w:ascii="宋体" w:hAnsi="宋体" w:cs="宋体"/>
          <w:color w:val="auto"/>
          <w:szCs w:val="21"/>
          <w:highlight w:val="none"/>
        </w:rPr>
      </w:pPr>
      <w:bookmarkStart w:id="92" w:name="_Toc221951153"/>
      <w:bookmarkStart w:id="93" w:name="_Toc33183719"/>
      <w:r>
        <w:rPr>
          <w:rFonts w:hint="eastAsia" w:ascii="宋体" w:hAnsi="宋体" w:cs="宋体"/>
          <w:color w:val="auto"/>
          <w:szCs w:val="21"/>
          <w:highlight w:val="none"/>
        </w:rPr>
        <w:t>4.3  分包</w:t>
      </w:r>
      <w:bookmarkEnd w:id="92"/>
      <w:bookmarkEnd w:id="93"/>
    </w:p>
    <w:p w14:paraId="35C08C4F">
      <w:pPr>
        <w:spacing w:line="360" w:lineRule="auto"/>
        <w:ind w:right="248" w:firstLine="420" w:firstLineChars="200"/>
        <w:rPr>
          <w:rFonts w:ascii="宋体" w:hAnsi="宋体" w:cs="宋体"/>
          <w:bCs/>
          <w:color w:val="auto"/>
          <w:szCs w:val="21"/>
          <w:highlight w:val="none"/>
        </w:rPr>
      </w:pPr>
      <w:bookmarkStart w:id="94" w:name="_Toc221951154"/>
      <w:r>
        <w:rPr>
          <w:rFonts w:hint="eastAsia" w:ascii="宋体" w:hAnsi="宋体" w:cs="宋体"/>
          <w:bCs/>
          <w:color w:val="auto"/>
          <w:szCs w:val="21"/>
          <w:highlight w:val="none"/>
        </w:rPr>
        <w:t>本款补充细化4.3.1、4.3.2项如下：</w:t>
      </w:r>
    </w:p>
    <w:p w14:paraId="546B057E">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4.3.1  分包的一般约定</w:t>
      </w:r>
    </w:p>
    <w:p w14:paraId="6EB64086">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分包分为：工程分包和劳务作业分包。分包人应自行完成所承包的任务。</w:t>
      </w:r>
    </w:p>
    <w:p w14:paraId="77F5C9ED">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禁止分包的工程包括：《水利建设工程施工分包管理规定》、《水利工程施工转包违法分包等违法行为认定查处管理暂行办法》等国家法律、法规禁止分包的工程。</w:t>
      </w:r>
    </w:p>
    <w:p w14:paraId="25EE8551">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主体结构、关键性工作的范围：国家法律、法规、规范、标准等所约束的范围。</w:t>
      </w:r>
    </w:p>
    <w:p w14:paraId="6F42278E">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2A2A2E24">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4.3.2  允许承包人分包的工程项目、工作内容与</w:t>
      </w:r>
      <w:r>
        <w:rPr>
          <w:rFonts w:hint="eastAsia" w:ascii="宋体" w:hAnsi="宋体" w:cs="宋体"/>
          <w:color w:val="auto"/>
          <w:szCs w:val="21"/>
          <w:highlight w:val="none"/>
          <w:lang w:val="zh-CN"/>
        </w:rPr>
        <w:t>分包金额</w:t>
      </w:r>
      <w:r>
        <w:rPr>
          <w:rFonts w:hint="eastAsia" w:ascii="宋体" w:hAnsi="宋体" w:cs="宋体"/>
          <w:bCs/>
          <w:color w:val="auto"/>
          <w:szCs w:val="21"/>
          <w:highlight w:val="none"/>
        </w:rPr>
        <w:t>限额</w:t>
      </w:r>
      <w:bookmarkEnd w:id="94"/>
    </w:p>
    <w:p w14:paraId="1D6D675B">
      <w:pPr>
        <w:pStyle w:val="26"/>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允许分包的专业工程包括：符合《中华人民共和国建筑法》、《中华人民共和国招标投标法》、《水利建设工程施工分包管理规定》和《水利工程施工转包违法分包等违法行为认定查处管理暂行办法》的相关规定。如承包人违法分包一经查实，承包人的履约担保不予退还，发包人有权终止合同，同时发包人有权向相关行政监管部门举报。</w:t>
      </w:r>
    </w:p>
    <w:p w14:paraId="3F764E37">
      <w:pPr>
        <w:pStyle w:val="26"/>
        <w:spacing w:line="360" w:lineRule="auto"/>
        <w:ind w:right="248" w:firstLine="630" w:firstLineChars="300"/>
        <w:rPr>
          <w:rFonts w:hint="eastAsia" w:ascii="宋体" w:hAnsi="宋体" w:cs="宋体"/>
          <w:bCs/>
          <w:color w:val="auto"/>
          <w:sz w:val="21"/>
          <w:szCs w:val="21"/>
          <w:highlight w:val="none"/>
        </w:rPr>
      </w:pPr>
      <w:bookmarkStart w:id="95" w:name="_Toc221951155"/>
      <w:r>
        <w:rPr>
          <w:rFonts w:hint="eastAsia" w:ascii="宋体" w:hAnsi="宋体" w:cs="宋体"/>
          <w:bCs/>
          <w:color w:val="auto"/>
          <w:sz w:val="21"/>
          <w:szCs w:val="21"/>
          <w:highlight w:val="none"/>
        </w:rPr>
        <w:t>1）工程项目：</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w:t>
      </w:r>
      <w:bookmarkEnd w:id="95"/>
    </w:p>
    <w:p w14:paraId="2A005F81">
      <w:pPr>
        <w:pStyle w:val="26"/>
        <w:spacing w:line="360" w:lineRule="auto"/>
        <w:ind w:left="105" w:leftChars="50" w:right="248" w:firstLine="552" w:firstLineChars="263"/>
        <w:rPr>
          <w:rFonts w:hint="eastAsia" w:ascii="宋体" w:hAnsi="宋体" w:cs="宋体"/>
          <w:bCs/>
          <w:color w:val="auto"/>
          <w:sz w:val="21"/>
          <w:szCs w:val="21"/>
          <w:highlight w:val="none"/>
        </w:rPr>
      </w:pPr>
      <w:bookmarkStart w:id="96" w:name="_Toc221951156"/>
      <w:r>
        <w:rPr>
          <w:rFonts w:hint="eastAsia" w:ascii="宋体" w:hAnsi="宋体" w:cs="宋体"/>
          <w:bCs/>
          <w:color w:val="auto"/>
          <w:sz w:val="21"/>
          <w:szCs w:val="21"/>
          <w:highlight w:val="none"/>
        </w:rPr>
        <w:t>2）工作内容：</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w:t>
      </w:r>
      <w:bookmarkEnd w:id="96"/>
    </w:p>
    <w:p w14:paraId="22CBED20">
      <w:pPr>
        <w:pStyle w:val="26"/>
        <w:spacing w:line="360" w:lineRule="auto"/>
        <w:ind w:left="105" w:leftChars="50" w:right="248" w:firstLine="552" w:firstLineChars="263"/>
        <w:rPr>
          <w:rFonts w:hint="eastAsia" w:ascii="宋体" w:hAnsi="宋体" w:cs="宋体"/>
          <w:color w:val="auto"/>
          <w:sz w:val="21"/>
          <w:szCs w:val="21"/>
          <w:highlight w:val="none"/>
        </w:rPr>
      </w:pPr>
      <w:bookmarkStart w:id="97" w:name="_Toc221951157"/>
      <w:r>
        <w:rPr>
          <w:rFonts w:hint="eastAsia" w:ascii="宋体" w:hAnsi="宋体" w:cs="宋体"/>
          <w:color w:val="auto"/>
          <w:sz w:val="21"/>
          <w:szCs w:val="21"/>
          <w:highlight w:val="none"/>
        </w:rPr>
        <w:t>3）分包金额限额：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bookmarkEnd w:id="97"/>
      <w:r>
        <w:rPr>
          <w:rFonts w:hint="eastAsia" w:ascii="宋体" w:hAnsi="宋体" w:cs="宋体"/>
          <w:color w:val="auto"/>
          <w:sz w:val="21"/>
          <w:szCs w:val="21"/>
          <w:highlight w:val="none"/>
        </w:rPr>
        <w:t xml:space="preserve"> </w:t>
      </w:r>
    </w:p>
    <w:p w14:paraId="1DFAA4FF">
      <w:pPr>
        <w:spacing w:line="360" w:lineRule="auto"/>
        <w:ind w:firstLine="630" w:firstLineChars="300"/>
        <w:jc w:val="left"/>
        <w:rPr>
          <w:rFonts w:ascii="宋体" w:hAnsi="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关于分包合同价款支付的约定：</w:t>
      </w:r>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14:paraId="3E079395">
      <w:pPr>
        <w:pStyle w:val="26"/>
        <w:spacing w:line="360" w:lineRule="auto"/>
        <w:ind w:right="248" w:firstLine="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其他关于分包的约定：</w:t>
      </w:r>
    </w:p>
    <w:p w14:paraId="6363B3D8">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（1）因工程变更增加了有特殊性技术要求、特殊工艺或者涉及专利保护等的专项工程，且按规定无须再进行招标的，由承包人提出书面申请，经发包人书面同意，可以分包。</w:t>
      </w:r>
    </w:p>
    <w:p w14:paraId="108E35D2">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（2）专业分包人的资格能力（含安全生产能力）应与其分包工程的标准和规模相适应，且应当具备如下条件：</w:t>
      </w:r>
    </w:p>
    <w:p w14:paraId="421EDE87">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a. 具有经工商登记的法人资格；</w:t>
      </w:r>
    </w:p>
    <w:p w14:paraId="56412EC1">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b. 具有从事类似工程经验的管理与技术人员；</w:t>
      </w:r>
    </w:p>
    <w:p w14:paraId="170AB7E0">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c. 具有（自有或租赁）分包工程所需的施工设备。</w:t>
      </w:r>
    </w:p>
    <w:p w14:paraId="529AA063">
      <w:pPr>
        <w:pStyle w:val="26"/>
        <w:spacing w:line="360" w:lineRule="auto"/>
        <w:ind w:right="248"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承包人应向监理人提交专业分包人的资格能力证明材料，经监理人审查并报发包人批准后，可以将相应专业工程分包给该专业分包人。</w:t>
      </w:r>
    </w:p>
    <w:p w14:paraId="57E04E0B">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（3）专业分包工程不得再次分包。</w:t>
      </w:r>
    </w:p>
    <w:p w14:paraId="0B0F411F">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4）承包人和专业分包人应当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00508142">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7DF594D6">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6）承包人应当建立健全相关分包管理制度和台账，对专业分包工程的质量、安全、进度和专业分包人的行为等实施全过程管理，按照合同约定对专业分包工程的实施向发包人负责，并承担连带责任。专业分包合同不免除承包合同中规定的承包人的责任或者义务。</w:t>
      </w:r>
    </w:p>
    <w:p w14:paraId="5D11C8A5">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13B5196B">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280DC771">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9）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356866E1">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（10）发包人对承包人与分包人之间的法律与经济纠纷不承担任何责任和义务。</w:t>
      </w:r>
    </w:p>
    <w:p w14:paraId="1FDF7EEA">
      <w:pPr>
        <w:pStyle w:val="26"/>
        <w:spacing w:line="360" w:lineRule="auto"/>
        <w:ind w:left="6" w:leftChars="3" w:right="248" w:firstLine="336" w:firstLineChars="160"/>
        <w:rPr>
          <w:rFonts w:hint="eastAsia" w:ascii="宋体" w:hAnsi="宋体" w:cs="宋体"/>
          <w:color w:val="auto"/>
          <w:sz w:val="21"/>
          <w:szCs w:val="21"/>
          <w:highlight w:val="none"/>
        </w:rPr>
      </w:pPr>
      <w:r>
        <w:rPr>
          <w:rFonts w:hint="eastAsia" w:ascii="宋体" w:hAnsi="宋体" w:cs="宋体"/>
          <w:color w:val="auto"/>
          <w:sz w:val="21"/>
          <w:szCs w:val="21"/>
          <w:highlight w:val="none"/>
        </w:rPr>
        <w:t>（11）项目的各项分包工作均应遵守《水利建设工程施工分包管理规定》和《水利工程施工转包违法分包等违法行为认定查处管理暂行办法》的有关规定。</w:t>
      </w:r>
    </w:p>
    <w:p w14:paraId="25716624">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4.3.10 分包人项目管理机构的设立：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5792B6BD">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4.5  承包人项目经理</w:t>
      </w:r>
    </w:p>
    <w:p w14:paraId="45AFA53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项目经理：</w:t>
      </w:r>
    </w:p>
    <w:p w14:paraId="267FA68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76058F1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349A67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建造师执业资格等级：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A4F78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DAD333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0FF1C3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674B92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458F47C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承包人对项目经理的授权范围如下：</w:t>
      </w:r>
      <w:r>
        <w:rPr>
          <w:rFonts w:hint="eastAsia" w:ascii="宋体" w:hAnsi="宋体" w:cs="宋体"/>
          <w:color w:val="auto"/>
          <w:kern w:val="0"/>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s="宋体"/>
          <w:color w:val="auto"/>
          <w:kern w:val="0"/>
          <w:szCs w:val="21"/>
          <w:highlight w:val="none"/>
        </w:rPr>
        <w:t>。</w:t>
      </w:r>
    </w:p>
    <w:p w14:paraId="76D81AF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kern w:val="0"/>
          <w:szCs w:val="21"/>
          <w:highlight w:val="none"/>
          <w:u w:val="single"/>
        </w:rPr>
        <w:t>不少于22天，由监理人负责项目经理的考勤</w:t>
      </w:r>
      <w:r>
        <w:rPr>
          <w:rFonts w:hint="eastAsia" w:ascii="宋体" w:hAnsi="宋体" w:cs="宋体"/>
          <w:color w:val="auto"/>
          <w:kern w:val="0"/>
          <w:szCs w:val="21"/>
          <w:highlight w:val="none"/>
        </w:rPr>
        <w:t>。</w:t>
      </w:r>
    </w:p>
    <w:p w14:paraId="68E428E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承包人应在合同签订前提交与项目经理签订的劳动合同及为项目经理缴纳社会保险的证明，承包人未在限期内提交的，项目经理无权履行职责，发包人有权要求更换项目经理</w:t>
      </w:r>
      <w:r>
        <w:rPr>
          <w:rFonts w:hint="eastAsia" w:ascii="宋体" w:hAnsi="宋体" w:cs="宋体"/>
          <w:color w:val="auto"/>
          <w:kern w:val="0"/>
          <w:szCs w:val="21"/>
          <w:highlight w:val="none"/>
        </w:rPr>
        <w:t>。</w:t>
      </w:r>
    </w:p>
    <w:p w14:paraId="7642D166">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4.6承包人人员的管理</w:t>
      </w:r>
    </w:p>
    <w:p w14:paraId="43840B4D">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本款补充4.6.5项如下：</w:t>
      </w:r>
    </w:p>
    <w:p w14:paraId="2BCC003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4.6.5</w:t>
      </w:r>
      <w:r>
        <w:rPr>
          <w:rFonts w:hint="eastAsia" w:ascii="宋体" w:hAnsi="宋体" w:cs="宋体"/>
          <w:color w:val="auto"/>
          <w:kern w:val="0"/>
          <w:szCs w:val="21"/>
          <w:highlight w:val="none"/>
        </w:rPr>
        <w:t>技术负责人</w:t>
      </w:r>
    </w:p>
    <w:p w14:paraId="57713AD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4FEA819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1490EE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职称等级：</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50D85EF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专    业：</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2C89FFA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证书编号：</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293A3AA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6D8A304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关于技术负责人每月在施工现场的时间要求：</w:t>
      </w:r>
      <w:r>
        <w:rPr>
          <w:rFonts w:hint="eastAsia" w:ascii="宋体" w:hAnsi="宋体" w:cs="宋体"/>
          <w:color w:val="auto"/>
          <w:kern w:val="0"/>
          <w:szCs w:val="21"/>
          <w:highlight w:val="none"/>
          <w:u w:val="single"/>
        </w:rPr>
        <w:t>不少于22天，由监理人负责技术负责人的考勤</w:t>
      </w:r>
      <w:r>
        <w:rPr>
          <w:rFonts w:hint="eastAsia" w:ascii="宋体" w:hAnsi="宋体" w:cs="宋体"/>
          <w:color w:val="auto"/>
          <w:kern w:val="0"/>
          <w:szCs w:val="21"/>
          <w:highlight w:val="none"/>
        </w:rPr>
        <w:t>。</w:t>
      </w:r>
    </w:p>
    <w:p w14:paraId="35675FB3">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color w:val="auto"/>
          <w:kern w:val="0"/>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s="宋体"/>
          <w:color w:val="auto"/>
          <w:kern w:val="0"/>
          <w:szCs w:val="21"/>
          <w:highlight w:val="none"/>
        </w:rPr>
        <w:t>。</w:t>
      </w:r>
    </w:p>
    <w:p w14:paraId="729E98F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4.6.6</w:t>
      </w:r>
      <w:r>
        <w:rPr>
          <w:rFonts w:hint="eastAsia" w:ascii="宋体" w:hAnsi="宋体" w:cs="宋体"/>
          <w:color w:val="auto"/>
          <w:kern w:val="0"/>
          <w:szCs w:val="21"/>
          <w:highlight w:val="none"/>
        </w:rPr>
        <w:t>承包人主要施工管理人员离开施工现场的批准要求：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BBEDD0A">
      <w:pPr>
        <w:snapToGrid w:val="0"/>
        <w:spacing w:line="360" w:lineRule="auto"/>
        <w:ind w:firstLine="480"/>
        <w:rPr>
          <w:rFonts w:hint="eastAsia" w:ascii="宋体" w:hAnsi="宋体" w:cs="宋体"/>
          <w:bCs/>
          <w:color w:val="auto"/>
          <w:szCs w:val="21"/>
          <w:highlight w:val="none"/>
        </w:rPr>
      </w:pPr>
      <w:r>
        <w:rPr>
          <w:rFonts w:hint="eastAsia" w:ascii="宋体" w:hAnsi="宋体" w:cs="宋体"/>
          <w:bCs/>
          <w:color w:val="auto"/>
          <w:szCs w:val="21"/>
          <w:highlight w:val="none"/>
        </w:rPr>
        <w:t>4.7撤换承包人项目经理和其他人员</w:t>
      </w:r>
    </w:p>
    <w:p w14:paraId="65CF11B1">
      <w:pPr>
        <w:pStyle w:val="2"/>
        <w:ind w:firstLine="420" w:firstLineChars="200"/>
        <w:rPr>
          <w:color w:val="auto"/>
          <w:highlight w:val="none"/>
        </w:rPr>
      </w:pPr>
      <w:r>
        <w:rPr>
          <w:rFonts w:hint="eastAsia" w:ascii="宋体" w:hAnsi="宋体" w:cs="宋体"/>
          <w:bCs/>
          <w:color w:val="auto"/>
          <w:szCs w:val="21"/>
          <w:highlight w:val="none"/>
        </w:rPr>
        <w:t>本款补充4.7.1、4.7.2项如下：</w:t>
      </w:r>
    </w:p>
    <w:p w14:paraId="36A12049">
      <w:pPr>
        <w:snapToGrid w:val="0"/>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4.7.1撤换承包人项目经理</w:t>
      </w:r>
      <w:r>
        <w:rPr>
          <w:rFonts w:hint="eastAsia" w:ascii="宋体" w:hAnsi="宋体" w:cs="宋体"/>
          <w:color w:val="auto"/>
          <w:kern w:val="0"/>
          <w:szCs w:val="21"/>
          <w:highlight w:val="none"/>
        </w:rPr>
        <w:t>（或）技术负责人</w:t>
      </w:r>
    </w:p>
    <w:p w14:paraId="48B0863B">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继任项目经理和（或）技术负责人继续履行合同约定的职责。</w:t>
      </w:r>
    </w:p>
    <w:p w14:paraId="32C8EA3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若项目经理和</w:t>
      </w:r>
      <w:r>
        <w:rPr>
          <w:rFonts w:hint="eastAsia" w:ascii="宋体" w:hAnsi="宋体" w:cs="宋体"/>
          <w:color w:val="auto"/>
          <w:kern w:val="0"/>
          <w:szCs w:val="21"/>
          <w:highlight w:val="none"/>
        </w:rPr>
        <w:t>（或）</w:t>
      </w:r>
      <w:r>
        <w:rPr>
          <w:rFonts w:hint="eastAsia" w:ascii="宋体" w:hAnsi="宋体" w:cs="宋体"/>
          <w:color w:val="auto"/>
          <w:szCs w:val="21"/>
          <w:highlight w:val="none"/>
        </w:rPr>
        <w:t>技术负责人出现下列情形需更换的，承包人应在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天前书面通知发包人和监理人，</w:t>
      </w:r>
      <w:r>
        <w:rPr>
          <w:rFonts w:hint="eastAsia" w:ascii="宋体" w:hAnsi="宋体"/>
          <w:color w:val="auto"/>
          <w:szCs w:val="21"/>
          <w:highlight w:val="none"/>
        </w:rPr>
        <w:t>经发包人领导班子集体决策同意后予以批准，并将变更信息推送给行业主管部门：</w:t>
      </w:r>
    </w:p>
    <w:p w14:paraId="6E76655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（1）死亡；</w:t>
      </w:r>
    </w:p>
    <w:p w14:paraId="36DE6B8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（2）非承包人原因导致工期延长，而致使项目经理和技术负责人达到法定退休年龄且确需退休；</w:t>
      </w:r>
    </w:p>
    <w:p w14:paraId="47FD70E2">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（3）按《职工非因工伤残或因病丧失劳动能力程度鉴定标准（试行）》规定鉴定为完全丧失劳动能力和大部分丧失劳动能力；</w:t>
      </w:r>
    </w:p>
    <w:p w14:paraId="29F2D0B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（4）非承包人原因导致中标3个月不能开工；</w:t>
      </w:r>
    </w:p>
    <w:p w14:paraId="784781B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（5）被公安或者司法机关限制人身自由；</w:t>
      </w:r>
    </w:p>
    <w:p w14:paraId="0D6B45D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（6）被取消职称或者执业资格，不满足项目管理要求；</w:t>
      </w:r>
    </w:p>
    <w:p w14:paraId="6BC94D6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非承包人原因导致确需变更的其它情形</w:t>
      </w:r>
      <w:r>
        <w:rPr>
          <w:rFonts w:hint="eastAsia" w:ascii="宋体" w:hAnsi="宋体"/>
          <w:color w:val="auto"/>
          <w:szCs w:val="21"/>
          <w:highlight w:val="none"/>
        </w:rPr>
        <w:t>。</w:t>
      </w:r>
    </w:p>
    <w:p w14:paraId="0007477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4.7.2撤换承包人其他人员</w:t>
      </w:r>
    </w:p>
    <w:p w14:paraId="279F5DB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承包人应按招标人招标文件规定配备现场施工从业人员，具体人员配备如下：</w:t>
      </w:r>
      <w:r>
        <w:rPr>
          <w:rFonts w:hint="eastAsia" w:ascii="宋体" w:hAnsi="宋体"/>
          <w:color w:val="auto"/>
          <w:szCs w:val="21"/>
          <w:highlight w:val="none"/>
          <w:u w:val="single"/>
        </w:rPr>
        <w:t xml:space="preserve">               </w:t>
      </w:r>
      <w:r>
        <w:rPr>
          <w:rFonts w:hint="eastAsia" w:ascii="宋体" w:hAnsi="宋体"/>
          <w:color w:val="auto"/>
          <w:szCs w:val="21"/>
          <w:highlight w:val="none"/>
        </w:rPr>
        <w:t>。若国有资金投资项目其他主要人员变更的，参照《重庆市政府投资项目合同变更管理暂行办法》的规定。</w:t>
      </w:r>
    </w:p>
    <w:p w14:paraId="7E9B8FEB">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4AC923A8">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kern w:val="0"/>
          <w:szCs w:val="21"/>
          <w:highlight w:val="none"/>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color w:val="auto"/>
          <w:szCs w:val="21"/>
          <w:highlight w:val="none"/>
        </w:rPr>
        <w:t>审核批准</w:t>
      </w:r>
      <w:r>
        <w:rPr>
          <w:rFonts w:hint="eastAsia" w:ascii="宋体" w:hAnsi="宋体" w:cs="宋体"/>
          <w:color w:val="auto"/>
          <w:kern w:val="0"/>
          <w:szCs w:val="21"/>
          <w:highlight w:val="none"/>
        </w:rPr>
        <w:t>。</w:t>
      </w:r>
    </w:p>
    <w:p w14:paraId="36CDDA4C">
      <w:pPr>
        <w:keepNext/>
        <w:keepLines/>
        <w:snapToGrid w:val="0"/>
        <w:spacing w:line="600" w:lineRule="exact"/>
        <w:ind w:firstLine="420" w:firstLineChars="200"/>
        <w:outlineLvl w:val="3"/>
        <w:rPr>
          <w:rFonts w:hint="eastAsia" w:ascii="宋体" w:hAnsi="宋体" w:cs="宋体"/>
          <w:color w:val="auto"/>
          <w:szCs w:val="21"/>
          <w:highlight w:val="none"/>
        </w:rPr>
      </w:pPr>
      <w:bookmarkStart w:id="98" w:name="_Toc221951158"/>
      <w:bookmarkStart w:id="99" w:name="_Toc33183720"/>
      <w:r>
        <w:rPr>
          <w:rFonts w:hint="eastAsia" w:ascii="宋体" w:hAnsi="宋体" w:cs="宋体"/>
          <w:color w:val="auto"/>
          <w:szCs w:val="21"/>
          <w:highlight w:val="none"/>
        </w:rPr>
        <w:t>4.11  不利物质条件</w:t>
      </w:r>
      <w:bookmarkEnd w:id="98"/>
      <w:bookmarkEnd w:id="99"/>
    </w:p>
    <w:p w14:paraId="52ABC808">
      <w:pPr>
        <w:spacing w:line="360" w:lineRule="auto"/>
        <w:ind w:right="248" w:firstLine="420" w:firstLineChars="200"/>
        <w:rPr>
          <w:rFonts w:hint="eastAsia" w:ascii="宋体" w:hAnsi="宋体" w:cs="宋体"/>
          <w:color w:val="auto"/>
          <w:szCs w:val="21"/>
          <w:highlight w:val="none"/>
        </w:rPr>
      </w:pPr>
      <w:bookmarkStart w:id="100" w:name="_Toc221951159"/>
      <w:r>
        <w:rPr>
          <w:rFonts w:hint="eastAsia" w:ascii="宋体" w:hAnsi="宋体" w:cs="宋体"/>
          <w:color w:val="auto"/>
          <w:szCs w:val="21"/>
          <w:highlight w:val="none"/>
        </w:rPr>
        <w:t>4.11.1不利物质条件的范围：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100"/>
    </w:p>
    <w:p w14:paraId="28394066">
      <w:pPr>
        <w:pStyle w:val="5"/>
        <w:spacing w:line="360" w:lineRule="auto"/>
        <w:rPr>
          <w:rFonts w:hint="eastAsia" w:ascii="宋体" w:hAnsi="宋体" w:cs="宋体"/>
          <w:color w:val="auto"/>
          <w:sz w:val="21"/>
          <w:szCs w:val="21"/>
          <w:highlight w:val="none"/>
        </w:rPr>
      </w:pPr>
      <w:bookmarkStart w:id="101" w:name="_Toc229305391"/>
      <w:bookmarkStart w:id="102" w:name="_Toc59810408"/>
      <w:bookmarkStart w:id="103" w:name="_Toc222031033"/>
      <w:bookmarkStart w:id="104" w:name="_Toc33183721"/>
      <w:bookmarkStart w:id="105" w:name="_Toc222033882"/>
      <w:bookmarkStart w:id="106" w:name="_Toc221951160"/>
      <w:bookmarkStart w:id="107" w:name="_Toc222032700"/>
      <w:bookmarkStart w:id="108" w:name="_Toc222029531"/>
      <w:r>
        <w:rPr>
          <w:rFonts w:hint="eastAsia" w:ascii="宋体" w:hAnsi="宋体" w:cs="宋体"/>
          <w:color w:val="auto"/>
          <w:sz w:val="21"/>
          <w:szCs w:val="21"/>
          <w:highlight w:val="none"/>
        </w:rPr>
        <w:t>5.材料和工程设备</w:t>
      </w:r>
      <w:bookmarkEnd w:id="101"/>
      <w:bookmarkEnd w:id="102"/>
      <w:bookmarkEnd w:id="103"/>
      <w:bookmarkEnd w:id="104"/>
      <w:bookmarkEnd w:id="105"/>
      <w:bookmarkEnd w:id="106"/>
      <w:bookmarkEnd w:id="107"/>
      <w:bookmarkEnd w:id="108"/>
    </w:p>
    <w:p w14:paraId="45043B55">
      <w:pPr>
        <w:keepNext/>
        <w:keepLines/>
        <w:snapToGrid w:val="0"/>
        <w:spacing w:line="600" w:lineRule="exact"/>
        <w:ind w:firstLine="420" w:firstLineChars="200"/>
        <w:outlineLvl w:val="3"/>
        <w:rPr>
          <w:rFonts w:hint="eastAsia" w:ascii="宋体" w:hAnsi="宋体" w:cs="宋体"/>
          <w:color w:val="auto"/>
          <w:szCs w:val="21"/>
          <w:highlight w:val="none"/>
        </w:rPr>
      </w:pPr>
      <w:bookmarkStart w:id="109" w:name="_Toc33183722"/>
      <w:bookmarkStart w:id="110" w:name="_Toc221951163"/>
      <w:r>
        <w:rPr>
          <w:rFonts w:hint="eastAsia" w:ascii="宋体" w:hAnsi="宋体" w:cs="宋体"/>
          <w:color w:val="auto"/>
          <w:szCs w:val="21"/>
          <w:highlight w:val="none"/>
        </w:rPr>
        <w:t>5.1承包人提供的材料和工程设备</w:t>
      </w:r>
      <w:bookmarkEnd w:id="109"/>
    </w:p>
    <w:p w14:paraId="176DDBA7">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本款补充细化如下：</w:t>
      </w:r>
    </w:p>
    <w:p w14:paraId="4BEB994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（1）承包人负责采购、运输和保管的材料、工程设备：</w:t>
      </w:r>
      <w:r>
        <w:rPr>
          <w:rFonts w:hint="eastAsia" w:ascii="宋体" w:hAnsi="宋体" w:cs="宋体"/>
          <w:color w:val="auto"/>
          <w:kern w:val="0"/>
          <w:szCs w:val="21"/>
          <w:highlight w:val="none"/>
          <w:u w:val="single"/>
        </w:rPr>
        <w:t>由承包人自行采购。承包人采购材料设备必须经监理人和发包人批准，结算时由监理人和发包人按招标文件规定审核的数量和合同约定价格价格计算</w:t>
      </w:r>
      <w:r>
        <w:rPr>
          <w:rFonts w:hint="eastAsia" w:ascii="宋体" w:hAnsi="宋体" w:cs="宋体"/>
          <w:color w:val="auto"/>
          <w:kern w:val="0"/>
          <w:szCs w:val="21"/>
          <w:highlight w:val="none"/>
        </w:rPr>
        <w:t>。</w:t>
      </w:r>
    </w:p>
    <w:p w14:paraId="171D20B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（2）承包人报送监理人审批的时间：</w:t>
      </w:r>
      <w:r>
        <w:rPr>
          <w:rFonts w:hint="eastAsia" w:ascii="宋体" w:hAnsi="宋体" w:cs="宋体"/>
          <w:color w:val="auto"/>
          <w:kern w:val="0"/>
          <w:szCs w:val="21"/>
          <w:highlight w:val="none"/>
          <w:u w:val="single"/>
        </w:rPr>
        <w:t>按发包人及监理单位的相关规定执行</w:t>
      </w:r>
      <w:r>
        <w:rPr>
          <w:rFonts w:hint="eastAsia" w:ascii="宋体" w:hAnsi="宋体" w:cs="宋体"/>
          <w:color w:val="auto"/>
          <w:kern w:val="0"/>
          <w:szCs w:val="21"/>
          <w:highlight w:val="none"/>
        </w:rPr>
        <w:t>。</w:t>
      </w:r>
    </w:p>
    <w:p w14:paraId="5E37F0FE">
      <w:pPr>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承包人选择的生产厂家或供应商满足下列条件：</w:t>
      </w:r>
    </w:p>
    <w:p w14:paraId="4167283C">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1B98A52">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8AE3F16">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5C9B077">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6E805A46">
      <w:pPr>
        <w:spacing w:line="360" w:lineRule="auto"/>
        <w:ind w:firstLine="840" w:firstLineChars="400"/>
        <w:jc w:val="left"/>
        <w:rPr>
          <w:rFonts w:hint="eastAsia"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14:paraId="3203B5C6">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78B04DA">
      <w:pPr>
        <w:keepNext/>
        <w:keepLines/>
        <w:snapToGrid w:val="0"/>
        <w:spacing w:line="600" w:lineRule="exact"/>
        <w:ind w:firstLine="420" w:firstLineChars="200"/>
        <w:outlineLvl w:val="3"/>
        <w:rPr>
          <w:rFonts w:hint="eastAsia" w:ascii="宋体" w:hAnsi="宋体" w:cs="宋体"/>
          <w:color w:val="auto"/>
          <w:szCs w:val="21"/>
          <w:highlight w:val="none"/>
        </w:rPr>
      </w:pPr>
      <w:bookmarkStart w:id="111" w:name="_Toc33183723"/>
      <w:r>
        <w:rPr>
          <w:rFonts w:hint="eastAsia" w:ascii="宋体" w:hAnsi="宋体" w:cs="宋体"/>
          <w:color w:val="auto"/>
          <w:szCs w:val="21"/>
          <w:highlight w:val="none"/>
        </w:rPr>
        <w:t>5.2  发包人提供的材料和工程设备</w:t>
      </w:r>
      <w:bookmarkEnd w:id="110"/>
      <w:bookmarkEnd w:id="111"/>
    </w:p>
    <w:p w14:paraId="61617680">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5.2.1发包人提供的材料和工程设备见下表：</w:t>
      </w:r>
    </w:p>
    <w:p w14:paraId="4035791F">
      <w:pPr>
        <w:spacing w:line="360" w:lineRule="auto"/>
        <w:ind w:right="248"/>
        <w:jc w:val="center"/>
        <w:rPr>
          <w:rFonts w:hint="eastAsia" w:ascii="宋体" w:hAnsi="宋体" w:cs="宋体"/>
          <w:color w:val="auto"/>
          <w:szCs w:val="21"/>
          <w:highlight w:val="none"/>
        </w:rPr>
      </w:pPr>
      <w:r>
        <w:rPr>
          <w:rFonts w:hint="eastAsia" w:ascii="宋体" w:hAnsi="宋体" w:cs="宋体"/>
          <w:b/>
          <w:color w:val="auto"/>
          <w:szCs w:val="21"/>
          <w:highlight w:val="none"/>
        </w:rPr>
        <w:t>发包人提供的主要材料表(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701"/>
        <w:gridCol w:w="1134"/>
        <w:gridCol w:w="1134"/>
        <w:gridCol w:w="1559"/>
        <w:gridCol w:w="992"/>
      </w:tblGrid>
      <w:tr w14:paraId="124A3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67A76992">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01" w:type="dxa"/>
            <w:noWrap w:val="0"/>
            <w:vAlign w:val="center"/>
          </w:tcPr>
          <w:p w14:paraId="52A17C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材料名称</w:t>
            </w:r>
          </w:p>
        </w:tc>
        <w:tc>
          <w:tcPr>
            <w:tcW w:w="1701" w:type="dxa"/>
            <w:noWrap w:val="0"/>
            <w:vAlign w:val="center"/>
          </w:tcPr>
          <w:p w14:paraId="594C705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材料规格</w:t>
            </w:r>
          </w:p>
        </w:tc>
        <w:tc>
          <w:tcPr>
            <w:tcW w:w="1134" w:type="dxa"/>
            <w:noWrap w:val="0"/>
            <w:vAlign w:val="center"/>
          </w:tcPr>
          <w:p w14:paraId="4D31A976">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14:paraId="0B86F0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559" w:type="dxa"/>
            <w:noWrap w:val="0"/>
            <w:vAlign w:val="center"/>
          </w:tcPr>
          <w:p w14:paraId="07699C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992" w:type="dxa"/>
            <w:noWrap w:val="0"/>
            <w:vAlign w:val="center"/>
          </w:tcPr>
          <w:p w14:paraId="141EF4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1891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0924329D">
            <w:pPr>
              <w:spacing w:line="360" w:lineRule="auto"/>
              <w:ind w:right="248"/>
              <w:jc w:val="center"/>
              <w:rPr>
                <w:rFonts w:hint="eastAsia" w:ascii="宋体" w:hAnsi="宋体" w:cs="宋体"/>
                <w:color w:val="auto"/>
                <w:szCs w:val="21"/>
                <w:highlight w:val="none"/>
              </w:rPr>
            </w:pPr>
          </w:p>
        </w:tc>
        <w:tc>
          <w:tcPr>
            <w:tcW w:w="1701" w:type="dxa"/>
            <w:noWrap w:val="0"/>
            <w:vAlign w:val="center"/>
          </w:tcPr>
          <w:p w14:paraId="3076EF9B">
            <w:pPr>
              <w:spacing w:line="360" w:lineRule="auto"/>
              <w:ind w:right="248"/>
              <w:jc w:val="center"/>
              <w:rPr>
                <w:rFonts w:hint="eastAsia" w:ascii="宋体" w:hAnsi="宋体" w:cs="宋体"/>
                <w:color w:val="auto"/>
                <w:szCs w:val="21"/>
                <w:highlight w:val="none"/>
              </w:rPr>
            </w:pPr>
          </w:p>
        </w:tc>
        <w:tc>
          <w:tcPr>
            <w:tcW w:w="1701" w:type="dxa"/>
            <w:noWrap w:val="0"/>
            <w:vAlign w:val="center"/>
          </w:tcPr>
          <w:p w14:paraId="051D64A2">
            <w:pPr>
              <w:spacing w:line="360" w:lineRule="auto"/>
              <w:ind w:right="248"/>
              <w:jc w:val="center"/>
              <w:rPr>
                <w:rFonts w:hint="eastAsia" w:ascii="宋体" w:hAnsi="宋体" w:cs="宋体"/>
                <w:color w:val="auto"/>
                <w:szCs w:val="21"/>
                <w:highlight w:val="none"/>
              </w:rPr>
            </w:pPr>
          </w:p>
        </w:tc>
        <w:tc>
          <w:tcPr>
            <w:tcW w:w="1134" w:type="dxa"/>
            <w:noWrap w:val="0"/>
            <w:vAlign w:val="center"/>
          </w:tcPr>
          <w:p w14:paraId="5A20D98A">
            <w:pPr>
              <w:spacing w:line="360" w:lineRule="auto"/>
              <w:ind w:right="248"/>
              <w:jc w:val="center"/>
              <w:rPr>
                <w:rFonts w:hint="eastAsia" w:ascii="宋体" w:hAnsi="宋体" w:cs="宋体"/>
                <w:color w:val="auto"/>
                <w:szCs w:val="21"/>
                <w:highlight w:val="none"/>
              </w:rPr>
            </w:pPr>
          </w:p>
        </w:tc>
        <w:tc>
          <w:tcPr>
            <w:tcW w:w="1134" w:type="dxa"/>
            <w:noWrap w:val="0"/>
            <w:vAlign w:val="center"/>
          </w:tcPr>
          <w:p w14:paraId="20B9964E">
            <w:pPr>
              <w:spacing w:line="360" w:lineRule="auto"/>
              <w:ind w:right="248"/>
              <w:jc w:val="center"/>
              <w:rPr>
                <w:rFonts w:hint="eastAsia" w:ascii="宋体" w:hAnsi="宋体" w:cs="宋体"/>
                <w:color w:val="auto"/>
                <w:szCs w:val="21"/>
                <w:highlight w:val="none"/>
              </w:rPr>
            </w:pPr>
          </w:p>
        </w:tc>
        <w:tc>
          <w:tcPr>
            <w:tcW w:w="1559" w:type="dxa"/>
            <w:noWrap w:val="0"/>
            <w:vAlign w:val="center"/>
          </w:tcPr>
          <w:p w14:paraId="29DF3897">
            <w:pPr>
              <w:spacing w:line="360" w:lineRule="auto"/>
              <w:ind w:right="248"/>
              <w:jc w:val="center"/>
              <w:rPr>
                <w:rFonts w:hint="eastAsia" w:ascii="宋体" w:hAnsi="宋体" w:cs="宋体"/>
                <w:color w:val="auto"/>
                <w:szCs w:val="21"/>
                <w:highlight w:val="none"/>
              </w:rPr>
            </w:pPr>
          </w:p>
        </w:tc>
        <w:tc>
          <w:tcPr>
            <w:tcW w:w="992" w:type="dxa"/>
            <w:noWrap w:val="0"/>
            <w:vAlign w:val="center"/>
          </w:tcPr>
          <w:p w14:paraId="68799382">
            <w:pPr>
              <w:spacing w:line="360" w:lineRule="auto"/>
              <w:ind w:right="248"/>
              <w:jc w:val="center"/>
              <w:rPr>
                <w:rFonts w:hint="eastAsia" w:ascii="宋体" w:hAnsi="宋体" w:cs="宋体"/>
                <w:color w:val="auto"/>
                <w:szCs w:val="21"/>
                <w:highlight w:val="none"/>
              </w:rPr>
            </w:pPr>
          </w:p>
        </w:tc>
      </w:tr>
      <w:tr w14:paraId="13908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126202EB">
            <w:pPr>
              <w:spacing w:line="360" w:lineRule="auto"/>
              <w:ind w:right="248"/>
              <w:jc w:val="center"/>
              <w:rPr>
                <w:rFonts w:hint="eastAsia" w:ascii="宋体" w:hAnsi="宋体" w:cs="宋体"/>
                <w:color w:val="auto"/>
                <w:szCs w:val="21"/>
                <w:highlight w:val="none"/>
              </w:rPr>
            </w:pPr>
          </w:p>
        </w:tc>
        <w:tc>
          <w:tcPr>
            <w:tcW w:w="1701" w:type="dxa"/>
            <w:noWrap w:val="0"/>
            <w:vAlign w:val="center"/>
          </w:tcPr>
          <w:p w14:paraId="07846E4B">
            <w:pPr>
              <w:spacing w:line="360" w:lineRule="auto"/>
              <w:ind w:right="248"/>
              <w:jc w:val="center"/>
              <w:rPr>
                <w:rFonts w:hint="eastAsia" w:ascii="宋体" w:hAnsi="宋体" w:cs="宋体"/>
                <w:color w:val="auto"/>
                <w:szCs w:val="21"/>
                <w:highlight w:val="none"/>
              </w:rPr>
            </w:pPr>
          </w:p>
        </w:tc>
        <w:tc>
          <w:tcPr>
            <w:tcW w:w="1701" w:type="dxa"/>
            <w:noWrap w:val="0"/>
            <w:vAlign w:val="center"/>
          </w:tcPr>
          <w:p w14:paraId="6A3DA20E">
            <w:pPr>
              <w:spacing w:line="360" w:lineRule="auto"/>
              <w:ind w:right="248"/>
              <w:jc w:val="center"/>
              <w:rPr>
                <w:rFonts w:hint="eastAsia" w:ascii="宋体" w:hAnsi="宋体" w:cs="宋体"/>
                <w:color w:val="auto"/>
                <w:szCs w:val="21"/>
                <w:highlight w:val="none"/>
              </w:rPr>
            </w:pPr>
          </w:p>
        </w:tc>
        <w:tc>
          <w:tcPr>
            <w:tcW w:w="1134" w:type="dxa"/>
            <w:noWrap w:val="0"/>
            <w:vAlign w:val="center"/>
          </w:tcPr>
          <w:p w14:paraId="001E4406">
            <w:pPr>
              <w:spacing w:line="360" w:lineRule="auto"/>
              <w:ind w:right="248"/>
              <w:jc w:val="center"/>
              <w:rPr>
                <w:rFonts w:hint="eastAsia" w:ascii="宋体" w:hAnsi="宋体" w:cs="宋体"/>
                <w:color w:val="auto"/>
                <w:szCs w:val="21"/>
                <w:highlight w:val="none"/>
              </w:rPr>
            </w:pPr>
          </w:p>
        </w:tc>
        <w:tc>
          <w:tcPr>
            <w:tcW w:w="1134" w:type="dxa"/>
            <w:noWrap w:val="0"/>
            <w:vAlign w:val="center"/>
          </w:tcPr>
          <w:p w14:paraId="7A8B77F2">
            <w:pPr>
              <w:spacing w:line="360" w:lineRule="auto"/>
              <w:ind w:right="248"/>
              <w:jc w:val="center"/>
              <w:rPr>
                <w:rFonts w:hint="eastAsia" w:ascii="宋体" w:hAnsi="宋体" w:cs="宋体"/>
                <w:color w:val="auto"/>
                <w:szCs w:val="21"/>
                <w:highlight w:val="none"/>
              </w:rPr>
            </w:pPr>
          </w:p>
        </w:tc>
        <w:tc>
          <w:tcPr>
            <w:tcW w:w="1559" w:type="dxa"/>
            <w:noWrap w:val="0"/>
            <w:vAlign w:val="center"/>
          </w:tcPr>
          <w:p w14:paraId="07BD9685">
            <w:pPr>
              <w:spacing w:line="360" w:lineRule="auto"/>
              <w:ind w:right="248"/>
              <w:jc w:val="center"/>
              <w:rPr>
                <w:rFonts w:hint="eastAsia" w:ascii="宋体" w:hAnsi="宋体" w:cs="宋体"/>
                <w:color w:val="auto"/>
                <w:szCs w:val="21"/>
                <w:highlight w:val="none"/>
              </w:rPr>
            </w:pPr>
          </w:p>
        </w:tc>
        <w:tc>
          <w:tcPr>
            <w:tcW w:w="992" w:type="dxa"/>
            <w:noWrap w:val="0"/>
            <w:vAlign w:val="center"/>
          </w:tcPr>
          <w:p w14:paraId="5D78FB1D">
            <w:pPr>
              <w:spacing w:line="360" w:lineRule="auto"/>
              <w:ind w:right="248"/>
              <w:jc w:val="center"/>
              <w:rPr>
                <w:rFonts w:hint="eastAsia" w:ascii="宋体" w:hAnsi="宋体" w:cs="宋体"/>
                <w:color w:val="auto"/>
                <w:szCs w:val="21"/>
                <w:highlight w:val="none"/>
              </w:rPr>
            </w:pPr>
          </w:p>
        </w:tc>
      </w:tr>
      <w:tr w14:paraId="79823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09C99190">
            <w:pPr>
              <w:spacing w:line="360" w:lineRule="auto"/>
              <w:ind w:right="248"/>
              <w:jc w:val="center"/>
              <w:rPr>
                <w:rFonts w:hint="eastAsia" w:ascii="宋体" w:hAnsi="宋体" w:cs="宋体"/>
                <w:color w:val="auto"/>
                <w:szCs w:val="21"/>
                <w:highlight w:val="none"/>
              </w:rPr>
            </w:pPr>
          </w:p>
        </w:tc>
        <w:tc>
          <w:tcPr>
            <w:tcW w:w="1701" w:type="dxa"/>
            <w:noWrap w:val="0"/>
            <w:vAlign w:val="center"/>
          </w:tcPr>
          <w:p w14:paraId="16671B6C">
            <w:pPr>
              <w:spacing w:line="360" w:lineRule="auto"/>
              <w:ind w:right="248"/>
              <w:jc w:val="center"/>
              <w:rPr>
                <w:rFonts w:hint="eastAsia" w:ascii="宋体" w:hAnsi="宋体" w:cs="宋体"/>
                <w:color w:val="auto"/>
                <w:szCs w:val="21"/>
                <w:highlight w:val="none"/>
              </w:rPr>
            </w:pPr>
          </w:p>
        </w:tc>
        <w:tc>
          <w:tcPr>
            <w:tcW w:w="1701" w:type="dxa"/>
            <w:noWrap w:val="0"/>
            <w:vAlign w:val="center"/>
          </w:tcPr>
          <w:p w14:paraId="08CD9634">
            <w:pPr>
              <w:spacing w:line="360" w:lineRule="auto"/>
              <w:ind w:right="248"/>
              <w:jc w:val="center"/>
              <w:rPr>
                <w:rFonts w:hint="eastAsia" w:ascii="宋体" w:hAnsi="宋体" w:cs="宋体"/>
                <w:color w:val="auto"/>
                <w:szCs w:val="21"/>
                <w:highlight w:val="none"/>
              </w:rPr>
            </w:pPr>
          </w:p>
        </w:tc>
        <w:tc>
          <w:tcPr>
            <w:tcW w:w="1134" w:type="dxa"/>
            <w:noWrap w:val="0"/>
            <w:vAlign w:val="center"/>
          </w:tcPr>
          <w:p w14:paraId="6BCCFA04">
            <w:pPr>
              <w:spacing w:line="360" w:lineRule="auto"/>
              <w:ind w:right="248"/>
              <w:jc w:val="center"/>
              <w:rPr>
                <w:rFonts w:hint="eastAsia" w:ascii="宋体" w:hAnsi="宋体" w:cs="宋体"/>
                <w:color w:val="auto"/>
                <w:szCs w:val="21"/>
                <w:highlight w:val="none"/>
              </w:rPr>
            </w:pPr>
          </w:p>
        </w:tc>
        <w:tc>
          <w:tcPr>
            <w:tcW w:w="1134" w:type="dxa"/>
            <w:noWrap w:val="0"/>
            <w:vAlign w:val="center"/>
          </w:tcPr>
          <w:p w14:paraId="29CDB264">
            <w:pPr>
              <w:spacing w:line="360" w:lineRule="auto"/>
              <w:ind w:right="248"/>
              <w:jc w:val="center"/>
              <w:rPr>
                <w:rFonts w:hint="eastAsia" w:ascii="宋体" w:hAnsi="宋体" w:cs="宋体"/>
                <w:color w:val="auto"/>
                <w:szCs w:val="21"/>
                <w:highlight w:val="none"/>
              </w:rPr>
            </w:pPr>
          </w:p>
        </w:tc>
        <w:tc>
          <w:tcPr>
            <w:tcW w:w="1559" w:type="dxa"/>
            <w:noWrap w:val="0"/>
            <w:vAlign w:val="center"/>
          </w:tcPr>
          <w:p w14:paraId="759631E3">
            <w:pPr>
              <w:spacing w:line="360" w:lineRule="auto"/>
              <w:ind w:right="248"/>
              <w:jc w:val="center"/>
              <w:rPr>
                <w:rFonts w:hint="eastAsia" w:ascii="宋体" w:hAnsi="宋体" w:cs="宋体"/>
                <w:color w:val="auto"/>
                <w:szCs w:val="21"/>
                <w:highlight w:val="none"/>
              </w:rPr>
            </w:pPr>
          </w:p>
        </w:tc>
        <w:tc>
          <w:tcPr>
            <w:tcW w:w="992" w:type="dxa"/>
            <w:noWrap w:val="0"/>
            <w:vAlign w:val="center"/>
          </w:tcPr>
          <w:p w14:paraId="1EFC676C">
            <w:pPr>
              <w:spacing w:line="360" w:lineRule="auto"/>
              <w:ind w:right="248"/>
              <w:jc w:val="center"/>
              <w:rPr>
                <w:rFonts w:hint="eastAsia" w:ascii="宋体" w:hAnsi="宋体" w:cs="宋体"/>
                <w:color w:val="auto"/>
                <w:szCs w:val="21"/>
                <w:highlight w:val="none"/>
              </w:rPr>
            </w:pPr>
          </w:p>
        </w:tc>
      </w:tr>
    </w:tbl>
    <w:p w14:paraId="3E049DA7">
      <w:pPr>
        <w:spacing w:line="360" w:lineRule="auto"/>
        <w:ind w:right="248" w:firstLine="1136" w:firstLineChars="539"/>
        <w:rPr>
          <w:rFonts w:hint="eastAsia" w:ascii="宋体" w:hAnsi="宋体" w:cs="宋体"/>
          <w:b/>
          <w:color w:val="auto"/>
          <w:szCs w:val="21"/>
          <w:highlight w:val="none"/>
        </w:rPr>
      </w:pPr>
    </w:p>
    <w:p w14:paraId="084E9698">
      <w:pPr>
        <w:spacing w:line="360" w:lineRule="auto"/>
        <w:ind w:right="248"/>
        <w:jc w:val="center"/>
        <w:rPr>
          <w:rFonts w:hint="eastAsia" w:ascii="宋体" w:hAnsi="宋体" w:cs="宋体"/>
          <w:color w:val="auto"/>
          <w:szCs w:val="21"/>
          <w:highlight w:val="none"/>
        </w:rPr>
      </w:pPr>
      <w:r>
        <w:rPr>
          <w:rFonts w:hint="eastAsia" w:ascii="宋体" w:hAnsi="宋体" w:cs="宋体"/>
          <w:b/>
          <w:color w:val="auto"/>
          <w:szCs w:val="21"/>
          <w:highlight w:val="none"/>
        </w:rPr>
        <w:t>发包人提供的主要设备表(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14:paraId="28BFE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B948002">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2" w:type="dxa"/>
            <w:noWrap w:val="0"/>
            <w:vAlign w:val="center"/>
          </w:tcPr>
          <w:p w14:paraId="644430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工程设备名称</w:t>
            </w:r>
          </w:p>
        </w:tc>
        <w:tc>
          <w:tcPr>
            <w:tcW w:w="1560" w:type="dxa"/>
            <w:noWrap w:val="0"/>
            <w:vAlign w:val="center"/>
          </w:tcPr>
          <w:p w14:paraId="41A10E8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型号及规格</w:t>
            </w:r>
          </w:p>
        </w:tc>
        <w:tc>
          <w:tcPr>
            <w:tcW w:w="992" w:type="dxa"/>
            <w:noWrap w:val="0"/>
            <w:vAlign w:val="center"/>
          </w:tcPr>
          <w:p w14:paraId="008A49A2">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14:paraId="43B46CE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701" w:type="dxa"/>
            <w:noWrap w:val="0"/>
            <w:vAlign w:val="center"/>
          </w:tcPr>
          <w:p w14:paraId="537C994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850" w:type="dxa"/>
            <w:noWrap w:val="0"/>
            <w:vAlign w:val="center"/>
          </w:tcPr>
          <w:p w14:paraId="2AB815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FAB2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4E2A544">
            <w:pPr>
              <w:spacing w:line="360" w:lineRule="auto"/>
              <w:ind w:right="248"/>
              <w:jc w:val="center"/>
              <w:rPr>
                <w:rFonts w:hint="eastAsia" w:ascii="宋体" w:hAnsi="宋体" w:cs="宋体"/>
                <w:color w:val="auto"/>
                <w:szCs w:val="21"/>
                <w:highlight w:val="none"/>
              </w:rPr>
            </w:pPr>
          </w:p>
        </w:tc>
        <w:tc>
          <w:tcPr>
            <w:tcW w:w="1842" w:type="dxa"/>
            <w:noWrap w:val="0"/>
            <w:vAlign w:val="center"/>
          </w:tcPr>
          <w:p w14:paraId="2816573C">
            <w:pPr>
              <w:spacing w:line="360" w:lineRule="auto"/>
              <w:ind w:right="248"/>
              <w:jc w:val="center"/>
              <w:rPr>
                <w:rFonts w:hint="eastAsia" w:ascii="宋体" w:hAnsi="宋体" w:cs="宋体"/>
                <w:color w:val="auto"/>
                <w:szCs w:val="21"/>
                <w:highlight w:val="none"/>
              </w:rPr>
            </w:pPr>
          </w:p>
        </w:tc>
        <w:tc>
          <w:tcPr>
            <w:tcW w:w="1560" w:type="dxa"/>
            <w:noWrap w:val="0"/>
            <w:vAlign w:val="center"/>
          </w:tcPr>
          <w:p w14:paraId="4089F174">
            <w:pPr>
              <w:spacing w:line="360" w:lineRule="auto"/>
              <w:ind w:right="248"/>
              <w:jc w:val="center"/>
              <w:rPr>
                <w:rFonts w:hint="eastAsia" w:ascii="宋体" w:hAnsi="宋体" w:cs="宋体"/>
                <w:color w:val="auto"/>
                <w:szCs w:val="21"/>
                <w:highlight w:val="none"/>
              </w:rPr>
            </w:pPr>
          </w:p>
        </w:tc>
        <w:tc>
          <w:tcPr>
            <w:tcW w:w="992" w:type="dxa"/>
            <w:noWrap w:val="0"/>
            <w:vAlign w:val="center"/>
          </w:tcPr>
          <w:p w14:paraId="7FBB9783">
            <w:pPr>
              <w:spacing w:line="360" w:lineRule="auto"/>
              <w:ind w:right="248"/>
              <w:jc w:val="center"/>
              <w:rPr>
                <w:rFonts w:hint="eastAsia" w:ascii="宋体" w:hAnsi="宋体" w:cs="宋体"/>
                <w:color w:val="auto"/>
                <w:szCs w:val="21"/>
                <w:highlight w:val="none"/>
              </w:rPr>
            </w:pPr>
          </w:p>
        </w:tc>
        <w:tc>
          <w:tcPr>
            <w:tcW w:w="1134" w:type="dxa"/>
            <w:noWrap w:val="0"/>
            <w:vAlign w:val="center"/>
          </w:tcPr>
          <w:p w14:paraId="604F2447">
            <w:pPr>
              <w:spacing w:line="360" w:lineRule="auto"/>
              <w:ind w:right="248"/>
              <w:jc w:val="center"/>
              <w:rPr>
                <w:rFonts w:hint="eastAsia" w:ascii="宋体" w:hAnsi="宋体" w:cs="宋体"/>
                <w:color w:val="auto"/>
                <w:szCs w:val="21"/>
                <w:highlight w:val="none"/>
              </w:rPr>
            </w:pPr>
          </w:p>
        </w:tc>
        <w:tc>
          <w:tcPr>
            <w:tcW w:w="1701" w:type="dxa"/>
            <w:noWrap w:val="0"/>
            <w:vAlign w:val="center"/>
          </w:tcPr>
          <w:p w14:paraId="22AD80D8">
            <w:pPr>
              <w:spacing w:line="360" w:lineRule="auto"/>
              <w:ind w:right="248"/>
              <w:jc w:val="center"/>
              <w:rPr>
                <w:rFonts w:hint="eastAsia" w:ascii="宋体" w:hAnsi="宋体" w:cs="宋体"/>
                <w:color w:val="auto"/>
                <w:szCs w:val="21"/>
                <w:highlight w:val="none"/>
              </w:rPr>
            </w:pPr>
          </w:p>
        </w:tc>
        <w:tc>
          <w:tcPr>
            <w:tcW w:w="850" w:type="dxa"/>
            <w:noWrap w:val="0"/>
            <w:vAlign w:val="center"/>
          </w:tcPr>
          <w:p w14:paraId="1251796C">
            <w:pPr>
              <w:spacing w:line="360" w:lineRule="auto"/>
              <w:ind w:right="248"/>
              <w:jc w:val="center"/>
              <w:rPr>
                <w:rFonts w:hint="eastAsia" w:ascii="宋体" w:hAnsi="宋体" w:cs="宋体"/>
                <w:color w:val="auto"/>
                <w:szCs w:val="21"/>
                <w:highlight w:val="none"/>
              </w:rPr>
            </w:pPr>
          </w:p>
        </w:tc>
      </w:tr>
      <w:tr w14:paraId="28783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01" w:type="dxa"/>
            <w:noWrap w:val="0"/>
            <w:vAlign w:val="center"/>
          </w:tcPr>
          <w:p w14:paraId="0B21E2A4">
            <w:pPr>
              <w:spacing w:line="360" w:lineRule="auto"/>
              <w:ind w:right="248"/>
              <w:jc w:val="center"/>
              <w:rPr>
                <w:rFonts w:hint="eastAsia" w:ascii="宋体" w:hAnsi="宋体" w:cs="宋体"/>
                <w:color w:val="auto"/>
                <w:szCs w:val="21"/>
                <w:highlight w:val="none"/>
              </w:rPr>
            </w:pPr>
          </w:p>
        </w:tc>
        <w:tc>
          <w:tcPr>
            <w:tcW w:w="1842" w:type="dxa"/>
            <w:noWrap w:val="0"/>
            <w:vAlign w:val="center"/>
          </w:tcPr>
          <w:p w14:paraId="437A4438">
            <w:pPr>
              <w:spacing w:line="360" w:lineRule="auto"/>
              <w:ind w:right="248"/>
              <w:jc w:val="center"/>
              <w:rPr>
                <w:rFonts w:hint="eastAsia" w:ascii="宋体" w:hAnsi="宋体" w:cs="宋体"/>
                <w:color w:val="auto"/>
                <w:szCs w:val="21"/>
                <w:highlight w:val="none"/>
              </w:rPr>
            </w:pPr>
          </w:p>
        </w:tc>
        <w:tc>
          <w:tcPr>
            <w:tcW w:w="1560" w:type="dxa"/>
            <w:noWrap w:val="0"/>
            <w:vAlign w:val="center"/>
          </w:tcPr>
          <w:p w14:paraId="7AB989E2">
            <w:pPr>
              <w:spacing w:line="360" w:lineRule="auto"/>
              <w:ind w:right="248"/>
              <w:jc w:val="center"/>
              <w:rPr>
                <w:rFonts w:hint="eastAsia" w:ascii="宋体" w:hAnsi="宋体" w:cs="宋体"/>
                <w:color w:val="auto"/>
                <w:szCs w:val="21"/>
                <w:highlight w:val="none"/>
              </w:rPr>
            </w:pPr>
          </w:p>
        </w:tc>
        <w:tc>
          <w:tcPr>
            <w:tcW w:w="992" w:type="dxa"/>
            <w:noWrap w:val="0"/>
            <w:vAlign w:val="center"/>
          </w:tcPr>
          <w:p w14:paraId="30599177">
            <w:pPr>
              <w:spacing w:line="360" w:lineRule="auto"/>
              <w:ind w:right="248"/>
              <w:jc w:val="center"/>
              <w:rPr>
                <w:rFonts w:hint="eastAsia" w:ascii="宋体" w:hAnsi="宋体" w:cs="宋体"/>
                <w:color w:val="auto"/>
                <w:szCs w:val="21"/>
                <w:highlight w:val="none"/>
              </w:rPr>
            </w:pPr>
          </w:p>
        </w:tc>
        <w:tc>
          <w:tcPr>
            <w:tcW w:w="1134" w:type="dxa"/>
            <w:noWrap w:val="0"/>
            <w:vAlign w:val="center"/>
          </w:tcPr>
          <w:p w14:paraId="1546E078">
            <w:pPr>
              <w:spacing w:line="360" w:lineRule="auto"/>
              <w:ind w:right="248"/>
              <w:jc w:val="center"/>
              <w:rPr>
                <w:rFonts w:hint="eastAsia" w:ascii="宋体" w:hAnsi="宋体" w:cs="宋体"/>
                <w:color w:val="auto"/>
                <w:szCs w:val="21"/>
                <w:highlight w:val="none"/>
              </w:rPr>
            </w:pPr>
          </w:p>
        </w:tc>
        <w:tc>
          <w:tcPr>
            <w:tcW w:w="1701" w:type="dxa"/>
            <w:noWrap w:val="0"/>
            <w:vAlign w:val="center"/>
          </w:tcPr>
          <w:p w14:paraId="693E7E2F">
            <w:pPr>
              <w:spacing w:line="360" w:lineRule="auto"/>
              <w:ind w:right="248"/>
              <w:jc w:val="center"/>
              <w:rPr>
                <w:rFonts w:hint="eastAsia" w:ascii="宋体" w:hAnsi="宋体" w:cs="宋体"/>
                <w:color w:val="auto"/>
                <w:szCs w:val="21"/>
                <w:highlight w:val="none"/>
              </w:rPr>
            </w:pPr>
          </w:p>
        </w:tc>
        <w:tc>
          <w:tcPr>
            <w:tcW w:w="850" w:type="dxa"/>
            <w:noWrap w:val="0"/>
            <w:vAlign w:val="center"/>
          </w:tcPr>
          <w:p w14:paraId="1664939A">
            <w:pPr>
              <w:spacing w:line="360" w:lineRule="auto"/>
              <w:ind w:right="248"/>
              <w:jc w:val="center"/>
              <w:rPr>
                <w:rFonts w:hint="eastAsia" w:ascii="宋体" w:hAnsi="宋体" w:cs="宋体"/>
                <w:color w:val="auto"/>
                <w:szCs w:val="21"/>
                <w:highlight w:val="none"/>
              </w:rPr>
            </w:pPr>
          </w:p>
        </w:tc>
      </w:tr>
      <w:tr w14:paraId="5544F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01" w:type="dxa"/>
            <w:noWrap w:val="0"/>
            <w:vAlign w:val="center"/>
          </w:tcPr>
          <w:p w14:paraId="4123BFAF">
            <w:pPr>
              <w:spacing w:line="360" w:lineRule="auto"/>
              <w:ind w:right="248"/>
              <w:jc w:val="center"/>
              <w:rPr>
                <w:rFonts w:hint="eastAsia" w:ascii="宋体" w:hAnsi="宋体" w:cs="宋体"/>
                <w:color w:val="auto"/>
                <w:szCs w:val="21"/>
                <w:highlight w:val="none"/>
              </w:rPr>
            </w:pPr>
          </w:p>
        </w:tc>
        <w:tc>
          <w:tcPr>
            <w:tcW w:w="1842" w:type="dxa"/>
            <w:noWrap w:val="0"/>
            <w:vAlign w:val="center"/>
          </w:tcPr>
          <w:p w14:paraId="4B54D22A">
            <w:pPr>
              <w:spacing w:line="360" w:lineRule="auto"/>
              <w:ind w:right="248"/>
              <w:jc w:val="center"/>
              <w:rPr>
                <w:rFonts w:hint="eastAsia" w:ascii="宋体" w:hAnsi="宋体" w:cs="宋体"/>
                <w:color w:val="auto"/>
                <w:szCs w:val="21"/>
                <w:highlight w:val="none"/>
              </w:rPr>
            </w:pPr>
          </w:p>
        </w:tc>
        <w:tc>
          <w:tcPr>
            <w:tcW w:w="1560" w:type="dxa"/>
            <w:noWrap w:val="0"/>
            <w:vAlign w:val="center"/>
          </w:tcPr>
          <w:p w14:paraId="7AD6A74C">
            <w:pPr>
              <w:spacing w:line="360" w:lineRule="auto"/>
              <w:ind w:right="248"/>
              <w:jc w:val="center"/>
              <w:rPr>
                <w:rFonts w:hint="eastAsia" w:ascii="宋体" w:hAnsi="宋体" w:cs="宋体"/>
                <w:color w:val="auto"/>
                <w:szCs w:val="21"/>
                <w:highlight w:val="none"/>
              </w:rPr>
            </w:pPr>
          </w:p>
        </w:tc>
        <w:tc>
          <w:tcPr>
            <w:tcW w:w="992" w:type="dxa"/>
            <w:noWrap w:val="0"/>
            <w:vAlign w:val="center"/>
          </w:tcPr>
          <w:p w14:paraId="699472BE">
            <w:pPr>
              <w:spacing w:line="360" w:lineRule="auto"/>
              <w:ind w:right="248"/>
              <w:jc w:val="center"/>
              <w:rPr>
                <w:rFonts w:hint="eastAsia" w:ascii="宋体" w:hAnsi="宋体" w:cs="宋体"/>
                <w:color w:val="auto"/>
                <w:szCs w:val="21"/>
                <w:highlight w:val="none"/>
              </w:rPr>
            </w:pPr>
          </w:p>
        </w:tc>
        <w:tc>
          <w:tcPr>
            <w:tcW w:w="1134" w:type="dxa"/>
            <w:noWrap w:val="0"/>
            <w:vAlign w:val="center"/>
          </w:tcPr>
          <w:p w14:paraId="6C1A516F">
            <w:pPr>
              <w:spacing w:line="360" w:lineRule="auto"/>
              <w:ind w:right="248"/>
              <w:jc w:val="center"/>
              <w:rPr>
                <w:rFonts w:hint="eastAsia" w:ascii="宋体" w:hAnsi="宋体" w:cs="宋体"/>
                <w:color w:val="auto"/>
                <w:szCs w:val="21"/>
                <w:highlight w:val="none"/>
              </w:rPr>
            </w:pPr>
          </w:p>
        </w:tc>
        <w:tc>
          <w:tcPr>
            <w:tcW w:w="1701" w:type="dxa"/>
            <w:noWrap w:val="0"/>
            <w:vAlign w:val="center"/>
          </w:tcPr>
          <w:p w14:paraId="5A6AEAE0">
            <w:pPr>
              <w:spacing w:line="360" w:lineRule="auto"/>
              <w:ind w:right="248"/>
              <w:jc w:val="center"/>
              <w:rPr>
                <w:rFonts w:hint="eastAsia" w:ascii="宋体" w:hAnsi="宋体" w:cs="宋体"/>
                <w:color w:val="auto"/>
                <w:szCs w:val="21"/>
                <w:highlight w:val="none"/>
              </w:rPr>
            </w:pPr>
          </w:p>
        </w:tc>
        <w:tc>
          <w:tcPr>
            <w:tcW w:w="850" w:type="dxa"/>
            <w:noWrap w:val="0"/>
            <w:vAlign w:val="center"/>
          </w:tcPr>
          <w:p w14:paraId="478F9559">
            <w:pPr>
              <w:spacing w:line="360" w:lineRule="auto"/>
              <w:ind w:right="248"/>
              <w:jc w:val="center"/>
              <w:rPr>
                <w:rFonts w:hint="eastAsia" w:ascii="宋体" w:hAnsi="宋体" w:cs="宋体"/>
                <w:color w:val="auto"/>
                <w:szCs w:val="21"/>
                <w:highlight w:val="none"/>
              </w:rPr>
            </w:pPr>
          </w:p>
        </w:tc>
      </w:tr>
    </w:tbl>
    <w:p w14:paraId="68393F4F">
      <w:pPr>
        <w:spacing w:line="360" w:lineRule="auto"/>
        <w:ind w:firstLine="420" w:firstLineChars="200"/>
        <w:jc w:val="left"/>
        <w:rPr>
          <w:rFonts w:hint="eastAsia" w:ascii="宋体" w:hAnsi="宋体" w:cs="宋体"/>
          <w:color w:val="auto"/>
          <w:kern w:val="0"/>
          <w:szCs w:val="21"/>
          <w:highlight w:val="none"/>
        </w:rPr>
      </w:pPr>
      <w:bookmarkStart w:id="112" w:name="_Toc221951166"/>
      <w:bookmarkStart w:id="113" w:name="_Toc222031034"/>
      <w:bookmarkStart w:id="114" w:name="_Toc222032701"/>
      <w:bookmarkStart w:id="115" w:name="_Toc222029532"/>
      <w:bookmarkStart w:id="116" w:name="_Toc229305392"/>
      <w:bookmarkStart w:id="117" w:name="_Toc222033883"/>
      <w:r>
        <w:rPr>
          <w:rFonts w:hint="eastAsia" w:ascii="宋体" w:hAnsi="宋体"/>
          <w:color w:val="auto"/>
          <w:szCs w:val="21"/>
          <w:highlight w:val="none"/>
        </w:rPr>
        <w:t>材料（设备）的名称、规格、数量和价格：</w:t>
      </w:r>
      <w:r>
        <w:rPr>
          <w:rFonts w:hint="eastAsia" w:ascii="宋体" w:hAnsi="宋体"/>
          <w:color w:val="auto"/>
          <w:szCs w:val="21"/>
          <w:highlight w:val="none"/>
          <w:u w:val="single"/>
        </w:rPr>
        <w:t>发包人应提供甲供材料（设备）的明细表，结算时按经监理人、承包人共同确认的供应数量乘以招标时甲供材料暂定价格，在支付工程款时扣除</w:t>
      </w:r>
      <w:r>
        <w:rPr>
          <w:rFonts w:hint="eastAsia" w:ascii="宋体" w:hAnsi="宋体"/>
          <w:color w:val="auto"/>
          <w:szCs w:val="21"/>
          <w:highlight w:val="none"/>
        </w:rPr>
        <w:t>。</w:t>
      </w:r>
    </w:p>
    <w:p w14:paraId="27187F1F">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5.4 禁止使用不合格的材料和工程设备</w:t>
      </w:r>
    </w:p>
    <w:p w14:paraId="657DC89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本款补充细化如下：</w:t>
      </w:r>
      <w:r>
        <w:rPr>
          <w:rFonts w:hint="eastAsia" w:ascii="宋体" w:hAnsi="宋体" w:cs="宋体"/>
          <w:color w:val="auto"/>
          <w:kern w:val="0"/>
          <w:szCs w:val="21"/>
          <w:highlight w:val="none"/>
          <w:u w:val="single"/>
        </w:rPr>
        <w:t>发包人按约定的内容提供材料设备，承包人按施工规范和检测规范对一切进场材料进行质量检验，承包人有权退回检验不合格的材料；承包人对投入使用的材料质量负责，并对工程质量全面负责。</w:t>
      </w:r>
    </w:p>
    <w:p w14:paraId="2963277A">
      <w:pPr>
        <w:keepNext/>
        <w:keepLines/>
        <w:snapToGrid w:val="0"/>
        <w:spacing w:line="600" w:lineRule="exact"/>
        <w:ind w:firstLine="420" w:firstLineChars="200"/>
        <w:outlineLvl w:val="3"/>
        <w:rPr>
          <w:rFonts w:ascii="宋体" w:hAnsi="宋体" w:cs="宋体"/>
          <w:color w:val="auto"/>
          <w:szCs w:val="21"/>
          <w:highlight w:val="none"/>
        </w:rPr>
      </w:pPr>
      <w:r>
        <w:rPr>
          <w:rFonts w:hint="eastAsia" w:ascii="宋体" w:hAnsi="宋体" w:cs="宋体"/>
          <w:color w:val="auto"/>
          <w:szCs w:val="21"/>
          <w:highlight w:val="none"/>
        </w:rPr>
        <w:t>本条补充5.5、5.6款如下：</w:t>
      </w:r>
    </w:p>
    <w:p w14:paraId="7BB96964">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5.5 材料与工程设备的保管与使用</w:t>
      </w:r>
    </w:p>
    <w:p w14:paraId="7DA1501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发包人供应的材料设备的保管费用的承担：</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457CF68">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5.6 样品</w:t>
      </w:r>
    </w:p>
    <w:p w14:paraId="02195B0E">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E23FAC2">
      <w:pPr>
        <w:pStyle w:val="5"/>
        <w:spacing w:line="360" w:lineRule="auto"/>
        <w:rPr>
          <w:rFonts w:hint="eastAsia" w:ascii="宋体" w:hAnsi="宋体" w:cs="宋体"/>
          <w:color w:val="auto"/>
          <w:sz w:val="21"/>
          <w:szCs w:val="21"/>
          <w:highlight w:val="none"/>
        </w:rPr>
      </w:pPr>
      <w:bookmarkStart w:id="118" w:name="_Toc59810409"/>
      <w:bookmarkStart w:id="119" w:name="_Toc33183724"/>
      <w:r>
        <w:rPr>
          <w:rFonts w:hint="eastAsia" w:ascii="宋体" w:hAnsi="宋体" w:cs="宋体"/>
          <w:color w:val="auto"/>
          <w:sz w:val="21"/>
          <w:szCs w:val="21"/>
          <w:highlight w:val="none"/>
        </w:rPr>
        <w:t>6.施工设备和临时设施</w:t>
      </w:r>
      <w:bookmarkEnd w:id="112"/>
      <w:bookmarkEnd w:id="113"/>
      <w:bookmarkEnd w:id="114"/>
      <w:bookmarkEnd w:id="115"/>
      <w:bookmarkEnd w:id="116"/>
      <w:bookmarkEnd w:id="117"/>
      <w:bookmarkEnd w:id="118"/>
      <w:bookmarkEnd w:id="119"/>
      <w:r>
        <w:rPr>
          <w:rFonts w:hint="eastAsia" w:ascii="宋体" w:hAnsi="宋体" w:cs="宋体"/>
          <w:color w:val="auto"/>
          <w:sz w:val="21"/>
          <w:szCs w:val="21"/>
          <w:highlight w:val="none"/>
        </w:rPr>
        <w:t xml:space="preserve"> </w:t>
      </w:r>
    </w:p>
    <w:p w14:paraId="763913BC">
      <w:pPr>
        <w:keepNext/>
        <w:keepLines/>
        <w:snapToGrid w:val="0"/>
        <w:spacing w:line="600" w:lineRule="exact"/>
        <w:ind w:firstLine="420" w:firstLineChars="200"/>
        <w:outlineLvl w:val="3"/>
        <w:rPr>
          <w:rFonts w:hint="eastAsia" w:ascii="宋体" w:hAnsi="宋体" w:cs="宋体"/>
          <w:color w:val="auto"/>
          <w:szCs w:val="21"/>
          <w:highlight w:val="none"/>
        </w:rPr>
      </w:pPr>
      <w:bookmarkStart w:id="120" w:name="_Toc33183725"/>
      <w:bookmarkStart w:id="121" w:name="_Toc221951167"/>
      <w:r>
        <w:rPr>
          <w:rFonts w:hint="eastAsia" w:ascii="宋体" w:hAnsi="宋体" w:cs="宋体"/>
          <w:color w:val="auto"/>
          <w:szCs w:val="21"/>
          <w:highlight w:val="none"/>
        </w:rPr>
        <w:t>6.1  承包人提供的施工设备和临时设施</w:t>
      </w:r>
      <w:bookmarkEnd w:id="120"/>
    </w:p>
    <w:p w14:paraId="151B87E1">
      <w:pPr>
        <w:autoSpaceDE w:val="0"/>
        <w:autoSpaceDN w:val="0"/>
        <w:adjustRightInd w:val="0"/>
        <w:spacing w:line="360" w:lineRule="auto"/>
        <w:ind w:firstLine="480"/>
        <w:jc w:val="left"/>
        <w:rPr>
          <w:rFonts w:hint="eastAsia" w:ascii="宋体" w:hAnsi="宋体" w:cs="宋体"/>
          <w:color w:val="auto"/>
          <w:szCs w:val="21"/>
          <w:highlight w:val="none"/>
        </w:rPr>
      </w:pPr>
      <w:r>
        <w:rPr>
          <w:rFonts w:hint="eastAsia" w:ascii="宋体" w:hAnsi="宋体" w:cs="宋体"/>
          <w:color w:val="auto"/>
          <w:kern w:val="0"/>
          <w:szCs w:val="21"/>
          <w:highlight w:val="none"/>
        </w:rPr>
        <w:t>关于修建临时设施费用承担的约定：</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14:paraId="4DF8283F">
      <w:pPr>
        <w:keepNext/>
        <w:keepLines/>
        <w:snapToGrid w:val="0"/>
        <w:spacing w:line="600" w:lineRule="exact"/>
        <w:ind w:firstLine="420" w:firstLineChars="200"/>
        <w:outlineLvl w:val="3"/>
        <w:rPr>
          <w:rFonts w:hint="eastAsia" w:ascii="宋体" w:hAnsi="宋体" w:cs="宋体"/>
          <w:color w:val="auto"/>
          <w:szCs w:val="21"/>
          <w:highlight w:val="none"/>
        </w:rPr>
      </w:pPr>
      <w:bookmarkStart w:id="122" w:name="_Toc33183726"/>
      <w:r>
        <w:rPr>
          <w:rFonts w:hint="eastAsia" w:ascii="宋体" w:hAnsi="宋体" w:cs="宋体"/>
          <w:color w:val="auto"/>
          <w:szCs w:val="21"/>
          <w:highlight w:val="none"/>
        </w:rPr>
        <w:t>6.2  发包人提供的施工设备和临时设施</w:t>
      </w:r>
      <w:bookmarkEnd w:id="121"/>
      <w:bookmarkEnd w:id="122"/>
    </w:p>
    <w:p w14:paraId="088A245F">
      <w:pPr>
        <w:spacing w:line="360" w:lineRule="auto"/>
        <w:ind w:right="248" w:firstLine="424" w:firstLineChars="202"/>
        <w:rPr>
          <w:rFonts w:hint="eastAsia" w:ascii="宋体" w:hAnsi="宋体" w:cs="宋体"/>
          <w:color w:val="auto"/>
          <w:szCs w:val="21"/>
          <w:highlight w:val="none"/>
        </w:rPr>
      </w:pPr>
      <w:bookmarkStart w:id="123" w:name="_Toc221951169"/>
      <w:r>
        <w:rPr>
          <w:rFonts w:hint="eastAsia" w:ascii="宋体" w:hAnsi="宋体" w:cs="宋体"/>
          <w:color w:val="auto"/>
          <w:szCs w:val="21"/>
          <w:highlight w:val="none"/>
        </w:rPr>
        <w:t>（1）发包人提供的施工设备见下表</w:t>
      </w:r>
      <w:bookmarkEnd w:id="123"/>
      <w:r>
        <w:rPr>
          <w:rFonts w:hint="eastAsia" w:ascii="宋体" w:hAnsi="宋体" w:cs="宋体"/>
          <w:color w:val="auto"/>
          <w:szCs w:val="21"/>
          <w:highlight w:val="none"/>
        </w:rPr>
        <w:t>：</w:t>
      </w:r>
    </w:p>
    <w:p w14:paraId="72739D2E">
      <w:pPr>
        <w:spacing w:line="360" w:lineRule="auto"/>
        <w:ind w:right="248"/>
        <w:jc w:val="center"/>
        <w:rPr>
          <w:rFonts w:hint="eastAsia" w:ascii="宋体" w:hAnsi="宋体" w:cs="宋体"/>
          <w:color w:val="auto"/>
          <w:szCs w:val="21"/>
          <w:highlight w:val="none"/>
        </w:rPr>
      </w:pPr>
      <w:bookmarkStart w:id="124" w:name="_Toc221951170"/>
      <w:r>
        <w:rPr>
          <w:rFonts w:hint="eastAsia" w:ascii="宋体" w:hAnsi="宋体" w:cs="宋体"/>
          <w:b/>
          <w:color w:val="auto"/>
          <w:szCs w:val="21"/>
          <w:highlight w:val="none"/>
        </w:rPr>
        <w:t>发包人提供的施工设备表(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bookmarkEnd w:id="124"/>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14:paraId="0D0E7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B9A023F">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2" w:type="dxa"/>
            <w:noWrap w:val="0"/>
            <w:vAlign w:val="center"/>
          </w:tcPr>
          <w:p w14:paraId="5455C1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施工设备名称</w:t>
            </w:r>
          </w:p>
        </w:tc>
        <w:tc>
          <w:tcPr>
            <w:tcW w:w="1560" w:type="dxa"/>
            <w:noWrap w:val="0"/>
            <w:vAlign w:val="center"/>
          </w:tcPr>
          <w:p w14:paraId="198489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型号及规格</w:t>
            </w:r>
          </w:p>
        </w:tc>
        <w:tc>
          <w:tcPr>
            <w:tcW w:w="992" w:type="dxa"/>
            <w:noWrap w:val="0"/>
            <w:vAlign w:val="center"/>
          </w:tcPr>
          <w:p w14:paraId="3512CFBB">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14:paraId="2B39BE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701" w:type="dxa"/>
            <w:noWrap w:val="0"/>
            <w:vAlign w:val="center"/>
          </w:tcPr>
          <w:p w14:paraId="6C8A039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850" w:type="dxa"/>
            <w:noWrap w:val="0"/>
            <w:vAlign w:val="center"/>
          </w:tcPr>
          <w:p w14:paraId="340631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6FA0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0FD6559">
            <w:pPr>
              <w:spacing w:line="360" w:lineRule="auto"/>
              <w:ind w:right="248"/>
              <w:jc w:val="center"/>
              <w:rPr>
                <w:rFonts w:hint="eastAsia" w:ascii="宋体" w:hAnsi="宋体" w:cs="宋体"/>
                <w:color w:val="auto"/>
                <w:szCs w:val="21"/>
                <w:highlight w:val="none"/>
              </w:rPr>
            </w:pPr>
          </w:p>
        </w:tc>
        <w:tc>
          <w:tcPr>
            <w:tcW w:w="1842" w:type="dxa"/>
            <w:noWrap w:val="0"/>
            <w:vAlign w:val="center"/>
          </w:tcPr>
          <w:p w14:paraId="6F7984DB">
            <w:pPr>
              <w:spacing w:line="360" w:lineRule="auto"/>
              <w:ind w:right="248"/>
              <w:jc w:val="center"/>
              <w:rPr>
                <w:rFonts w:hint="eastAsia" w:ascii="宋体" w:hAnsi="宋体" w:cs="宋体"/>
                <w:color w:val="auto"/>
                <w:szCs w:val="21"/>
                <w:highlight w:val="none"/>
              </w:rPr>
            </w:pPr>
          </w:p>
        </w:tc>
        <w:tc>
          <w:tcPr>
            <w:tcW w:w="1560" w:type="dxa"/>
            <w:noWrap w:val="0"/>
            <w:vAlign w:val="center"/>
          </w:tcPr>
          <w:p w14:paraId="4484AAE4">
            <w:pPr>
              <w:spacing w:line="360" w:lineRule="auto"/>
              <w:ind w:right="248"/>
              <w:jc w:val="center"/>
              <w:rPr>
                <w:rFonts w:hint="eastAsia" w:ascii="宋体" w:hAnsi="宋体" w:cs="宋体"/>
                <w:color w:val="auto"/>
                <w:szCs w:val="21"/>
                <w:highlight w:val="none"/>
              </w:rPr>
            </w:pPr>
          </w:p>
        </w:tc>
        <w:tc>
          <w:tcPr>
            <w:tcW w:w="992" w:type="dxa"/>
            <w:noWrap w:val="0"/>
            <w:vAlign w:val="center"/>
          </w:tcPr>
          <w:p w14:paraId="403B2E45">
            <w:pPr>
              <w:spacing w:line="360" w:lineRule="auto"/>
              <w:ind w:right="248"/>
              <w:jc w:val="center"/>
              <w:rPr>
                <w:rFonts w:hint="eastAsia" w:ascii="宋体" w:hAnsi="宋体" w:cs="宋体"/>
                <w:color w:val="auto"/>
                <w:szCs w:val="21"/>
                <w:highlight w:val="none"/>
              </w:rPr>
            </w:pPr>
          </w:p>
        </w:tc>
        <w:tc>
          <w:tcPr>
            <w:tcW w:w="1134" w:type="dxa"/>
            <w:noWrap w:val="0"/>
            <w:vAlign w:val="center"/>
          </w:tcPr>
          <w:p w14:paraId="190053ED">
            <w:pPr>
              <w:spacing w:line="360" w:lineRule="auto"/>
              <w:ind w:right="248"/>
              <w:jc w:val="center"/>
              <w:rPr>
                <w:rFonts w:hint="eastAsia" w:ascii="宋体" w:hAnsi="宋体" w:cs="宋体"/>
                <w:color w:val="auto"/>
                <w:szCs w:val="21"/>
                <w:highlight w:val="none"/>
              </w:rPr>
            </w:pPr>
          </w:p>
        </w:tc>
        <w:tc>
          <w:tcPr>
            <w:tcW w:w="1701" w:type="dxa"/>
            <w:noWrap w:val="0"/>
            <w:vAlign w:val="center"/>
          </w:tcPr>
          <w:p w14:paraId="62E9CF65">
            <w:pPr>
              <w:spacing w:line="360" w:lineRule="auto"/>
              <w:ind w:right="248"/>
              <w:jc w:val="center"/>
              <w:rPr>
                <w:rFonts w:hint="eastAsia" w:ascii="宋体" w:hAnsi="宋体" w:cs="宋体"/>
                <w:color w:val="auto"/>
                <w:szCs w:val="21"/>
                <w:highlight w:val="none"/>
              </w:rPr>
            </w:pPr>
          </w:p>
        </w:tc>
        <w:tc>
          <w:tcPr>
            <w:tcW w:w="850" w:type="dxa"/>
            <w:noWrap w:val="0"/>
            <w:vAlign w:val="center"/>
          </w:tcPr>
          <w:p w14:paraId="68C02C8E">
            <w:pPr>
              <w:spacing w:line="360" w:lineRule="auto"/>
              <w:ind w:right="248"/>
              <w:jc w:val="center"/>
              <w:rPr>
                <w:rFonts w:hint="eastAsia" w:ascii="宋体" w:hAnsi="宋体" w:cs="宋体"/>
                <w:color w:val="auto"/>
                <w:szCs w:val="21"/>
                <w:highlight w:val="none"/>
              </w:rPr>
            </w:pPr>
          </w:p>
        </w:tc>
      </w:tr>
      <w:tr w14:paraId="24E62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825BF02">
            <w:pPr>
              <w:spacing w:line="360" w:lineRule="auto"/>
              <w:ind w:right="248"/>
              <w:jc w:val="center"/>
              <w:rPr>
                <w:rFonts w:hint="eastAsia" w:ascii="宋体" w:hAnsi="宋体" w:cs="宋体"/>
                <w:color w:val="auto"/>
                <w:szCs w:val="21"/>
                <w:highlight w:val="none"/>
              </w:rPr>
            </w:pPr>
          </w:p>
        </w:tc>
        <w:tc>
          <w:tcPr>
            <w:tcW w:w="1842" w:type="dxa"/>
            <w:noWrap w:val="0"/>
            <w:vAlign w:val="center"/>
          </w:tcPr>
          <w:p w14:paraId="36BC68ED">
            <w:pPr>
              <w:spacing w:line="360" w:lineRule="auto"/>
              <w:ind w:right="248"/>
              <w:jc w:val="center"/>
              <w:rPr>
                <w:rFonts w:hint="eastAsia" w:ascii="宋体" w:hAnsi="宋体" w:cs="宋体"/>
                <w:color w:val="auto"/>
                <w:szCs w:val="21"/>
                <w:highlight w:val="none"/>
              </w:rPr>
            </w:pPr>
          </w:p>
        </w:tc>
        <w:tc>
          <w:tcPr>
            <w:tcW w:w="1560" w:type="dxa"/>
            <w:noWrap w:val="0"/>
            <w:vAlign w:val="center"/>
          </w:tcPr>
          <w:p w14:paraId="011ACA87">
            <w:pPr>
              <w:spacing w:line="360" w:lineRule="auto"/>
              <w:ind w:right="248"/>
              <w:jc w:val="center"/>
              <w:rPr>
                <w:rFonts w:hint="eastAsia" w:ascii="宋体" w:hAnsi="宋体" w:cs="宋体"/>
                <w:color w:val="auto"/>
                <w:szCs w:val="21"/>
                <w:highlight w:val="none"/>
              </w:rPr>
            </w:pPr>
          </w:p>
        </w:tc>
        <w:tc>
          <w:tcPr>
            <w:tcW w:w="992" w:type="dxa"/>
            <w:noWrap w:val="0"/>
            <w:vAlign w:val="center"/>
          </w:tcPr>
          <w:p w14:paraId="2D001BF5">
            <w:pPr>
              <w:spacing w:line="360" w:lineRule="auto"/>
              <w:ind w:right="248"/>
              <w:jc w:val="center"/>
              <w:rPr>
                <w:rFonts w:hint="eastAsia" w:ascii="宋体" w:hAnsi="宋体" w:cs="宋体"/>
                <w:color w:val="auto"/>
                <w:szCs w:val="21"/>
                <w:highlight w:val="none"/>
              </w:rPr>
            </w:pPr>
          </w:p>
        </w:tc>
        <w:tc>
          <w:tcPr>
            <w:tcW w:w="1134" w:type="dxa"/>
            <w:noWrap w:val="0"/>
            <w:vAlign w:val="center"/>
          </w:tcPr>
          <w:p w14:paraId="221E08CE">
            <w:pPr>
              <w:spacing w:line="360" w:lineRule="auto"/>
              <w:ind w:right="248"/>
              <w:jc w:val="center"/>
              <w:rPr>
                <w:rFonts w:hint="eastAsia" w:ascii="宋体" w:hAnsi="宋体" w:cs="宋体"/>
                <w:color w:val="auto"/>
                <w:szCs w:val="21"/>
                <w:highlight w:val="none"/>
              </w:rPr>
            </w:pPr>
          </w:p>
        </w:tc>
        <w:tc>
          <w:tcPr>
            <w:tcW w:w="1701" w:type="dxa"/>
            <w:noWrap w:val="0"/>
            <w:vAlign w:val="center"/>
          </w:tcPr>
          <w:p w14:paraId="76340988">
            <w:pPr>
              <w:spacing w:line="360" w:lineRule="auto"/>
              <w:ind w:right="248"/>
              <w:jc w:val="center"/>
              <w:rPr>
                <w:rFonts w:hint="eastAsia" w:ascii="宋体" w:hAnsi="宋体" w:cs="宋体"/>
                <w:color w:val="auto"/>
                <w:szCs w:val="21"/>
                <w:highlight w:val="none"/>
              </w:rPr>
            </w:pPr>
          </w:p>
        </w:tc>
        <w:tc>
          <w:tcPr>
            <w:tcW w:w="850" w:type="dxa"/>
            <w:noWrap w:val="0"/>
            <w:vAlign w:val="center"/>
          </w:tcPr>
          <w:p w14:paraId="76B69B1A">
            <w:pPr>
              <w:spacing w:line="360" w:lineRule="auto"/>
              <w:ind w:right="248"/>
              <w:jc w:val="center"/>
              <w:rPr>
                <w:rFonts w:hint="eastAsia" w:ascii="宋体" w:hAnsi="宋体" w:cs="宋体"/>
                <w:color w:val="auto"/>
                <w:szCs w:val="21"/>
                <w:highlight w:val="none"/>
              </w:rPr>
            </w:pPr>
          </w:p>
        </w:tc>
      </w:tr>
      <w:tr w14:paraId="5875A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FA0F617">
            <w:pPr>
              <w:spacing w:line="360" w:lineRule="auto"/>
              <w:ind w:right="248"/>
              <w:jc w:val="center"/>
              <w:rPr>
                <w:rFonts w:hint="eastAsia" w:ascii="宋体" w:hAnsi="宋体" w:cs="宋体"/>
                <w:color w:val="auto"/>
                <w:szCs w:val="21"/>
                <w:highlight w:val="none"/>
              </w:rPr>
            </w:pPr>
          </w:p>
        </w:tc>
        <w:tc>
          <w:tcPr>
            <w:tcW w:w="1842" w:type="dxa"/>
            <w:noWrap w:val="0"/>
            <w:vAlign w:val="center"/>
          </w:tcPr>
          <w:p w14:paraId="635CED84">
            <w:pPr>
              <w:spacing w:line="360" w:lineRule="auto"/>
              <w:ind w:right="248"/>
              <w:jc w:val="center"/>
              <w:rPr>
                <w:rFonts w:hint="eastAsia" w:ascii="宋体" w:hAnsi="宋体" w:cs="宋体"/>
                <w:color w:val="auto"/>
                <w:szCs w:val="21"/>
                <w:highlight w:val="none"/>
              </w:rPr>
            </w:pPr>
          </w:p>
        </w:tc>
        <w:tc>
          <w:tcPr>
            <w:tcW w:w="1560" w:type="dxa"/>
            <w:noWrap w:val="0"/>
            <w:vAlign w:val="center"/>
          </w:tcPr>
          <w:p w14:paraId="265F86B1">
            <w:pPr>
              <w:spacing w:line="360" w:lineRule="auto"/>
              <w:ind w:right="248"/>
              <w:jc w:val="center"/>
              <w:rPr>
                <w:rFonts w:hint="eastAsia" w:ascii="宋体" w:hAnsi="宋体" w:cs="宋体"/>
                <w:color w:val="auto"/>
                <w:szCs w:val="21"/>
                <w:highlight w:val="none"/>
              </w:rPr>
            </w:pPr>
          </w:p>
        </w:tc>
        <w:tc>
          <w:tcPr>
            <w:tcW w:w="992" w:type="dxa"/>
            <w:noWrap w:val="0"/>
            <w:vAlign w:val="center"/>
          </w:tcPr>
          <w:p w14:paraId="6070ABB7">
            <w:pPr>
              <w:spacing w:line="360" w:lineRule="auto"/>
              <w:ind w:right="248"/>
              <w:jc w:val="center"/>
              <w:rPr>
                <w:rFonts w:hint="eastAsia" w:ascii="宋体" w:hAnsi="宋体" w:cs="宋体"/>
                <w:color w:val="auto"/>
                <w:szCs w:val="21"/>
                <w:highlight w:val="none"/>
              </w:rPr>
            </w:pPr>
          </w:p>
        </w:tc>
        <w:tc>
          <w:tcPr>
            <w:tcW w:w="1134" w:type="dxa"/>
            <w:noWrap w:val="0"/>
            <w:vAlign w:val="center"/>
          </w:tcPr>
          <w:p w14:paraId="567CFF86">
            <w:pPr>
              <w:spacing w:line="360" w:lineRule="auto"/>
              <w:ind w:right="248"/>
              <w:jc w:val="center"/>
              <w:rPr>
                <w:rFonts w:hint="eastAsia" w:ascii="宋体" w:hAnsi="宋体" w:cs="宋体"/>
                <w:color w:val="auto"/>
                <w:szCs w:val="21"/>
                <w:highlight w:val="none"/>
              </w:rPr>
            </w:pPr>
          </w:p>
        </w:tc>
        <w:tc>
          <w:tcPr>
            <w:tcW w:w="1701" w:type="dxa"/>
            <w:noWrap w:val="0"/>
            <w:vAlign w:val="center"/>
          </w:tcPr>
          <w:p w14:paraId="5144EC67">
            <w:pPr>
              <w:spacing w:line="360" w:lineRule="auto"/>
              <w:ind w:right="248"/>
              <w:jc w:val="center"/>
              <w:rPr>
                <w:rFonts w:hint="eastAsia" w:ascii="宋体" w:hAnsi="宋体" w:cs="宋体"/>
                <w:color w:val="auto"/>
                <w:szCs w:val="21"/>
                <w:highlight w:val="none"/>
              </w:rPr>
            </w:pPr>
          </w:p>
        </w:tc>
        <w:tc>
          <w:tcPr>
            <w:tcW w:w="850" w:type="dxa"/>
            <w:noWrap w:val="0"/>
            <w:vAlign w:val="center"/>
          </w:tcPr>
          <w:p w14:paraId="0E7D93B3">
            <w:pPr>
              <w:spacing w:line="360" w:lineRule="auto"/>
              <w:ind w:right="248"/>
              <w:jc w:val="center"/>
              <w:rPr>
                <w:rFonts w:hint="eastAsia" w:ascii="宋体" w:hAnsi="宋体" w:cs="宋体"/>
                <w:color w:val="auto"/>
                <w:szCs w:val="21"/>
                <w:highlight w:val="none"/>
              </w:rPr>
            </w:pPr>
          </w:p>
        </w:tc>
      </w:tr>
    </w:tbl>
    <w:p w14:paraId="7BE2CFC7">
      <w:pPr>
        <w:pStyle w:val="39"/>
        <w:spacing w:line="360" w:lineRule="auto"/>
        <w:rPr>
          <w:rFonts w:hint="eastAsia" w:ascii="宋体" w:hAnsi="宋体" w:cs="宋体"/>
          <w:color w:val="auto"/>
          <w:sz w:val="21"/>
          <w:szCs w:val="21"/>
          <w:highlight w:val="none"/>
        </w:rPr>
      </w:pPr>
      <w:bookmarkStart w:id="125" w:name="_Toc221951177"/>
      <w:r>
        <w:rPr>
          <w:rFonts w:hint="eastAsia" w:ascii="宋体" w:hAnsi="宋体" w:cs="宋体"/>
          <w:color w:val="auto"/>
          <w:sz w:val="21"/>
          <w:szCs w:val="21"/>
          <w:highlight w:val="none"/>
        </w:rPr>
        <w:t>注：设备状况栏内填写该设备的新旧程度、购进时间、已使用小时数和最近一次的大修时间。</w:t>
      </w:r>
      <w:bookmarkEnd w:id="125"/>
    </w:p>
    <w:p w14:paraId="42348856">
      <w:pPr>
        <w:spacing w:line="360" w:lineRule="auto"/>
        <w:ind w:right="248" w:firstLine="424" w:firstLineChars="202"/>
        <w:rPr>
          <w:rFonts w:hint="eastAsia" w:ascii="宋体" w:hAnsi="宋体" w:cs="宋体"/>
          <w:b/>
          <w:color w:val="auto"/>
          <w:szCs w:val="21"/>
          <w:highlight w:val="none"/>
        </w:rPr>
      </w:pPr>
      <w:r>
        <w:rPr>
          <w:rFonts w:hint="eastAsia" w:ascii="宋体" w:hAnsi="宋体" w:cs="宋体"/>
          <w:color w:val="auto"/>
          <w:szCs w:val="21"/>
          <w:highlight w:val="none"/>
        </w:rPr>
        <w:t>（2）发包人提供的临时设施：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9EAB635">
      <w:pPr>
        <w:pStyle w:val="5"/>
        <w:spacing w:line="360" w:lineRule="auto"/>
        <w:rPr>
          <w:rFonts w:hint="eastAsia" w:ascii="宋体" w:hAnsi="宋体" w:cs="宋体"/>
          <w:color w:val="auto"/>
          <w:sz w:val="21"/>
          <w:szCs w:val="21"/>
          <w:highlight w:val="none"/>
        </w:rPr>
      </w:pPr>
      <w:bookmarkStart w:id="126" w:name="_Toc222029533"/>
      <w:bookmarkStart w:id="127" w:name="_Toc222033884"/>
      <w:bookmarkStart w:id="128" w:name="_Toc33183727"/>
      <w:bookmarkStart w:id="129" w:name="_Toc222032702"/>
      <w:bookmarkStart w:id="130" w:name="_Toc222031035"/>
      <w:bookmarkStart w:id="131" w:name="_Toc59810410"/>
      <w:bookmarkStart w:id="132" w:name="_Toc221951178"/>
      <w:r>
        <w:rPr>
          <w:rFonts w:hint="eastAsia" w:ascii="宋体" w:hAnsi="宋体" w:cs="宋体"/>
          <w:color w:val="auto"/>
          <w:sz w:val="21"/>
          <w:szCs w:val="21"/>
          <w:highlight w:val="none"/>
        </w:rPr>
        <w:t>7.交通运输</w:t>
      </w:r>
      <w:bookmarkEnd w:id="126"/>
      <w:bookmarkEnd w:id="127"/>
      <w:bookmarkEnd w:id="128"/>
      <w:bookmarkEnd w:id="129"/>
      <w:bookmarkEnd w:id="130"/>
      <w:bookmarkEnd w:id="131"/>
      <w:bookmarkEnd w:id="132"/>
    </w:p>
    <w:p w14:paraId="60C37D13">
      <w:pPr>
        <w:keepNext/>
        <w:keepLines/>
        <w:snapToGrid w:val="0"/>
        <w:spacing w:line="600" w:lineRule="exact"/>
        <w:ind w:firstLine="420" w:firstLineChars="200"/>
        <w:outlineLvl w:val="3"/>
        <w:rPr>
          <w:rFonts w:hint="eastAsia" w:ascii="宋体" w:hAnsi="宋体" w:cs="宋体"/>
          <w:color w:val="auto"/>
          <w:szCs w:val="21"/>
          <w:highlight w:val="none"/>
        </w:rPr>
      </w:pPr>
      <w:bookmarkStart w:id="133" w:name="_Toc33183728"/>
      <w:bookmarkStart w:id="134" w:name="_Toc221951179"/>
      <w:r>
        <w:rPr>
          <w:rFonts w:hint="eastAsia" w:ascii="宋体" w:hAnsi="宋体" w:cs="宋体"/>
          <w:color w:val="auto"/>
          <w:szCs w:val="21"/>
          <w:highlight w:val="none"/>
        </w:rPr>
        <w:t>7.1  道路通行权和场外设施</w:t>
      </w:r>
      <w:bookmarkEnd w:id="133"/>
      <w:bookmarkEnd w:id="134"/>
    </w:p>
    <w:p w14:paraId="1DF7BB99">
      <w:pPr>
        <w:snapToGrid w:val="0"/>
        <w:spacing w:line="360" w:lineRule="auto"/>
        <w:ind w:firstLine="420" w:firstLineChars="200"/>
        <w:rPr>
          <w:rFonts w:hint="eastAsia" w:ascii="宋体" w:hAnsi="宋体" w:cs="宋体"/>
          <w:color w:val="auto"/>
          <w:szCs w:val="21"/>
          <w:highlight w:val="none"/>
        </w:rPr>
      </w:pPr>
      <w:bookmarkStart w:id="135" w:name="_Toc33183729"/>
      <w:r>
        <w:rPr>
          <w:rFonts w:hint="eastAsia" w:ascii="宋体" w:hAnsi="宋体" w:cs="宋体"/>
          <w:color w:val="auto"/>
          <w:szCs w:val="21"/>
          <w:highlight w:val="none"/>
        </w:rPr>
        <w:t>道路通行权及场外设施的约定：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135"/>
    </w:p>
    <w:p w14:paraId="6A237D96">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szCs w:val="21"/>
          <w:highlight w:val="none"/>
        </w:rPr>
        <w:t xml:space="preserve">7.2  </w:t>
      </w:r>
      <w:r>
        <w:rPr>
          <w:rFonts w:hint="eastAsia" w:ascii="宋体" w:hAnsi="宋体" w:cs="宋体"/>
          <w:color w:val="auto"/>
          <w:kern w:val="0"/>
          <w:szCs w:val="21"/>
          <w:highlight w:val="none"/>
        </w:rPr>
        <w:t>场内施工道路</w:t>
      </w:r>
    </w:p>
    <w:p w14:paraId="1F0A5A5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由发包人提供的部分道路和交通设施维修、养护和管理的约定：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6BF983">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14:paraId="6660A71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p w14:paraId="63D7D1FF">
      <w:pPr>
        <w:keepNext/>
        <w:keepLines/>
        <w:snapToGrid w:val="0"/>
        <w:spacing w:line="600" w:lineRule="exact"/>
        <w:ind w:firstLine="420" w:firstLineChars="200"/>
        <w:outlineLvl w:val="3"/>
        <w:rPr>
          <w:rFonts w:hint="eastAsia" w:ascii="宋体" w:hAnsi="宋体" w:cs="宋体"/>
          <w:color w:val="auto"/>
          <w:szCs w:val="21"/>
          <w:highlight w:val="none"/>
        </w:rPr>
      </w:pPr>
      <w:bookmarkStart w:id="136" w:name="_Toc33183731"/>
      <w:r>
        <w:rPr>
          <w:rFonts w:hint="eastAsia" w:ascii="宋体" w:hAnsi="宋体" w:cs="宋体"/>
          <w:color w:val="auto"/>
          <w:szCs w:val="21"/>
          <w:highlight w:val="none"/>
        </w:rPr>
        <w:t>7.3  场外交通</w:t>
      </w:r>
      <w:bookmarkEnd w:id="136"/>
    </w:p>
    <w:p w14:paraId="287D50B9">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承包人应遵守有关交通法规，执行有关道路限速、限行、禁止超载的规定，并配合交通管理部门的监督和检查。场外交通以施工场地移交时的现状为准。</w:t>
      </w:r>
    </w:p>
    <w:p w14:paraId="7F84FBD2">
      <w:pPr>
        <w:keepNext/>
        <w:keepLines/>
        <w:snapToGrid w:val="0"/>
        <w:spacing w:line="600" w:lineRule="exact"/>
        <w:ind w:firstLine="420" w:firstLineChars="200"/>
        <w:outlineLvl w:val="3"/>
        <w:rPr>
          <w:rFonts w:hint="eastAsia" w:ascii="宋体" w:hAnsi="宋体" w:cs="宋体"/>
          <w:color w:val="auto"/>
          <w:szCs w:val="21"/>
          <w:highlight w:val="none"/>
        </w:rPr>
      </w:pPr>
      <w:bookmarkStart w:id="137" w:name="_Toc33183732"/>
      <w:r>
        <w:rPr>
          <w:rFonts w:hint="eastAsia" w:ascii="宋体" w:hAnsi="宋体" w:cs="宋体"/>
          <w:color w:val="auto"/>
          <w:szCs w:val="21"/>
          <w:highlight w:val="none"/>
        </w:rPr>
        <w:t>7.4  超大件和超重件的运输</w:t>
      </w:r>
      <w:bookmarkEnd w:id="137"/>
    </w:p>
    <w:p w14:paraId="264253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运输超大件或超重件所需的道路和桥梁临时加固改造费用和其他有关费用由</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承担。</w:t>
      </w:r>
    </w:p>
    <w:p w14:paraId="5634769A">
      <w:pPr>
        <w:pStyle w:val="5"/>
        <w:spacing w:line="360" w:lineRule="auto"/>
        <w:rPr>
          <w:rFonts w:hint="eastAsia" w:ascii="宋体" w:hAnsi="宋体" w:cs="宋体"/>
          <w:color w:val="auto"/>
          <w:sz w:val="21"/>
          <w:szCs w:val="21"/>
          <w:highlight w:val="none"/>
        </w:rPr>
      </w:pPr>
      <w:bookmarkStart w:id="138" w:name="_Toc33183733"/>
      <w:bookmarkStart w:id="139" w:name="_Toc59810411"/>
      <w:r>
        <w:rPr>
          <w:rFonts w:hint="eastAsia" w:ascii="宋体" w:hAnsi="宋体" w:cs="宋体"/>
          <w:color w:val="auto"/>
          <w:sz w:val="21"/>
          <w:szCs w:val="21"/>
          <w:highlight w:val="none"/>
        </w:rPr>
        <w:t>8.测量放线</w:t>
      </w:r>
      <w:bookmarkEnd w:id="138"/>
      <w:bookmarkEnd w:id="139"/>
      <w:r>
        <w:rPr>
          <w:rFonts w:hint="eastAsia" w:ascii="宋体" w:hAnsi="宋体" w:cs="宋体"/>
          <w:color w:val="auto"/>
          <w:sz w:val="21"/>
          <w:szCs w:val="21"/>
          <w:highlight w:val="none"/>
        </w:rPr>
        <w:t xml:space="preserve"> </w:t>
      </w:r>
    </w:p>
    <w:p w14:paraId="2B3E1258">
      <w:pPr>
        <w:keepNext/>
        <w:keepLines/>
        <w:snapToGrid w:val="0"/>
        <w:spacing w:line="600" w:lineRule="exact"/>
        <w:ind w:firstLine="420" w:firstLineChars="200"/>
        <w:outlineLvl w:val="3"/>
        <w:rPr>
          <w:rFonts w:hint="eastAsia" w:ascii="宋体" w:hAnsi="宋体" w:cs="宋体"/>
          <w:color w:val="auto"/>
          <w:szCs w:val="21"/>
          <w:highlight w:val="none"/>
        </w:rPr>
      </w:pPr>
      <w:bookmarkStart w:id="140" w:name="_Toc33183734"/>
      <w:r>
        <w:rPr>
          <w:rFonts w:hint="eastAsia" w:ascii="宋体" w:hAnsi="宋体" w:cs="宋体"/>
          <w:color w:val="auto"/>
          <w:szCs w:val="21"/>
          <w:highlight w:val="none"/>
        </w:rPr>
        <w:t>8.1施工控制网</w:t>
      </w:r>
      <w:bookmarkEnd w:id="140"/>
    </w:p>
    <w:p w14:paraId="38C1D542">
      <w:pPr>
        <w:spacing w:line="360" w:lineRule="auto"/>
        <w:ind w:right="248" w:firstLine="480"/>
        <w:rPr>
          <w:rFonts w:hint="eastAsia" w:ascii="宋体" w:hAnsi="宋体" w:cs="宋体"/>
          <w:color w:val="auto"/>
          <w:kern w:val="0"/>
          <w:szCs w:val="21"/>
          <w:highlight w:val="none"/>
        </w:rPr>
      </w:pPr>
      <w:r>
        <w:rPr>
          <w:rFonts w:hint="eastAsia" w:ascii="宋体" w:hAnsi="宋体" w:cs="宋体"/>
          <w:color w:val="auto"/>
          <w:szCs w:val="21"/>
          <w:highlight w:val="none"/>
        </w:rPr>
        <w:t>8.1.1施工控制网的约定：</w:t>
      </w:r>
      <w:r>
        <w:rPr>
          <w:rFonts w:hint="eastAsia" w:ascii="宋体" w:hAnsi="宋体" w:cs="宋体"/>
          <w:color w:val="auto"/>
          <w:kern w:val="0"/>
          <w:szCs w:val="21"/>
          <w:highlight w:val="none"/>
          <w:u w:val="single"/>
        </w:rPr>
        <w:t>发包人通过监理人向承包人提供测量基准点、基准线和水准点及其书面资料的期限：不晚于开工前    天</w:t>
      </w:r>
      <w:r>
        <w:rPr>
          <w:rFonts w:hint="eastAsia" w:ascii="宋体" w:hAnsi="宋体" w:cs="宋体"/>
          <w:color w:val="auto"/>
          <w:kern w:val="0"/>
          <w:szCs w:val="21"/>
          <w:highlight w:val="none"/>
        </w:rPr>
        <w:t>。</w:t>
      </w:r>
    </w:p>
    <w:p w14:paraId="310A02C6">
      <w:pPr>
        <w:spacing w:line="360" w:lineRule="auto"/>
        <w:ind w:right="248"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承包人报监理人审批施工控制网资料的期限：</w:t>
      </w:r>
      <w:r>
        <w:rPr>
          <w:rFonts w:hint="eastAsia" w:ascii="宋体" w:hAnsi="宋体" w:cs="宋体"/>
          <w:color w:val="auto"/>
          <w:kern w:val="0"/>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s="宋体"/>
          <w:color w:val="auto"/>
          <w:kern w:val="0"/>
          <w:szCs w:val="21"/>
          <w:highlight w:val="none"/>
        </w:rPr>
        <w:t>。</w:t>
      </w:r>
    </w:p>
    <w:p w14:paraId="1EAD0523">
      <w:pPr>
        <w:pStyle w:val="5"/>
        <w:spacing w:line="360" w:lineRule="auto"/>
        <w:rPr>
          <w:rFonts w:hint="eastAsia" w:ascii="宋体" w:hAnsi="宋体" w:cs="宋体"/>
          <w:color w:val="auto"/>
          <w:sz w:val="21"/>
          <w:szCs w:val="21"/>
          <w:highlight w:val="none"/>
        </w:rPr>
      </w:pPr>
      <w:bookmarkStart w:id="141" w:name="_Toc33183735"/>
      <w:bookmarkStart w:id="142" w:name="_Toc59810412"/>
      <w:r>
        <w:rPr>
          <w:rFonts w:hint="eastAsia" w:ascii="宋体" w:hAnsi="宋体" w:cs="宋体"/>
          <w:color w:val="auto"/>
          <w:sz w:val="21"/>
          <w:szCs w:val="21"/>
          <w:highlight w:val="none"/>
        </w:rPr>
        <w:t>9.施工安全、治安保卫和环境保护</w:t>
      </w:r>
      <w:bookmarkEnd w:id="141"/>
      <w:bookmarkEnd w:id="142"/>
    </w:p>
    <w:p w14:paraId="0F442BA4">
      <w:pPr>
        <w:keepNext/>
        <w:keepLines/>
        <w:snapToGrid w:val="0"/>
        <w:spacing w:line="600" w:lineRule="exact"/>
        <w:ind w:firstLine="420" w:firstLineChars="200"/>
        <w:outlineLvl w:val="3"/>
        <w:rPr>
          <w:rFonts w:hint="eastAsia" w:ascii="宋体" w:hAnsi="宋体" w:cs="宋体"/>
          <w:color w:val="auto"/>
          <w:szCs w:val="21"/>
          <w:highlight w:val="none"/>
        </w:rPr>
      </w:pPr>
      <w:bookmarkStart w:id="143" w:name="_Toc33183736"/>
      <w:r>
        <w:rPr>
          <w:rFonts w:hint="eastAsia" w:ascii="宋体" w:hAnsi="宋体" w:cs="宋体"/>
          <w:color w:val="auto"/>
          <w:szCs w:val="21"/>
          <w:highlight w:val="none"/>
        </w:rPr>
        <w:t>9.1  发包人的施工安全责任</w:t>
      </w:r>
      <w:bookmarkEnd w:id="143"/>
    </w:p>
    <w:p w14:paraId="2A20D9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9.1.4发包人负责提供的地下管线资料有：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，其余可能影响相邻建筑物地下工程的有关资料由承包人负责收集，并保证有关资料的真实、准确、完整，满足有关技术规程的要求。</w:t>
      </w:r>
    </w:p>
    <w:p w14:paraId="76F1F614">
      <w:pPr>
        <w:pStyle w:val="2"/>
        <w:ind w:firstLine="420" w:firstLineChars="200"/>
        <w:rPr>
          <w:color w:val="auto"/>
          <w:highlight w:val="none"/>
        </w:rPr>
      </w:pPr>
      <w:r>
        <w:rPr>
          <w:rFonts w:hint="eastAsia" w:ascii="宋体" w:hAnsi="宋体" w:cs="宋体"/>
          <w:color w:val="auto"/>
          <w:szCs w:val="21"/>
          <w:highlight w:val="none"/>
        </w:rPr>
        <w:t>本款补充9.1.8项如下：</w:t>
      </w:r>
    </w:p>
    <w:p w14:paraId="5791E3F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u w:val="single"/>
        </w:rPr>
        <w:t>9.1.8发包人安全监督部门应当按照现行标准规范对施工现场安全生产措施落实情况进行监督检查，对安全生产状况进行综合评定，并将评定结果纳入安全档案。</w:t>
      </w:r>
    </w:p>
    <w:p w14:paraId="78F78CD7">
      <w:pPr>
        <w:keepNext/>
        <w:keepLines/>
        <w:snapToGrid w:val="0"/>
        <w:spacing w:line="600" w:lineRule="exact"/>
        <w:ind w:firstLine="420" w:firstLineChars="200"/>
        <w:outlineLvl w:val="3"/>
        <w:rPr>
          <w:rFonts w:hint="eastAsia" w:ascii="宋体" w:hAnsi="宋体" w:cs="宋体"/>
          <w:color w:val="auto"/>
          <w:szCs w:val="21"/>
          <w:highlight w:val="none"/>
        </w:rPr>
      </w:pPr>
      <w:bookmarkStart w:id="144" w:name="_Toc33183737"/>
      <w:r>
        <w:rPr>
          <w:rFonts w:hint="eastAsia" w:ascii="宋体" w:hAnsi="宋体" w:cs="宋体"/>
          <w:color w:val="auto"/>
          <w:szCs w:val="21"/>
          <w:highlight w:val="none"/>
        </w:rPr>
        <w:t>9.2  承包人的施工安全责任</w:t>
      </w:r>
      <w:bookmarkEnd w:id="144"/>
    </w:p>
    <w:p w14:paraId="5FA692E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9.2.5</w:t>
      </w:r>
      <w:r>
        <w:rPr>
          <w:rFonts w:hint="eastAsia" w:ascii="宋体" w:hAnsi="宋体" w:cs="宋体"/>
          <w:color w:val="auto"/>
          <w:kern w:val="0"/>
          <w:szCs w:val="21"/>
          <w:highlight w:val="none"/>
        </w:rPr>
        <w:t>安全生产费的要求与内容、提取支付方法以及违反约定造成损失的赔偿等条款，按照现行规范要求执行，做到专款专用。</w:t>
      </w:r>
    </w:p>
    <w:p w14:paraId="5F6B3880">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9.2.12下列工程应编制专项施工方案：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。其中</w:t>
      </w:r>
      <w:r>
        <w:rPr>
          <w:rFonts w:hint="eastAsia" w:ascii="宋体" w:hAnsi="宋体" w:cs="宋体"/>
          <w:color w:val="auto"/>
          <w:szCs w:val="21"/>
          <w:highlight w:val="none"/>
          <w:u w:val="single"/>
        </w:rPr>
        <w:t xml:space="preserve">  按渝水基〔2010〕15号文定义属于危险性较大的单项工程，应编制专项施工方案，并按文件要求组织专家论证和审查，其中专家1/2人员应经发包人同意              </w:t>
      </w:r>
      <w:r>
        <w:rPr>
          <w:rFonts w:hint="eastAsia" w:ascii="宋体" w:hAnsi="宋体" w:cs="宋体"/>
          <w:color w:val="auto"/>
          <w:szCs w:val="21"/>
          <w:highlight w:val="none"/>
        </w:rPr>
        <w:t>。</w:t>
      </w:r>
    </w:p>
    <w:p w14:paraId="637BBD7D">
      <w:pPr>
        <w:pStyle w:val="2"/>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本款补充9.2.14项如下：</w:t>
      </w:r>
    </w:p>
    <w:p w14:paraId="655BAEA3">
      <w:pPr>
        <w:pStyle w:val="2"/>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9.2.14承包人施工安全责任承担</w:t>
      </w:r>
    </w:p>
    <w:p w14:paraId="297587F2">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（1）承包人的原因造成事故，由此产生的法律责任和事故责任及费用由承包人全部承担。</w:t>
      </w:r>
    </w:p>
    <w:p w14:paraId="1837CB1B">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（2）承包人在施工过程中，必须严格执行安全生产法的相关规定，制定切实可靠的安全技术措施。</w:t>
      </w:r>
    </w:p>
    <w:p w14:paraId="075933F4">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（3）接受发包人安全监督和管理，在施工中违反安全管理规定和操作规程、违章作业的，承担违约责任。</w:t>
      </w:r>
    </w:p>
    <w:p w14:paraId="55C93B90">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4）承包人应当按照重庆市水利局、市财政局、市发改委和市安监局《关于落实水利工程建设安全生产费用及使用管理问题的通知》（渝水基〔2009〕28号）的规定，在财务管理中单独列出安全生产费，按规定范围安排使用，不得挤占、挪用，并建立健全安全生产费用使用台帐。承包人专职管理人员负责对本工程安全生产措施的组织实施进行现场监督检查，并有权向水行政主管部门反映情况。</w:t>
      </w:r>
    </w:p>
    <w:p w14:paraId="26CA9C66">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（5）承包人对工程安全生产费用的使用负总责。承包人挪用安全生产费用的，发包人有权责令限期整改，逾期未改正的，可以责令其暂停施工；造成损失的，依法承担赔偿责任。</w:t>
      </w:r>
    </w:p>
    <w:p w14:paraId="45420430">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（6）为保护本合同工程免遭损坏，或为了现场附近和过往群众的安全与方便，在确有必要的时候和地方，或当监理人或有关主管部门要求时，承包人应自费提供照明、警卫、护栅、警告标志等安全防护设施。</w:t>
      </w:r>
    </w:p>
    <w:p w14:paraId="67835DA7">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（7）在通航水域施工时，承包人应与当地主管部门取得联系，设置必要的导航标志，及时发布航行通告，确保施工水域安全。</w:t>
      </w:r>
    </w:p>
    <w:p w14:paraId="1F072C15">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8）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563C55D6">
      <w:pPr>
        <w:keepNext/>
        <w:keepLines/>
        <w:snapToGrid w:val="0"/>
        <w:spacing w:line="600" w:lineRule="exact"/>
        <w:ind w:firstLine="420" w:firstLineChars="200"/>
        <w:outlineLvl w:val="3"/>
        <w:rPr>
          <w:rFonts w:hint="eastAsia" w:ascii="宋体" w:hAnsi="宋体" w:cs="宋体"/>
          <w:color w:val="auto"/>
          <w:szCs w:val="21"/>
          <w:highlight w:val="none"/>
        </w:rPr>
      </w:pPr>
      <w:bookmarkStart w:id="145" w:name="_Toc33183738"/>
      <w:r>
        <w:rPr>
          <w:rFonts w:hint="eastAsia" w:ascii="宋体" w:hAnsi="宋体" w:cs="宋体"/>
          <w:color w:val="auto"/>
          <w:szCs w:val="21"/>
          <w:highlight w:val="none"/>
        </w:rPr>
        <w:t>9.7文明工地</w:t>
      </w:r>
      <w:bookmarkEnd w:id="145"/>
    </w:p>
    <w:p w14:paraId="5B11A7B0">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9.7.1 本合同文明工地的约定：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DCE5BC3">
      <w:pPr>
        <w:pStyle w:val="5"/>
        <w:spacing w:line="360" w:lineRule="auto"/>
        <w:rPr>
          <w:rFonts w:hint="eastAsia" w:ascii="宋体" w:hAnsi="宋体" w:cs="宋体"/>
          <w:color w:val="auto"/>
          <w:sz w:val="21"/>
          <w:szCs w:val="21"/>
          <w:highlight w:val="none"/>
        </w:rPr>
      </w:pPr>
      <w:bookmarkStart w:id="146" w:name="_Toc59810413"/>
      <w:bookmarkStart w:id="147" w:name="_Toc221951188"/>
      <w:bookmarkStart w:id="148" w:name="_Toc222031038"/>
      <w:bookmarkStart w:id="149" w:name="_Toc222033887"/>
      <w:bookmarkStart w:id="150" w:name="_Toc222032705"/>
      <w:bookmarkStart w:id="151" w:name="_Toc229305394"/>
      <w:bookmarkStart w:id="152" w:name="_Toc222029536"/>
      <w:r>
        <w:rPr>
          <w:rFonts w:hint="eastAsia" w:ascii="宋体" w:hAnsi="宋体" w:cs="宋体"/>
          <w:color w:val="auto"/>
          <w:sz w:val="21"/>
          <w:szCs w:val="21"/>
          <w:highlight w:val="none"/>
        </w:rPr>
        <w:t>10.进度计划</w:t>
      </w:r>
      <w:bookmarkEnd w:id="146"/>
    </w:p>
    <w:p w14:paraId="34EB2474">
      <w:pPr>
        <w:snapToGrid w:val="0"/>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10.2合同进度计划的修订</w:t>
      </w:r>
    </w:p>
    <w:p w14:paraId="2BC4C0E5">
      <w:pPr>
        <w:snapToGrid w:val="0"/>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发包人和监理人在收到修订的施工进度计划后确认或提出修改意见的期限：</w:t>
      </w:r>
      <w:r>
        <w:rPr>
          <w:rFonts w:hint="eastAsia" w:ascii="宋体" w:hAnsi="宋体" w:cs="宋体"/>
          <w:color w:val="auto"/>
          <w:kern w:val="0"/>
          <w:szCs w:val="21"/>
          <w:highlight w:val="none"/>
          <w:u w:val="single"/>
        </w:rPr>
        <w:t>收到修订的施工进度计划后   天内</w:t>
      </w:r>
      <w:r>
        <w:rPr>
          <w:rFonts w:hint="eastAsia" w:ascii="宋体" w:hAnsi="宋体" w:cs="宋体"/>
          <w:color w:val="auto"/>
          <w:kern w:val="0"/>
          <w:szCs w:val="21"/>
          <w:highlight w:val="none"/>
        </w:rPr>
        <w:t>。</w:t>
      </w:r>
    </w:p>
    <w:p w14:paraId="78DBB085">
      <w:pPr>
        <w:pStyle w:val="5"/>
        <w:spacing w:line="360" w:lineRule="auto"/>
        <w:rPr>
          <w:rFonts w:hint="eastAsia" w:ascii="宋体" w:hAnsi="宋体" w:cs="宋体"/>
          <w:color w:val="auto"/>
          <w:sz w:val="21"/>
          <w:szCs w:val="21"/>
          <w:highlight w:val="none"/>
        </w:rPr>
      </w:pPr>
      <w:bookmarkStart w:id="153" w:name="_Toc33183739"/>
      <w:bookmarkStart w:id="154" w:name="_Toc59810414"/>
      <w:r>
        <w:rPr>
          <w:rFonts w:hint="eastAsia" w:ascii="宋体" w:hAnsi="宋体" w:cs="宋体"/>
          <w:color w:val="auto"/>
          <w:sz w:val="21"/>
          <w:szCs w:val="21"/>
          <w:highlight w:val="none"/>
        </w:rPr>
        <w:t>11.开工和竣工</w:t>
      </w:r>
      <w:bookmarkEnd w:id="147"/>
      <w:bookmarkEnd w:id="148"/>
      <w:bookmarkEnd w:id="149"/>
      <w:bookmarkEnd w:id="150"/>
      <w:bookmarkEnd w:id="151"/>
      <w:bookmarkEnd w:id="152"/>
      <w:r>
        <w:rPr>
          <w:rFonts w:hint="eastAsia" w:ascii="宋体" w:hAnsi="宋体" w:cs="宋体"/>
          <w:color w:val="auto"/>
          <w:sz w:val="21"/>
          <w:szCs w:val="21"/>
          <w:highlight w:val="none"/>
        </w:rPr>
        <w:t>（完工）</w:t>
      </w:r>
      <w:bookmarkEnd w:id="153"/>
      <w:bookmarkEnd w:id="154"/>
    </w:p>
    <w:p w14:paraId="130751DB">
      <w:pPr>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11.1开工</w:t>
      </w:r>
    </w:p>
    <w:p w14:paraId="4B752CB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关于承包人提交工程开工报审表的期限：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14:paraId="0DB6E56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关于发包人应完成的其他开工准备工作及期限：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14:paraId="7A07EFB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关于承包人应完成的其他开工准备工作及期限：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14:paraId="5991C1EF">
      <w:pPr>
        <w:spacing w:line="360" w:lineRule="auto"/>
        <w:rPr>
          <w:rFonts w:hint="eastAsia" w:ascii="宋体" w:hAnsi="宋体" w:cs="宋体"/>
          <w:color w:val="auto"/>
          <w:szCs w:val="21"/>
          <w:highlight w:val="none"/>
        </w:rPr>
      </w:pPr>
      <w:r>
        <w:rPr>
          <w:rFonts w:hint="eastAsia" w:ascii="宋体" w:hAnsi="宋体" w:cs="宋体"/>
          <w:b/>
          <w:color w:val="auto"/>
          <w:kern w:val="0"/>
          <w:szCs w:val="21"/>
          <w:highlight w:val="none"/>
        </w:rPr>
        <w:t>11.3  发包人的工期延误</w:t>
      </w:r>
    </w:p>
    <w:p w14:paraId="20B6CFF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在合同履行过程中，因下列情况导致工期延误和（或）费用增加的，由发包人承担由此延误的工期和（或）增加的费用：</w:t>
      </w:r>
    </w:p>
    <w:p w14:paraId="15CEBCB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（1）发包人未能按合同约定提供施工场地，且该未能提供上述开工条件直接影响项目关键线路的；</w:t>
      </w:r>
    </w:p>
    <w:p w14:paraId="6C8DDD1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（2）发包人提供的测量基准点、基准线和水准点及其书面资料存在错误或疏漏，且该错误或疏漏直接影响项目关键线路的；</w:t>
      </w:r>
    </w:p>
    <w:p w14:paraId="0AB9B1BD">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（3）监理人未按合同约定发出指示、批准等文件，且该未按合同约定发出指示、批准直接影响项目关键线路的；</w:t>
      </w:r>
    </w:p>
    <w:p w14:paraId="4F43F89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（4）变更未及时审批，直接影响项目关键线路的；</w:t>
      </w:r>
    </w:p>
    <w:p w14:paraId="2A74FE3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（5）实施变更直接影响项目关键线路的；</w:t>
      </w:r>
    </w:p>
    <w:p w14:paraId="51ACE46D">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（6）因发包人原因导致工程暂停施工、停建、缓建的；</w:t>
      </w:r>
    </w:p>
    <w:p w14:paraId="74617D8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（7）因征地拆迁、群众阻工等情形导致工期延误累计超过1</w:t>
      </w:r>
      <w:r>
        <w:rPr>
          <w:rFonts w:ascii="宋体" w:hAnsi="宋体" w:cs="宋体"/>
          <w:color w:val="auto"/>
          <w:kern w:val="0"/>
          <w:szCs w:val="21"/>
          <w:highlight w:val="none"/>
        </w:rPr>
        <w:t>4</w:t>
      </w:r>
      <w:r>
        <w:rPr>
          <w:rFonts w:hint="eastAsia" w:ascii="宋体" w:hAnsi="宋体" w:cs="宋体"/>
          <w:color w:val="auto"/>
          <w:kern w:val="0"/>
          <w:szCs w:val="21"/>
          <w:highlight w:val="none"/>
        </w:rPr>
        <w:t>天的；</w:t>
      </w:r>
    </w:p>
    <w:p w14:paraId="21AD79D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u w:val="single"/>
        </w:rPr>
        <w:t>合同约定的其他情形</w:t>
      </w:r>
      <w:r>
        <w:rPr>
          <w:rFonts w:hint="eastAsia" w:ascii="宋体" w:hAnsi="宋体" w:cs="宋体"/>
          <w:color w:val="auto"/>
          <w:kern w:val="0"/>
          <w:szCs w:val="21"/>
          <w:highlight w:val="none"/>
        </w:rPr>
        <w:t>。</w:t>
      </w:r>
    </w:p>
    <w:p w14:paraId="47E7E352">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因发包人原因未按计划开工日期开工的，发包人应按实际开工日期顺延完工日期。因发包人原因导致工期延误需要修订施工进度计划的，按照第10.2合同进度计划的修订执行。</w:t>
      </w:r>
    </w:p>
    <w:p w14:paraId="30737681">
      <w:pPr>
        <w:keepNext/>
        <w:keepLines/>
        <w:snapToGrid w:val="0"/>
        <w:spacing w:line="600" w:lineRule="exact"/>
        <w:ind w:firstLine="420" w:firstLineChars="200"/>
        <w:outlineLvl w:val="3"/>
        <w:rPr>
          <w:rFonts w:hint="eastAsia" w:ascii="宋体" w:hAnsi="宋体" w:cs="宋体"/>
          <w:color w:val="auto"/>
          <w:szCs w:val="21"/>
          <w:highlight w:val="none"/>
        </w:rPr>
      </w:pPr>
      <w:bookmarkStart w:id="155" w:name="_Toc221951189"/>
      <w:bookmarkStart w:id="156" w:name="_Toc33183740"/>
      <w:r>
        <w:rPr>
          <w:rFonts w:hint="eastAsia" w:ascii="宋体" w:hAnsi="宋体" w:cs="宋体"/>
          <w:color w:val="auto"/>
          <w:szCs w:val="21"/>
          <w:highlight w:val="none"/>
        </w:rPr>
        <w:t>11.4  异常恶劣的气候条件</w:t>
      </w:r>
      <w:bookmarkEnd w:id="155"/>
      <w:bookmarkEnd w:id="156"/>
      <w:r>
        <w:rPr>
          <w:rFonts w:hint="eastAsia" w:ascii="宋体" w:hAnsi="宋体" w:cs="宋体"/>
          <w:color w:val="auto"/>
          <w:szCs w:val="21"/>
          <w:highlight w:val="none"/>
        </w:rPr>
        <w:t xml:space="preserve"> </w:t>
      </w:r>
    </w:p>
    <w:p w14:paraId="66E48F2D">
      <w:pPr>
        <w:spacing w:line="360" w:lineRule="auto"/>
        <w:ind w:right="248" w:firstLine="480"/>
        <w:rPr>
          <w:rFonts w:hint="eastAsia" w:ascii="宋体" w:hAnsi="宋体" w:cs="宋体"/>
          <w:color w:val="auto"/>
          <w:szCs w:val="21"/>
          <w:highlight w:val="none"/>
        </w:rPr>
      </w:pPr>
      <w:bookmarkStart w:id="157" w:name="_Toc221951191"/>
      <w:r>
        <w:rPr>
          <w:rFonts w:hint="eastAsia" w:ascii="宋体" w:hAnsi="宋体" w:cs="宋体"/>
          <w:color w:val="auto"/>
          <w:szCs w:val="21"/>
          <w:highlight w:val="none"/>
        </w:rPr>
        <w:t>11.4.3 本合同工程界定异常恶劣气候条件（</w:t>
      </w:r>
      <w:r>
        <w:rPr>
          <w:rFonts w:hint="eastAsia" w:ascii="宋体" w:hAnsi="宋体" w:cs="宋体"/>
          <w:color w:val="auto"/>
          <w:kern w:val="0"/>
          <w:szCs w:val="21"/>
          <w:highlight w:val="none"/>
        </w:rPr>
        <w:t>异常恶劣气候是指项目所在地50年以上一遇的罕见气候现象</w:t>
      </w:r>
      <w:r>
        <w:rPr>
          <w:rFonts w:hint="eastAsia" w:ascii="宋体" w:hAnsi="宋体" w:cs="宋体"/>
          <w:color w:val="auto"/>
          <w:szCs w:val="21"/>
          <w:highlight w:val="none"/>
        </w:rPr>
        <w:t>）的范围为：</w:t>
      </w:r>
      <w:bookmarkEnd w:id="157"/>
    </w:p>
    <w:p w14:paraId="3B95D196">
      <w:pPr>
        <w:spacing w:line="360" w:lineRule="auto"/>
        <w:ind w:right="248" w:firstLine="480"/>
        <w:rPr>
          <w:rFonts w:hint="eastAsia" w:ascii="宋体" w:hAnsi="宋体" w:cs="宋体"/>
          <w:color w:val="auto"/>
          <w:szCs w:val="21"/>
          <w:highlight w:val="none"/>
        </w:rPr>
      </w:pPr>
      <w:bookmarkStart w:id="158" w:name="_Toc221951192"/>
      <w:r>
        <w:rPr>
          <w:rFonts w:hint="eastAsia" w:ascii="宋体" w:hAnsi="宋体" w:cs="宋体"/>
          <w:color w:val="auto"/>
          <w:szCs w:val="21"/>
          <w:highlight w:val="none"/>
        </w:rPr>
        <w:t>（1）日降雨量大于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㎜的雨日超过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 `</w:t>
      </w:r>
      <w:bookmarkEnd w:id="158"/>
    </w:p>
    <w:p w14:paraId="02A14827">
      <w:pPr>
        <w:spacing w:line="360" w:lineRule="auto"/>
        <w:ind w:right="248" w:firstLine="480"/>
        <w:rPr>
          <w:rFonts w:hint="eastAsia" w:ascii="宋体" w:hAnsi="宋体" w:cs="宋体"/>
          <w:color w:val="auto"/>
          <w:szCs w:val="21"/>
          <w:highlight w:val="none"/>
        </w:rPr>
      </w:pPr>
      <w:bookmarkStart w:id="159" w:name="_Toc221951193"/>
      <w:r>
        <w:rPr>
          <w:rFonts w:hint="eastAsia" w:ascii="宋体" w:hAnsi="宋体" w:cs="宋体"/>
          <w:color w:val="auto"/>
          <w:szCs w:val="21"/>
          <w:highlight w:val="none"/>
        </w:rPr>
        <w:t>（2）风速大于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m/s的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级以上台风灾害；</w:t>
      </w:r>
      <w:bookmarkEnd w:id="159"/>
    </w:p>
    <w:p w14:paraId="1D8A2956">
      <w:pPr>
        <w:spacing w:line="360" w:lineRule="auto"/>
        <w:ind w:right="248" w:firstLine="480"/>
        <w:rPr>
          <w:rFonts w:hint="eastAsia" w:ascii="宋体" w:hAnsi="宋体" w:cs="宋体"/>
          <w:color w:val="auto"/>
          <w:szCs w:val="21"/>
          <w:highlight w:val="none"/>
        </w:rPr>
      </w:pPr>
      <w:bookmarkStart w:id="160" w:name="_Toc221951194"/>
      <w:r>
        <w:rPr>
          <w:rFonts w:hint="eastAsia" w:ascii="宋体" w:hAnsi="宋体" w:cs="宋体"/>
          <w:color w:val="auto"/>
          <w:szCs w:val="21"/>
          <w:highlight w:val="none"/>
        </w:rPr>
        <w:t>（3）</w:t>
      </w:r>
      <w:bookmarkEnd w:id="160"/>
      <w:r>
        <w:rPr>
          <w:rFonts w:hint="eastAsia" w:ascii="宋体" w:hAnsi="宋体" w:cs="宋体"/>
          <w:color w:val="auto"/>
          <w:szCs w:val="21"/>
          <w:highlight w:val="none"/>
        </w:rPr>
        <w:t>日气温超过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℃的高温大于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14:paraId="2B936530">
      <w:pPr>
        <w:spacing w:line="360" w:lineRule="auto"/>
        <w:ind w:right="248" w:firstLine="480"/>
        <w:rPr>
          <w:rFonts w:hint="eastAsia" w:ascii="宋体" w:hAnsi="宋体" w:cs="宋体"/>
          <w:color w:val="auto"/>
          <w:szCs w:val="21"/>
          <w:highlight w:val="none"/>
        </w:rPr>
      </w:pPr>
      <w:bookmarkStart w:id="161" w:name="_Toc221951195"/>
      <w:r>
        <w:rPr>
          <w:rFonts w:hint="eastAsia" w:ascii="宋体" w:hAnsi="宋体" w:cs="宋体"/>
          <w:color w:val="auto"/>
          <w:szCs w:val="21"/>
          <w:highlight w:val="none"/>
        </w:rPr>
        <w:t>（4）</w:t>
      </w:r>
      <w:bookmarkEnd w:id="161"/>
      <w:r>
        <w:rPr>
          <w:rFonts w:hint="eastAsia" w:ascii="宋体" w:hAnsi="宋体" w:cs="宋体"/>
          <w:color w:val="auto"/>
          <w:szCs w:val="21"/>
          <w:highlight w:val="none"/>
        </w:rPr>
        <w:t>日气温低于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℃的严寒大于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14:paraId="4DE6AFDF">
      <w:pPr>
        <w:spacing w:line="360" w:lineRule="auto"/>
        <w:ind w:right="248" w:firstLine="480"/>
        <w:rPr>
          <w:rFonts w:hint="eastAsia" w:ascii="宋体" w:hAnsi="宋体" w:cs="宋体"/>
          <w:color w:val="auto"/>
          <w:szCs w:val="21"/>
          <w:highlight w:val="none"/>
          <w:u w:val="single"/>
        </w:rPr>
      </w:pPr>
      <w:bookmarkStart w:id="162" w:name="_Toc221951196"/>
      <w:r>
        <w:rPr>
          <w:rFonts w:hint="eastAsia" w:ascii="宋体" w:hAnsi="宋体" w:cs="宋体"/>
          <w:color w:val="auto"/>
          <w:szCs w:val="21"/>
          <w:highlight w:val="none"/>
        </w:rPr>
        <w:t>（5）</w:t>
      </w:r>
      <w:bookmarkEnd w:id="162"/>
      <w:r>
        <w:rPr>
          <w:rFonts w:hint="eastAsia" w:ascii="宋体" w:hAnsi="宋体" w:cs="宋体"/>
          <w:color w:val="auto"/>
          <w:szCs w:val="21"/>
          <w:highlight w:val="none"/>
        </w:rPr>
        <w:t>造成工程损坏的冰雹和大雪灾害：</w:t>
      </w:r>
      <w:r>
        <w:rPr>
          <w:rFonts w:hint="eastAsia" w:ascii="宋体" w:hAnsi="宋体" w:cs="宋体"/>
          <w:color w:val="auto"/>
          <w:szCs w:val="21"/>
          <w:highlight w:val="none"/>
          <w:u w:val="single"/>
        </w:rPr>
        <w:t xml:space="preserve">                。</w:t>
      </w:r>
    </w:p>
    <w:p w14:paraId="5D8E660B">
      <w:pPr>
        <w:spacing w:line="360" w:lineRule="auto"/>
        <w:ind w:right="248" w:firstLine="480"/>
        <w:rPr>
          <w:rFonts w:hint="eastAsia" w:ascii="宋体" w:hAnsi="宋体" w:cs="宋体"/>
          <w:color w:val="auto"/>
          <w:szCs w:val="21"/>
          <w:highlight w:val="none"/>
        </w:rPr>
      </w:pPr>
      <w:bookmarkStart w:id="163" w:name="_Toc221951197"/>
      <w:r>
        <w:rPr>
          <w:rFonts w:hint="eastAsia" w:ascii="宋体" w:hAnsi="宋体" w:cs="宋体"/>
          <w:color w:val="auto"/>
          <w:szCs w:val="21"/>
          <w:highlight w:val="none"/>
        </w:rPr>
        <w:t>（6）</w:t>
      </w:r>
      <w:r>
        <w:rPr>
          <w:rFonts w:hint="eastAsia" w:ascii="宋体" w:hAnsi="宋体" w:cs="宋体"/>
          <w:color w:val="auto"/>
          <w:szCs w:val="21"/>
          <w:highlight w:val="none"/>
          <w:u w:val="single"/>
        </w:rPr>
        <w:t>其他：</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w:t>
      </w:r>
      <w:bookmarkEnd w:id="163"/>
    </w:p>
    <w:p w14:paraId="084A474C">
      <w:pPr>
        <w:keepNext/>
        <w:keepLines/>
        <w:snapToGrid w:val="0"/>
        <w:spacing w:line="600" w:lineRule="exact"/>
        <w:ind w:firstLine="420" w:firstLineChars="200"/>
        <w:outlineLvl w:val="3"/>
        <w:rPr>
          <w:rFonts w:hint="eastAsia" w:ascii="宋体" w:hAnsi="宋体" w:cs="宋体"/>
          <w:color w:val="auto"/>
          <w:szCs w:val="21"/>
          <w:highlight w:val="none"/>
        </w:rPr>
      </w:pPr>
      <w:bookmarkStart w:id="164" w:name="_Toc221951198"/>
      <w:bookmarkStart w:id="165" w:name="_Toc33183741"/>
      <w:r>
        <w:rPr>
          <w:rFonts w:hint="eastAsia" w:ascii="宋体" w:hAnsi="宋体" w:cs="宋体"/>
          <w:color w:val="auto"/>
          <w:szCs w:val="21"/>
          <w:highlight w:val="none"/>
        </w:rPr>
        <w:t>11.5  承包人工期延误</w:t>
      </w:r>
      <w:bookmarkEnd w:id="164"/>
      <w:bookmarkEnd w:id="165"/>
      <w:r>
        <w:rPr>
          <w:rFonts w:hint="eastAsia" w:ascii="宋体" w:hAnsi="宋体" w:cs="宋体"/>
          <w:color w:val="auto"/>
          <w:szCs w:val="21"/>
          <w:highlight w:val="none"/>
        </w:rPr>
        <w:t xml:space="preserve"> </w:t>
      </w:r>
    </w:p>
    <w:p w14:paraId="73215CF8">
      <w:pPr>
        <w:spacing w:line="360" w:lineRule="auto"/>
        <w:ind w:right="248" w:firstLine="420" w:firstLineChars="200"/>
        <w:rPr>
          <w:rFonts w:hint="eastAsia" w:ascii="宋体" w:hAnsi="宋体" w:cs="宋体"/>
          <w:bCs/>
          <w:color w:val="auto"/>
          <w:szCs w:val="21"/>
          <w:highlight w:val="none"/>
        </w:rPr>
      </w:pPr>
      <w:bookmarkStart w:id="166" w:name="_Toc221951200"/>
      <w:r>
        <w:rPr>
          <w:rFonts w:hint="eastAsia" w:ascii="宋体" w:hAnsi="宋体" w:cs="宋体"/>
          <w:bCs/>
          <w:color w:val="auto"/>
          <w:szCs w:val="21"/>
          <w:highlight w:val="none"/>
        </w:rPr>
        <w:t>（1）逾期完工违约金表(参考格式)</w:t>
      </w:r>
      <w:bookmarkEnd w:id="166"/>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675"/>
        <w:gridCol w:w="1995"/>
        <w:gridCol w:w="1995"/>
      </w:tblGrid>
      <w:tr w14:paraId="2EA93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57937F5C">
            <w:pPr>
              <w:spacing w:line="360" w:lineRule="auto"/>
              <w:ind w:right="-3"/>
              <w:jc w:val="center"/>
              <w:rPr>
                <w:rFonts w:hint="eastAsia" w:ascii="宋体" w:hAnsi="宋体" w:cs="宋体"/>
                <w:color w:val="auto"/>
                <w:szCs w:val="21"/>
                <w:highlight w:val="none"/>
              </w:rPr>
            </w:pPr>
            <w:bookmarkStart w:id="167" w:name="_Toc221951201"/>
            <w:r>
              <w:rPr>
                <w:rFonts w:hint="eastAsia" w:ascii="宋体" w:hAnsi="宋体" w:cs="宋体"/>
                <w:color w:val="auto"/>
                <w:szCs w:val="21"/>
                <w:highlight w:val="none"/>
              </w:rPr>
              <w:t>序号</w:t>
            </w:r>
            <w:bookmarkEnd w:id="167"/>
          </w:p>
        </w:tc>
        <w:tc>
          <w:tcPr>
            <w:tcW w:w="3675" w:type="dxa"/>
            <w:noWrap w:val="0"/>
            <w:vAlign w:val="center"/>
          </w:tcPr>
          <w:p w14:paraId="40F62849">
            <w:pPr>
              <w:spacing w:line="360" w:lineRule="auto"/>
              <w:ind w:right="3"/>
              <w:jc w:val="center"/>
              <w:rPr>
                <w:rFonts w:hint="eastAsia" w:ascii="宋体" w:hAnsi="宋体" w:cs="宋体"/>
                <w:color w:val="auto"/>
                <w:szCs w:val="21"/>
                <w:highlight w:val="none"/>
              </w:rPr>
            </w:pPr>
            <w:bookmarkStart w:id="168" w:name="_Toc221951202"/>
            <w:r>
              <w:rPr>
                <w:rFonts w:hint="eastAsia" w:ascii="宋体" w:hAnsi="宋体" w:cs="宋体"/>
                <w:color w:val="auto"/>
                <w:szCs w:val="21"/>
                <w:highlight w:val="none"/>
              </w:rPr>
              <w:t>项目及其说明</w:t>
            </w:r>
            <w:bookmarkEnd w:id="168"/>
          </w:p>
        </w:tc>
        <w:tc>
          <w:tcPr>
            <w:tcW w:w="1995" w:type="dxa"/>
            <w:noWrap w:val="0"/>
            <w:vAlign w:val="center"/>
          </w:tcPr>
          <w:p w14:paraId="48908ED8">
            <w:pPr>
              <w:spacing w:line="360" w:lineRule="auto"/>
              <w:ind w:right="9"/>
              <w:jc w:val="center"/>
              <w:rPr>
                <w:rFonts w:hint="eastAsia" w:ascii="宋体" w:hAnsi="宋体" w:cs="宋体"/>
                <w:color w:val="auto"/>
                <w:szCs w:val="21"/>
                <w:highlight w:val="none"/>
              </w:rPr>
            </w:pPr>
            <w:bookmarkStart w:id="169" w:name="_Toc221951203"/>
            <w:r>
              <w:rPr>
                <w:rFonts w:hint="eastAsia" w:ascii="宋体" w:hAnsi="宋体" w:cs="宋体"/>
                <w:color w:val="auto"/>
                <w:szCs w:val="21"/>
                <w:highlight w:val="none"/>
              </w:rPr>
              <w:t>要求竣工日期</w:t>
            </w:r>
            <w:bookmarkEnd w:id="169"/>
          </w:p>
        </w:tc>
        <w:tc>
          <w:tcPr>
            <w:tcW w:w="1995" w:type="dxa"/>
            <w:noWrap w:val="0"/>
            <w:vAlign w:val="top"/>
          </w:tcPr>
          <w:p w14:paraId="76140CF1">
            <w:pPr>
              <w:spacing w:line="360" w:lineRule="auto"/>
              <w:ind w:right="9"/>
              <w:jc w:val="center"/>
              <w:rPr>
                <w:rFonts w:hint="eastAsia" w:ascii="宋体" w:hAnsi="宋体" w:cs="宋体"/>
                <w:color w:val="auto"/>
                <w:szCs w:val="21"/>
                <w:highlight w:val="none"/>
              </w:rPr>
            </w:pPr>
            <w:bookmarkStart w:id="170" w:name="_Toc221951204"/>
            <w:r>
              <w:rPr>
                <w:rFonts w:hint="eastAsia" w:ascii="宋体" w:hAnsi="宋体" w:cs="宋体"/>
                <w:color w:val="auto"/>
                <w:szCs w:val="21"/>
                <w:highlight w:val="none"/>
              </w:rPr>
              <w:t>违约金(元/天)</w:t>
            </w:r>
            <w:bookmarkEnd w:id="170"/>
          </w:p>
        </w:tc>
      </w:tr>
      <w:tr w14:paraId="61150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4AA8A04D">
            <w:pPr>
              <w:spacing w:line="360" w:lineRule="auto"/>
              <w:ind w:right="248"/>
              <w:jc w:val="center"/>
              <w:rPr>
                <w:rFonts w:hint="eastAsia" w:ascii="宋体" w:hAnsi="宋体" w:cs="宋体"/>
                <w:color w:val="auto"/>
                <w:szCs w:val="21"/>
                <w:highlight w:val="none"/>
              </w:rPr>
            </w:pPr>
          </w:p>
        </w:tc>
        <w:tc>
          <w:tcPr>
            <w:tcW w:w="3675" w:type="dxa"/>
            <w:noWrap w:val="0"/>
            <w:vAlign w:val="center"/>
          </w:tcPr>
          <w:p w14:paraId="792A789D">
            <w:pPr>
              <w:spacing w:line="360" w:lineRule="auto"/>
              <w:ind w:right="248"/>
              <w:jc w:val="center"/>
              <w:rPr>
                <w:rFonts w:hint="eastAsia" w:ascii="宋体" w:hAnsi="宋体" w:cs="宋体"/>
                <w:color w:val="auto"/>
                <w:szCs w:val="21"/>
                <w:highlight w:val="none"/>
              </w:rPr>
            </w:pPr>
          </w:p>
        </w:tc>
        <w:tc>
          <w:tcPr>
            <w:tcW w:w="1995" w:type="dxa"/>
            <w:noWrap w:val="0"/>
            <w:vAlign w:val="center"/>
          </w:tcPr>
          <w:p w14:paraId="44B42FEC">
            <w:pPr>
              <w:spacing w:line="360" w:lineRule="auto"/>
              <w:ind w:right="248"/>
              <w:jc w:val="center"/>
              <w:rPr>
                <w:rFonts w:hint="eastAsia" w:ascii="宋体" w:hAnsi="宋体" w:cs="宋体"/>
                <w:color w:val="auto"/>
                <w:szCs w:val="21"/>
                <w:highlight w:val="none"/>
              </w:rPr>
            </w:pPr>
          </w:p>
        </w:tc>
        <w:tc>
          <w:tcPr>
            <w:tcW w:w="1995" w:type="dxa"/>
            <w:noWrap w:val="0"/>
            <w:vAlign w:val="top"/>
          </w:tcPr>
          <w:p w14:paraId="4C971FB6">
            <w:pPr>
              <w:spacing w:line="360" w:lineRule="auto"/>
              <w:ind w:right="248"/>
              <w:jc w:val="center"/>
              <w:rPr>
                <w:rFonts w:hint="eastAsia" w:ascii="宋体" w:hAnsi="宋体" w:cs="宋体"/>
                <w:color w:val="auto"/>
                <w:szCs w:val="21"/>
                <w:highlight w:val="none"/>
              </w:rPr>
            </w:pPr>
          </w:p>
        </w:tc>
      </w:tr>
      <w:tr w14:paraId="7BED5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2AEEF3D7">
            <w:pPr>
              <w:spacing w:line="360" w:lineRule="auto"/>
              <w:ind w:right="248"/>
              <w:jc w:val="center"/>
              <w:rPr>
                <w:rFonts w:hint="eastAsia" w:ascii="宋体" w:hAnsi="宋体" w:cs="宋体"/>
                <w:color w:val="auto"/>
                <w:szCs w:val="21"/>
                <w:highlight w:val="none"/>
              </w:rPr>
            </w:pPr>
          </w:p>
        </w:tc>
        <w:tc>
          <w:tcPr>
            <w:tcW w:w="3675" w:type="dxa"/>
            <w:noWrap w:val="0"/>
            <w:vAlign w:val="center"/>
          </w:tcPr>
          <w:p w14:paraId="0911A2E5">
            <w:pPr>
              <w:spacing w:line="360" w:lineRule="auto"/>
              <w:ind w:right="248"/>
              <w:jc w:val="center"/>
              <w:rPr>
                <w:rFonts w:hint="eastAsia" w:ascii="宋体" w:hAnsi="宋体" w:cs="宋体"/>
                <w:color w:val="auto"/>
                <w:szCs w:val="21"/>
                <w:highlight w:val="none"/>
              </w:rPr>
            </w:pPr>
          </w:p>
        </w:tc>
        <w:tc>
          <w:tcPr>
            <w:tcW w:w="1995" w:type="dxa"/>
            <w:noWrap w:val="0"/>
            <w:vAlign w:val="center"/>
          </w:tcPr>
          <w:p w14:paraId="3DEC829E">
            <w:pPr>
              <w:spacing w:line="360" w:lineRule="auto"/>
              <w:ind w:right="248"/>
              <w:jc w:val="center"/>
              <w:rPr>
                <w:rFonts w:hint="eastAsia" w:ascii="宋体" w:hAnsi="宋体" w:cs="宋体"/>
                <w:color w:val="auto"/>
                <w:szCs w:val="21"/>
                <w:highlight w:val="none"/>
              </w:rPr>
            </w:pPr>
          </w:p>
        </w:tc>
        <w:tc>
          <w:tcPr>
            <w:tcW w:w="1995" w:type="dxa"/>
            <w:noWrap w:val="0"/>
            <w:vAlign w:val="top"/>
          </w:tcPr>
          <w:p w14:paraId="6D10F789">
            <w:pPr>
              <w:spacing w:line="360" w:lineRule="auto"/>
              <w:ind w:right="248"/>
              <w:jc w:val="center"/>
              <w:rPr>
                <w:rFonts w:hint="eastAsia" w:ascii="宋体" w:hAnsi="宋体" w:cs="宋体"/>
                <w:color w:val="auto"/>
                <w:szCs w:val="21"/>
                <w:highlight w:val="none"/>
              </w:rPr>
            </w:pPr>
          </w:p>
        </w:tc>
      </w:tr>
      <w:tr w14:paraId="0D94D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11868204">
            <w:pPr>
              <w:spacing w:line="360" w:lineRule="auto"/>
              <w:ind w:right="248"/>
              <w:jc w:val="center"/>
              <w:rPr>
                <w:rFonts w:hint="eastAsia" w:ascii="宋体" w:hAnsi="宋体" w:cs="宋体"/>
                <w:color w:val="auto"/>
                <w:szCs w:val="21"/>
                <w:highlight w:val="none"/>
              </w:rPr>
            </w:pPr>
          </w:p>
        </w:tc>
        <w:tc>
          <w:tcPr>
            <w:tcW w:w="3675" w:type="dxa"/>
            <w:noWrap w:val="0"/>
            <w:vAlign w:val="center"/>
          </w:tcPr>
          <w:p w14:paraId="679014D8">
            <w:pPr>
              <w:spacing w:line="360" w:lineRule="auto"/>
              <w:ind w:right="248"/>
              <w:jc w:val="center"/>
              <w:rPr>
                <w:rFonts w:hint="eastAsia" w:ascii="宋体" w:hAnsi="宋体" w:cs="宋体"/>
                <w:color w:val="auto"/>
                <w:szCs w:val="21"/>
                <w:highlight w:val="none"/>
              </w:rPr>
            </w:pPr>
          </w:p>
        </w:tc>
        <w:tc>
          <w:tcPr>
            <w:tcW w:w="1995" w:type="dxa"/>
            <w:noWrap w:val="0"/>
            <w:vAlign w:val="center"/>
          </w:tcPr>
          <w:p w14:paraId="5A9C76DA">
            <w:pPr>
              <w:spacing w:line="360" w:lineRule="auto"/>
              <w:ind w:right="248"/>
              <w:jc w:val="center"/>
              <w:rPr>
                <w:rFonts w:hint="eastAsia" w:ascii="宋体" w:hAnsi="宋体" w:cs="宋体"/>
                <w:color w:val="auto"/>
                <w:szCs w:val="21"/>
                <w:highlight w:val="none"/>
              </w:rPr>
            </w:pPr>
          </w:p>
        </w:tc>
        <w:tc>
          <w:tcPr>
            <w:tcW w:w="1995" w:type="dxa"/>
            <w:noWrap w:val="0"/>
            <w:vAlign w:val="top"/>
          </w:tcPr>
          <w:p w14:paraId="0480DB09">
            <w:pPr>
              <w:spacing w:line="360" w:lineRule="auto"/>
              <w:ind w:right="248"/>
              <w:jc w:val="center"/>
              <w:rPr>
                <w:rFonts w:hint="eastAsia" w:ascii="宋体" w:hAnsi="宋体" w:cs="宋体"/>
                <w:color w:val="auto"/>
                <w:szCs w:val="21"/>
                <w:highlight w:val="none"/>
              </w:rPr>
            </w:pPr>
          </w:p>
        </w:tc>
      </w:tr>
      <w:tr w14:paraId="33084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593E9917">
            <w:pPr>
              <w:spacing w:line="360" w:lineRule="auto"/>
              <w:ind w:right="248"/>
              <w:jc w:val="center"/>
              <w:rPr>
                <w:rFonts w:hint="eastAsia" w:ascii="宋体" w:hAnsi="宋体" w:cs="宋体"/>
                <w:color w:val="auto"/>
                <w:szCs w:val="21"/>
                <w:highlight w:val="none"/>
              </w:rPr>
            </w:pPr>
          </w:p>
        </w:tc>
        <w:tc>
          <w:tcPr>
            <w:tcW w:w="3675" w:type="dxa"/>
            <w:noWrap w:val="0"/>
            <w:vAlign w:val="center"/>
          </w:tcPr>
          <w:p w14:paraId="4358EFE8">
            <w:pPr>
              <w:spacing w:line="360" w:lineRule="auto"/>
              <w:ind w:right="248"/>
              <w:jc w:val="center"/>
              <w:rPr>
                <w:rFonts w:hint="eastAsia" w:ascii="宋体" w:hAnsi="宋体" w:cs="宋体"/>
                <w:color w:val="auto"/>
                <w:szCs w:val="21"/>
                <w:highlight w:val="none"/>
              </w:rPr>
            </w:pPr>
          </w:p>
        </w:tc>
        <w:tc>
          <w:tcPr>
            <w:tcW w:w="1995" w:type="dxa"/>
            <w:noWrap w:val="0"/>
            <w:vAlign w:val="center"/>
          </w:tcPr>
          <w:p w14:paraId="7591F91C">
            <w:pPr>
              <w:spacing w:line="360" w:lineRule="auto"/>
              <w:ind w:right="248"/>
              <w:jc w:val="center"/>
              <w:rPr>
                <w:rFonts w:hint="eastAsia" w:ascii="宋体" w:hAnsi="宋体" w:cs="宋体"/>
                <w:color w:val="auto"/>
                <w:szCs w:val="21"/>
                <w:highlight w:val="none"/>
              </w:rPr>
            </w:pPr>
          </w:p>
        </w:tc>
        <w:tc>
          <w:tcPr>
            <w:tcW w:w="1995" w:type="dxa"/>
            <w:noWrap w:val="0"/>
            <w:vAlign w:val="top"/>
          </w:tcPr>
          <w:p w14:paraId="2B71CCE1">
            <w:pPr>
              <w:spacing w:line="360" w:lineRule="auto"/>
              <w:ind w:right="248"/>
              <w:jc w:val="center"/>
              <w:rPr>
                <w:rFonts w:hint="eastAsia" w:ascii="宋体" w:hAnsi="宋体" w:cs="宋体"/>
                <w:color w:val="auto"/>
                <w:szCs w:val="21"/>
                <w:highlight w:val="none"/>
              </w:rPr>
            </w:pPr>
          </w:p>
        </w:tc>
      </w:tr>
    </w:tbl>
    <w:p w14:paraId="41FF4AE0">
      <w:pPr>
        <w:spacing w:line="360" w:lineRule="auto"/>
        <w:ind w:right="248" w:firstLine="420" w:firstLineChars="200"/>
        <w:rPr>
          <w:rFonts w:hint="eastAsia" w:ascii="宋体" w:hAnsi="宋体" w:cs="宋体"/>
          <w:color w:val="auto"/>
          <w:szCs w:val="21"/>
          <w:highlight w:val="none"/>
        </w:rPr>
      </w:pPr>
      <w:bookmarkStart w:id="171" w:name="_Toc221951205"/>
      <w:r>
        <w:rPr>
          <w:rFonts w:hint="eastAsia" w:ascii="宋体" w:hAnsi="宋体" w:cs="宋体"/>
          <w:color w:val="auto"/>
          <w:szCs w:val="21"/>
          <w:highlight w:val="none"/>
        </w:rPr>
        <w:t>（2）全部逾期完工违约金的总限额为</w:t>
      </w:r>
      <w:r>
        <w:rPr>
          <w:rFonts w:hint="eastAsia" w:ascii="宋体" w:hAnsi="宋体" w:cs="宋体"/>
          <w:color w:val="auto"/>
          <w:szCs w:val="21"/>
          <w:highlight w:val="none"/>
          <w:u w:val="single"/>
        </w:rPr>
        <w:t xml:space="preserve">  （不超过合同总价的  %） </w:t>
      </w:r>
      <w:r>
        <w:rPr>
          <w:rFonts w:hint="eastAsia" w:ascii="宋体" w:hAnsi="宋体" w:cs="宋体"/>
          <w:color w:val="auto"/>
          <w:szCs w:val="21"/>
          <w:highlight w:val="none"/>
        </w:rPr>
        <w:t>。</w:t>
      </w:r>
      <w:bookmarkEnd w:id="171"/>
    </w:p>
    <w:p w14:paraId="5D565244">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完）工违约金。承包人支付逾期竣（完）工违约金，不免除承包人完成工作及修补缺陷的义务。</w:t>
      </w:r>
    </w:p>
    <w:p w14:paraId="5575E38A">
      <w:pPr>
        <w:keepNext/>
        <w:keepLines/>
        <w:snapToGrid w:val="0"/>
        <w:spacing w:line="600" w:lineRule="exact"/>
        <w:ind w:firstLine="420" w:firstLineChars="200"/>
        <w:outlineLvl w:val="3"/>
        <w:rPr>
          <w:rFonts w:hint="eastAsia" w:ascii="宋体" w:hAnsi="宋体" w:cs="宋体"/>
          <w:color w:val="auto"/>
          <w:szCs w:val="21"/>
          <w:highlight w:val="none"/>
        </w:rPr>
      </w:pPr>
      <w:bookmarkStart w:id="172" w:name="_Toc33183742"/>
      <w:r>
        <w:rPr>
          <w:rFonts w:hint="eastAsia" w:ascii="宋体" w:hAnsi="宋体" w:cs="宋体"/>
          <w:color w:val="auto"/>
          <w:szCs w:val="21"/>
          <w:highlight w:val="none"/>
        </w:rPr>
        <w:t>11.6工期提前</w:t>
      </w:r>
      <w:bookmarkEnd w:id="172"/>
    </w:p>
    <w:p w14:paraId="2CC2181F">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本款补充11.6.1、11.6.2项如下：</w:t>
      </w:r>
    </w:p>
    <w:p w14:paraId="4AEBF62D">
      <w:pPr>
        <w:pStyle w:val="2"/>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11.6.1工期提前的资金约定</w:t>
      </w:r>
    </w:p>
    <w:p w14:paraId="73AB9763">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（1）当项目需要提前完工或项目工期按照第</w:t>
      </w:r>
      <w:r>
        <w:rPr>
          <w:rFonts w:hint="eastAsia" w:ascii="宋体" w:hAnsi="宋体" w:cs="宋体"/>
          <w:color w:val="auto"/>
          <w:kern w:val="0"/>
          <w:szCs w:val="21"/>
          <w:highlight w:val="none"/>
          <w:u w:val="single"/>
        </w:rPr>
        <w:t>11.3款〔发包人的工期延误〕</w:t>
      </w:r>
      <w:r>
        <w:rPr>
          <w:rFonts w:hint="eastAsia" w:ascii="宋体" w:hAnsi="宋体" w:cs="宋体"/>
          <w:color w:val="auto"/>
          <w:kern w:val="0"/>
          <w:szCs w:val="21"/>
          <w:highlight w:val="none"/>
        </w:rPr>
        <w:t>约定顺延后需要提前完工的，发包人应通过监理人向承包人下达提前完工指示。承包人同意提前完工的，应向发包人和监理人提交提前完工方案，提前完工方案经监理人和发包人审批后生效。由此增加的费用按照第</w:t>
      </w:r>
      <w:r>
        <w:rPr>
          <w:rFonts w:hint="eastAsia" w:ascii="宋体" w:hAnsi="宋体" w:cs="宋体"/>
          <w:color w:val="auto"/>
          <w:kern w:val="0"/>
          <w:szCs w:val="21"/>
          <w:highlight w:val="none"/>
          <w:u w:val="single"/>
        </w:rPr>
        <w:t>15.4款〔变更的估价原则〕</w:t>
      </w:r>
      <w:r>
        <w:rPr>
          <w:rFonts w:hint="eastAsia" w:ascii="宋体" w:hAnsi="宋体" w:cs="宋体"/>
          <w:color w:val="auto"/>
          <w:kern w:val="0"/>
          <w:szCs w:val="21"/>
          <w:highlight w:val="none"/>
        </w:rPr>
        <w:t>约定执行。</w:t>
      </w:r>
    </w:p>
    <w:p w14:paraId="3BD9791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（2）发包人不得随意要求承包人提前完工，承包人也不得随意提出提前完工的建议。如遇特殊情况，确需将工期提前的，发包人和承包人必须采取有效措施，确保工程质量。</w:t>
      </w:r>
    </w:p>
    <w:p w14:paraId="5AE15E2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（3）如果承包人提前完工，发包人支付奖金的计算方法在合同条款数据表中约定，时间自完工验收证书中写明的实际完工日期起至预定的完工日期止，按天计算。但奖金最高限额不超过项目11.6.2条的限额。</w:t>
      </w:r>
    </w:p>
    <w:p w14:paraId="73A5E1D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11.6.2 提前完工的奖励：</w:t>
      </w:r>
      <w:r>
        <w:rPr>
          <w:rFonts w:hint="eastAsia" w:ascii="宋体" w:hAnsi="宋体" w:cs="宋体"/>
          <w:color w:val="auto"/>
          <w:kern w:val="0"/>
          <w:szCs w:val="21"/>
          <w:highlight w:val="none"/>
          <w:u w:val="single"/>
        </w:rPr>
        <w:t xml:space="preserve">    元/天，不超过签约合同价的    %</w:t>
      </w:r>
      <w:r>
        <w:rPr>
          <w:rFonts w:hint="eastAsia" w:ascii="宋体" w:hAnsi="宋体" w:cs="宋体"/>
          <w:color w:val="auto"/>
          <w:kern w:val="0"/>
          <w:szCs w:val="21"/>
          <w:highlight w:val="none"/>
        </w:rPr>
        <w:t>。</w:t>
      </w:r>
    </w:p>
    <w:p w14:paraId="7F9C5876">
      <w:pPr>
        <w:pStyle w:val="5"/>
        <w:spacing w:line="360" w:lineRule="auto"/>
        <w:rPr>
          <w:rFonts w:hint="eastAsia" w:ascii="宋体" w:hAnsi="宋体" w:cs="宋体"/>
          <w:color w:val="auto"/>
          <w:sz w:val="21"/>
          <w:szCs w:val="21"/>
          <w:highlight w:val="none"/>
        </w:rPr>
      </w:pPr>
      <w:bookmarkStart w:id="173" w:name="_Toc222032706"/>
      <w:bookmarkStart w:id="174" w:name="_Toc33183743"/>
      <w:bookmarkStart w:id="175" w:name="_Toc222029537"/>
      <w:bookmarkStart w:id="176" w:name="_Toc229305395"/>
      <w:bookmarkStart w:id="177" w:name="_Toc59810415"/>
      <w:bookmarkStart w:id="178" w:name="_Toc222031039"/>
      <w:bookmarkStart w:id="179" w:name="_Toc222033888"/>
      <w:bookmarkStart w:id="180" w:name="_Toc221951206"/>
      <w:r>
        <w:rPr>
          <w:rFonts w:hint="eastAsia" w:ascii="宋体" w:hAnsi="宋体" w:cs="宋体"/>
          <w:color w:val="auto"/>
          <w:sz w:val="21"/>
          <w:szCs w:val="21"/>
          <w:highlight w:val="none"/>
        </w:rPr>
        <w:t>12.暂停施工</w:t>
      </w:r>
      <w:bookmarkEnd w:id="173"/>
      <w:bookmarkEnd w:id="174"/>
      <w:bookmarkEnd w:id="175"/>
      <w:bookmarkEnd w:id="176"/>
      <w:bookmarkEnd w:id="177"/>
      <w:bookmarkEnd w:id="178"/>
      <w:bookmarkEnd w:id="179"/>
      <w:bookmarkEnd w:id="180"/>
    </w:p>
    <w:p w14:paraId="6B5BC4AC">
      <w:pPr>
        <w:keepNext/>
        <w:keepLines/>
        <w:snapToGrid w:val="0"/>
        <w:spacing w:line="600" w:lineRule="exact"/>
        <w:ind w:firstLine="420" w:firstLineChars="200"/>
        <w:outlineLvl w:val="3"/>
        <w:rPr>
          <w:rFonts w:hint="eastAsia" w:ascii="宋体" w:hAnsi="宋体" w:cs="宋体"/>
          <w:color w:val="auto"/>
          <w:szCs w:val="21"/>
          <w:highlight w:val="none"/>
        </w:rPr>
      </w:pPr>
      <w:bookmarkStart w:id="181" w:name="_Toc221951207"/>
      <w:bookmarkStart w:id="182" w:name="_Toc33183744"/>
      <w:r>
        <w:rPr>
          <w:rFonts w:hint="eastAsia" w:ascii="宋体" w:hAnsi="宋体" w:cs="宋体"/>
          <w:color w:val="auto"/>
          <w:szCs w:val="21"/>
          <w:highlight w:val="none"/>
        </w:rPr>
        <w:t>12.1  承包人暂停施工的责任</w:t>
      </w:r>
      <w:bookmarkEnd w:id="181"/>
      <w:bookmarkEnd w:id="182"/>
    </w:p>
    <w:p w14:paraId="38775195">
      <w:pPr>
        <w:spacing w:line="360" w:lineRule="auto"/>
        <w:ind w:right="248" w:firstLine="480"/>
        <w:rPr>
          <w:rFonts w:hint="eastAsia" w:ascii="宋体" w:hAnsi="宋体" w:cs="宋体"/>
          <w:color w:val="auto"/>
          <w:szCs w:val="21"/>
          <w:highlight w:val="none"/>
        </w:rPr>
      </w:pPr>
      <w:bookmarkStart w:id="183" w:name="_Toc221951209"/>
      <w:r>
        <w:rPr>
          <w:rFonts w:hint="eastAsia" w:ascii="宋体" w:hAnsi="宋体" w:cs="宋体"/>
          <w:color w:val="auto"/>
          <w:szCs w:val="21"/>
          <w:highlight w:val="none"/>
        </w:rPr>
        <w:t xml:space="preserve"> (5) 承包人承担暂停施工责任的其它情形：</w:t>
      </w:r>
      <w:r>
        <w:rPr>
          <w:rFonts w:hint="eastAsia" w:ascii="宋体" w:hAnsi="宋体" w:cs="宋体"/>
          <w:color w:val="auto"/>
          <w:szCs w:val="21"/>
          <w:highlight w:val="none"/>
          <w:u w:val="single"/>
        </w:rPr>
        <w:t xml:space="preserve">    因承包人原因引起的暂停施工，承包人应承担由此增加的费用和（或）延误的工期，且承包人在收到监理人复工指示后84天内仍未复工的，视为第22.1.1项〔承包人违约的情形〕第（7）目约定的承包人无法继续履行合同的情形。     </w:t>
      </w:r>
      <w:r>
        <w:rPr>
          <w:rFonts w:hint="eastAsia" w:ascii="宋体" w:hAnsi="宋体" w:cs="宋体"/>
          <w:color w:val="auto"/>
          <w:szCs w:val="21"/>
          <w:highlight w:val="none"/>
        </w:rPr>
        <w:t xml:space="preserve"> 。</w:t>
      </w:r>
      <w:bookmarkEnd w:id="183"/>
    </w:p>
    <w:p w14:paraId="0B674803">
      <w:pPr>
        <w:keepNext/>
        <w:keepLines/>
        <w:snapToGrid w:val="0"/>
        <w:spacing w:line="600" w:lineRule="exact"/>
        <w:ind w:firstLine="420" w:firstLineChars="200"/>
        <w:outlineLvl w:val="3"/>
        <w:rPr>
          <w:rFonts w:hint="eastAsia" w:ascii="宋体" w:hAnsi="宋体" w:cs="宋体"/>
          <w:color w:val="auto"/>
          <w:szCs w:val="21"/>
          <w:highlight w:val="none"/>
        </w:rPr>
      </w:pPr>
      <w:bookmarkStart w:id="184" w:name="_Toc33183745"/>
      <w:r>
        <w:rPr>
          <w:rFonts w:hint="eastAsia" w:ascii="宋体" w:hAnsi="宋体" w:cs="宋体"/>
          <w:color w:val="auto"/>
          <w:szCs w:val="21"/>
          <w:highlight w:val="none"/>
        </w:rPr>
        <w:t>12.2  发包人暂停施工的责任</w:t>
      </w:r>
      <w:bookmarkEnd w:id="184"/>
    </w:p>
    <w:p w14:paraId="57201C46">
      <w:pPr>
        <w:spacing w:line="360" w:lineRule="auto"/>
        <w:ind w:right="248" w:firstLine="480"/>
        <w:rPr>
          <w:rFonts w:hint="eastAsia" w:ascii="宋体" w:hAnsi="宋体" w:cs="宋体"/>
          <w:color w:val="auto"/>
          <w:szCs w:val="21"/>
          <w:highlight w:val="none"/>
          <w:u w:val="single"/>
        </w:rPr>
      </w:pPr>
      <w:r>
        <w:rPr>
          <w:rFonts w:hint="eastAsia" w:ascii="宋体" w:hAnsi="宋体" w:cs="宋体"/>
          <w:color w:val="auto"/>
          <w:szCs w:val="21"/>
          <w:highlight w:val="none"/>
        </w:rPr>
        <w:t xml:space="preserve"> (3) 发包人承担暂停施工责任的其它情形：</w:t>
      </w:r>
      <w:r>
        <w:rPr>
          <w:rFonts w:hint="eastAsia" w:ascii="宋体" w:hAnsi="宋体" w:cs="宋体"/>
          <w:color w:val="auto"/>
          <w:szCs w:val="21"/>
          <w:highlight w:val="none"/>
          <w:u w:val="single"/>
        </w:rPr>
        <w:t xml:space="preserve">  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14:paraId="306B453D">
      <w:pPr>
        <w:pStyle w:val="2"/>
        <w:rPr>
          <w:color w:val="auto"/>
          <w:highlight w:val="none"/>
        </w:rPr>
      </w:pPr>
      <w:r>
        <w:rPr>
          <w:rFonts w:hint="eastAsia"/>
          <w:color w:val="auto"/>
          <w:highlight w:val="none"/>
        </w:rPr>
        <w:t>本条补充12.6、12.7款如下：</w:t>
      </w:r>
    </w:p>
    <w:p w14:paraId="11E6AE25">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12.6暂停施工期间的工程照管</w:t>
      </w:r>
    </w:p>
    <w:p w14:paraId="0EE6937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暂停施工期间，承包人应负责妥善照管工程并提供安全保障，由此增加的费用由责任方承担。</w:t>
      </w:r>
    </w:p>
    <w:p w14:paraId="14F6A0FB">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12.7 暂停施工的措施</w:t>
      </w:r>
    </w:p>
    <w:p w14:paraId="27EB46C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暂停施工期间，发包人和承包人均应采取必要的措施确保工程质量及安全，防止因暂停施工扩大损失。</w:t>
      </w:r>
    </w:p>
    <w:p w14:paraId="6612D816">
      <w:pPr>
        <w:pStyle w:val="5"/>
        <w:spacing w:line="360" w:lineRule="auto"/>
        <w:rPr>
          <w:rFonts w:hint="eastAsia" w:ascii="宋体" w:hAnsi="宋体" w:cs="宋体"/>
          <w:color w:val="auto"/>
          <w:sz w:val="21"/>
          <w:szCs w:val="21"/>
          <w:highlight w:val="none"/>
        </w:rPr>
      </w:pPr>
      <w:bookmarkStart w:id="185" w:name="_Toc59810416"/>
      <w:bookmarkStart w:id="186" w:name="_Toc33183746"/>
      <w:r>
        <w:rPr>
          <w:rFonts w:hint="eastAsia" w:ascii="宋体" w:hAnsi="宋体" w:cs="宋体"/>
          <w:color w:val="auto"/>
          <w:sz w:val="21"/>
          <w:szCs w:val="21"/>
          <w:highlight w:val="none"/>
        </w:rPr>
        <w:t>13.工程质量</w:t>
      </w:r>
      <w:bookmarkEnd w:id="185"/>
      <w:bookmarkEnd w:id="186"/>
    </w:p>
    <w:p w14:paraId="4C248CA8">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13.1 工程质量要求</w:t>
      </w:r>
    </w:p>
    <w:p w14:paraId="5DC9BCF3">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13.1.1  工程质量符合国家有关施工质量验收规范和标准要求，</w:t>
      </w:r>
      <w:r>
        <w:rPr>
          <w:rFonts w:hint="eastAsia" w:ascii="宋体" w:hAnsi="宋体" w:cs="宋体"/>
          <w:color w:val="auto"/>
          <w:kern w:val="0"/>
          <w:szCs w:val="21"/>
          <w:highlight w:val="none"/>
          <w:u w:val="single"/>
        </w:rPr>
        <w:t>达到合格/优良标准。</w:t>
      </w:r>
    </w:p>
    <w:p w14:paraId="0361A7BC">
      <w:pPr>
        <w:keepNext/>
        <w:keepLines/>
        <w:snapToGrid w:val="0"/>
        <w:spacing w:line="600" w:lineRule="exact"/>
        <w:ind w:firstLine="420" w:firstLineChars="200"/>
        <w:outlineLvl w:val="3"/>
        <w:rPr>
          <w:rFonts w:hint="eastAsia" w:ascii="宋体" w:hAnsi="宋体" w:cs="宋体"/>
          <w:color w:val="auto"/>
          <w:szCs w:val="21"/>
          <w:highlight w:val="none"/>
        </w:rPr>
      </w:pPr>
      <w:bookmarkStart w:id="187" w:name="_Toc33183747"/>
      <w:r>
        <w:rPr>
          <w:rFonts w:hint="eastAsia" w:ascii="宋体" w:hAnsi="宋体" w:cs="宋体"/>
          <w:color w:val="auto"/>
          <w:kern w:val="0"/>
          <w:szCs w:val="21"/>
          <w:highlight w:val="none"/>
        </w:rPr>
        <w:t>13.6 清除不合格工程</w:t>
      </w:r>
      <w:bookmarkEnd w:id="187"/>
    </w:p>
    <w:p w14:paraId="634F1E4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本款补充13.6.3项如下：</w:t>
      </w:r>
    </w:p>
    <w:p w14:paraId="3E97CDD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13.6.3</w:t>
      </w:r>
      <w:r>
        <w:rPr>
          <w:rFonts w:hint="eastAsia" w:ascii="宋体" w:hAnsi="宋体" w:cs="宋体"/>
          <w:color w:val="auto"/>
          <w:kern w:val="0"/>
          <w:szCs w:val="21"/>
          <w:highlight w:val="none"/>
          <w:u w:val="single"/>
        </w:rPr>
        <w:t>按《水利水电工程单元工程施工质量验收评定标准》（SL 631～639）及其它现行有效的质量验收评定标准要求执行。</w:t>
      </w:r>
      <w:r>
        <w:rPr>
          <w:rFonts w:hint="eastAsia" w:ascii="宋体" w:hAnsi="宋体" w:cs="宋体"/>
          <w:color w:val="auto"/>
          <w:kern w:val="0"/>
          <w:szCs w:val="21"/>
          <w:highlight w:val="none"/>
        </w:rPr>
        <w:t xml:space="preserve"> 质量事故处理的约定：</w:t>
      </w:r>
    </w:p>
    <w:p w14:paraId="6DC2929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（1）合同履行过程中，发生工程质量事故的调查处理按照国家及重庆市现行规定处理。</w:t>
      </w:r>
    </w:p>
    <w:p w14:paraId="3831889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8682F1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99901E6">
      <w:pPr>
        <w:keepNext/>
        <w:keepLines/>
        <w:snapToGrid w:val="0"/>
        <w:spacing w:line="600" w:lineRule="exact"/>
        <w:ind w:firstLine="420" w:firstLineChars="200"/>
        <w:outlineLvl w:val="3"/>
        <w:rPr>
          <w:rFonts w:hint="eastAsia" w:ascii="宋体" w:hAnsi="宋体" w:cs="宋体"/>
          <w:color w:val="auto"/>
          <w:szCs w:val="21"/>
          <w:highlight w:val="none"/>
        </w:rPr>
      </w:pPr>
      <w:bookmarkStart w:id="188" w:name="_Toc33183748"/>
      <w:r>
        <w:rPr>
          <w:rFonts w:hint="eastAsia" w:ascii="宋体" w:hAnsi="宋体" w:cs="宋体"/>
          <w:color w:val="auto"/>
          <w:szCs w:val="21"/>
          <w:highlight w:val="none"/>
        </w:rPr>
        <w:t>13.7质量</w:t>
      </w:r>
      <w:r>
        <w:rPr>
          <w:rFonts w:hint="eastAsia" w:ascii="宋体" w:hAnsi="宋体" w:cs="宋体"/>
          <w:color w:val="auto"/>
          <w:kern w:val="0"/>
          <w:szCs w:val="21"/>
          <w:highlight w:val="none"/>
        </w:rPr>
        <w:t>评定</w:t>
      </w:r>
      <w:bookmarkEnd w:id="188"/>
    </w:p>
    <w:p w14:paraId="015131CF">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13.7.4重要隐蔽单元工程和关键部位单元工程质量评定的约定：</w:t>
      </w:r>
      <w:r>
        <w:rPr>
          <w:rFonts w:hint="eastAsia" w:ascii="宋体" w:hAnsi="宋体" w:cs="宋体"/>
          <w:color w:val="auto"/>
          <w:kern w:val="0"/>
          <w:szCs w:val="21"/>
          <w:highlight w:val="none"/>
          <w:u w:val="single"/>
        </w:rPr>
        <w:t>单元工程质量符合《水利水电工程单元工程施工质量验收评定标准》（SL 631～639）及其它现行有效的质量验收评定标准要求。</w:t>
      </w:r>
    </w:p>
    <w:p w14:paraId="518F2F36">
      <w:pPr>
        <w:pStyle w:val="2"/>
        <w:spacing w:line="360" w:lineRule="auto"/>
        <w:rPr>
          <w:rFonts w:hint="eastAsia"/>
          <w:color w:val="auto"/>
          <w:highlight w:val="none"/>
        </w:rPr>
      </w:pPr>
      <w:r>
        <w:rPr>
          <w:rFonts w:hint="eastAsia" w:ascii="宋体" w:hAnsi="宋体" w:cs="宋体"/>
          <w:color w:val="auto"/>
          <w:szCs w:val="21"/>
          <w:highlight w:val="none"/>
          <w:u w:val="single"/>
        </w:rPr>
        <w:t xml:space="preserve">                                                                                                                           。</w:t>
      </w:r>
    </w:p>
    <w:p w14:paraId="04B5018A">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13.7.7工程合格标准为：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；优良标准为：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。达到优良的奖金为：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D288338">
      <w:pPr>
        <w:keepNext/>
        <w:keepLines/>
        <w:snapToGrid w:val="0"/>
        <w:spacing w:line="600" w:lineRule="exact"/>
        <w:ind w:firstLine="420" w:firstLineChars="200"/>
        <w:outlineLvl w:val="3"/>
        <w:rPr>
          <w:rFonts w:hint="eastAsia" w:ascii="宋体" w:hAnsi="宋体" w:cs="宋体"/>
          <w:color w:val="auto"/>
          <w:szCs w:val="21"/>
          <w:highlight w:val="none"/>
        </w:rPr>
      </w:pPr>
      <w:bookmarkStart w:id="189" w:name="_Toc33183749"/>
      <w:r>
        <w:rPr>
          <w:rFonts w:hint="eastAsia" w:ascii="宋体" w:hAnsi="宋体" w:cs="宋体"/>
          <w:color w:val="auto"/>
          <w:szCs w:val="21"/>
          <w:highlight w:val="none"/>
        </w:rPr>
        <w:t xml:space="preserve">13.8  </w:t>
      </w:r>
      <w:r>
        <w:rPr>
          <w:rFonts w:hint="eastAsia" w:ascii="宋体" w:hAnsi="宋体" w:cs="宋体"/>
          <w:color w:val="auto"/>
          <w:kern w:val="0"/>
          <w:szCs w:val="21"/>
          <w:highlight w:val="none"/>
        </w:rPr>
        <w:t>质量事故</w:t>
      </w:r>
      <w:r>
        <w:rPr>
          <w:rFonts w:hint="eastAsia" w:ascii="宋体" w:hAnsi="宋体" w:cs="宋体"/>
          <w:color w:val="auto"/>
          <w:szCs w:val="21"/>
          <w:highlight w:val="none"/>
        </w:rPr>
        <w:t>处理</w:t>
      </w:r>
      <w:bookmarkEnd w:id="189"/>
    </w:p>
    <w:p w14:paraId="7E23AE2A">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13.8.4工程竣工验收时，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向竣工验收委员会汇报并提交历次质量缺陷处理的备案资料。</w:t>
      </w:r>
    </w:p>
    <w:p w14:paraId="5F1259C9">
      <w:pPr>
        <w:pStyle w:val="5"/>
        <w:spacing w:line="360" w:lineRule="auto"/>
        <w:rPr>
          <w:rFonts w:hint="eastAsia" w:ascii="宋体" w:hAnsi="宋体" w:cs="宋体"/>
          <w:color w:val="auto"/>
          <w:sz w:val="21"/>
          <w:szCs w:val="21"/>
          <w:highlight w:val="none"/>
        </w:rPr>
      </w:pPr>
      <w:bookmarkStart w:id="190" w:name="_Toc33183750"/>
      <w:bookmarkStart w:id="191" w:name="_Toc59810417"/>
      <w:r>
        <w:rPr>
          <w:rFonts w:hint="eastAsia" w:ascii="宋体" w:hAnsi="宋体" w:cs="宋体"/>
          <w:color w:val="auto"/>
          <w:sz w:val="21"/>
          <w:szCs w:val="21"/>
          <w:highlight w:val="none"/>
        </w:rPr>
        <w:t>14. 试验和检验</w:t>
      </w:r>
      <w:bookmarkEnd w:id="190"/>
      <w:bookmarkEnd w:id="191"/>
    </w:p>
    <w:p w14:paraId="356D3E31">
      <w:pPr>
        <w:keepNext/>
        <w:keepLines/>
        <w:snapToGrid w:val="0"/>
        <w:spacing w:line="600" w:lineRule="exact"/>
        <w:ind w:firstLine="420" w:firstLineChars="200"/>
        <w:outlineLvl w:val="3"/>
        <w:rPr>
          <w:rFonts w:hint="eastAsia" w:ascii="宋体" w:hAnsi="宋体" w:cs="宋体"/>
          <w:color w:val="auto"/>
          <w:szCs w:val="21"/>
          <w:highlight w:val="none"/>
        </w:rPr>
      </w:pPr>
      <w:bookmarkStart w:id="192" w:name="_Toc33183751"/>
      <w:r>
        <w:rPr>
          <w:rFonts w:hint="eastAsia" w:ascii="宋体" w:hAnsi="宋体" w:cs="宋体"/>
          <w:color w:val="auto"/>
          <w:szCs w:val="21"/>
          <w:highlight w:val="none"/>
        </w:rPr>
        <w:t>14.1材料、工程设备和工程的试验和检验</w:t>
      </w:r>
      <w:bookmarkEnd w:id="192"/>
    </w:p>
    <w:p w14:paraId="40A2FB3F">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14.1.5 水工金属结构、启闭机及机电产品进场后，监理人组织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按合同进行交货检查和验收。</w:t>
      </w:r>
    </w:p>
    <w:p w14:paraId="05E6579E">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14.1.6 本工程实行见证取样的试块、试件及有关材料：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2C57D8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本款补充14.1.7、14.1.8项如下：</w:t>
      </w:r>
    </w:p>
    <w:p w14:paraId="68CEE44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14.1.7</w:t>
      </w:r>
      <w:r>
        <w:rPr>
          <w:rFonts w:hint="eastAsia" w:ascii="宋体" w:hAnsi="宋体" w:cs="宋体"/>
          <w:color w:val="auto"/>
          <w:kern w:val="0"/>
          <w:szCs w:val="21"/>
          <w:highlight w:val="none"/>
        </w:rPr>
        <w:t>试验设备</w:t>
      </w:r>
    </w:p>
    <w:p w14:paraId="2F3D1EA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施工现场需要配置的试验场所：</w:t>
      </w:r>
      <w:r>
        <w:rPr>
          <w:rFonts w:hint="eastAsia" w:ascii="宋体" w:hAnsi="宋体" w:cs="宋体"/>
          <w:color w:val="auto"/>
          <w:kern w:val="0"/>
          <w:szCs w:val="21"/>
          <w:highlight w:val="none"/>
          <w:u w:val="single"/>
        </w:rPr>
        <w:t>满足工程施工的需要</w:t>
      </w:r>
      <w:r>
        <w:rPr>
          <w:rFonts w:hint="eastAsia" w:ascii="宋体" w:hAnsi="宋体" w:cs="宋体"/>
          <w:color w:val="auto"/>
          <w:kern w:val="0"/>
          <w:szCs w:val="21"/>
          <w:highlight w:val="none"/>
        </w:rPr>
        <w:t>。</w:t>
      </w:r>
    </w:p>
    <w:p w14:paraId="6D70DF0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施工现场需要配备的试验设备：</w:t>
      </w:r>
      <w:r>
        <w:rPr>
          <w:rFonts w:hint="eastAsia" w:ascii="宋体" w:hAnsi="宋体" w:cs="宋体"/>
          <w:color w:val="auto"/>
          <w:kern w:val="0"/>
          <w:szCs w:val="21"/>
          <w:highlight w:val="none"/>
          <w:u w:val="single"/>
        </w:rPr>
        <w:t>满足工程施工的需要</w:t>
      </w:r>
      <w:r>
        <w:rPr>
          <w:rFonts w:hint="eastAsia" w:ascii="宋体" w:hAnsi="宋体" w:cs="宋体"/>
          <w:color w:val="auto"/>
          <w:kern w:val="0"/>
          <w:szCs w:val="21"/>
          <w:highlight w:val="none"/>
        </w:rPr>
        <w:t>。</w:t>
      </w:r>
    </w:p>
    <w:p w14:paraId="114B248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施工现场需要具备的其他试验条件：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33B2DDB">
      <w:pPr>
        <w:spacing w:line="360" w:lineRule="auto"/>
        <w:ind w:right="248" w:firstLine="480"/>
        <w:rPr>
          <w:rFonts w:hint="eastAsia" w:ascii="宋体" w:hAnsi="宋体" w:cs="宋体"/>
          <w:color w:val="auto"/>
          <w:kern w:val="0"/>
          <w:szCs w:val="21"/>
          <w:highlight w:val="none"/>
          <w:u w:val="single"/>
        </w:rPr>
      </w:pPr>
      <w:r>
        <w:rPr>
          <w:rFonts w:hint="eastAsia" w:ascii="宋体" w:hAnsi="宋体" w:cs="宋体"/>
          <w:color w:val="auto"/>
          <w:szCs w:val="21"/>
          <w:highlight w:val="none"/>
          <w:u w:val="single"/>
        </w:rPr>
        <w:t>14.1.8</w:t>
      </w:r>
      <w:r>
        <w:rPr>
          <w:rFonts w:hint="eastAsia" w:ascii="宋体" w:hAnsi="宋体" w:cs="宋体"/>
          <w:color w:val="auto"/>
          <w:kern w:val="0"/>
          <w:szCs w:val="21"/>
          <w:highlight w:val="none"/>
          <w:u w:val="single"/>
        </w:rPr>
        <w:t>本工程施工检测由承包人按《重庆市水利工程质量检测管理办法》渝水〔2018〕110号文规定选择具有相应资质检测单位进行施工质量抽样检测，并需事先报监理审核，并征得发包人书面同意后实施。施工检测单位不能和监理抽检、发包人抽检及验收检测为同一家单位。施工一般检测所需费用由承包人在工程承包费中支付，第三方检测所需费用由发包人承担。承包人应与检测单位在开展检测工作前共同编制施工检测实施方案，实施方案中检测项目及频次必须满足验收评定标准及规程、规范的要求，并经发包人组织评审后实施。</w:t>
      </w:r>
    </w:p>
    <w:p w14:paraId="5CCD7764">
      <w:pPr>
        <w:keepNext/>
        <w:keepLines/>
        <w:snapToGrid w:val="0"/>
        <w:spacing w:line="600" w:lineRule="exact"/>
        <w:ind w:firstLine="420" w:firstLineChars="200"/>
        <w:outlineLvl w:val="3"/>
        <w:rPr>
          <w:rFonts w:hint="eastAsia" w:ascii="宋体" w:hAnsi="宋体" w:cs="宋体"/>
          <w:color w:val="auto"/>
          <w:szCs w:val="21"/>
          <w:highlight w:val="none"/>
        </w:rPr>
      </w:pPr>
      <w:bookmarkStart w:id="193" w:name="_Toc33183752"/>
      <w:r>
        <w:rPr>
          <w:rFonts w:hint="eastAsia" w:ascii="宋体" w:hAnsi="宋体" w:cs="宋体"/>
          <w:color w:val="auto"/>
          <w:szCs w:val="21"/>
          <w:highlight w:val="none"/>
          <w:u w:val="single"/>
        </w:rPr>
        <w:t>14.3 现场</w:t>
      </w:r>
      <w:r>
        <w:rPr>
          <w:rFonts w:hint="eastAsia" w:ascii="宋体" w:hAnsi="宋体" w:cs="宋体"/>
          <w:color w:val="auto"/>
          <w:szCs w:val="21"/>
          <w:highlight w:val="none"/>
        </w:rPr>
        <w:t>工艺试验</w:t>
      </w:r>
      <w:bookmarkEnd w:id="193"/>
    </w:p>
    <w:p w14:paraId="7813DC7F">
      <w:pPr>
        <w:tabs>
          <w:tab w:val="left" w:pos="711"/>
          <w:tab w:val="left" w:pos="2580"/>
        </w:tabs>
        <w:snapToGrid w:val="0"/>
        <w:spacing w:line="360" w:lineRule="auto"/>
        <w:ind w:firstLine="420" w:firstLineChars="2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本款补充14.3.1、14.3.2项如下：</w:t>
      </w:r>
    </w:p>
    <w:p w14:paraId="65874C34">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14.3.1若因承包人取样、制样、送检及相关配合不及时而导致工程的工期和费用增加，影响的工期不予延长，增加费用由承包人承担。</w:t>
      </w:r>
    </w:p>
    <w:p w14:paraId="246C16B5">
      <w:pPr>
        <w:pStyle w:val="2"/>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14.3.2检测试验不合格的项目，其缺陷处理和复测费用由承包人承担，工期不予延长。</w:t>
      </w:r>
    </w:p>
    <w:p w14:paraId="6AB97DC7">
      <w:pPr>
        <w:pStyle w:val="5"/>
        <w:spacing w:line="360" w:lineRule="auto"/>
        <w:rPr>
          <w:rFonts w:hint="eastAsia" w:ascii="宋体" w:hAnsi="宋体" w:cs="宋体"/>
          <w:color w:val="auto"/>
          <w:sz w:val="21"/>
          <w:szCs w:val="21"/>
          <w:highlight w:val="none"/>
        </w:rPr>
      </w:pPr>
      <w:bookmarkStart w:id="194" w:name="_Toc222032708"/>
      <w:bookmarkStart w:id="195" w:name="_Toc221951213"/>
      <w:bookmarkStart w:id="196" w:name="_Toc59810418"/>
      <w:bookmarkStart w:id="197" w:name="_Toc222029539"/>
      <w:bookmarkStart w:id="198" w:name="_Toc229305396"/>
      <w:bookmarkStart w:id="199" w:name="_Toc222033890"/>
      <w:bookmarkStart w:id="200" w:name="_Toc222031041"/>
      <w:bookmarkStart w:id="201" w:name="_Toc33183753"/>
      <w:r>
        <w:rPr>
          <w:rFonts w:hint="eastAsia" w:ascii="宋体" w:hAnsi="宋体" w:cs="宋体"/>
          <w:color w:val="auto"/>
          <w:sz w:val="21"/>
          <w:szCs w:val="21"/>
          <w:highlight w:val="none"/>
        </w:rPr>
        <w:t>15.变更</w:t>
      </w:r>
      <w:bookmarkEnd w:id="194"/>
      <w:bookmarkEnd w:id="195"/>
      <w:bookmarkEnd w:id="196"/>
      <w:bookmarkEnd w:id="197"/>
      <w:bookmarkEnd w:id="198"/>
      <w:bookmarkEnd w:id="199"/>
      <w:bookmarkEnd w:id="200"/>
      <w:bookmarkEnd w:id="201"/>
    </w:p>
    <w:p w14:paraId="0A565EC4">
      <w:pPr>
        <w:keepNext/>
        <w:keepLines/>
        <w:snapToGrid w:val="0"/>
        <w:spacing w:line="600" w:lineRule="exact"/>
        <w:ind w:firstLine="420" w:firstLineChars="200"/>
        <w:outlineLvl w:val="3"/>
        <w:rPr>
          <w:rFonts w:hint="eastAsia" w:ascii="宋体" w:hAnsi="宋体" w:cs="宋体"/>
          <w:color w:val="auto"/>
          <w:szCs w:val="21"/>
          <w:highlight w:val="none"/>
        </w:rPr>
      </w:pPr>
      <w:bookmarkStart w:id="202" w:name="_Toc221951214"/>
      <w:bookmarkStart w:id="203" w:name="_Toc33183754"/>
      <w:r>
        <w:rPr>
          <w:rFonts w:hint="eastAsia" w:ascii="宋体" w:hAnsi="宋体" w:cs="宋体"/>
          <w:color w:val="auto"/>
          <w:szCs w:val="21"/>
          <w:highlight w:val="none"/>
        </w:rPr>
        <w:t>15.1  变更的范围和内容</w:t>
      </w:r>
      <w:bookmarkEnd w:id="202"/>
      <w:bookmarkEnd w:id="203"/>
    </w:p>
    <w:p w14:paraId="2CBE7AC4">
      <w:pPr>
        <w:spacing w:line="360" w:lineRule="auto"/>
        <w:ind w:firstLine="420" w:firstLineChars="200"/>
        <w:rPr>
          <w:rFonts w:hint="eastAsia" w:ascii="宋体" w:hAnsi="宋体" w:cs="宋体"/>
          <w:color w:val="auto"/>
          <w:szCs w:val="21"/>
          <w:highlight w:val="none"/>
        </w:rPr>
      </w:pPr>
      <w:bookmarkStart w:id="204" w:name="_Toc221951216"/>
      <w:r>
        <w:rPr>
          <w:rFonts w:hint="eastAsia" w:ascii="宋体" w:hAnsi="宋体" w:cs="宋体"/>
          <w:color w:val="auto"/>
          <w:szCs w:val="21"/>
          <w:highlight w:val="none"/>
        </w:rPr>
        <w:t>在履行合同中发生以下情形之一，应按照本条规定进行变更。</w:t>
      </w:r>
    </w:p>
    <w:p w14:paraId="2E59311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14:paraId="709D368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14:paraId="5A6641C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14:paraId="4D1677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14:paraId="13623D3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14:paraId="21A66DD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（6）勘察设计变更；</w:t>
      </w:r>
    </w:p>
    <w:p w14:paraId="6DE561D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14:paraId="6CA15D3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（8）项目管理人员变更；</w:t>
      </w:r>
    </w:p>
    <w:p w14:paraId="2A5BBA0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（9）因人工、原材料等价格变化导致的合同总价变更；</w:t>
      </w:r>
    </w:p>
    <w:p w14:paraId="42BB069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（10）非实施内容变化导致的工期变更；</w:t>
      </w:r>
    </w:p>
    <w:p w14:paraId="3B0D54D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0EE747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630C9BB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bookmarkEnd w:id="204"/>
    <w:p w14:paraId="18D01D9A">
      <w:pPr>
        <w:keepNext/>
        <w:keepLines/>
        <w:snapToGrid w:val="0"/>
        <w:spacing w:line="600" w:lineRule="exact"/>
        <w:ind w:firstLine="420" w:firstLineChars="200"/>
        <w:outlineLvl w:val="3"/>
        <w:rPr>
          <w:rFonts w:hint="eastAsia" w:ascii="宋体" w:hAnsi="宋体" w:cs="宋体"/>
          <w:color w:val="auto"/>
          <w:szCs w:val="21"/>
          <w:highlight w:val="none"/>
        </w:rPr>
      </w:pPr>
      <w:bookmarkStart w:id="205" w:name="_Toc33183755"/>
      <w:bookmarkStart w:id="206" w:name="_Toc221951218"/>
      <w:r>
        <w:rPr>
          <w:rFonts w:hint="eastAsia" w:ascii="宋体" w:hAnsi="宋体" w:cs="宋体"/>
          <w:color w:val="auto"/>
          <w:szCs w:val="21"/>
          <w:highlight w:val="none"/>
        </w:rPr>
        <w:t>15.2 变更权</w:t>
      </w:r>
      <w:bookmarkEnd w:id="205"/>
    </w:p>
    <w:p w14:paraId="37F4DC8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本款补充15.2.1、15.2.2项如下：</w:t>
      </w:r>
    </w:p>
    <w:p w14:paraId="72DF29C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15.2.1发包人和监理人提出变更</w:t>
      </w:r>
    </w:p>
    <w:p w14:paraId="15BA547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7BD6E38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涉及设计变更的，应由设计人提供变更后的图纸和说明，交由发包人同意后由监理人以书面形式发出。如变更超过原设计标准或批准的建设规模时，</w:t>
      </w:r>
      <w:r>
        <w:rPr>
          <w:rFonts w:hint="eastAsia" w:ascii="宋体" w:hAnsi="宋体"/>
          <w:color w:val="auto"/>
          <w:szCs w:val="21"/>
          <w:highlight w:val="none"/>
        </w:rPr>
        <w:t>由发包人及时办理规划、设计变更等审批手续。</w:t>
      </w:r>
    </w:p>
    <w:p w14:paraId="0507D513">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14:paraId="1F54B28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15.2.2 承包人提出变更建议</w:t>
      </w:r>
    </w:p>
    <w:p w14:paraId="719178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14:paraId="083FC8FF">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如果发包人对承包人已实施的施工项目在发出重大设计变更之前要求承包人提出一份建议，那么，承包人应尽快提出：</w:t>
      </w:r>
    </w:p>
    <w:p w14:paraId="4BAA057A">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（1）对所提方案和（或）待做工作及其实施计划的说明</w:t>
      </w:r>
      <w:r>
        <w:rPr>
          <w:rFonts w:hint="eastAsia" w:ascii="宋体" w:hAnsi="宋体" w:cs="宋体"/>
          <w:color w:val="auto"/>
          <w:kern w:val="0"/>
          <w:szCs w:val="21"/>
          <w:highlight w:val="none"/>
        </w:rPr>
        <w:t>；</w:t>
      </w:r>
    </w:p>
    <w:p w14:paraId="2524637B">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（2）承包人按照对工程进度计划进行必要修改的建议</w:t>
      </w:r>
      <w:r>
        <w:rPr>
          <w:rFonts w:hint="eastAsia" w:ascii="宋体" w:hAnsi="宋体" w:cs="宋体"/>
          <w:color w:val="auto"/>
          <w:kern w:val="0"/>
          <w:szCs w:val="21"/>
          <w:highlight w:val="none"/>
        </w:rPr>
        <w:t>；</w:t>
      </w:r>
    </w:p>
    <w:p w14:paraId="2B6EB4B5">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（3）承包人发生较大返工损失增加费用的建议</w:t>
      </w:r>
      <w:r>
        <w:rPr>
          <w:rFonts w:hint="eastAsia" w:ascii="宋体" w:hAnsi="宋体" w:cs="宋体"/>
          <w:color w:val="auto"/>
          <w:kern w:val="0"/>
          <w:szCs w:val="21"/>
          <w:highlight w:val="none"/>
        </w:rPr>
        <w:t>。</w:t>
      </w:r>
    </w:p>
    <w:p w14:paraId="2174C029">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发包人在收到上述建议书后，应尽快给予批准、否决或提出意见</w:t>
      </w:r>
      <w:r>
        <w:rPr>
          <w:rFonts w:hint="eastAsia" w:ascii="宋体" w:hAnsi="宋体" w:cs="宋体"/>
          <w:color w:val="auto"/>
          <w:kern w:val="0"/>
          <w:szCs w:val="21"/>
          <w:highlight w:val="none"/>
        </w:rPr>
        <w:t>。</w:t>
      </w:r>
    </w:p>
    <w:p w14:paraId="14CE5842">
      <w:pPr>
        <w:keepNext/>
        <w:keepLines/>
        <w:snapToGrid w:val="0"/>
        <w:spacing w:line="600" w:lineRule="exact"/>
        <w:ind w:firstLine="420" w:firstLineChars="200"/>
        <w:outlineLvl w:val="3"/>
        <w:rPr>
          <w:rFonts w:hint="eastAsia" w:ascii="宋体" w:hAnsi="宋体" w:cs="宋体"/>
          <w:color w:val="auto"/>
          <w:szCs w:val="21"/>
          <w:highlight w:val="none"/>
        </w:rPr>
      </w:pPr>
      <w:bookmarkStart w:id="207" w:name="_Toc33183756"/>
      <w:r>
        <w:rPr>
          <w:rFonts w:hint="eastAsia" w:ascii="宋体" w:hAnsi="宋体" w:cs="宋体"/>
          <w:color w:val="auto"/>
          <w:kern w:val="0"/>
          <w:szCs w:val="21"/>
          <w:highlight w:val="none"/>
        </w:rPr>
        <w:t>15.3 变更</w:t>
      </w:r>
      <w:r>
        <w:rPr>
          <w:rFonts w:hint="eastAsia" w:ascii="宋体" w:hAnsi="宋体" w:cs="宋体"/>
          <w:color w:val="auto"/>
          <w:szCs w:val="21"/>
          <w:highlight w:val="none"/>
        </w:rPr>
        <w:t>程序</w:t>
      </w:r>
      <w:bookmarkEnd w:id="207"/>
    </w:p>
    <w:p w14:paraId="57002D6C">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15.3.1 变更的提出</w:t>
      </w:r>
    </w:p>
    <w:p w14:paraId="44958F17">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本项补充（5）（6）目如下：</w:t>
      </w:r>
    </w:p>
    <w:p w14:paraId="671076F1">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（5）一般设计变更：承包人收到监理人下达的变更指示后，应按照监理人下达的变更指示执行，并书面说明实施该变更指示对合同价格和工期的影响，按照第15.4项〔变更的估价原则〕约定执行。</w:t>
      </w:r>
    </w:p>
    <w:p w14:paraId="501E729C">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（6）重大设计变更：需经设计人、监理人和发包人三方签字认可并报相关行业部门审查同意后实施。</w:t>
      </w:r>
    </w:p>
    <w:p w14:paraId="34345609">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本款补充15.3.4项如下：</w:t>
      </w:r>
    </w:p>
    <w:p w14:paraId="532E1235">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15.3.4 变更报批程序</w:t>
      </w:r>
    </w:p>
    <w:p w14:paraId="47163E2C">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4CAE3548">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（2）项目的勘察设计、实施内容等作较大变更的，应当按照规定的程序报原审批部门审批；变更导致总投资超概的，应当报原投资概算核定部门核定。</w:t>
      </w:r>
    </w:p>
    <w:p w14:paraId="45661F5E">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（3）项目管理人员变更的，应当经发包人领导班子集体决策同意，并将变更信息推送给行业主管部门。变更后的项目管理人员应当符合招标文件和行业主管部门的相关规定。</w:t>
      </w:r>
    </w:p>
    <w:p w14:paraId="438D2059">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（4）因人工、原材料市场价格发生大幅度变化导致的合同总价变更，由发包人与承包人按照合同进行变更，并将变更信息推送给行业主管部门。</w:t>
      </w:r>
    </w:p>
    <w:p w14:paraId="3309F8E0">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（5）项目实施内容无变更，因不可抗力导致的工期变更，由发包人领导班子集体决策同意，并将变更信息推送给行业主管部门；因项目实施内容变更导致的工期变更，与项目实施内容变更一并办理。</w:t>
      </w:r>
    </w:p>
    <w:p w14:paraId="5A186D77">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（6）项目合同变更后，增加的实施内容达到依法必须招标的规模标准的，增加的部分按重庆市有关规定执行。</w:t>
      </w:r>
    </w:p>
    <w:p w14:paraId="128EA091">
      <w:pPr>
        <w:keepNext/>
        <w:keepLines/>
        <w:snapToGrid w:val="0"/>
        <w:spacing w:line="600" w:lineRule="exact"/>
        <w:ind w:firstLine="420" w:firstLineChars="200"/>
        <w:outlineLvl w:val="3"/>
        <w:rPr>
          <w:rFonts w:hint="eastAsia" w:ascii="宋体" w:hAnsi="宋体" w:cs="宋体"/>
          <w:color w:val="auto"/>
          <w:szCs w:val="21"/>
          <w:highlight w:val="none"/>
        </w:rPr>
      </w:pPr>
      <w:bookmarkStart w:id="208" w:name="_Toc33183757"/>
      <w:r>
        <w:rPr>
          <w:rFonts w:hint="eastAsia" w:ascii="宋体" w:hAnsi="宋体" w:cs="宋体"/>
          <w:color w:val="auto"/>
          <w:szCs w:val="21"/>
          <w:highlight w:val="none"/>
        </w:rPr>
        <w:t>15.4 变更的估价原则</w:t>
      </w:r>
      <w:bookmarkEnd w:id="208"/>
    </w:p>
    <w:p w14:paraId="1C01A8E8">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当发生工程变更时，工程量</w:t>
      </w:r>
      <w:r>
        <w:rPr>
          <w:rFonts w:hint="eastAsia" w:ascii="宋体" w:hAnsi="宋体" w:cs="宋体"/>
          <w:color w:val="auto"/>
          <w:kern w:val="0"/>
          <w:szCs w:val="21"/>
          <w:highlight w:val="none"/>
          <w:u w:val="single"/>
        </w:rPr>
        <w:t>按《水利水电工程设计工程量计算规定》（SL 328-2005）、《重庆市水利工程设计概（估）算编制规定》（2011年版）、《重庆市水利建筑工程预算定额》（2005版）、《重庆市水利工程施工机械台时费定额》等配套文件</w:t>
      </w:r>
      <w:r>
        <w:rPr>
          <w:rFonts w:hint="eastAsia" w:ascii="宋体" w:hAnsi="宋体" w:cs="宋体"/>
          <w:color w:val="auto"/>
          <w:kern w:val="0"/>
          <w:szCs w:val="21"/>
          <w:highlight w:val="none"/>
        </w:rPr>
        <w:t>规定的计算规则及已标价工程量清单规定的工程量计算规则计量，按以下办法计价：</w:t>
      </w:r>
    </w:p>
    <w:p w14:paraId="3239029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15.4.1已标价工程量清单中有相同项目的，按照相同项目单价计算；</w:t>
      </w:r>
    </w:p>
    <w:p w14:paraId="707882B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15.4.2已标价工程量清单中有类似项目的，参考类似项目单价计算；</w:t>
      </w:r>
    </w:p>
    <w:p w14:paraId="7558AB9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15.4.3已标价工程量清单中无相同项目亦无类似项目的，按以下定额组价后</w:t>
      </w:r>
      <w:r>
        <w:rPr>
          <w:rFonts w:hint="eastAsia" w:ascii="宋体" w:hAnsi="宋体" w:cs="宋体"/>
          <w:color w:val="auto"/>
          <w:kern w:val="0"/>
          <w:szCs w:val="21"/>
          <w:highlight w:val="none"/>
          <w:u w:val="single"/>
        </w:rPr>
        <w:t>按承包人投标总报价</w:t>
      </w:r>
      <w:r>
        <w:rPr>
          <w:rFonts w:hint="eastAsia" w:ascii="宋体" w:hAnsi="宋体" w:cs="宋体"/>
          <w:color w:val="auto"/>
          <w:szCs w:val="21"/>
          <w:highlight w:val="none"/>
          <w:u w:val="single"/>
        </w:rPr>
        <w:t>与招标控制价的下浮比例同比例下浮</w:t>
      </w:r>
      <w:r>
        <w:rPr>
          <w:rFonts w:hint="eastAsia" w:ascii="宋体" w:hAnsi="宋体" w:cs="宋体"/>
          <w:color w:val="auto"/>
          <w:kern w:val="0"/>
          <w:szCs w:val="21"/>
          <w:highlight w:val="none"/>
          <w:u w:val="single"/>
        </w:rPr>
        <w:t>（税前）</w:t>
      </w:r>
      <w:r>
        <w:rPr>
          <w:rFonts w:hint="eastAsia" w:ascii="宋体" w:hAnsi="宋体" w:cs="宋体"/>
          <w:color w:val="auto"/>
          <w:kern w:val="0"/>
          <w:szCs w:val="21"/>
          <w:highlight w:val="none"/>
        </w:rPr>
        <w:t>：</w:t>
      </w:r>
    </w:p>
    <w:p w14:paraId="48F9B46B">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2011年重庆市水利局（渝水基[2011]97号文）颁发的《重庆市水利工程设计概（估）算编制规定》，渝水〔2016〕151号《关于水利工程营业税改增值税后计价依据调整的通知》，渝水〔2018〕31号《关于适用增值税新税率调整水利工程计价依据的通知》、渝水（2019）55号《关于重新调整水利工程和水土保持工程计价依据中增值税税率的通知》及相关配套文件。建筑工程主要采用渝水基[2005]56号文颁发的《重庆市水利建筑工程预算定额》；施工机械台班费采用渝水基[2005]56号文颁发的《重庆市水利工程施工机械台时费定额》；安装工程采用渝水基[2008]31号文颁发的《重庆市中小型水利水电设备安装工程预算定额》</w:t>
      </w:r>
    </w:p>
    <w:p w14:paraId="0E892F83">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以上定额缺项的，参照</w:t>
      </w:r>
      <w:r>
        <w:rPr>
          <w:rFonts w:hint="eastAsia" w:ascii="宋体" w:hAnsi="宋体" w:cs="宋体"/>
          <w:color w:val="auto"/>
          <w:kern w:val="0"/>
          <w:szCs w:val="21"/>
          <w:highlight w:val="none"/>
          <w:u w:val="single"/>
        </w:rPr>
        <w:t>（一）如果《重庆市水利建筑工程预算定额》（2005版）及其配套定额、文件没有适用于变更（新增）项目单价编制的定额子目，可借用全国水利定额、水利电力定额、其他省、市及自治区的水利定额的定额消耗量，人、材、机预算单价需严格按《重庆市水利工程施工机械台时费定额》、《重庆市水利工程设计概（估）算编制规定》（2011年版）和重庆市水利工程造价管理站发布的《关于公布重庆市水利工程人工费价格信息的通知》及其他配套文件编制执行。</w:t>
      </w:r>
    </w:p>
    <w:p w14:paraId="0453FC92">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（二）如果《2005年重庆市水利定额》及其他《水利定额》和配套的定额、文件均没有适用于变更（新增）项目单价编制的定额子目，由承包人报建设单位同意后，可借用重庆市2018定额及相关配套文件编制执行。</w:t>
      </w:r>
    </w:p>
    <w:p w14:paraId="2635C670">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三）变更（新增）项目中涉及的主要材料、设备及未计价材料、设备部分预算单价的确定，在确定技术标准、质量要求后，原则上由建设单位组织项目承建方、监理方及相关主管部门，在不设条件的情况下进行不少于三家供应商的市场询价调研，最终以单项材料、设备的最低价（不含税价）加运杂费、采管费后，作为变更（新增）项目的主要材料、设备及未计价材料、设备部分的预算单价。</w:t>
      </w:r>
    </w:p>
    <w:p w14:paraId="0C22A9B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（四）变更（新增）项目中涉及的次要材料、设备部分预算单价的确定，按变更（新增）项目实施当月《重庆工程造价信息》发布的指导价格执行</w:t>
      </w:r>
      <w:r>
        <w:rPr>
          <w:rFonts w:hint="eastAsia" w:ascii="宋体" w:hAnsi="宋体" w:cs="宋体"/>
          <w:color w:val="auto"/>
          <w:kern w:val="0"/>
          <w:szCs w:val="21"/>
          <w:highlight w:val="none"/>
        </w:rPr>
        <w:t>。</w:t>
      </w:r>
    </w:p>
    <w:p w14:paraId="5D219AD9">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承包人报价下浮比例按下列公式计算：承包人报价下浮比例=（1-中标价/招标控制价）×100%。</w:t>
      </w:r>
    </w:p>
    <w:p w14:paraId="62C9858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（1）人工单价：</w:t>
      </w:r>
      <w:r>
        <w:rPr>
          <w:rFonts w:hint="eastAsia" w:ascii="宋体" w:hAnsi="宋体"/>
          <w:color w:val="auto"/>
          <w:szCs w:val="21"/>
          <w:highlight w:val="none"/>
          <w:u w:val="single"/>
        </w:rPr>
        <w:t>按开标当期重庆市水利局及其授权的工程造价管理机构发布的项目所在地的人工单价执行。</w:t>
      </w:r>
    </w:p>
    <w:p w14:paraId="7D71C45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（2）材料单价：</w:t>
      </w:r>
    </w:p>
    <w:p w14:paraId="4A84F21D">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①按开标当期《重庆工程造价信息》发布的项目所在地的信息价执行；</w:t>
      </w:r>
    </w:p>
    <w:p w14:paraId="0ABEC9FB">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②开标当期《重庆工程造价信息》中没有的，承包人投标报价中有的，按承包人投标报价中相同材料单价的最低值执行；</w:t>
      </w:r>
    </w:p>
    <w:p w14:paraId="632A2318">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③开标当期《重庆工程造价信息》和承包人投标报价没有的，由承包人申报、监理人会同跟审单位、发包人根据市场行情认质核价确定。</w:t>
      </w:r>
    </w:p>
    <w:p w14:paraId="158B814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本款补充15.4.4、15.4.5项如下：</w:t>
      </w:r>
    </w:p>
    <w:p w14:paraId="2CE47AB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15.4.4</w:t>
      </w:r>
      <w:r>
        <w:rPr>
          <w:rFonts w:hint="eastAsia" w:ascii="宋体" w:hAnsi="宋体" w:cs="宋体"/>
          <w:color w:val="auto"/>
          <w:kern w:val="0"/>
          <w:szCs w:val="21"/>
          <w:highlight w:val="none"/>
          <w:u w:val="single"/>
        </w:rPr>
        <w:t>已标价工程量清单中无相同项目亦无类似项目，也无定额可套用的，由承包人会同监理人、跟审单位、发包人按相关原则、编制方法编制补充，或参照重庆市场相同工作的市场价格上报监理人，最终价格按承包人、监理人、跟审单位、发包人共同询价确认的价格执行。</w:t>
      </w:r>
    </w:p>
    <w:p w14:paraId="639EF9D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15.4.5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14:paraId="14357090">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（1）安全生产费应按照实际发生变化的工程项目依据按照重庆市水利局、重庆市财政局、重庆市发展和改革委员会、</w:t>
      </w:r>
      <w:r>
        <w:rPr>
          <w:rFonts w:hint="eastAsia" w:ascii="宋体" w:hAnsi="宋体" w:cs="宋体"/>
          <w:color w:val="auto"/>
          <w:kern w:val="0"/>
          <w:szCs w:val="21"/>
          <w:highlight w:val="none"/>
          <w:u w:val="single"/>
          <w:lang w:eastAsia="zh-CN"/>
        </w:rPr>
        <w:t>重庆市规划和自然资源局重庆市财政局关于印发《重庆市土地开发整理项目预算定额标准》的通知（渝规资〔2023〕433 号）的规定</w:t>
      </w:r>
      <w:r>
        <w:rPr>
          <w:rFonts w:hint="eastAsia" w:ascii="宋体" w:hAnsi="宋体" w:cs="宋体"/>
          <w:color w:val="auto"/>
          <w:kern w:val="0"/>
          <w:szCs w:val="21"/>
          <w:highlight w:val="none"/>
          <w:u w:val="single"/>
        </w:rPr>
        <w:t>要求，按变更后建筑安装工程项目总造价的</w:t>
      </w:r>
      <w:r>
        <w:rPr>
          <w:rFonts w:hint="eastAsia" w:ascii="宋体" w:hAnsi="宋体" w:cs="宋体"/>
          <w:color w:val="auto"/>
          <w:kern w:val="0"/>
          <w:szCs w:val="21"/>
          <w:highlight w:val="none"/>
          <w:u w:val="single"/>
          <w:lang w:eastAsia="zh-CN"/>
        </w:rPr>
        <w:t>1.35%</w:t>
      </w:r>
      <w:r>
        <w:rPr>
          <w:rFonts w:hint="eastAsia" w:ascii="宋体" w:hAnsi="宋体" w:cs="宋体"/>
          <w:color w:val="auto"/>
          <w:kern w:val="0"/>
          <w:szCs w:val="21"/>
          <w:highlight w:val="none"/>
          <w:u w:val="single"/>
        </w:rPr>
        <w:t>标准计提安全生产费用；</w:t>
      </w:r>
    </w:p>
    <w:p w14:paraId="7FBA20A3">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（2）按总价（或系数）计算的临时工程费，应按照实际发生变化的临时工程费按承包人报价浮动率下浮后的金额计算；</w:t>
      </w:r>
    </w:p>
    <w:p w14:paraId="3E6A232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（3）如果承包人未事前将拟实施的方案提交给发包人确认，则应视为工程变更不引起安全生产费和临时工程费的调整或承包人放弃调整该项费用的权利。</w:t>
      </w:r>
    </w:p>
    <w:p w14:paraId="4E09B02B">
      <w:pPr>
        <w:keepNext/>
        <w:keepLines/>
        <w:snapToGrid w:val="0"/>
        <w:spacing w:line="600" w:lineRule="exact"/>
        <w:ind w:firstLine="420" w:firstLineChars="200"/>
        <w:outlineLvl w:val="3"/>
        <w:rPr>
          <w:rFonts w:hint="eastAsia" w:ascii="宋体" w:hAnsi="宋体" w:cs="宋体"/>
          <w:color w:val="auto"/>
          <w:szCs w:val="21"/>
          <w:highlight w:val="none"/>
        </w:rPr>
      </w:pPr>
      <w:bookmarkStart w:id="209" w:name="_Toc33183758"/>
      <w:r>
        <w:rPr>
          <w:rFonts w:hint="eastAsia" w:ascii="宋体" w:hAnsi="宋体" w:cs="宋体"/>
          <w:color w:val="auto"/>
          <w:szCs w:val="21"/>
          <w:highlight w:val="none"/>
        </w:rPr>
        <w:t>15.5承包人的合理化建议</w:t>
      </w:r>
      <w:bookmarkEnd w:id="209"/>
    </w:p>
    <w:p w14:paraId="47A5F005">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15.5.1 </w:t>
      </w:r>
      <w:r>
        <w:rPr>
          <w:rFonts w:hint="eastAsia" w:ascii="宋体" w:hAnsi="宋体" w:cs="宋体"/>
          <w:color w:val="auto"/>
          <w:kern w:val="0"/>
          <w:szCs w:val="21"/>
          <w:highlight w:val="none"/>
        </w:rPr>
        <w:t>承包人提出合理化建议的，应向监理人提交合理化建议说明，说明建议的内容和理由，以及实施该建议对合同价格和（或）工期和（或）工程经济效益的影响。</w:t>
      </w:r>
    </w:p>
    <w:p w14:paraId="5AB6062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监理人审查承包人合理化建议的期限：</w:t>
      </w:r>
      <w:r>
        <w:rPr>
          <w:rFonts w:hint="eastAsia" w:ascii="宋体" w:hAnsi="宋体" w:cs="宋体"/>
          <w:color w:val="auto"/>
          <w:kern w:val="0"/>
          <w:szCs w:val="21"/>
          <w:highlight w:val="none"/>
          <w:u w:val="single"/>
        </w:rPr>
        <w:t>不超过14天</w:t>
      </w:r>
      <w:r>
        <w:rPr>
          <w:rFonts w:hint="eastAsia" w:ascii="宋体" w:hAnsi="宋体" w:cs="宋体"/>
          <w:color w:val="auto"/>
          <w:kern w:val="0"/>
          <w:szCs w:val="21"/>
          <w:highlight w:val="none"/>
        </w:rPr>
        <w:t>。</w:t>
      </w:r>
    </w:p>
    <w:p w14:paraId="5D00F6C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发包人审批承包人合理化建议的期限：</w:t>
      </w:r>
      <w:r>
        <w:rPr>
          <w:rFonts w:hint="eastAsia" w:ascii="宋体" w:hAnsi="宋体" w:cs="宋体"/>
          <w:color w:val="auto"/>
          <w:kern w:val="0"/>
          <w:szCs w:val="21"/>
          <w:highlight w:val="none"/>
          <w:u w:val="single"/>
        </w:rPr>
        <w:t>不超过14天</w:t>
      </w:r>
      <w:r>
        <w:rPr>
          <w:rFonts w:hint="eastAsia" w:ascii="宋体" w:hAnsi="宋体" w:cs="宋体"/>
          <w:color w:val="auto"/>
          <w:kern w:val="0"/>
          <w:szCs w:val="21"/>
          <w:highlight w:val="none"/>
        </w:rPr>
        <w:t>。</w:t>
      </w:r>
    </w:p>
    <w:p w14:paraId="169AC089">
      <w:pPr>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 xml:space="preserve">15.5.2 </w:t>
      </w:r>
      <w:bookmarkEnd w:id="206"/>
      <w:bookmarkStart w:id="210" w:name="_Toc221951219"/>
      <w:r>
        <w:rPr>
          <w:rFonts w:hint="eastAsia" w:ascii="宋体" w:hAnsi="宋体" w:cs="宋体"/>
          <w:color w:val="auto"/>
          <w:kern w:val="0"/>
          <w:szCs w:val="21"/>
          <w:highlight w:val="none"/>
        </w:rPr>
        <w:t>承包人提出的合理化建议降低了合同价格或缩短了工期或者提高了工程经济效益的奖励的方法和金额为：</w:t>
      </w:r>
      <w:r>
        <w:rPr>
          <w:rFonts w:hint="eastAsia" w:ascii="宋体" w:hAnsi="宋体" w:cs="宋体"/>
          <w:color w:val="auto"/>
          <w:kern w:val="0"/>
          <w:szCs w:val="21"/>
          <w:highlight w:val="none"/>
          <w:u w:val="single"/>
        </w:rPr>
        <w:t>合理化建议带来经济效益的5～10 %</w:t>
      </w:r>
      <w:r>
        <w:rPr>
          <w:rFonts w:hint="eastAsia" w:ascii="宋体" w:hAnsi="宋体" w:cs="宋体"/>
          <w:color w:val="auto"/>
          <w:kern w:val="0"/>
          <w:szCs w:val="21"/>
          <w:highlight w:val="none"/>
        </w:rPr>
        <w:t>。</w:t>
      </w:r>
    </w:p>
    <w:bookmarkEnd w:id="210"/>
    <w:p w14:paraId="5F0384D4">
      <w:pPr>
        <w:keepNext/>
        <w:keepLines/>
        <w:snapToGrid w:val="0"/>
        <w:spacing w:line="600" w:lineRule="exact"/>
        <w:ind w:firstLine="420" w:firstLineChars="200"/>
        <w:outlineLvl w:val="3"/>
        <w:rPr>
          <w:rFonts w:hint="eastAsia" w:ascii="宋体" w:hAnsi="宋体" w:cs="宋体"/>
          <w:color w:val="auto"/>
          <w:szCs w:val="21"/>
          <w:highlight w:val="none"/>
        </w:rPr>
      </w:pPr>
      <w:bookmarkStart w:id="211" w:name="_Toc221951221"/>
      <w:r>
        <w:rPr>
          <w:rFonts w:hint="eastAsia" w:ascii="宋体" w:hAnsi="宋体" w:cs="宋体"/>
          <w:color w:val="auto"/>
          <w:szCs w:val="21"/>
          <w:highlight w:val="none"/>
        </w:rPr>
        <w:t>15.6暂列金额</w:t>
      </w:r>
    </w:p>
    <w:p w14:paraId="0B3E643E">
      <w:pPr>
        <w:pStyle w:val="2"/>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7309630">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15.8  暂估价</w:t>
      </w:r>
      <w:bookmarkEnd w:id="211"/>
    </w:p>
    <w:p w14:paraId="5FCBD7FC">
      <w:pPr>
        <w:spacing w:line="360" w:lineRule="auto"/>
        <w:ind w:firstLine="420" w:firstLineChars="200"/>
        <w:jc w:val="left"/>
        <w:rPr>
          <w:rFonts w:hint="eastAsia" w:ascii="宋体" w:hAnsi="宋体" w:cs="宋体"/>
          <w:color w:val="auto"/>
          <w:kern w:val="0"/>
          <w:szCs w:val="21"/>
          <w:highlight w:val="none"/>
        </w:rPr>
      </w:pPr>
      <w:bookmarkStart w:id="212" w:name="_Toc221951222"/>
      <w:r>
        <w:rPr>
          <w:rFonts w:hint="eastAsia" w:ascii="宋体" w:hAnsi="宋体" w:cs="宋体"/>
          <w:color w:val="auto"/>
          <w:kern w:val="0"/>
          <w:szCs w:val="21"/>
          <w:highlight w:val="none"/>
        </w:rPr>
        <w:t>15.8.1（1）发包人和承包人组织招标的暂估价项目：</w:t>
      </w:r>
      <w:r>
        <w:rPr>
          <w:rFonts w:hint="eastAsia" w:ascii="宋体" w:hAnsi="宋体" w:cs="宋体"/>
          <w:color w:val="auto"/>
          <w:kern w:val="0"/>
          <w:szCs w:val="21"/>
          <w:highlight w:val="none"/>
          <w:u w:val="single"/>
        </w:rPr>
        <w:t xml:space="preserve">  （签约后填入）  </w:t>
      </w:r>
      <w:r>
        <w:rPr>
          <w:rFonts w:hint="eastAsia" w:ascii="宋体" w:hAnsi="宋体" w:cs="宋体"/>
          <w:color w:val="auto"/>
          <w:kern w:val="0"/>
          <w:szCs w:val="21"/>
          <w:highlight w:val="none"/>
        </w:rPr>
        <w:t>；发包人组织招标的暂估价项目：</w:t>
      </w:r>
      <w:r>
        <w:rPr>
          <w:rFonts w:hint="eastAsia" w:ascii="宋体" w:hAnsi="宋体" w:cs="宋体"/>
          <w:color w:val="auto"/>
          <w:kern w:val="0"/>
          <w:szCs w:val="21"/>
          <w:highlight w:val="none"/>
          <w:u w:val="single"/>
        </w:rPr>
        <w:t xml:space="preserve">   （签约后填入）  </w:t>
      </w:r>
      <w:r>
        <w:rPr>
          <w:rFonts w:hint="eastAsia" w:ascii="宋体" w:hAnsi="宋体" w:cs="宋体"/>
          <w:color w:val="auto"/>
          <w:kern w:val="0"/>
          <w:szCs w:val="21"/>
          <w:highlight w:val="none"/>
        </w:rPr>
        <w:t>。</w:t>
      </w:r>
    </w:p>
    <w:p w14:paraId="1086914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（2）发包人和承包人以招标方式选择暂估价项目供应商或分包人时，双方的权利义务关系：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69A3BDB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14:paraId="5CF0098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单项合同暂估价在国家相关法律法规规定必须招标规模以上的，需依法必须招标的，由承包人、发包人共同招标确定。</w:t>
      </w:r>
    </w:p>
    <w:bookmarkEnd w:id="212"/>
    <w:p w14:paraId="2230C651">
      <w:pPr>
        <w:pStyle w:val="5"/>
        <w:spacing w:line="360" w:lineRule="auto"/>
        <w:rPr>
          <w:rFonts w:hint="eastAsia" w:ascii="宋体" w:hAnsi="宋体" w:cs="宋体"/>
          <w:color w:val="auto"/>
          <w:sz w:val="21"/>
          <w:szCs w:val="21"/>
          <w:highlight w:val="none"/>
        </w:rPr>
      </w:pPr>
      <w:bookmarkStart w:id="213" w:name="_Toc229305397"/>
      <w:bookmarkStart w:id="214" w:name="_Toc59810419"/>
      <w:bookmarkStart w:id="215" w:name="_Toc33183759"/>
      <w:r>
        <w:rPr>
          <w:rFonts w:hint="eastAsia" w:ascii="宋体" w:hAnsi="宋体" w:cs="宋体"/>
          <w:color w:val="auto"/>
          <w:sz w:val="21"/>
          <w:szCs w:val="21"/>
          <w:highlight w:val="none"/>
        </w:rPr>
        <w:t>16.价格调整</w:t>
      </w:r>
      <w:bookmarkEnd w:id="213"/>
      <w:bookmarkEnd w:id="214"/>
      <w:bookmarkEnd w:id="215"/>
    </w:p>
    <w:p w14:paraId="7B84978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物价波动原因是否调整合同价格的约定：</w:t>
      </w:r>
      <w:r>
        <w:rPr>
          <w:rFonts w:hint="eastAsia" w:ascii="宋体" w:hAnsi="宋体" w:cs="宋体"/>
          <w:color w:val="auto"/>
          <w:kern w:val="0"/>
          <w:szCs w:val="21"/>
          <w:highlight w:val="none"/>
          <w:u w:val="single"/>
        </w:rPr>
        <w:t>合同工期一年以上（含一年），且市场价格波动幅度符合第16.1.2.1目〔人工费价差调整办法〕和（或）第16.1.2.2目〔材料费价差调整办法〕约定的，按第16.1.2.1目〔人工费价差调整办法〕和（或）第16.1.2.2目〔材料费价差调整办法〕约定调整合同价格；第16.1.2.1目〔人工费价差调整办法〕和（或）第16.1.2.2目〔材料费价差调整办法〕约定的调差条件之外的市场价格波动风险不调整合同价格，风险费用由承包人自行考虑后纳入签约合同价格中，包干使用</w:t>
      </w:r>
      <w:r>
        <w:rPr>
          <w:rFonts w:hint="eastAsia" w:ascii="宋体" w:hAnsi="宋体" w:cs="宋体"/>
          <w:color w:val="auto"/>
          <w:kern w:val="0"/>
          <w:szCs w:val="21"/>
          <w:highlight w:val="none"/>
        </w:rPr>
        <w:t>。</w:t>
      </w:r>
    </w:p>
    <w:p w14:paraId="694ADBD6">
      <w:pPr>
        <w:keepNext/>
        <w:keepLines/>
        <w:snapToGrid w:val="0"/>
        <w:spacing w:line="600" w:lineRule="exact"/>
        <w:ind w:firstLine="420" w:firstLineChars="200"/>
        <w:outlineLvl w:val="3"/>
        <w:rPr>
          <w:rFonts w:hint="eastAsia" w:ascii="宋体" w:hAnsi="宋体" w:cs="宋体"/>
          <w:color w:val="auto"/>
          <w:szCs w:val="21"/>
          <w:highlight w:val="none"/>
        </w:rPr>
      </w:pPr>
      <w:bookmarkStart w:id="216" w:name="_Toc33183760"/>
      <w:r>
        <w:rPr>
          <w:rFonts w:hint="eastAsia" w:ascii="宋体" w:hAnsi="宋体" w:cs="宋体"/>
          <w:color w:val="auto"/>
          <w:szCs w:val="21"/>
          <w:highlight w:val="none"/>
        </w:rPr>
        <w:t>16.1 物价波动引起的价格调整</w:t>
      </w:r>
      <w:bookmarkEnd w:id="216"/>
    </w:p>
    <w:p w14:paraId="4CDFD22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物价波动引起的价格调整方式：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3BB7E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16.1.1</w:t>
      </w:r>
      <w:r>
        <w:rPr>
          <w:rFonts w:hint="eastAsia" w:ascii="宋体" w:hAnsi="宋体" w:cs="宋体"/>
          <w:color w:val="auto"/>
          <w:kern w:val="0"/>
          <w:szCs w:val="21"/>
          <w:highlight w:val="none"/>
          <w:u w:val="single"/>
        </w:rPr>
        <w:t>采用价格指数进行价格调整</w:t>
      </w:r>
    </w:p>
    <w:p w14:paraId="77053DD3">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关于各可调因子、定值和变值权重，以及基本价格指数及其来源的约定：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6308EB0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16.1.2  采用造价信息调整价格差额</w:t>
      </w:r>
      <w:r>
        <w:rPr>
          <w:rFonts w:hint="eastAsia" w:ascii="宋体" w:hAnsi="宋体" w:cs="宋体"/>
          <w:color w:val="auto"/>
          <w:kern w:val="0"/>
          <w:szCs w:val="21"/>
          <w:highlight w:val="none"/>
        </w:rPr>
        <w:t>，调整方法如下</w:t>
      </w:r>
      <w:r>
        <w:rPr>
          <w:rFonts w:hint="eastAsia" w:ascii="宋体" w:hAnsi="宋体" w:cs="宋体"/>
          <w:color w:val="auto"/>
          <w:szCs w:val="21"/>
          <w:highlight w:val="none"/>
        </w:rPr>
        <w:t>：</w:t>
      </w:r>
    </w:p>
    <w:p w14:paraId="765B509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16.1.2.1人工费价差调整办法</w:t>
      </w:r>
    </w:p>
    <w:p w14:paraId="4D318583">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（1）自实际开工时间起至合同约定的工期结束时间止，施工期间</w:t>
      </w:r>
      <w:r>
        <w:rPr>
          <w:rFonts w:hint="eastAsia" w:ascii="宋体" w:hAnsi="宋体" w:cs="宋体"/>
          <w:color w:val="auto"/>
          <w:szCs w:val="21"/>
          <w:highlight w:val="none"/>
          <w:u w:val="single"/>
        </w:rPr>
        <w:t>按重庆市水利局或其授权的工程造价管理机构</w:t>
      </w:r>
      <w:r>
        <w:rPr>
          <w:rFonts w:hint="eastAsia" w:ascii="宋体" w:hAnsi="宋体" w:cs="宋体"/>
          <w:color w:val="auto"/>
          <w:kern w:val="0"/>
          <w:szCs w:val="21"/>
          <w:highlight w:val="none"/>
          <w:u w:val="single"/>
        </w:rPr>
        <w:t>发布对应专业人工单价的算术平均值较</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发布的对应专业人工单价变化超过±5%时</w:t>
      </w:r>
      <w:r>
        <w:rPr>
          <w:rFonts w:hint="eastAsia" w:ascii="宋体" w:hAnsi="宋体" w:cs="宋体"/>
          <w:color w:val="auto"/>
          <w:kern w:val="0"/>
          <w:szCs w:val="21"/>
          <w:highlight w:val="none"/>
        </w:rPr>
        <w:t>，按以下约定调整：</w:t>
      </w:r>
    </w:p>
    <w:p w14:paraId="394B09AA">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①已标价工程量清单中载明人工单价不高于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对应专业发布的人工单价的：按期间对应专业发布的人工单价的算术平均值-</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对应专业发布的人工单价*（1±5%）调差。</w:t>
      </w:r>
    </w:p>
    <w:p w14:paraId="67FD56BE">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②已标价工程量清单中载明人工单价高于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对应专业发布的人工单价的，按期间对应专业发布人工单价的算术平均值-已标价工程量清单中载明人工单价*（1±5%）调差。</w:t>
      </w:r>
    </w:p>
    <w:p w14:paraId="0A3BE3AB">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工程量按照第17〔计量与支付〕约定计算，单位工程的人工消耗量按承包人投标报价的消耗量执行（承包人投标报价的单位工程人工消耗量高于定额单位工程人工消耗量的，按相应行业定额的人工消耗量执行）。</w:t>
      </w:r>
    </w:p>
    <w:p w14:paraId="41CDEBCF">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16.1.2.2 材料费价差调整办法</w:t>
      </w:r>
    </w:p>
    <w:p w14:paraId="48B52900">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可调价差材料：</w:t>
      </w:r>
      <w:r>
        <w:rPr>
          <w:rFonts w:hint="eastAsia" w:ascii="宋体" w:hAnsi="宋体" w:cs="宋体"/>
          <w:color w:val="auto"/>
          <w:kern w:val="0"/>
          <w:szCs w:val="21"/>
          <w:highlight w:val="none"/>
          <w:u w:val="single"/>
        </w:rPr>
        <w:t>水泥、商品砼、碎石、砂、钢筋、型钢、条石、片（块）石、火工材料、止水材料、预应力钢绞线、沥青混凝土、水泥稳定碎石拌和料、预拌商品砂浆、砌筑材料等主要材料（可按工程使用的具体材料确定）</w:t>
      </w:r>
      <w:r>
        <w:rPr>
          <w:rFonts w:hint="eastAsia" w:ascii="宋体" w:hAnsi="宋体" w:cs="宋体"/>
          <w:color w:val="auto"/>
          <w:kern w:val="0"/>
          <w:szCs w:val="21"/>
          <w:highlight w:val="none"/>
        </w:rPr>
        <w:t>。</w:t>
      </w:r>
    </w:p>
    <w:p w14:paraId="7E52BF89">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可调价差材料的价差调整办法如下：</w:t>
      </w:r>
    </w:p>
    <w:p w14:paraId="11BFB949">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（1）自实际开工时间起至合同约定的工期结束时间止，期间《重庆工程造价信息》发布的信息价的算术平均值较</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w:t>
      </w:r>
      <w:r>
        <w:rPr>
          <w:rFonts w:hint="eastAsia" w:ascii="宋体" w:hAnsi="宋体"/>
          <w:color w:val="auto"/>
          <w:szCs w:val="21"/>
          <w:highlight w:val="none"/>
          <w:u w:val="single"/>
        </w:rPr>
        <w:t>信息价变化超过±5%</w:t>
      </w:r>
      <w:r>
        <w:rPr>
          <w:rFonts w:hint="eastAsia" w:ascii="宋体" w:hAnsi="宋体" w:cs="宋体"/>
          <w:color w:val="auto"/>
          <w:kern w:val="0"/>
          <w:szCs w:val="21"/>
          <w:highlight w:val="none"/>
        </w:rPr>
        <w:t>时，按以下约定调整：</w:t>
      </w:r>
    </w:p>
    <w:p w14:paraId="368343D9">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①已标价工程量清单中载明材料单价不高于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《重庆工程造价信息》发布的信息价的：按期间《重庆工程造价信息》发布信息价的算术平均值-</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w:t>
      </w:r>
      <w:r>
        <w:rPr>
          <w:rFonts w:hint="eastAsia" w:ascii="宋体" w:hAnsi="宋体" w:cs="宋体"/>
          <w:color w:val="auto"/>
          <w:kern w:val="0"/>
          <w:szCs w:val="21"/>
          <w:highlight w:val="none"/>
          <w:u w:val="single"/>
        </w:rPr>
        <w:t>信息价*</w:t>
      </w:r>
      <w:r>
        <w:rPr>
          <w:rFonts w:hint="eastAsia" w:ascii="宋体" w:hAnsi="宋体"/>
          <w:color w:val="auto"/>
          <w:szCs w:val="21"/>
          <w:highlight w:val="none"/>
          <w:u w:val="single"/>
        </w:rPr>
        <w:t>（1±5%）</w:t>
      </w:r>
      <w:r>
        <w:rPr>
          <w:rFonts w:hint="eastAsia" w:ascii="宋体" w:hAnsi="宋体" w:cs="宋体"/>
          <w:color w:val="auto"/>
          <w:kern w:val="0"/>
          <w:szCs w:val="21"/>
          <w:highlight w:val="none"/>
          <w:u w:val="single"/>
        </w:rPr>
        <w:t>调差</w:t>
      </w:r>
      <w:r>
        <w:rPr>
          <w:rFonts w:hint="eastAsia" w:ascii="宋体" w:hAnsi="宋体" w:cs="宋体"/>
          <w:color w:val="auto"/>
          <w:kern w:val="0"/>
          <w:szCs w:val="21"/>
          <w:highlight w:val="none"/>
        </w:rPr>
        <w:t>。</w:t>
      </w:r>
    </w:p>
    <w:p w14:paraId="41844327">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②已标价工程量清单中载明材料单价高于开标当期《重庆工程造价信息》发布的信息价的，按期间《重庆工程造价信息》发布信息价的算术平均值-已标价工程量清单中载明</w:t>
      </w:r>
      <w:r>
        <w:rPr>
          <w:rFonts w:hint="eastAsia" w:ascii="宋体" w:hAnsi="宋体" w:cs="宋体"/>
          <w:color w:val="auto"/>
          <w:kern w:val="0"/>
          <w:szCs w:val="21"/>
          <w:highlight w:val="none"/>
          <w:u w:val="single"/>
        </w:rPr>
        <w:t>材料单价*</w:t>
      </w:r>
      <w:r>
        <w:rPr>
          <w:rFonts w:hint="eastAsia" w:ascii="宋体" w:hAnsi="宋体"/>
          <w:color w:val="auto"/>
          <w:szCs w:val="21"/>
          <w:highlight w:val="none"/>
          <w:u w:val="single"/>
        </w:rPr>
        <w:t>（1±5%）</w:t>
      </w:r>
      <w:r>
        <w:rPr>
          <w:rFonts w:hint="eastAsia" w:ascii="宋体" w:hAnsi="宋体" w:cs="宋体"/>
          <w:color w:val="auto"/>
          <w:kern w:val="0"/>
          <w:szCs w:val="21"/>
          <w:highlight w:val="none"/>
          <w:u w:val="single"/>
        </w:rPr>
        <w:t>调差</w:t>
      </w:r>
      <w:r>
        <w:rPr>
          <w:rFonts w:hint="eastAsia" w:ascii="宋体" w:hAnsi="宋体" w:cs="宋体"/>
          <w:color w:val="auto"/>
          <w:kern w:val="0"/>
          <w:szCs w:val="21"/>
          <w:highlight w:val="none"/>
        </w:rPr>
        <w:t>。</w:t>
      </w:r>
    </w:p>
    <w:p w14:paraId="5B26CD20">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工程量按照第17〔计量与支付〕约定计算，单位工程的材料消耗量按承包人投标报价的消耗量执行（承包人投标报价的单位工程材料消耗量高于定额单位工程材料消耗量的，按相应行业定额的材料消耗量执行）。</w:t>
      </w:r>
    </w:p>
    <w:p w14:paraId="73A0EB6E">
      <w:pPr>
        <w:spacing w:line="360" w:lineRule="auto"/>
        <w:ind w:firstLine="64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第3种方式：其他价格调整方式：</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A30145F">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16.2 法律变化引起的调整</w:t>
      </w:r>
    </w:p>
    <w:p w14:paraId="1E81DCD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投标基准日后至完工验收之日，国家或相关行政主管部门发布直接影响项目的新法规、新政策、新文件、新标准，属强制执行的，自执行之日执行，由此增减的费用由发包人承担，估价照第15.4款〔变更的估价原则〕执行；属选择性执行的，发包人与承包人协商解决。</w:t>
      </w:r>
    </w:p>
    <w:p w14:paraId="775BE1C1">
      <w:pPr>
        <w:keepNext/>
        <w:keepLines/>
        <w:snapToGrid w:val="0"/>
        <w:spacing w:line="600" w:lineRule="exact"/>
        <w:ind w:firstLine="420" w:firstLineChars="200"/>
        <w:outlineLvl w:val="3"/>
        <w:rPr>
          <w:rFonts w:ascii="宋体" w:hAnsi="宋体" w:cs="宋体"/>
          <w:color w:val="auto"/>
          <w:szCs w:val="21"/>
          <w:highlight w:val="none"/>
        </w:rPr>
      </w:pPr>
      <w:r>
        <w:rPr>
          <w:rFonts w:hint="eastAsia" w:ascii="宋体" w:hAnsi="宋体" w:cs="宋体"/>
          <w:color w:val="auto"/>
          <w:szCs w:val="21"/>
          <w:highlight w:val="none"/>
        </w:rPr>
        <w:t>本条补充16.3款如下;</w:t>
      </w:r>
    </w:p>
    <w:p w14:paraId="714FF33A">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16.3 严重不平衡报价引起的调整</w:t>
      </w:r>
    </w:p>
    <w:p w14:paraId="16C7BE2E">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15.4.3项〔变更的估价原则〕约定执行。</w:t>
      </w:r>
    </w:p>
    <w:p w14:paraId="3C1B5323">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严重不平衡报价是指：清单子目综合单价与发包人按照第15.4.3项〔变更的估价原则〕目约定确定的综合单价相比高于50%的报价，即为“【严重不平衡报价清单子目综合单价 - 按照第15.4.3项〔变更的估价原则〕约定确定的综合单价】/按照第15.4.3项〔变更的估价原则〕目约定确定的综合单价×100%”。</w:t>
      </w:r>
    </w:p>
    <w:p w14:paraId="1B3DD116">
      <w:pPr>
        <w:pStyle w:val="2"/>
        <w:ind w:firstLine="420"/>
        <w:rPr>
          <w:rFonts w:hint="eastAsia"/>
          <w:color w:val="auto"/>
          <w:highlight w:val="none"/>
        </w:rPr>
      </w:pPr>
      <w:r>
        <w:rPr>
          <w:rFonts w:hint="eastAsia"/>
          <w:color w:val="auto"/>
          <w:highlight w:val="none"/>
        </w:rPr>
        <w:t>16.4 因算术性错误导致的价格调整</w:t>
      </w:r>
    </w:p>
    <w:p w14:paraId="590FF3DE">
      <w:pPr>
        <w:pStyle w:val="2"/>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发包人在合同签订前将对承包人“已标价工程量清单”进行复核，若出现差错的按以下原则进行处理（或结算）：</w:t>
      </w:r>
    </w:p>
    <w:p w14:paraId="710BD47A">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分部分项工程量清单报价计算结果与投标函总报价不一致时，按就低不就高原则进行修正，即：高于投标函总报价则以投标函总报价为准，按降低幅度同比例修正分项报价(或单价)；低于投标函总报价则以分部分项工程量清单报价计算结果为准进行签约或结算；</w:t>
      </w:r>
    </w:p>
    <w:p w14:paraId="04AEBAA3">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（2）依据单价和数量计算结果与合价不符的，按不利于投标人原则（就低不就高）以合价修正单价。</w:t>
      </w:r>
    </w:p>
    <w:p w14:paraId="7A93E339">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（3）单价报价超过工程量清单综合单价最高限价的，以工程量清单综合单价最高限价为基础，按照中标总报价与总价最高限价的下浮比例进行同比例下调。</w:t>
      </w:r>
    </w:p>
    <w:p w14:paraId="5354883E">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（4）工程量清单内容漏项的，按该项单价为0修正（即视为该项工作内容的报价已包括在其他项目报价内），超出范围的清单项目不予认可。</w:t>
      </w:r>
    </w:p>
    <w:p w14:paraId="0E7E0E5E">
      <w:pPr>
        <w:pStyle w:val="2"/>
        <w:spacing w:after="0" w:line="400" w:lineRule="exact"/>
        <w:ind w:firstLine="420" w:firstLineChars="200"/>
        <w:rPr>
          <w:rFonts w:hint="eastAsia"/>
          <w:color w:val="auto"/>
          <w:highlight w:val="none"/>
        </w:rPr>
      </w:pPr>
      <w:r>
        <w:rPr>
          <w:rFonts w:hint="eastAsia" w:ascii="宋体" w:hAnsi="宋体" w:cs="宋体"/>
          <w:color w:val="auto"/>
          <w:szCs w:val="21"/>
          <w:highlight w:val="none"/>
        </w:rPr>
        <w:t>上述内容，承包人必须无条件接受，否则按承包人违约处理。</w:t>
      </w:r>
    </w:p>
    <w:p w14:paraId="33B56E95">
      <w:pPr>
        <w:pStyle w:val="5"/>
        <w:spacing w:line="360" w:lineRule="auto"/>
        <w:rPr>
          <w:rFonts w:hint="eastAsia" w:ascii="宋体" w:hAnsi="宋体" w:cs="宋体"/>
          <w:color w:val="auto"/>
          <w:sz w:val="21"/>
          <w:szCs w:val="21"/>
          <w:highlight w:val="none"/>
        </w:rPr>
      </w:pPr>
      <w:bookmarkStart w:id="217" w:name="_Toc222031042"/>
      <w:bookmarkStart w:id="218" w:name="_Toc59810420"/>
      <w:bookmarkStart w:id="219" w:name="_Toc33183761"/>
      <w:bookmarkStart w:id="220" w:name="_Toc229305398"/>
      <w:bookmarkStart w:id="221" w:name="_Toc222029540"/>
      <w:bookmarkStart w:id="222" w:name="_Toc221951223"/>
      <w:bookmarkStart w:id="223" w:name="_Toc222032709"/>
      <w:bookmarkStart w:id="224" w:name="_Toc222033891"/>
      <w:r>
        <w:rPr>
          <w:rFonts w:hint="eastAsia" w:ascii="宋体" w:hAnsi="宋体" w:cs="宋体"/>
          <w:color w:val="auto"/>
          <w:sz w:val="21"/>
          <w:szCs w:val="21"/>
          <w:highlight w:val="none"/>
        </w:rPr>
        <w:t>17.计量与支付</w:t>
      </w:r>
      <w:bookmarkEnd w:id="217"/>
      <w:bookmarkEnd w:id="218"/>
      <w:bookmarkEnd w:id="219"/>
      <w:bookmarkEnd w:id="220"/>
      <w:bookmarkEnd w:id="221"/>
      <w:bookmarkEnd w:id="222"/>
      <w:bookmarkEnd w:id="223"/>
      <w:bookmarkEnd w:id="224"/>
    </w:p>
    <w:p w14:paraId="102E7708">
      <w:pPr>
        <w:keepNext/>
        <w:keepLines/>
        <w:snapToGrid w:val="0"/>
        <w:spacing w:line="600" w:lineRule="exact"/>
        <w:ind w:firstLine="420" w:firstLineChars="200"/>
        <w:outlineLvl w:val="3"/>
        <w:rPr>
          <w:rFonts w:hint="eastAsia" w:ascii="宋体" w:hAnsi="宋体" w:cs="宋体"/>
          <w:color w:val="auto"/>
          <w:szCs w:val="21"/>
          <w:highlight w:val="none"/>
        </w:rPr>
      </w:pPr>
      <w:bookmarkStart w:id="225" w:name="_Toc33183762"/>
      <w:bookmarkStart w:id="226" w:name="_Toc221951224"/>
      <w:r>
        <w:rPr>
          <w:rFonts w:hint="eastAsia" w:ascii="宋体" w:hAnsi="宋体" w:cs="宋体"/>
          <w:color w:val="auto"/>
          <w:szCs w:val="21"/>
          <w:highlight w:val="none"/>
        </w:rPr>
        <w:t>17.1 计量</w:t>
      </w:r>
      <w:bookmarkEnd w:id="225"/>
    </w:p>
    <w:p w14:paraId="21C5ADCC">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17.1.2 计量方法</w:t>
      </w:r>
    </w:p>
    <w:p w14:paraId="49AE8658">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工程量</w:t>
      </w:r>
      <w:r>
        <w:rPr>
          <w:rFonts w:hint="eastAsia" w:ascii="宋体" w:hAnsi="宋体" w:cs="宋体"/>
          <w:color w:val="auto"/>
          <w:kern w:val="0"/>
          <w:szCs w:val="21"/>
          <w:highlight w:val="none"/>
          <w:u w:val="single"/>
        </w:rPr>
        <w:t>按《水利水电工程设计工程量计算规定》（SL 328-2005）、《重庆市水利工程设计概（估）算编制规定》（2011年版）、《重庆市水利建筑工程预算定额》（2005版）、《重庆市水利工程施工机械台时费定额》等</w:t>
      </w:r>
      <w:r>
        <w:rPr>
          <w:rFonts w:hint="eastAsia" w:ascii="宋体" w:hAnsi="宋体" w:cs="宋体"/>
          <w:color w:val="auto"/>
          <w:kern w:val="0"/>
          <w:szCs w:val="21"/>
          <w:highlight w:val="none"/>
        </w:rPr>
        <w:t>规定的计算规则及已标价工程量清单规定的工程量计算规则计量。</w:t>
      </w:r>
    </w:p>
    <w:p w14:paraId="0740D336">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17.1.3 计量周期</w:t>
      </w:r>
    </w:p>
    <w:p w14:paraId="08F678E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s="宋体"/>
          <w:color w:val="auto"/>
          <w:kern w:val="0"/>
          <w:szCs w:val="21"/>
          <w:highlight w:val="none"/>
        </w:rPr>
        <w:t>。</w:t>
      </w:r>
    </w:p>
    <w:p w14:paraId="32B5FDD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17.1.4 单价子目的计量</w:t>
      </w:r>
    </w:p>
    <w:p w14:paraId="7F91AAC4">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本项补充17.1.4.1、17.1.4.2目如下：</w:t>
      </w:r>
    </w:p>
    <w:p w14:paraId="3F46505B">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17.1.4.1单价子目</w:t>
      </w:r>
    </w:p>
    <w:p w14:paraId="4D84C3C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单价子目包含的风险范围：</w:t>
      </w:r>
      <w:r>
        <w:rPr>
          <w:rFonts w:hint="eastAsia" w:ascii="宋体" w:hAnsi="宋体" w:cs="宋体"/>
          <w:color w:val="auto"/>
          <w:kern w:val="0"/>
          <w:szCs w:val="21"/>
          <w:highlight w:val="none"/>
          <w:u w:val="single"/>
        </w:rPr>
        <w:t>除第16条〔价格调整〕约定范围外的市场价格波动风险、政策性文件规定的各项应有费用、招标文件和合同明示或暗示的应由承包人承担的所有责任、义务和风险等所需的费用，包括但不限于为实施和完成合同工程所需的人工费、材料费、施工机械费、其他费用、其它直接费、现场经费、间接费用、利润、价差、税金及缺陷修复等费用</w:t>
      </w:r>
      <w:r>
        <w:rPr>
          <w:rFonts w:hint="eastAsia" w:ascii="宋体" w:hAnsi="宋体" w:cs="宋体"/>
          <w:color w:val="auto"/>
          <w:kern w:val="0"/>
          <w:szCs w:val="21"/>
          <w:highlight w:val="none"/>
        </w:rPr>
        <w:t>。</w:t>
      </w:r>
    </w:p>
    <w:p w14:paraId="3F7425AC">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风险费用的计算方法：</w:t>
      </w:r>
      <w:r>
        <w:rPr>
          <w:rFonts w:hint="eastAsia" w:ascii="宋体" w:hAnsi="宋体" w:cs="宋体"/>
          <w:color w:val="auto"/>
          <w:kern w:val="0"/>
          <w:szCs w:val="21"/>
          <w:highlight w:val="none"/>
          <w:u w:val="single"/>
        </w:rPr>
        <w:t>除第16条〔价格调整〕约定范围外，由承包人自行综合考虑并计入单价子目价格中，包干使用</w:t>
      </w:r>
      <w:r>
        <w:rPr>
          <w:rFonts w:hint="eastAsia" w:ascii="宋体" w:hAnsi="宋体" w:cs="宋体"/>
          <w:color w:val="auto"/>
          <w:kern w:val="0"/>
          <w:szCs w:val="21"/>
          <w:highlight w:val="none"/>
        </w:rPr>
        <w:t>。</w:t>
      </w:r>
    </w:p>
    <w:p w14:paraId="7FDE7C6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风险范围以外合同价格的调整方法：</w:t>
      </w:r>
      <w:r>
        <w:rPr>
          <w:rFonts w:hint="eastAsia" w:ascii="宋体" w:hAnsi="宋体" w:cs="宋体"/>
          <w:color w:val="auto"/>
          <w:kern w:val="0"/>
          <w:szCs w:val="21"/>
          <w:highlight w:val="none"/>
          <w:u w:val="single"/>
        </w:rPr>
        <w:t>按照第16条〔价格调整〕约定执行</w:t>
      </w:r>
      <w:r>
        <w:rPr>
          <w:rFonts w:hint="eastAsia" w:ascii="宋体" w:hAnsi="宋体" w:cs="宋体"/>
          <w:color w:val="auto"/>
          <w:kern w:val="0"/>
          <w:szCs w:val="21"/>
          <w:highlight w:val="none"/>
        </w:rPr>
        <w:t>。</w:t>
      </w:r>
    </w:p>
    <w:p w14:paraId="59EF61E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17.1.4.2关于单价合同计量的约定</w:t>
      </w:r>
    </w:p>
    <w:p w14:paraId="027C3DD1">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（1）承包人应于当月    日前向监理人报送上月已完成的工程量，并附进度付款申请单、已完成工程量报表和其他有关资料。</w:t>
      </w:r>
    </w:p>
    <w:p w14:paraId="618B0F45">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（2）承包人未在已标价的工程量清单中填入单价和（或）总价的子目，视为该子目的费用已包含合同工程的其他子目的单价或总价中，不再另行计量支付。</w:t>
      </w:r>
    </w:p>
    <w:p w14:paraId="3EFF23B6">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14:paraId="478EE488">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4）工程量的计量仅作为进度付款和工程施工进度控制的依据，不应认为是承包人履行合同义务完成工程的实际和准确的工程量，实际和准确工程量按完（竣）工图和第17.1.2项〔计量方法〕约定确认的工程量为准。</w:t>
      </w:r>
    </w:p>
    <w:p w14:paraId="5B051D7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17.1.5 总价子目的计量</w:t>
      </w:r>
    </w:p>
    <w:p w14:paraId="23CCD04E">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本项补充17.1.5.1、17.1.5.2目如下：</w:t>
      </w:r>
    </w:p>
    <w:p w14:paraId="5422D2B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17.1.5.1总价子目</w:t>
      </w:r>
    </w:p>
    <w:p w14:paraId="03020EED">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总价子目包含的风险范围：</w:t>
      </w:r>
      <w:r>
        <w:rPr>
          <w:rFonts w:hint="eastAsia" w:ascii="宋体" w:hAnsi="宋体" w:cs="宋体"/>
          <w:color w:val="auto"/>
          <w:kern w:val="0"/>
          <w:szCs w:val="21"/>
          <w:highlight w:val="none"/>
          <w:u w:val="single"/>
        </w:rPr>
        <w:t>包括但不限于为实施和完成合同工程所需的人工费、材料费、施工机械费、其他费用、其它直接费、现场经费、间接费用、利润、价差、税金及缺陷修复等费用，以及第16条〔市场价格波动引起的调整〕约定范围内的市场价格波动风险、政策性文件规定的各项应有费用、招标文件和合同明示或暗示的应由承包人承担的所有责任、义务和风险等所需的费用。</w:t>
      </w:r>
    </w:p>
    <w:p w14:paraId="16E88CF4">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风险费用的计算方法：</w:t>
      </w:r>
      <w:r>
        <w:rPr>
          <w:rFonts w:hint="eastAsia" w:ascii="宋体" w:hAnsi="宋体" w:cs="宋体"/>
          <w:color w:val="auto"/>
          <w:kern w:val="0"/>
          <w:szCs w:val="21"/>
          <w:highlight w:val="none"/>
          <w:u w:val="single"/>
        </w:rPr>
        <w:t>由承包人自行考虑并计入签约合同价格中，包干使用。</w:t>
      </w:r>
    </w:p>
    <w:p w14:paraId="5F12ED67">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风险范围以外合同价格的调整方法：</w:t>
      </w:r>
      <w:r>
        <w:rPr>
          <w:rFonts w:hint="eastAsia" w:ascii="宋体" w:hAnsi="宋体" w:cs="宋体"/>
          <w:color w:val="auto"/>
          <w:kern w:val="0"/>
          <w:szCs w:val="21"/>
          <w:highlight w:val="none"/>
          <w:u w:val="single"/>
        </w:rPr>
        <w:t>除本合同第15条（变更）约定的价格调整外，其余不作调整。</w:t>
      </w:r>
    </w:p>
    <w:p w14:paraId="0188492E">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17.1.5.2关于总价合同计量的约定：</w:t>
      </w:r>
      <w:r>
        <w:rPr>
          <w:rFonts w:hint="eastAsia" w:ascii="宋体" w:hAnsi="宋体" w:cs="宋体"/>
          <w:color w:val="auto"/>
          <w:szCs w:val="21"/>
          <w:highlight w:val="none"/>
          <w:u w:val="single"/>
        </w:rPr>
        <w:t>承包人应按批准的各总价子目支付周期，以确定分阶段实际完成的工程量和工程形象目标，并对已完成的总价子目进行计量，从而确定分项的应付金额列入进度付款申请单中。</w:t>
      </w:r>
    </w:p>
    <w:p w14:paraId="50DA18EB">
      <w:pPr>
        <w:pStyle w:val="2"/>
        <w:ind w:firstLine="420" w:firstLineChars="200"/>
        <w:rPr>
          <w:color w:val="auto"/>
          <w:highlight w:val="none"/>
        </w:rPr>
      </w:pPr>
      <w:r>
        <w:rPr>
          <w:rFonts w:hint="eastAsia" w:ascii="宋体" w:hAnsi="宋体" w:cs="宋体"/>
          <w:color w:val="auto"/>
          <w:szCs w:val="21"/>
          <w:highlight w:val="none"/>
          <w:u w:val="single"/>
        </w:rPr>
        <w:t>本款补充17.1.6项如下：</w:t>
      </w:r>
    </w:p>
    <w:p w14:paraId="4EC7053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17.1.6 其他价格形式合同的计量</w:t>
      </w:r>
    </w:p>
    <w:p w14:paraId="33116A8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其他价格形式的计量方式和程序：</w:t>
      </w:r>
      <w:r>
        <w:rPr>
          <w:rFonts w:hint="eastAsia" w:ascii="宋体" w:hAnsi="宋体" w:cs="宋体"/>
          <w:color w:val="auto"/>
          <w:kern w:val="0"/>
          <w:szCs w:val="21"/>
          <w:highlight w:val="none"/>
          <w:u w:val="single"/>
        </w:rPr>
        <w:t xml:space="preserve"> 不采用 </w:t>
      </w:r>
      <w:r>
        <w:rPr>
          <w:rFonts w:hint="eastAsia" w:ascii="宋体" w:hAnsi="宋体" w:cs="宋体"/>
          <w:color w:val="auto"/>
          <w:kern w:val="0"/>
          <w:szCs w:val="21"/>
          <w:highlight w:val="none"/>
        </w:rPr>
        <w:t>。</w:t>
      </w:r>
    </w:p>
    <w:p w14:paraId="2F64FE61">
      <w:pPr>
        <w:keepNext/>
        <w:keepLines/>
        <w:snapToGrid w:val="0"/>
        <w:spacing w:line="600" w:lineRule="exact"/>
        <w:ind w:firstLine="420" w:firstLineChars="200"/>
        <w:outlineLvl w:val="3"/>
        <w:rPr>
          <w:rFonts w:hint="eastAsia" w:ascii="宋体" w:hAnsi="宋体" w:cs="宋体"/>
          <w:color w:val="auto"/>
          <w:szCs w:val="21"/>
          <w:highlight w:val="none"/>
        </w:rPr>
      </w:pPr>
      <w:bookmarkStart w:id="227" w:name="_Toc33183763"/>
      <w:r>
        <w:rPr>
          <w:rFonts w:hint="eastAsia" w:ascii="宋体" w:hAnsi="宋体" w:cs="宋体"/>
          <w:color w:val="auto"/>
          <w:szCs w:val="21"/>
          <w:highlight w:val="none"/>
        </w:rPr>
        <w:t>17.2  预付款</w:t>
      </w:r>
      <w:bookmarkEnd w:id="226"/>
      <w:bookmarkEnd w:id="227"/>
    </w:p>
    <w:p w14:paraId="31487016">
      <w:pPr>
        <w:spacing w:line="360" w:lineRule="auto"/>
        <w:ind w:left="120" w:leftChars="57" w:right="248" w:firstLine="420" w:firstLineChars="200"/>
        <w:rPr>
          <w:rFonts w:hint="eastAsia" w:ascii="宋体" w:hAnsi="宋体" w:cs="宋体"/>
          <w:color w:val="auto"/>
          <w:szCs w:val="21"/>
          <w:highlight w:val="none"/>
        </w:rPr>
      </w:pPr>
      <w:bookmarkStart w:id="228" w:name="_Toc221951238"/>
      <w:r>
        <w:rPr>
          <w:rFonts w:hint="eastAsia" w:ascii="宋体" w:hAnsi="宋体" w:cs="宋体"/>
          <w:color w:val="auto"/>
          <w:szCs w:val="21"/>
          <w:highlight w:val="none"/>
          <w:lang w:val="en-US" w:eastAsia="zh-CN"/>
        </w:rPr>
        <w:t>无</w:t>
      </w:r>
      <w:bookmarkStart w:id="335" w:name="_GoBack"/>
      <w:bookmarkEnd w:id="335"/>
      <w:r>
        <w:rPr>
          <w:rFonts w:hint="eastAsia" w:ascii="宋体" w:hAnsi="宋体" w:cs="宋体"/>
          <w:color w:val="auto"/>
          <w:szCs w:val="21"/>
          <w:highlight w:val="none"/>
        </w:rPr>
        <w:t>。</w:t>
      </w:r>
    </w:p>
    <w:bookmarkEnd w:id="228"/>
    <w:p w14:paraId="13AF3171">
      <w:pPr>
        <w:keepNext/>
        <w:keepLines/>
        <w:snapToGrid w:val="0"/>
        <w:spacing w:line="600" w:lineRule="exact"/>
        <w:ind w:firstLine="420" w:firstLineChars="200"/>
        <w:outlineLvl w:val="3"/>
        <w:rPr>
          <w:rFonts w:hint="eastAsia" w:ascii="宋体" w:hAnsi="宋体" w:cs="宋体"/>
          <w:color w:val="auto"/>
          <w:szCs w:val="21"/>
          <w:highlight w:val="none"/>
        </w:rPr>
      </w:pPr>
      <w:bookmarkStart w:id="229" w:name="_Toc33183764"/>
      <w:bookmarkStart w:id="230" w:name="_Toc221951260"/>
      <w:r>
        <w:rPr>
          <w:rFonts w:hint="eastAsia" w:ascii="宋体" w:hAnsi="宋体" w:cs="宋体"/>
          <w:color w:val="auto"/>
          <w:szCs w:val="21"/>
          <w:highlight w:val="none"/>
        </w:rPr>
        <w:t>17.3 工程进度付款</w:t>
      </w:r>
      <w:bookmarkEnd w:id="229"/>
    </w:p>
    <w:p w14:paraId="3B78C46A">
      <w:pPr>
        <w:spacing w:line="360" w:lineRule="auto"/>
        <w:ind w:left="120" w:leftChars="57" w:right="248"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本工程无预付款，完成结算审核且待上级补助资金到位后支付至审定金额的97％，余3％作为质保金，一年后工程无质量缺陷不计息支付。</w:t>
      </w:r>
    </w:p>
    <w:p w14:paraId="6244C00B">
      <w:pPr>
        <w:keepNext/>
        <w:keepLines/>
        <w:snapToGrid w:val="0"/>
        <w:spacing w:line="600" w:lineRule="exact"/>
        <w:ind w:firstLine="420" w:firstLineChars="200"/>
        <w:outlineLvl w:val="3"/>
        <w:rPr>
          <w:rFonts w:hint="eastAsia" w:ascii="宋体" w:hAnsi="宋体" w:cs="宋体"/>
          <w:color w:val="auto"/>
          <w:szCs w:val="21"/>
          <w:highlight w:val="none"/>
        </w:rPr>
      </w:pPr>
      <w:bookmarkStart w:id="231" w:name="_Toc33183765"/>
      <w:r>
        <w:rPr>
          <w:rFonts w:hint="eastAsia" w:ascii="宋体" w:hAnsi="宋体" w:cs="宋体"/>
          <w:color w:val="auto"/>
          <w:szCs w:val="21"/>
          <w:highlight w:val="none"/>
        </w:rPr>
        <w:t>17.4  质量保证金</w:t>
      </w:r>
      <w:bookmarkEnd w:id="230"/>
      <w:bookmarkEnd w:id="231"/>
    </w:p>
    <w:p w14:paraId="50C6148B">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合同工程完工结算总价的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7CDA2D42">
      <w:pPr>
        <w:keepNext/>
        <w:keepLines/>
        <w:snapToGrid w:val="0"/>
        <w:spacing w:line="600" w:lineRule="exact"/>
        <w:ind w:firstLine="420" w:firstLineChars="200"/>
        <w:outlineLvl w:val="3"/>
        <w:rPr>
          <w:rFonts w:hint="eastAsia" w:ascii="宋体" w:hAnsi="宋体" w:cs="宋体"/>
          <w:color w:val="auto"/>
          <w:szCs w:val="21"/>
          <w:highlight w:val="none"/>
        </w:rPr>
      </w:pPr>
      <w:bookmarkStart w:id="232" w:name="_Toc221951262"/>
      <w:r>
        <w:rPr>
          <w:rFonts w:hint="eastAsia" w:ascii="宋体" w:hAnsi="宋体" w:cs="宋体"/>
          <w:color w:val="auto"/>
          <w:szCs w:val="21"/>
          <w:highlight w:val="none"/>
        </w:rPr>
        <w:t xml:space="preserve"> </w:t>
      </w:r>
      <w:bookmarkEnd w:id="232"/>
      <w:bookmarkStart w:id="233" w:name="_Toc33183766"/>
      <w:bookmarkStart w:id="234" w:name="_Toc221951265"/>
      <w:r>
        <w:rPr>
          <w:rFonts w:hint="eastAsia" w:ascii="宋体" w:hAnsi="宋体" w:cs="宋体"/>
          <w:color w:val="auto"/>
          <w:szCs w:val="21"/>
          <w:highlight w:val="none"/>
        </w:rPr>
        <w:t>17.5  竣工（完工）结算</w:t>
      </w:r>
      <w:bookmarkEnd w:id="233"/>
      <w:bookmarkEnd w:id="234"/>
    </w:p>
    <w:p w14:paraId="56478E5D">
      <w:pPr>
        <w:spacing w:line="360" w:lineRule="auto"/>
        <w:ind w:right="248" w:firstLine="480"/>
        <w:rPr>
          <w:rFonts w:hint="eastAsia" w:ascii="宋体" w:hAnsi="宋体" w:cs="宋体"/>
          <w:color w:val="auto"/>
          <w:szCs w:val="21"/>
          <w:highlight w:val="none"/>
        </w:rPr>
      </w:pPr>
      <w:bookmarkStart w:id="235" w:name="_Toc221951266"/>
      <w:r>
        <w:rPr>
          <w:rFonts w:hint="eastAsia" w:ascii="宋体" w:hAnsi="宋体" w:cs="宋体"/>
          <w:color w:val="auto"/>
          <w:szCs w:val="21"/>
          <w:highlight w:val="none"/>
        </w:rPr>
        <w:t>17.5.1  竣工（完工）付款申请单</w:t>
      </w:r>
      <w:bookmarkEnd w:id="235"/>
      <w:r>
        <w:rPr>
          <w:rFonts w:hint="eastAsia" w:ascii="宋体" w:hAnsi="宋体" w:cs="宋体"/>
          <w:color w:val="auto"/>
          <w:szCs w:val="21"/>
          <w:highlight w:val="none"/>
        </w:rPr>
        <w:t xml:space="preserve"> </w:t>
      </w:r>
    </w:p>
    <w:p w14:paraId="03085018">
      <w:pPr>
        <w:spacing w:line="360" w:lineRule="auto"/>
        <w:ind w:right="248" w:firstLine="480"/>
        <w:rPr>
          <w:rFonts w:hint="eastAsia" w:ascii="宋体" w:hAnsi="宋体" w:cs="宋体"/>
          <w:color w:val="auto"/>
          <w:szCs w:val="21"/>
          <w:highlight w:val="none"/>
        </w:rPr>
      </w:pPr>
      <w:bookmarkStart w:id="236" w:name="_Toc221951267"/>
      <w:r>
        <w:rPr>
          <w:rFonts w:hint="eastAsia" w:ascii="宋体" w:hAnsi="宋体" w:cs="宋体"/>
          <w:color w:val="auto"/>
          <w:szCs w:val="21"/>
          <w:highlight w:val="none"/>
        </w:rPr>
        <w:t>承包人应提交完工付款申请单一式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bookmarkEnd w:id="236"/>
    </w:p>
    <w:p w14:paraId="4CED7E1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结算申请单的期限：</w:t>
      </w:r>
      <w:r>
        <w:rPr>
          <w:rFonts w:hint="eastAsia" w:ascii="宋体" w:hAnsi="宋体" w:cs="宋体"/>
          <w:color w:val="auto"/>
          <w:kern w:val="0"/>
          <w:szCs w:val="21"/>
          <w:highlight w:val="none"/>
          <w:u w:val="single"/>
        </w:rPr>
        <w:t>承包人应在工程完工验收合格之日且报送完成的完工资料之日起28天内向监理人、发包人提交完工结算申请单，并向发包人报送完整的工程竣工资料及经监理人初审确认的完整的完工结算资料。监理人或发包人对完工结算申请单有异议的，应在接到完工结算申请单后14天内要求承包人进行修正和提供补充资料，承包人在接到监理人或发包人提出的审核意见后，应在28天内按监理人或发包人提出的合理要求补充资料、修改完工结算资料，并再次提交监理人或发包人审核。承包人未在规定时间内报送完工结算资料给发包人造成经济损失的，承包人应承担赔偿责任</w:t>
      </w:r>
      <w:r>
        <w:rPr>
          <w:rFonts w:hint="eastAsia" w:ascii="宋体" w:hAnsi="宋体" w:cs="宋体"/>
          <w:color w:val="auto"/>
          <w:kern w:val="0"/>
          <w:szCs w:val="21"/>
          <w:highlight w:val="none"/>
        </w:rPr>
        <w:t>。</w:t>
      </w:r>
    </w:p>
    <w:p w14:paraId="01852FF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完工</w:t>
      </w:r>
      <w:r>
        <w:rPr>
          <w:rFonts w:hint="eastAsia" w:ascii="宋体" w:hAnsi="宋体" w:cs="宋体"/>
          <w:color w:val="auto"/>
          <w:kern w:val="0"/>
          <w:szCs w:val="21"/>
          <w:highlight w:val="none"/>
        </w:rPr>
        <w:t>结算申请单包括但不限于以下内容：</w:t>
      </w:r>
    </w:p>
    <w:p w14:paraId="431118C0">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结算合同价格；</w:t>
      </w:r>
    </w:p>
    <w:p w14:paraId="038DE8B8">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（2）变更增减金额；</w:t>
      </w:r>
    </w:p>
    <w:p w14:paraId="6D1822D9">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（3）现场签证增减金额；</w:t>
      </w:r>
    </w:p>
    <w:p w14:paraId="0A1B89EB">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（4）价格调整；</w:t>
      </w:r>
    </w:p>
    <w:p w14:paraId="47A224BF">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（5）索赔增减金额；</w:t>
      </w:r>
    </w:p>
    <w:p w14:paraId="603DD45A">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（6）奖励、罚金及违约金；</w:t>
      </w:r>
    </w:p>
    <w:p w14:paraId="783BE9D9">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（7）发包人已支付承包人的款项；</w:t>
      </w:r>
    </w:p>
    <w:p w14:paraId="4741797A">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（8）应扣留的质量保证金；</w:t>
      </w:r>
    </w:p>
    <w:p w14:paraId="1A62E5C4">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（9）发包人应支付承包人的合同价款。</w:t>
      </w:r>
    </w:p>
    <w:p w14:paraId="7156409D">
      <w:pPr>
        <w:snapToGrid w:val="0"/>
        <w:spacing w:line="360" w:lineRule="auto"/>
        <w:ind w:firstLine="470"/>
        <w:jc w:val="left"/>
        <w:rPr>
          <w:rFonts w:hint="eastAsia" w:ascii="宋体" w:hAnsi="宋体" w:cs="宋体"/>
          <w:color w:val="auto"/>
          <w:szCs w:val="21"/>
          <w:highlight w:val="none"/>
        </w:rPr>
      </w:pPr>
      <w:r>
        <w:rPr>
          <w:rFonts w:hint="eastAsia" w:ascii="宋体" w:hAnsi="宋体" w:cs="宋体"/>
          <w:color w:val="auto"/>
          <w:kern w:val="0"/>
          <w:szCs w:val="21"/>
          <w:highlight w:val="none"/>
        </w:rPr>
        <w:t>（10）</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4FF98DC">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17.5.1.1 </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结算办法</w:t>
      </w:r>
    </w:p>
    <w:p w14:paraId="60A8BFED">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17.5.1.1.1计量原则</w:t>
      </w:r>
    </w:p>
    <w:p w14:paraId="53B58F6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按照第17.1.2项〔计量方法〕约定执行。</w:t>
      </w:r>
    </w:p>
    <w:p w14:paraId="4178582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17.5.1.2计价原则</w:t>
      </w:r>
    </w:p>
    <w:p w14:paraId="7F1C5D3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合同完工结算总价=完工结算合同价格+变更增减金额+现场签证增减金额±价格调整（如有）±索赔增减金额±奖励、罚金及违约金及其他费用</w:t>
      </w:r>
      <w:r>
        <w:rPr>
          <w:rFonts w:hint="eastAsia" w:ascii="宋体" w:hAnsi="宋体" w:cs="宋体"/>
          <w:color w:val="auto"/>
          <w:kern w:val="0"/>
          <w:szCs w:val="21"/>
          <w:highlight w:val="none"/>
        </w:rPr>
        <w:t>。</w:t>
      </w:r>
    </w:p>
    <w:p w14:paraId="2CE4AFB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17.5.1.3</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结算总价</w:t>
      </w:r>
    </w:p>
    <w:p w14:paraId="63D25357">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发包人、审计单位、监理人、承包人根据有效资料共同确定</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结算金额作为合同</w:t>
      </w:r>
      <w:r>
        <w:rPr>
          <w:rFonts w:hint="eastAsia" w:ascii="宋体" w:hAnsi="宋体" w:cs="宋体"/>
          <w:color w:val="auto"/>
          <w:szCs w:val="21"/>
          <w:highlight w:val="none"/>
        </w:rPr>
        <w:t>竣工（完工）</w:t>
      </w:r>
      <w:r>
        <w:rPr>
          <w:rFonts w:hint="eastAsia" w:ascii="宋体" w:hAnsi="宋体" w:cs="宋体"/>
          <w:color w:val="auto"/>
          <w:kern w:val="0"/>
          <w:szCs w:val="21"/>
          <w:highlight w:val="none"/>
        </w:rPr>
        <w:t>结算总价。</w:t>
      </w:r>
    </w:p>
    <w:p w14:paraId="4DEA59E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17.5.2完工付款证书及支付时间</w:t>
      </w:r>
    </w:p>
    <w:p w14:paraId="5DD0B97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监理人审核完工付款申请单的期限：</w:t>
      </w:r>
      <w:r>
        <w:rPr>
          <w:rFonts w:hint="eastAsia" w:ascii="宋体" w:hAnsi="宋体" w:cs="宋体"/>
          <w:color w:val="auto"/>
          <w:kern w:val="0"/>
          <w:szCs w:val="21"/>
          <w:highlight w:val="none"/>
          <w:u w:val="single"/>
        </w:rPr>
        <w:t>不超过14日</w:t>
      </w:r>
      <w:r>
        <w:rPr>
          <w:rFonts w:hint="eastAsia" w:ascii="宋体" w:hAnsi="宋体" w:cs="宋体"/>
          <w:color w:val="auto"/>
          <w:kern w:val="0"/>
          <w:szCs w:val="21"/>
          <w:highlight w:val="none"/>
        </w:rPr>
        <w:t>。</w:t>
      </w:r>
    </w:p>
    <w:p w14:paraId="539E261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发包人审核完工付款申请单的期限：</w:t>
      </w:r>
      <w:r>
        <w:rPr>
          <w:rFonts w:hint="eastAsia" w:ascii="宋体" w:hAnsi="宋体" w:cs="宋体"/>
          <w:color w:val="auto"/>
          <w:kern w:val="0"/>
          <w:szCs w:val="21"/>
          <w:highlight w:val="none"/>
          <w:u w:val="single"/>
        </w:rPr>
        <w:t>不超过56日</w:t>
      </w:r>
      <w:r>
        <w:rPr>
          <w:rFonts w:hint="eastAsia" w:ascii="宋体" w:hAnsi="宋体" w:cs="宋体"/>
          <w:color w:val="auto"/>
          <w:kern w:val="0"/>
          <w:szCs w:val="21"/>
          <w:highlight w:val="none"/>
        </w:rPr>
        <w:t>。</w:t>
      </w:r>
    </w:p>
    <w:p w14:paraId="00457C3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发包人完成完工付款的期限：</w:t>
      </w:r>
      <w:r>
        <w:rPr>
          <w:rFonts w:hint="eastAsia" w:ascii="宋体" w:hAnsi="宋体" w:cs="宋体"/>
          <w:color w:val="auto"/>
          <w:kern w:val="0"/>
          <w:szCs w:val="21"/>
          <w:highlight w:val="none"/>
          <w:u w:val="single"/>
        </w:rPr>
        <w:t>完成完工付款申请单审核后28天内</w:t>
      </w:r>
      <w:r>
        <w:rPr>
          <w:rFonts w:hint="eastAsia" w:ascii="宋体" w:hAnsi="宋体" w:cs="宋体"/>
          <w:color w:val="auto"/>
          <w:kern w:val="0"/>
          <w:szCs w:val="21"/>
          <w:highlight w:val="none"/>
        </w:rPr>
        <w:t>。</w:t>
      </w:r>
    </w:p>
    <w:p w14:paraId="2359020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关于完工付款证书异议部分复核的方式和程序：</w:t>
      </w:r>
      <w:r>
        <w:rPr>
          <w:rFonts w:hint="eastAsia" w:ascii="宋体" w:hAnsi="宋体" w:cs="宋体"/>
          <w:color w:val="auto"/>
          <w:kern w:val="0"/>
          <w:szCs w:val="21"/>
          <w:highlight w:val="none"/>
          <w:u w:val="single"/>
        </w:rPr>
        <w:t>按照第24条〔争议的解决〕约定处理</w:t>
      </w:r>
      <w:r>
        <w:rPr>
          <w:rFonts w:hint="eastAsia" w:ascii="宋体" w:hAnsi="宋体" w:cs="宋体"/>
          <w:color w:val="auto"/>
          <w:kern w:val="0"/>
          <w:szCs w:val="21"/>
          <w:highlight w:val="none"/>
        </w:rPr>
        <w:t>。</w:t>
      </w:r>
    </w:p>
    <w:p w14:paraId="2E580F0C">
      <w:pPr>
        <w:keepNext/>
        <w:keepLines/>
        <w:snapToGrid w:val="0"/>
        <w:spacing w:line="600" w:lineRule="exact"/>
        <w:ind w:firstLine="420" w:firstLineChars="200"/>
        <w:outlineLvl w:val="3"/>
        <w:rPr>
          <w:rFonts w:hint="eastAsia" w:ascii="宋体" w:hAnsi="宋体" w:cs="宋体"/>
          <w:color w:val="auto"/>
          <w:szCs w:val="21"/>
          <w:highlight w:val="none"/>
        </w:rPr>
      </w:pPr>
      <w:bookmarkStart w:id="237" w:name="_Toc33183767"/>
      <w:bookmarkStart w:id="238" w:name="_Toc221951268"/>
      <w:r>
        <w:rPr>
          <w:rFonts w:hint="eastAsia" w:ascii="宋体" w:hAnsi="宋体" w:cs="宋体"/>
          <w:color w:val="auto"/>
          <w:szCs w:val="21"/>
          <w:highlight w:val="none"/>
        </w:rPr>
        <w:t>17.6  最终结清</w:t>
      </w:r>
      <w:bookmarkEnd w:id="237"/>
      <w:bookmarkEnd w:id="238"/>
    </w:p>
    <w:p w14:paraId="323817C3">
      <w:pPr>
        <w:spacing w:line="360" w:lineRule="auto"/>
        <w:ind w:right="248" w:firstLine="480"/>
        <w:rPr>
          <w:rFonts w:hint="eastAsia" w:ascii="宋体" w:hAnsi="宋体" w:cs="宋体"/>
          <w:color w:val="auto"/>
          <w:szCs w:val="21"/>
          <w:highlight w:val="none"/>
        </w:rPr>
      </w:pPr>
      <w:bookmarkStart w:id="239" w:name="_Toc221951269"/>
      <w:r>
        <w:rPr>
          <w:rFonts w:hint="eastAsia" w:ascii="宋体" w:hAnsi="宋体" w:cs="宋体"/>
          <w:color w:val="auto"/>
          <w:szCs w:val="21"/>
          <w:highlight w:val="none"/>
        </w:rPr>
        <w:t>17.6 1  最终结清申请单</w:t>
      </w:r>
      <w:bookmarkEnd w:id="239"/>
    </w:p>
    <w:p w14:paraId="1030EE01">
      <w:pPr>
        <w:spacing w:line="360" w:lineRule="auto"/>
        <w:ind w:firstLine="420" w:firstLineChars="200"/>
        <w:jc w:val="left"/>
        <w:rPr>
          <w:rFonts w:hint="eastAsia" w:ascii="宋体" w:hAnsi="宋体" w:cs="宋体"/>
          <w:color w:val="auto"/>
          <w:kern w:val="0"/>
          <w:szCs w:val="21"/>
          <w:highlight w:val="none"/>
        </w:rPr>
      </w:pPr>
      <w:bookmarkStart w:id="240" w:name="_Toc221951270"/>
      <w:r>
        <w:rPr>
          <w:rFonts w:hint="eastAsia" w:ascii="宋体" w:hAnsi="宋体" w:cs="宋体"/>
          <w:color w:val="auto"/>
          <w:kern w:val="0"/>
          <w:szCs w:val="21"/>
          <w:highlight w:val="none"/>
        </w:rPr>
        <w:t>承包人提交最终结清申请单的份数：</w:t>
      </w:r>
      <w:r>
        <w:rPr>
          <w:rFonts w:hint="eastAsia" w:ascii="宋体" w:hAnsi="宋体" w:cs="宋体"/>
          <w:color w:val="auto"/>
          <w:kern w:val="0"/>
          <w:szCs w:val="21"/>
          <w:highlight w:val="none"/>
          <w:u w:val="single"/>
        </w:rPr>
        <w:t xml:space="preserve">    份</w:t>
      </w:r>
      <w:r>
        <w:rPr>
          <w:rFonts w:hint="eastAsia" w:ascii="宋体" w:hAnsi="宋体" w:cs="宋体"/>
          <w:color w:val="auto"/>
          <w:kern w:val="0"/>
          <w:szCs w:val="21"/>
          <w:highlight w:val="none"/>
        </w:rPr>
        <w:t>。</w:t>
      </w:r>
    </w:p>
    <w:p w14:paraId="563222AE">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kern w:val="0"/>
          <w:szCs w:val="21"/>
          <w:highlight w:val="none"/>
          <w:u w:val="single"/>
        </w:rPr>
        <w:t>缺陷责任期终止证书颁发后14天内</w:t>
      </w:r>
      <w:r>
        <w:rPr>
          <w:rFonts w:hint="eastAsia" w:ascii="宋体" w:hAnsi="宋体" w:cs="宋体"/>
          <w:color w:val="auto"/>
          <w:kern w:val="0"/>
          <w:szCs w:val="21"/>
          <w:highlight w:val="none"/>
        </w:rPr>
        <w:t>。</w:t>
      </w:r>
    </w:p>
    <w:p w14:paraId="30074B0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17.6.2</w:t>
      </w:r>
      <w:r>
        <w:rPr>
          <w:rFonts w:hint="eastAsia" w:ascii="宋体" w:hAnsi="宋体" w:cs="宋体"/>
          <w:color w:val="auto"/>
          <w:kern w:val="0"/>
          <w:szCs w:val="21"/>
          <w:highlight w:val="none"/>
        </w:rPr>
        <w:t>最终结清证书和支付时间</w:t>
      </w:r>
    </w:p>
    <w:p w14:paraId="26A1101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（1）监理人完成最终结清申请单的审批并颁发最终结清证书的期限：</w:t>
      </w:r>
      <w:r>
        <w:rPr>
          <w:rFonts w:hint="eastAsia" w:ascii="宋体" w:hAnsi="宋体" w:cs="宋体"/>
          <w:color w:val="auto"/>
          <w:kern w:val="0"/>
          <w:szCs w:val="21"/>
          <w:highlight w:val="none"/>
          <w:u w:val="single"/>
        </w:rPr>
        <w:t>监理人收到承包人提交的最终结清申请单后的   天内，提出发包人应支付给承包人的价款送发包人审核并抄送承包人。发包人应在收到后    天内审核完毕，由监理人向承包人出具经发包人签认的最终结清证书</w:t>
      </w:r>
      <w:r>
        <w:rPr>
          <w:rFonts w:hint="eastAsia" w:ascii="宋体" w:hAnsi="宋体" w:cs="宋体"/>
          <w:color w:val="auto"/>
          <w:kern w:val="0"/>
          <w:szCs w:val="21"/>
          <w:highlight w:val="none"/>
        </w:rPr>
        <w:t>。</w:t>
      </w:r>
    </w:p>
    <w:p w14:paraId="0B6AE71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（2）发包人付款的期限：</w:t>
      </w:r>
      <w:r>
        <w:rPr>
          <w:rFonts w:hint="eastAsia" w:ascii="宋体" w:hAnsi="宋体" w:cs="宋体"/>
          <w:color w:val="auto"/>
          <w:kern w:val="0"/>
          <w:szCs w:val="21"/>
          <w:highlight w:val="none"/>
          <w:u w:val="single"/>
        </w:rPr>
        <w:t>颁发最终结清证书的   天内</w:t>
      </w:r>
      <w:r>
        <w:rPr>
          <w:rFonts w:hint="eastAsia" w:ascii="宋体" w:hAnsi="宋体" w:cs="宋体"/>
          <w:color w:val="auto"/>
          <w:kern w:val="0"/>
          <w:szCs w:val="21"/>
          <w:highlight w:val="none"/>
        </w:rPr>
        <w:t>。</w:t>
      </w:r>
    </w:p>
    <w:p w14:paraId="3F6B190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本款补充17.6.3项如下：</w:t>
      </w:r>
    </w:p>
    <w:p w14:paraId="2CF624A9">
      <w:pPr>
        <w:keepNext/>
        <w:keepLines/>
        <w:spacing w:line="360" w:lineRule="auto"/>
        <w:ind w:firstLine="420" w:firstLineChars="200"/>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17.6.3逾期办理或不配合办理完工结算的处理</w:t>
      </w:r>
    </w:p>
    <w:p w14:paraId="2B12A35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有下列情形之一的，视为承包人放弃与发包人共同办理完工结算的权利，发包人有权会同审计单位、监理人根据有效资料共同确定完工结算金额。</w:t>
      </w:r>
    </w:p>
    <w:p w14:paraId="6B459D7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（1）承包人具备报送条件但逾期未报送完工结算资料，亦未获得发包人批准延期报送，经发包人两次书面催告仍未在限期内报送的。</w:t>
      </w:r>
    </w:p>
    <w:p w14:paraId="46E5BC4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在接到监理人或发包人对完工结算申请单提出的审核意见后，未在限期内按监理人或发包人提出的合理要求补充资料和（或）修改完工结算资料，亦未获得发包人批准延期报送，经发包人两次书面催告仍未在限期内报送的。</w:t>
      </w:r>
    </w:p>
    <w:p w14:paraId="0B7311F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（3）承包人不配合发包人、审计单位、监理人、发包人委托的工程造价咨询服务单位办理完工结算的，经发包人两次书面函告仍未改正的。</w:t>
      </w:r>
    </w:p>
    <w:p w14:paraId="0F3B6B62">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bookmarkEnd w:id="240"/>
    </w:p>
    <w:p w14:paraId="1E79856F">
      <w:pPr>
        <w:keepNext/>
        <w:keepLines/>
        <w:snapToGrid w:val="0"/>
        <w:spacing w:line="600" w:lineRule="exact"/>
        <w:ind w:firstLine="420" w:firstLineChars="200"/>
        <w:outlineLvl w:val="3"/>
        <w:rPr>
          <w:rFonts w:hint="eastAsia" w:ascii="宋体" w:hAnsi="宋体" w:cs="宋体"/>
          <w:color w:val="auto"/>
          <w:szCs w:val="21"/>
          <w:highlight w:val="none"/>
        </w:rPr>
      </w:pPr>
      <w:bookmarkStart w:id="241" w:name="_Toc33183768"/>
      <w:r>
        <w:rPr>
          <w:rFonts w:hint="eastAsia" w:ascii="宋体" w:hAnsi="宋体" w:cs="宋体"/>
          <w:color w:val="auto"/>
          <w:szCs w:val="21"/>
          <w:highlight w:val="none"/>
        </w:rPr>
        <w:t>17.7  竣工财务决算</w:t>
      </w:r>
      <w:bookmarkEnd w:id="241"/>
    </w:p>
    <w:p w14:paraId="1F7F0A73">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承包人应为竣工财务决算编制提供的资料：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2D0AA0C">
      <w:pPr>
        <w:pStyle w:val="5"/>
        <w:spacing w:line="360" w:lineRule="auto"/>
        <w:rPr>
          <w:rFonts w:hint="eastAsia" w:ascii="宋体" w:hAnsi="宋体" w:cs="宋体"/>
          <w:color w:val="auto"/>
          <w:sz w:val="21"/>
          <w:szCs w:val="21"/>
          <w:highlight w:val="none"/>
        </w:rPr>
      </w:pPr>
      <w:bookmarkStart w:id="242" w:name="_Toc229305399"/>
      <w:bookmarkStart w:id="243" w:name="_Toc222031043"/>
      <w:bookmarkStart w:id="244" w:name="_Toc222032710"/>
      <w:bookmarkStart w:id="245" w:name="_Toc222029541"/>
      <w:bookmarkStart w:id="246" w:name="_Toc221951271"/>
      <w:bookmarkStart w:id="247" w:name="_Toc222033892"/>
      <w:bookmarkStart w:id="248" w:name="_Toc33183769"/>
      <w:bookmarkStart w:id="249" w:name="_Toc59810421"/>
      <w:r>
        <w:rPr>
          <w:rFonts w:hint="eastAsia" w:ascii="宋体" w:hAnsi="宋体" w:cs="宋体"/>
          <w:color w:val="auto"/>
          <w:sz w:val="21"/>
          <w:szCs w:val="21"/>
          <w:highlight w:val="none"/>
        </w:rPr>
        <w:t>18.竣工验收</w:t>
      </w:r>
      <w:bookmarkEnd w:id="242"/>
      <w:bookmarkEnd w:id="243"/>
      <w:bookmarkEnd w:id="244"/>
      <w:bookmarkEnd w:id="245"/>
      <w:bookmarkEnd w:id="246"/>
      <w:bookmarkEnd w:id="247"/>
      <w:r>
        <w:rPr>
          <w:rFonts w:hint="eastAsia" w:ascii="宋体" w:hAnsi="宋体" w:cs="宋体"/>
          <w:color w:val="auto"/>
          <w:sz w:val="21"/>
          <w:szCs w:val="21"/>
          <w:highlight w:val="none"/>
        </w:rPr>
        <w:t>（验收）</w:t>
      </w:r>
      <w:bookmarkEnd w:id="248"/>
      <w:bookmarkEnd w:id="249"/>
    </w:p>
    <w:p w14:paraId="0D1784D9">
      <w:pPr>
        <w:keepNext/>
        <w:keepLines/>
        <w:snapToGrid w:val="0"/>
        <w:spacing w:line="600" w:lineRule="exact"/>
        <w:ind w:firstLine="420" w:firstLineChars="200"/>
        <w:outlineLvl w:val="3"/>
        <w:rPr>
          <w:rFonts w:hint="eastAsia" w:ascii="宋体" w:hAnsi="宋体" w:cs="宋体"/>
          <w:color w:val="auto"/>
          <w:szCs w:val="21"/>
          <w:highlight w:val="none"/>
        </w:rPr>
      </w:pPr>
      <w:bookmarkStart w:id="250" w:name="_Toc221951272"/>
      <w:bookmarkStart w:id="251" w:name="_Toc33183770"/>
      <w:r>
        <w:rPr>
          <w:rFonts w:hint="eastAsia" w:ascii="宋体" w:hAnsi="宋体" w:cs="宋体"/>
          <w:color w:val="auto"/>
          <w:szCs w:val="21"/>
          <w:highlight w:val="none"/>
        </w:rPr>
        <w:t xml:space="preserve">18.1 </w:t>
      </w:r>
      <w:bookmarkEnd w:id="250"/>
      <w:r>
        <w:rPr>
          <w:rFonts w:hint="eastAsia" w:ascii="宋体" w:hAnsi="宋体" w:cs="宋体"/>
          <w:color w:val="auto"/>
          <w:szCs w:val="21"/>
          <w:highlight w:val="none"/>
        </w:rPr>
        <w:t>验收工作分类</w:t>
      </w:r>
      <w:bookmarkEnd w:id="251"/>
    </w:p>
    <w:p w14:paraId="0723EBDB">
      <w:pPr>
        <w:spacing w:line="360" w:lineRule="auto"/>
        <w:ind w:firstLine="420" w:firstLineChars="200"/>
        <w:jc w:val="left"/>
        <w:rPr>
          <w:rFonts w:ascii="宋体" w:hAnsi="宋体" w:cs="宋体"/>
          <w:color w:val="auto"/>
          <w:kern w:val="0"/>
          <w:szCs w:val="21"/>
          <w:highlight w:val="none"/>
        </w:rPr>
      </w:pPr>
      <w:bookmarkStart w:id="252" w:name="_Toc221951274"/>
      <w:r>
        <w:rPr>
          <w:rFonts w:hint="eastAsia" w:ascii="宋体" w:hAnsi="宋体" w:cs="宋体"/>
          <w:color w:val="auto"/>
          <w:kern w:val="0"/>
          <w:szCs w:val="21"/>
          <w:highlight w:val="none"/>
        </w:rPr>
        <w:t>本款补充细化如下：</w:t>
      </w:r>
    </w:p>
    <w:p w14:paraId="6AFDB23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法人验收包括：</w:t>
      </w:r>
      <w:r>
        <w:rPr>
          <w:rFonts w:hint="eastAsia" w:ascii="宋体" w:hAnsi="宋体" w:cs="宋体"/>
          <w:color w:val="auto"/>
          <w:kern w:val="0"/>
          <w:szCs w:val="21"/>
          <w:highlight w:val="none"/>
          <w:u w:val="single"/>
        </w:rPr>
        <w:t>分部工程验收、单位工程验收、完工验收</w:t>
      </w:r>
      <w:r>
        <w:rPr>
          <w:rFonts w:hint="eastAsia" w:ascii="宋体" w:hAnsi="宋体" w:cs="宋体"/>
          <w:color w:val="auto"/>
          <w:kern w:val="0"/>
          <w:szCs w:val="21"/>
          <w:highlight w:val="none"/>
        </w:rPr>
        <w:t>。</w:t>
      </w:r>
    </w:p>
    <w:p w14:paraId="10CE9A7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政府验收包括：</w:t>
      </w:r>
      <w:r>
        <w:rPr>
          <w:rFonts w:hint="eastAsia" w:ascii="宋体" w:hAnsi="宋体" w:cs="宋体"/>
          <w:color w:val="auto"/>
          <w:kern w:val="0"/>
          <w:szCs w:val="21"/>
          <w:highlight w:val="none"/>
          <w:u w:val="single"/>
        </w:rPr>
        <w:t>专项验收（环境保护、移民安置、工程档案等）、阶段验收（枢纽工程导截流、水库下闸蓄水、引调排水工程通水、首末台机组启动等）、竣工验收。政府验收是指由有关人民政府、水行政主管部门或者其他有关部门组织进行的验收。</w:t>
      </w:r>
    </w:p>
    <w:p w14:paraId="5E84EB3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验收条件：</w:t>
      </w:r>
      <w:r>
        <w:rPr>
          <w:rFonts w:hint="eastAsia" w:ascii="宋体" w:hAnsi="宋体" w:cs="宋体"/>
          <w:color w:val="auto"/>
          <w:kern w:val="0"/>
          <w:szCs w:val="21"/>
          <w:highlight w:val="none"/>
          <w:u w:val="single"/>
        </w:rPr>
        <w:t>应符合国家有关规定及《水利水电建设工程验收规程》的要求和合同约定。承包人应按照规范规定准备验收资料、参加验收会议，按合同的约定配合发包人完成政府验收工作。</w:t>
      </w:r>
    </w:p>
    <w:p w14:paraId="28EA51C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验收程序：</w:t>
      </w:r>
      <w:r>
        <w:rPr>
          <w:rFonts w:hint="eastAsia" w:ascii="宋体" w:hAnsi="宋体" w:cs="宋体"/>
          <w:color w:val="auto"/>
          <w:kern w:val="0"/>
          <w:szCs w:val="21"/>
          <w:highlight w:val="none"/>
          <w:u w:val="single"/>
        </w:rPr>
        <w:t>按渝水基〔2008〕47号文件和现行的验收规程执行。</w:t>
      </w:r>
    </w:p>
    <w:p w14:paraId="4C52EB5B">
      <w:pPr>
        <w:spacing w:line="360" w:lineRule="auto"/>
        <w:ind w:firstLine="420" w:firstLineChars="200"/>
        <w:jc w:val="left"/>
        <w:rPr>
          <w:rFonts w:hint="eastAsia" w:ascii="宋体" w:hAnsi="宋体" w:cs="宋体"/>
          <w:color w:val="auto"/>
          <w:kern w:val="0"/>
          <w:szCs w:val="21"/>
          <w:highlight w:val="none"/>
        </w:rPr>
      </w:pPr>
    </w:p>
    <w:p w14:paraId="062D108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具体验收条件及程序如下：</w:t>
      </w:r>
    </w:p>
    <w:p w14:paraId="1BADFB1F">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18.1.1合同工程完工验收条件及程序</w:t>
      </w:r>
    </w:p>
    <w:p w14:paraId="699FE3C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具备《水利水电建设工程验收规程》要求的合同完工验收条件的，承包人可以申请合同完工验收。承包人申请合同完工验收的，应当按照以下程序进行： </w:t>
      </w:r>
    </w:p>
    <w:p w14:paraId="7731D59D">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向监理人报送合同完工验收申请报告，监理人应在收到合同完工验收申请报告后14天内完成审查并报送发包人。监理人审查后认为尚不具备验收条件的，应通知承包人在合同完工验收前承包人还需完成的工作内容，承包人应在完成监理人通知的全部工作内容后，再次提交合同完工验收申请报告。</w:t>
      </w:r>
    </w:p>
    <w:p w14:paraId="0E694E2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监理人审查后认为已具备合同完工验收条件的，应将竣工验收申请报告提交发包人，发包人应在收到经监理人审核的合同完工验收申请报告后28天内审批完毕并组织监理人、承包人、设计人等相关单位完成合同完工验收。</w:t>
      </w:r>
    </w:p>
    <w:p w14:paraId="4C703AB8">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（3）合同完工验收合格的，发包人应在验收合格后14天内向承包人签发工程移交证书。发包人无正当理由逾期不颁发工程移交证书的，自验收合格后第15天起视为已颁发工程移交证书。</w:t>
      </w:r>
    </w:p>
    <w:p w14:paraId="709FFEB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合同完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0641879">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（5）工程未经验收或验收不合格，发包人擅自使用的，应在转移占有工程后7天内向承包人颁发工程移交证书；发包人无正当理由逾期不颁发工程移交证书的，自转移占有后第15天起视为已颁发工程移交证书。</w:t>
      </w:r>
    </w:p>
    <w:p w14:paraId="4124EB7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发包人不按照本项约定组织合同完工验收、颁发工程移交证书的，每逾期一天，应以签约合同价为基数，</w:t>
      </w:r>
      <w:r>
        <w:rPr>
          <w:rFonts w:hint="eastAsia" w:ascii="宋体" w:hAnsi="宋体"/>
          <w:color w:val="auto"/>
          <w:szCs w:val="21"/>
          <w:highlight w:val="none"/>
          <w:u w:val="single"/>
        </w:rPr>
        <w:t>按照中国人民银行   年   月公布的5年期贷款市场报价利率</w:t>
      </w:r>
      <w:r>
        <w:rPr>
          <w:rFonts w:hint="eastAsia" w:ascii="宋体" w:hAnsi="宋体" w:cs="宋体"/>
          <w:color w:val="auto"/>
          <w:kern w:val="0"/>
          <w:szCs w:val="21"/>
          <w:highlight w:val="none"/>
        </w:rPr>
        <w:t>支付违约金。</w:t>
      </w:r>
    </w:p>
    <w:p w14:paraId="18971B4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工程完工及竣工资料、完工及竣工验收程序的约定：</w:t>
      </w:r>
      <w:r>
        <w:rPr>
          <w:rFonts w:hint="eastAsia" w:ascii="宋体" w:hAnsi="宋体" w:cs="宋体"/>
          <w:color w:val="auto"/>
          <w:kern w:val="0"/>
          <w:szCs w:val="21"/>
          <w:highlight w:val="none"/>
          <w:u w:val="single"/>
        </w:rPr>
        <w:t>按照《水利水电建设工程验收规程》和《水利工程建设项目验收管理规定》执行</w:t>
      </w:r>
      <w:r>
        <w:rPr>
          <w:rFonts w:hint="eastAsia" w:ascii="宋体" w:hAnsi="宋体" w:cs="宋体"/>
          <w:color w:val="auto"/>
          <w:kern w:val="0"/>
          <w:szCs w:val="21"/>
          <w:highlight w:val="none"/>
        </w:rPr>
        <w:t>。</w:t>
      </w:r>
    </w:p>
    <w:p w14:paraId="2C31E653">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18.1.2完工日期的界定</w:t>
      </w:r>
    </w:p>
    <w:p w14:paraId="1FABA344">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工程经合同完工验收合格的，以承包人提交合同完工验收申请报告之日为实际竣工日期，并在工程移交证书中载明；因发包人原因，未在监理人收到承包人提交的合同完工验收申请报告42天内完成合同完工验收，或完成合同完工验收不予签发工程移交证书的，以提交合同完工验收申请报告的日期为实际完工日期；工程未经合同完工验收，发包人擅自使用的，以转移占有工程之日为实际完工日期</w:t>
      </w:r>
      <w:r>
        <w:rPr>
          <w:rFonts w:hint="eastAsia" w:ascii="宋体" w:hAnsi="宋体" w:cs="宋体"/>
          <w:color w:val="auto"/>
          <w:kern w:val="0"/>
          <w:szCs w:val="21"/>
          <w:highlight w:val="none"/>
        </w:rPr>
        <w:t>。</w:t>
      </w:r>
    </w:p>
    <w:p w14:paraId="6013C731">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18.1.3拒绝接收全部或部分工程</w:t>
      </w:r>
    </w:p>
    <w:p w14:paraId="194A7E8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对于合同完工验收不合格的工程，承包人完成整改后，应当重新进行合同完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r>
        <w:rPr>
          <w:rFonts w:hint="eastAsia" w:ascii="宋体" w:hAnsi="宋体" w:cs="宋体"/>
          <w:color w:val="auto"/>
          <w:kern w:val="0"/>
          <w:szCs w:val="21"/>
          <w:highlight w:val="none"/>
        </w:rPr>
        <w:t>。</w:t>
      </w:r>
    </w:p>
    <w:p w14:paraId="79F5DF6D">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18.1.4移交、接收全部与部分工程</w:t>
      </w:r>
    </w:p>
    <w:p w14:paraId="3DB14E7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kern w:val="0"/>
          <w:szCs w:val="21"/>
          <w:highlight w:val="none"/>
          <w:u w:val="single"/>
        </w:rPr>
        <w:t>颁发工程移交证书后7天内完成工程的移交</w:t>
      </w:r>
      <w:r>
        <w:rPr>
          <w:rFonts w:hint="eastAsia" w:ascii="宋体" w:hAnsi="宋体" w:cs="宋体"/>
          <w:color w:val="auto"/>
          <w:kern w:val="0"/>
          <w:szCs w:val="21"/>
          <w:highlight w:val="none"/>
        </w:rPr>
        <w:t>。</w:t>
      </w:r>
    </w:p>
    <w:p w14:paraId="46FC622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发包人未按合同约定接收全部或部分工程的，违约金的计算方法为：</w:t>
      </w:r>
      <w:r>
        <w:rPr>
          <w:rFonts w:hint="eastAsia" w:ascii="宋体" w:hAnsi="宋体" w:cs="宋体"/>
          <w:color w:val="auto"/>
          <w:kern w:val="0"/>
          <w:szCs w:val="21"/>
          <w:highlight w:val="none"/>
          <w:u w:val="single"/>
        </w:rPr>
        <w:t>发包人自应当接收工程之日起承担工程照管、成品保护、保管等与工程有关的各项费用</w:t>
      </w:r>
      <w:r>
        <w:rPr>
          <w:rFonts w:hint="eastAsia" w:ascii="宋体" w:hAnsi="宋体" w:cs="宋体"/>
          <w:color w:val="auto"/>
          <w:kern w:val="0"/>
          <w:szCs w:val="21"/>
          <w:highlight w:val="none"/>
        </w:rPr>
        <w:t>。</w:t>
      </w:r>
    </w:p>
    <w:p w14:paraId="5B20340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因承包人自身原因未按时移交工程的，违约金的计算方法为：</w:t>
      </w:r>
      <w:r>
        <w:rPr>
          <w:rFonts w:hint="eastAsia" w:ascii="宋体" w:hAnsi="宋体" w:cs="宋体"/>
          <w:color w:val="auto"/>
          <w:kern w:val="0"/>
          <w:szCs w:val="21"/>
          <w:highlight w:val="none"/>
          <w:u w:val="single"/>
        </w:rPr>
        <w:t>承包人应承担工程照管、成品保护、保管等与工程有关的各项费用，并按经审定结算金额的0.5‰/天支付违约金</w:t>
      </w:r>
      <w:r>
        <w:rPr>
          <w:rFonts w:hint="eastAsia" w:ascii="宋体" w:hAnsi="宋体" w:cs="宋体"/>
          <w:color w:val="auto"/>
          <w:kern w:val="0"/>
          <w:szCs w:val="21"/>
          <w:highlight w:val="none"/>
        </w:rPr>
        <w:t>。</w:t>
      </w:r>
    </w:p>
    <w:p w14:paraId="5B31515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需要在施工期运行的单位工程或工程设备为：</w:t>
      </w:r>
      <w:r>
        <w:rPr>
          <w:rFonts w:hint="eastAsia" w:ascii="宋体" w:hAnsi="宋体" w:cs="宋体"/>
          <w:color w:val="auto"/>
          <w:kern w:val="0"/>
          <w:szCs w:val="21"/>
          <w:highlight w:val="none"/>
          <w:u w:val="single"/>
        </w:rPr>
        <w:t>根据工程项目划分后确定</w:t>
      </w:r>
      <w:r>
        <w:rPr>
          <w:rFonts w:hint="eastAsia" w:ascii="宋体" w:hAnsi="宋体" w:cs="宋体"/>
          <w:color w:val="auto"/>
          <w:kern w:val="0"/>
          <w:szCs w:val="21"/>
          <w:highlight w:val="none"/>
        </w:rPr>
        <w:t>。</w:t>
      </w:r>
    </w:p>
    <w:p w14:paraId="09D5FFDF">
      <w:pPr>
        <w:keepNext/>
        <w:keepLines/>
        <w:snapToGrid w:val="0"/>
        <w:spacing w:line="600" w:lineRule="exact"/>
        <w:ind w:firstLine="420" w:firstLineChars="200"/>
        <w:outlineLvl w:val="3"/>
        <w:rPr>
          <w:rFonts w:hint="eastAsia" w:ascii="宋体" w:hAnsi="宋体" w:cs="宋体"/>
          <w:color w:val="auto"/>
          <w:szCs w:val="21"/>
          <w:highlight w:val="none"/>
        </w:rPr>
      </w:pPr>
      <w:bookmarkStart w:id="253" w:name="_Toc33183771"/>
      <w:r>
        <w:rPr>
          <w:rFonts w:hint="eastAsia" w:ascii="宋体" w:hAnsi="宋体" w:cs="宋体"/>
          <w:color w:val="auto"/>
          <w:szCs w:val="21"/>
          <w:highlight w:val="none"/>
        </w:rPr>
        <w:t>18.2  分部工程验收</w:t>
      </w:r>
      <w:bookmarkEnd w:id="253"/>
    </w:p>
    <w:p w14:paraId="235638C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18.2.2本工程由发包人主持的分部工程验收为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，其余由监理主持。</w:t>
      </w:r>
    </w:p>
    <w:p w14:paraId="3FE16F9C">
      <w:pPr>
        <w:keepNext/>
        <w:keepLines/>
        <w:snapToGrid w:val="0"/>
        <w:spacing w:line="600" w:lineRule="exact"/>
        <w:ind w:firstLine="420" w:firstLineChars="200"/>
        <w:outlineLvl w:val="3"/>
        <w:rPr>
          <w:rFonts w:hint="eastAsia" w:ascii="宋体" w:hAnsi="宋体" w:cs="宋体"/>
          <w:color w:val="auto"/>
          <w:szCs w:val="21"/>
          <w:highlight w:val="none"/>
        </w:rPr>
      </w:pPr>
      <w:bookmarkStart w:id="254" w:name="_Toc33183772"/>
      <w:r>
        <w:rPr>
          <w:rFonts w:hint="eastAsia" w:ascii="宋体" w:hAnsi="宋体" w:cs="宋体"/>
          <w:color w:val="auto"/>
          <w:szCs w:val="21"/>
          <w:highlight w:val="none"/>
        </w:rPr>
        <w:t>18.3  单位工程验收</w:t>
      </w:r>
      <w:bookmarkEnd w:id="254"/>
    </w:p>
    <w:p w14:paraId="53D49FBA">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18.3.4  提前投入使用的单位工程包括：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252"/>
    <w:p w14:paraId="7BE1FEE7">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255" w:name="_Toc221951282"/>
      <w:bookmarkStart w:id="256" w:name="_Toc33183773"/>
      <w:r>
        <w:rPr>
          <w:rFonts w:hint="eastAsia" w:ascii="宋体" w:hAnsi="宋体" w:cs="宋体"/>
          <w:color w:val="auto"/>
          <w:szCs w:val="21"/>
          <w:highlight w:val="none"/>
        </w:rPr>
        <w:t xml:space="preserve">18.5  </w:t>
      </w:r>
      <w:bookmarkEnd w:id="255"/>
      <w:r>
        <w:rPr>
          <w:rFonts w:hint="eastAsia" w:ascii="宋体" w:hAnsi="宋体" w:cs="宋体"/>
          <w:color w:val="auto"/>
          <w:szCs w:val="21"/>
          <w:highlight w:val="none"/>
        </w:rPr>
        <w:t>阶段验收</w:t>
      </w:r>
      <w:bookmarkEnd w:id="256"/>
    </w:p>
    <w:p w14:paraId="4CAEDBA8">
      <w:pPr>
        <w:spacing w:line="360" w:lineRule="auto"/>
        <w:ind w:firstLine="315" w:firstLineChars="150"/>
        <w:rPr>
          <w:rFonts w:hint="eastAsia" w:ascii="宋体" w:hAnsi="宋体" w:cs="宋体"/>
          <w:color w:val="auto"/>
          <w:szCs w:val="21"/>
          <w:highlight w:val="none"/>
        </w:rPr>
      </w:pPr>
      <w:bookmarkStart w:id="257" w:name="_Toc221951283"/>
      <w:r>
        <w:rPr>
          <w:rFonts w:hint="eastAsia" w:ascii="宋体" w:hAnsi="宋体" w:cs="宋体"/>
          <w:color w:val="auto"/>
          <w:szCs w:val="21"/>
          <w:highlight w:val="none"/>
        </w:rPr>
        <w:t>18.5.1 本合同工程阶段验收类别包括：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bookmarkEnd w:id="257"/>
      <w:r>
        <w:rPr>
          <w:rFonts w:ascii="宋体" w:hAnsi="宋体" w:cs="宋体"/>
          <w:color w:val="auto"/>
          <w:szCs w:val="21"/>
          <w:highlight w:val="none"/>
        </w:rPr>
        <w:t xml:space="preserve">、 </w:t>
      </w:r>
      <w:bookmarkStart w:id="258" w:name="_Toc221951284"/>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258"/>
    </w:p>
    <w:p w14:paraId="3D819549">
      <w:pPr>
        <w:keepNext/>
        <w:keepLines/>
        <w:snapToGrid w:val="0"/>
        <w:spacing w:line="600" w:lineRule="exact"/>
        <w:ind w:firstLine="420" w:firstLineChars="200"/>
        <w:outlineLvl w:val="3"/>
        <w:rPr>
          <w:rFonts w:hint="eastAsia" w:ascii="宋体" w:hAnsi="宋体" w:cs="宋体"/>
          <w:color w:val="auto"/>
          <w:szCs w:val="21"/>
          <w:highlight w:val="none"/>
        </w:rPr>
      </w:pPr>
      <w:bookmarkStart w:id="259" w:name="_Toc221951285"/>
      <w:bookmarkStart w:id="260" w:name="_Toc33183774"/>
      <w:r>
        <w:rPr>
          <w:rFonts w:hint="eastAsia" w:ascii="宋体" w:hAnsi="宋体" w:cs="宋体"/>
          <w:color w:val="auto"/>
          <w:szCs w:val="21"/>
          <w:highlight w:val="none"/>
        </w:rPr>
        <w:t xml:space="preserve">18.6  </w:t>
      </w:r>
      <w:bookmarkEnd w:id="259"/>
      <w:r>
        <w:rPr>
          <w:rFonts w:hint="eastAsia" w:ascii="宋体" w:hAnsi="宋体" w:cs="宋体"/>
          <w:color w:val="auto"/>
          <w:szCs w:val="21"/>
          <w:highlight w:val="none"/>
        </w:rPr>
        <w:t>专项验收</w:t>
      </w:r>
      <w:bookmarkEnd w:id="260"/>
      <w:r>
        <w:rPr>
          <w:rFonts w:hint="eastAsia" w:ascii="宋体" w:hAnsi="宋体" w:cs="宋体"/>
          <w:color w:val="auto"/>
          <w:szCs w:val="21"/>
          <w:highlight w:val="none"/>
        </w:rPr>
        <w:t xml:space="preserve">   </w:t>
      </w:r>
    </w:p>
    <w:p w14:paraId="23EBE838">
      <w:pPr>
        <w:spacing w:line="360" w:lineRule="auto"/>
        <w:ind w:right="248" w:firstLine="480"/>
        <w:rPr>
          <w:rFonts w:hint="eastAsia" w:ascii="宋体" w:hAnsi="宋体" w:cs="宋体"/>
          <w:color w:val="auto"/>
          <w:szCs w:val="21"/>
          <w:highlight w:val="none"/>
        </w:rPr>
      </w:pPr>
      <w:bookmarkStart w:id="261" w:name="_Toc221951286"/>
      <w:r>
        <w:rPr>
          <w:rFonts w:hint="eastAsia" w:ascii="宋体" w:hAnsi="宋体" w:cs="宋体"/>
          <w:color w:val="auto"/>
          <w:szCs w:val="21"/>
          <w:highlight w:val="none"/>
        </w:rPr>
        <w:t xml:space="preserve">18.6.1 </w:t>
      </w:r>
      <w:bookmarkEnd w:id="261"/>
      <w:r>
        <w:rPr>
          <w:rFonts w:hint="eastAsia" w:ascii="宋体" w:hAnsi="宋体" w:cs="宋体"/>
          <w:color w:val="auto"/>
          <w:szCs w:val="21"/>
          <w:highlight w:val="none"/>
        </w:rPr>
        <w:t>本合同工程专项验收类别包括：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4EAC3FA">
      <w:pPr>
        <w:keepNext/>
        <w:keepLines/>
        <w:snapToGrid w:val="0"/>
        <w:spacing w:line="600" w:lineRule="exact"/>
        <w:ind w:firstLine="420" w:firstLineChars="200"/>
        <w:outlineLvl w:val="3"/>
        <w:rPr>
          <w:rFonts w:hint="eastAsia" w:ascii="宋体" w:hAnsi="宋体" w:cs="宋体"/>
          <w:color w:val="auto"/>
          <w:szCs w:val="21"/>
          <w:highlight w:val="none"/>
        </w:rPr>
      </w:pPr>
      <w:bookmarkStart w:id="262" w:name="_Toc221951289"/>
      <w:bookmarkStart w:id="263" w:name="_Toc33183775"/>
      <w:r>
        <w:rPr>
          <w:rFonts w:hint="eastAsia" w:ascii="宋体" w:hAnsi="宋体" w:cs="宋体"/>
          <w:color w:val="auto"/>
          <w:szCs w:val="21"/>
          <w:highlight w:val="none"/>
        </w:rPr>
        <w:t>18.7 竣工</w:t>
      </w:r>
      <w:bookmarkEnd w:id="262"/>
      <w:r>
        <w:rPr>
          <w:rFonts w:hint="eastAsia" w:ascii="宋体" w:hAnsi="宋体" w:cs="宋体"/>
          <w:color w:val="auto"/>
          <w:szCs w:val="21"/>
          <w:highlight w:val="none"/>
        </w:rPr>
        <w:t>验收</w:t>
      </w:r>
      <w:bookmarkEnd w:id="263"/>
    </w:p>
    <w:p w14:paraId="00411C40">
      <w:pPr>
        <w:spacing w:line="360" w:lineRule="auto"/>
        <w:ind w:firstLine="420" w:firstLineChars="200"/>
        <w:jc w:val="left"/>
        <w:rPr>
          <w:rFonts w:hint="eastAsia" w:ascii="宋体" w:hAnsi="宋体" w:cs="宋体"/>
          <w:color w:val="auto"/>
          <w:kern w:val="0"/>
          <w:szCs w:val="21"/>
          <w:highlight w:val="none"/>
        </w:rPr>
      </w:pPr>
      <w:bookmarkStart w:id="264" w:name="_Toc221951290"/>
      <w:r>
        <w:rPr>
          <w:rFonts w:hint="eastAsia" w:ascii="宋体" w:hAnsi="宋体" w:cs="宋体"/>
          <w:color w:val="auto"/>
          <w:kern w:val="0"/>
          <w:szCs w:val="21"/>
          <w:highlight w:val="none"/>
        </w:rPr>
        <w:t>本款竣工验收在水利工程中特指政府验收。</w:t>
      </w:r>
    </w:p>
    <w:p w14:paraId="0686CC01">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18.7.3本工程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（需要/不需要）竣工验收技术鉴定</w:t>
      </w:r>
      <w:r>
        <w:rPr>
          <w:rFonts w:ascii="宋体" w:hAnsi="宋体" w:cs="宋体"/>
          <w:color w:val="auto"/>
          <w:szCs w:val="21"/>
          <w:highlight w:val="none"/>
        </w:rPr>
        <w:t>（蓄水安全鉴定）</w:t>
      </w:r>
      <w:r>
        <w:rPr>
          <w:rFonts w:hint="eastAsia" w:ascii="宋体" w:hAnsi="宋体" w:cs="宋体"/>
          <w:color w:val="auto"/>
          <w:szCs w:val="21"/>
          <w:highlight w:val="none"/>
        </w:rPr>
        <w:t>。</w:t>
      </w:r>
      <w:bookmarkEnd w:id="264"/>
    </w:p>
    <w:p w14:paraId="71BE9402">
      <w:pPr>
        <w:keepNext/>
        <w:keepLines/>
        <w:snapToGrid w:val="0"/>
        <w:spacing w:line="600" w:lineRule="exact"/>
        <w:ind w:firstLine="420" w:firstLineChars="200"/>
        <w:outlineLvl w:val="3"/>
        <w:rPr>
          <w:rFonts w:hint="eastAsia" w:ascii="宋体" w:hAnsi="宋体" w:cs="宋体"/>
          <w:color w:val="auto"/>
          <w:szCs w:val="21"/>
          <w:highlight w:val="none"/>
        </w:rPr>
      </w:pPr>
      <w:bookmarkStart w:id="265" w:name="_Toc33183776"/>
      <w:r>
        <w:rPr>
          <w:rFonts w:hint="eastAsia" w:ascii="宋体" w:hAnsi="宋体" w:cs="宋体"/>
          <w:color w:val="auto"/>
          <w:szCs w:val="21"/>
          <w:highlight w:val="none"/>
        </w:rPr>
        <w:t>18.8 施工期运行</w:t>
      </w:r>
      <w:bookmarkEnd w:id="265"/>
    </w:p>
    <w:p w14:paraId="43D5CEDE">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18.8.1需要在施工期运行的单位工程或工程设备为：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DD88AF">
      <w:pPr>
        <w:keepNext/>
        <w:keepLines/>
        <w:snapToGrid w:val="0"/>
        <w:spacing w:line="600" w:lineRule="exact"/>
        <w:ind w:firstLine="420" w:firstLineChars="200"/>
        <w:outlineLvl w:val="3"/>
        <w:rPr>
          <w:rFonts w:hint="eastAsia" w:ascii="宋体" w:hAnsi="宋体" w:cs="宋体"/>
          <w:color w:val="auto"/>
          <w:szCs w:val="21"/>
          <w:highlight w:val="none"/>
        </w:rPr>
      </w:pPr>
      <w:bookmarkStart w:id="266" w:name="_Toc33183777"/>
      <w:r>
        <w:rPr>
          <w:rFonts w:hint="eastAsia" w:ascii="宋体" w:hAnsi="宋体" w:cs="宋体"/>
          <w:color w:val="auto"/>
          <w:szCs w:val="21"/>
          <w:highlight w:val="none"/>
        </w:rPr>
        <w:t>18.9 试运行</w:t>
      </w:r>
      <w:bookmarkEnd w:id="266"/>
    </w:p>
    <w:p w14:paraId="3DC0CC4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18.9.1试运行的组织：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；费用承担：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548EA5">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本项细化以下内容：</w:t>
      </w:r>
    </w:p>
    <w:p w14:paraId="708F877C">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工程试车内容：</w:t>
      </w:r>
      <w:r>
        <w:rPr>
          <w:rFonts w:hint="eastAsia" w:ascii="宋体" w:hAnsi="宋体" w:cs="宋体"/>
          <w:color w:val="auto"/>
          <w:kern w:val="0"/>
          <w:szCs w:val="21"/>
          <w:highlight w:val="none"/>
          <w:u w:val="single"/>
        </w:rPr>
        <w:t>按通用合同条款执行</w:t>
      </w:r>
      <w:r>
        <w:rPr>
          <w:rFonts w:hint="eastAsia" w:ascii="宋体" w:hAnsi="宋体" w:cs="宋体"/>
          <w:color w:val="auto"/>
          <w:kern w:val="0"/>
          <w:szCs w:val="21"/>
          <w:highlight w:val="none"/>
        </w:rPr>
        <w:t>。</w:t>
      </w:r>
    </w:p>
    <w:p w14:paraId="155E243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（1）单机无负荷试车费用由承包人承担</w:t>
      </w:r>
      <w:r>
        <w:rPr>
          <w:rFonts w:hint="eastAsia" w:ascii="宋体" w:hAnsi="宋体" w:cs="宋体"/>
          <w:color w:val="auto"/>
          <w:kern w:val="0"/>
          <w:szCs w:val="21"/>
          <w:highlight w:val="none"/>
        </w:rPr>
        <w:t>；</w:t>
      </w:r>
    </w:p>
    <w:p w14:paraId="5B5FED84">
      <w:pPr>
        <w:spacing w:line="360" w:lineRule="auto"/>
        <w:ind w:firstLine="420" w:firstLineChars="200"/>
        <w:jc w:val="left"/>
        <w:rPr>
          <w:rFonts w:hint="eastAsia"/>
          <w:color w:val="auto"/>
          <w:highlight w:val="none"/>
        </w:rPr>
      </w:pPr>
      <w:r>
        <w:rPr>
          <w:rFonts w:hint="eastAsia" w:ascii="宋体" w:hAnsi="宋体" w:cs="宋体"/>
          <w:color w:val="auto"/>
          <w:kern w:val="0"/>
          <w:szCs w:val="21"/>
          <w:highlight w:val="none"/>
          <w:u w:val="single"/>
        </w:rPr>
        <w:t>（2）无负荷联动试车费用由发包人承担</w:t>
      </w:r>
      <w:r>
        <w:rPr>
          <w:rFonts w:hint="eastAsia" w:ascii="宋体" w:hAnsi="宋体" w:cs="宋体"/>
          <w:color w:val="auto"/>
          <w:kern w:val="0"/>
          <w:szCs w:val="21"/>
          <w:highlight w:val="none"/>
        </w:rPr>
        <w:t>。</w:t>
      </w:r>
    </w:p>
    <w:p w14:paraId="08ACF898">
      <w:pPr>
        <w:keepNext/>
        <w:keepLines/>
        <w:snapToGrid w:val="0"/>
        <w:spacing w:line="600" w:lineRule="exact"/>
        <w:ind w:firstLine="420" w:firstLineChars="200"/>
        <w:outlineLvl w:val="3"/>
        <w:rPr>
          <w:rFonts w:hint="eastAsia" w:ascii="宋体" w:hAnsi="宋体" w:cs="宋体"/>
          <w:b/>
          <w:color w:val="auto"/>
          <w:szCs w:val="21"/>
          <w:highlight w:val="none"/>
        </w:rPr>
      </w:pPr>
      <w:bookmarkStart w:id="267" w:name="_Toc33183778"/>
      <w:r>
        <w:rPr>
          <w:rFonts w:hint="eastAsia" w:ascii="宋体" w:hAnsi="宋体" w:cs="宋体"/>
          <w:color w:val="auto"/>
          <w:szCs w:val="21"/>
          <w:highlight w:val="none"/>
        </w:rPr>
        <w:t>18.10 竣工（完工）清场</w:t>
      </w:r>
      <w:bookmarkEnd w:id="267"/>
    </w:p>
    <w:p w14:paraId="46F66E06">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承包人完工退场的期限：</w:t>
      </w:r>
      <w:r>
        <w:rPr>
          <w:rFonts w:hint="eastAsia" w:ascii="宋体" w:hAnsi="宋体" w:cs="宋体"/>
          <w:color w:val="auto"/>
          <w:kern w:val="0"/>
          <w:szCs w:val="21"/>
          <w:highlight w:val="none"/>
          <w:u w:val="single"/>
        </w:rPr>
        <w:t>工程移交证书颁发后30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s="宋体"/>
          <w:color w:val="auto"/>
          <w:kern w:val="0"/>
          <w:szCs w:val="21"/>
          <w:highlight w:val="none"/>
        </w:rPr>
        <w:t>。</w:t>
      </w:r>
    </w:p>
    <w:p w14:paraId="59105A17">
      <w:pPr>
        <w:pStyle w:val="5"/>
        <w:spacing w:line="360" w:lineRule="auto"/>
        <w:rPr>
          <w:rFonts w:hint="eastAsia" w:ascii="宋体" w:hAnsi="宋体" w:cs="宋体"/>
          <w:color w:val="auto"/>
          <w:sz w:val="21"/>
          <w:szCs w:val="21"/>
          <w:highlight w:val="none"/>
        </w:rPr>
      </w:pPr>
      <w:bookmarkStart w:id="268" w:name="_Toc33183779"/>
      <w:bookmarkStart w:id="269" w:name="_Toc59810422"/>
      <w:r>
        <w:rPr>
          <w:rFonts w:hint="eastAsia" w:ascii="宋体" w:hAnsi="宋体" w:cs="宋体"/>
          <w:color w:val="auto"/>
          <w:sz w:val="21"/>
          <w:szCs w:val="21"/>
          <w:highlight w:val="none"/>
        </w:rPr>
        <w:t>19.缺陷责任与保修责任</w:t>
      </w:r>
      <w:bookmarkEnd w:id="268"/>
      <w:bookmarkEnd w:id="269"/>
    </w:p>
    <w:p w14:paraId="2B80D63A">
      <w:pPr>
        <w:keepNext/>
        <w:keepLines/>
        <w:snapToGrid w:val="0"/>
        <w:spacing w:line="600" w:lineRule="exact"/>
        <w:ind w:firstLine="420" w:firstLineChars="200"/>
        <w:outlineLvl w:val="3"/>
        <w:rPr>
          <w:rFonts w:hint="eastAsia" w:ascii="宋体" w:hAnsi="宋体" w:cs="宋体"/>
          <w:color w:val="auto"/>
          <w:szCs w:val="21"/>
          <w:highlight w:val="none"/>
        </w:rPr>
      </w:pPr>
      <w:bookmarkStart w:id="270" w:name="_Toc33183780"/>
      <w:r>
        <w:rPr>
          <w:rFonts w:hint="eastAsia" w:ascii="宋体" w:hAnsi="宋体" w:cs="宋体"/>
          <w:color w:val="auto"/>
          <w:szCs w:val="21"/>
          <w:highlight w:val="none"/>
        </w:rPr>
        <w:t>19.1 缺陷责任期（工程质量保修期）的起算时间</w:t>
      </w:r>
      <w:bookmarkEnd w:id="270"/>
    </w:p>
    <w:p w14:paraId="308940C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本款补充19.1.1</w:t>
      </w:r>
      <w:r>
        <w:rPr>
          <w:rFonts w:hint="eastAsia" w:ascii="宋体" w:hAnsi="宋体"/>
          <w:color w:val="auto"/>
          <w:kern w:val="0"/>
          <w:szCs w:val="21"/>
          <w:highlight w:val="none"/>
        </w:rPr>
        <w:t>、19.1.2项如下：</w:t>
      </w:r>
    </w:p>
    <w:p w14:paraId="42C1CA9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19.1.1 缺陷责任期的期限为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月（最长不超过24个月）。在缺陷责任期内，承包人应尽快完成在完工验收证书中写明的未完成工作，并完成对本工程缺陷的修复或监理人指令的修补工作。</w:t>
      </w:r>
    </w:p>
    <w:p w14:paraId="67CB1EA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19.1.2工程质量保修期及修复责任</w:t>
      </w:r>
    </w:p>
    <w:p w14:paraId="2879210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工程质量保修期：按国家现行有关规定执行。</w:t>
      </w:r>
    </w:p>
    <w:p w14:paraId="1C8B28D9">
      <w:pP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48小时内,最长不能超过72小时</w:t>
      </w:r>
      <w:r>
        <w:rPr>
          <w:rFonts w:hint="eastAsia" w:ascii="宋体" w:hAnsi="宋体" w:cs="宋体"/>
          <w:color w:val="auto"/>
          <w:kern w:val="0"/>
          <w:szCs w:val="21"/>
          <w:highlight w:val="none"/>
        </w:rPr>
        <w:t>。</w:t>
      </w:r>
    </w:p>
    <w:p w14:paraId="426B4697">
      <w:pPr>
        <w:spacing w:line="360" w:lineRule="auto"/>
        <w:ind w:right="248"/>
        <w:rPr>
          <w:rFonts w:hint="eastAsia" w:ascii="宋体" w:hAnsi="宋体" w:cs="宋体"/>
          <w:color w:val="auto"/>
          <w:szCs w:val="21"/>
          <w:highlight w:val="none"/>
        </w:rPr>
      </w:pPr>
    </w:p>
    <w:p w14:paraId="657090DA">
      <w:pPr>
        <w:pStyle w:val="5"/>
        <w:spacing w:line="360" w:lineRule="auto"/>
        <w:rPr>
          <w:rFonts w:hint="eastAsia" w:ascii="宋体" w:hAnsi="宋体" w:cs="宋体"/>
          <w:color w:val="auto"/>
          <w:sz w:val="21"/>
          <w:szCs w:val="21"/>
          <w:highlight w:val="none"/>
        </w:rPr>
      </w:pPr>
      <w:bookmarkStart w:id="271" w:name="_Toc59810423"/>
      <w:bookmarkStart w:id="272" w:name="_Toc229305400"/>
      <w:bookmarkStart w:id="273" w:name="_Toc33183781"/>
      <w:bookmarkStart w:id="274" w:name="_Toc221951299"/>
      <w:bookmarkStart w:id="275" w:name="_Toc222029542"/>
      <w:bookmarkStart w:id="276" w:name="_Toc222031044"/>
      <w:bookmarkStart w:id="277" w:name="_Toc222032711"/>
      <w:bookmarkStart w:id="278" w:name="_Toc222033893"/>
      <w:r>
        <w:rPr>
          <w:rFonts w:hint="eastAsia" w:ascii="宋体" w:hAnsi="宋体" w:cs="宋体"/>
          <w:color w:val="auto"/>
          <w:sz w:val="21"/>
          <w:szCs w:val="21"/>
          <w:highlight w:val="none"/>
        </w:rPr>
        <w:t>20.保险</w:t>
      </w:r>
      <w:bookmarkEnd w:id="271"/>
      <w:bookmarkEnd w:id="272"/>
      <w:bookmarkEnd w:id="273"/>
      <w:bookmarkEnd w:id="274"/>
      <w:bookmarkEnd w:id="275"/>
      <w:bookmarkEnd w:id="276"/>
      <w:bookmarkEnd w:id="277"/>
      <w:bookmarkEnd w:id="278"/>
    </w:p>
    <w:p w14:paraId="366D696E">
      <w:pPr>
        <w:keepNext/>
        <w:keepLines/>
        <w:snapToGrid w:val="0"/>
        <w:spacing w:line="600" w:lineRule="exact"/>
        <w:ind w:firstLine="420" w:firstLineChars="200"/>
        <w:outlineLvl w:val="3"/>
        <w:rPr>
          <w:rFonts w:hint="eastAsia" w:ascii="宋体" w:hAnsi="宋体" w:cs="宋体"/>
          <w:color w:val="auto"/>
          <w:szCs w:val="21"/>
          <w:highlight w:val="none"/>
        </w:rPr>
      </w:pPr>
      <w:bookmarkStart w:id="279" w:name="_Toc221951321"/>
      <w:bookmarkStart w:id="280" w:name="_Toc33183782"/>
      <w:r>
        <w:rPr>
          <w:rFonts w:hint="eastAsia" w:ascii="宋体" w:hAnsi="宋体" w:cs="宋体"/>
          <w:color w:val="auto"/>
          <w:szCs w:val="21"/>
          <w:highlight w:val="none"/>
        </w:rPr>
        <w:t>20.1  工程保险</w:t>
      </w:r>
      <w:bookmarkEnd w:id="279"/>
      <w:bookmarkEnd w:id="280"/>
    </w:p>
    <w:p w14:paraId="05465EA0">
      <w:pPr>
        <w:snapToGrid w:val="0"/>
        <w:spacing w:line="360" w:lineRule="auto"/>
        <w:ind w:firstLine="420" w:firstLineChars="200"/>
        <w:jc w:val="left"/>
        <w:rPr>
          <w:rFonts w:hint="eastAsia" w:ascii="宋体" w:hAnsi="宋体" w:cs="宋体"/>
          <w:color w:val="auto"/>
          <w:kern w:val="0"/>
          <w:szCs w:val="21"/>
          <w:highlight w:val="none"/>
        </w:rPr>
      </w:pPr>
      <w:bookmarkStart w:id="281" w:name="_Toc221951323"/>
      <w:r>
        <w:rPr>
          <w:rFonts w:hint="eastAsia" w:ascii="宋体" w:hAnsi="宋体" w:cs="宋体"/>
          <w:color w:val="auto"/>
          <w:kern w:val="0"/>
          <w:szCs w:val="21"/>
          <w:highlight w:val="none"/>
        </w:rPr>
        <w:t>建筑工程一切险和（或）安装工程一切险投保人：</w:t>
      </w:r>
      <w:r>
        <w:rPr>
          <w:rFonts w:hint="eastAsia" w:ascii="宋体" w:hAnsi="宋体" w:cs="宋体"/>
          <w:color w:val="auto"/>
          <w:kern w:val="0"/>
          <w:szCs w:val="21"/>
          <w:highlight w:val="none"/>
          <w:u w:val="single"/>
        </w:rPr>
        <w:t>发包人</w:t>
      </w:r>
      <w:r>
        <w:rPr>
          <w:rFonts w:hint="eastAsia" w:ascii="宋体" w:hAnsi="宋体" w:cs="宋体"/>
          <w:color w:val="auto"/>
          <w:kern w:val="0"/>
          <w:szCs w:val="21"/>
          <w:highlight w:val="none"/>
        </w:rPr>
        <w:t>。</w:t>
      </w:r>
    </w:p>
    <w:p w14:paraId="2B10DEAF">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投保内容：</w:t>
      </w:r>
      <w:r>
        <w:rPr>
          <w:rFonts w:hint="eastAsia" w:ascii="宋体" w:hAnsi="宋体" w:cs="宋体"/>
          <w:color w:val="auto"/>
          <w:kern w:val="0"/>
          <w:szCs w:val="21"/>
          <w:highlight w:val="none"/>
          <w:u w:val="single"/>
        </w:rPr>
        <w:t>本合同工程</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w:t>
      </w:r>
    </w:p>
    <w:p w14:paraId="315A6BA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保险金额、保险费率和保险期限：</w:t>
      </w:r>
      <w:r>
        <w:rPr>
          <w:rFonts w:hint="eastAsia" w:ascii="宋体" w:hAnsi="宋体" w:cs="宋体"/>
          <w:color w:val="auto"/>
          <w:kern w:val="0"/>
          <w:szCs w:val="21"/>
          <w:highlight w:val="none"/>
          <w:u w:val="single"/>
        </w:rPr>
        <w:t>保险期限为开工日起直至签发工程缺陷责任期证书止（即合同工期＋缺陷责任期）。保险金额、保险费率按国家有关规定执行</w:t>
      </w:r>
      <w:r>
        <w:rPr>
          <w:rFonts w:hint="eastAsia" w:ascii="宋体" w:hAnsi="宋体" w:cs="宋体"/>
          <w:color w:val="auto"/>
          <w:kern w:val="0"/>
          <w:szCs w:val="21"/>
          <w:highlight w:val="none"/>
        </w:rPr>
        <w:t>。</w:t>
      </w:r>
    </w:p>
    <w:p w14:paraId="7AB9464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承包人应以发包人和承包人的共同名义投保建筑工程一切险。发包人在接到保险单后，将按照保险单的费用直接向承包人支付。</w:t>
      </w:r>
    </w:p>
    <w:p w14:paraId="1EAD901B">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282" w:name="_Toc33183783"/>
      <w:r>
        <w:rPr>
          <w:rFonts w:hint="eastAsia" w:ascii="宋体" w:hAnsi="宋体" w:cs="宋体"/>
          <w:color w:val="auto"/>
          <w:szCs w:val="21"/>
          <w:highlight w:val="none"/>
        </w:rPr>
        <w:t>20.4  第三者责任险</w:t>
      </w:r>
      <w:bookmarkEnd w:id="281"/>
      <w:bookmarkEnd w:id="282"/>
    </w:p>
    <w:p w14:paraId="312DE15A">
      <w:pPr>
        <w:spacing w:line="360" w:lineRule="auto"/>
        <w:ind w:right="248" w:firstLine="480"/>
        <w:rPr>
          <w:rFonts w:hint="eastAsia" w:ascii="宋体" w:hAnsi="宋体" w:cs="宋体"/>
          <w:color w:val="auto"/>
          <w:szCs w:val="21"/>
          <w:highlight w:val="none"/>
        </w:rPr>
      </w:pPr>
      <w:bookmarkStart w:id="283" w:name="_Toc221951325"/>
      <w:r>
        <w:rPr>
          <w:rFonts w:hint="eastAsia" w:ascii="宋体" w:hAnsi="宋体" w:cs="宋体"/>
          <w:color w:val="auto"/>
          <w:szCs w:val="21"/>
          <w:highlight w:val="none"/>
        </w:rPr>
        <w:t>20.4.2  第三者责任险保险费率：</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由承包人按国家规定以承包人和发包人的共同名义投保；</w:t>
      </w:r>
      <w:r>
        <w:rPr>
          <w:rFonts w:hint="eastAsia" w:ascii="宋体" w:hAnsi="宋体" w:cs="宋体"/>
          <w:color w:val="auto"/>
          <w:szCs w:val="21"/>
          <w:highlight w:val="none"/>
        </w:rPr>
        <w:t xml:space="preserve">                                       </w:t>
      </w:r>
    </w:p>
    <w:p w14:paraId="698A5B3C">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第三者责任险保险金额：</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按国家规定执行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EA0946C">
      <w:pPr>
        <w:keepNext/>
        <w:keepLines/>
        <w:snapToGrid w:val="0"/>
        <w:spacing w:line="600" w:lineRule="exact"/>
        <w:ind w:firstLine="420" w:firstLineChars="200"/>
        <w:outlineLvl w:val="3"/>
        <w:rPr>
          <w:rFonts w:hint="eastAsia" w:ascii="宋体" w:hAnsi="宋体" w:cs="宋体"/>
          <w:color w:val="auto"/>
          <w:szCs w:val="21"/>
          <w:highlight w:val="none"/>
        </w:rPr>
      </w:pPr>
      <w:bookmarkStart w:id="284" w:name="_Toc33183784"/>
      <w:r>
        <w:rPr>
          <w:rFonts w:hint="eastAsia" w:ascii="宋体" w:hAnsi="宋体" w:cs="宋体"/>
          <w:color w:val="auto"/>
          <w:szCs w:val="21"/>
          <w:highlight w:val="none"/>
        </w:rPr>
        <w:t>20.5  其他保险</w:t>
      </w:r>
      <w:bookmarkEnd w:id="283"/>
      <w:bookmarkEnd w:id="284"/>
    </w:p>
    <w:p w14:paraId="4F9CFDE1">
      <w:pPr>
        <w:snapToGrid w:val="0"/>
        <w:spacing w:line="360" w:lineRule="auto"/>
        <w:ind w:firstLine="420" w:firstLineChars="200"/>
        <w:jc w:val="left"/>
        <w:rPr>
          <w:rFonts w:hint="eastAsia" w:ascii="宋体" w:hAnsi="宋体" w:cs="宋体"/>
          <w:color w:val="auto"/>
          <w:kern w:val="0"/>
          <w:szCs w:val="21"/>
          <w:highlight w:val="none"/>
        </w:rPr>
      </w:pPr>
      <w:bookmarkStart w:id="285" w:name="_Toc221951327"/>
      <w:r>
        <w:rPr>
          <w:rFonts w:hint="eastAsia" w:ascii="宋体" w:hAnsi="宋体" w:cs="宋体"/>
          <w:color w:val="auto"/>
          <w:kern w:val="0"/>
          <w:szCs w:val="21"/>
          <w:highlight w:val="none"/>
        </w:rPr>
        <w:t>需要投保的其它内容：</w:t>
      </w:r>
      <w:r>
        <w:rPr>
          <w:rFonts w:hint="eastAsia" w:ascii="宋体" w:hAnsi="宋体" w:cs="宋体"/>
          <w:color w:val="auto"/>
          <w:kern w:val="0"/>
          <w:szCs w:val="21"/>
          <w:highlight w:val="none"/>
          <w:u w:val="single"/>
        </w:rPr>
        <w:t>承包人应为其采购的工程设备（电机、水泵、阀门、管材等）保险及整个施工期间为其现场机构雇用的全部人员投保人身意外伤害险并缴纳保险费。若项目存在分包，则分包人也须购买此项保险，保险费已包含在合同价款中</w:t>
      </w:r>
      <w:r>
        <w:rPr>
          <w:rFonts w:hint="eastAsia" w:ascii="宋体" w:hAnsi="宋体" w:cs="宋体"/>
          <w:color w:val="auto"/>
          <w:kern w:val="0"/>
          <w:szCs w:val="21"/>
          <w:highlight w:val="none"/>
        </w:rPr>
        <w:t>；</w:t>
      </w:r>
    </w:p>
    <w:p w14:paraId="4D1EE203">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保险金额、保险费率和保险期限：</w:t>
      </w:r>
      <w:r>
        <w:rPr>
          <w:rFonts w:hint="eastAsia" w:ascii="宋体" w:hAnsi="宋体" w:cs="宋体"/>
          <w:color w:val="auto"/>
          <w:kern w:val="0"/>
          <w:szCs w:val="21"/>
          <w:highlight w:val="none"/>
          <w:u w:val="single"/>
        </w:rPr>
        <w:t>保险金额、保险费率按国家规定执行。保险期限为国家标准规定使用年限</w:t>
      </w:r>
      <w:r>
        <w:rPr>
          <w:rFonts w:hint="eastAsia" w:ascii="宋体" w:hAnsi="宋体" w:cs="宋体"/>
          <w:color w:val="auto"/>
          <w:kern w:val="0"/>
          <w:szCs w:val="21"/>
          <w:highlight w:val="none"/>
        </w:rPr>
        <w:t>。</w:t>
      </w:r>
    </w:p>
    <w:p w14:paraId="4CEF4EB8">
      <w:pPr>
        <w:keepNext/>
        <w:keepLines/>
        <w:snapToGrid w:val="0"/>
        <w:spacing w:line="600" w:lineRule="exact"/>
        <w:ind w:firstLine="420" w:firstLineChars="200"/>
        <w:outlineLvl w:val="3"/>
        <w:rPr>
          <w:rFonts w:hint="eastAsia" w:ascii="宋体" w:hAnsi="宋体" w:cs="宋体"/>
          <w:color w:val="auto"/>
          <w:szCs w:val="21"/>
          <w:highlight w:val="none"/>
        </w:rPr>
      </w:pPr>
      <w:bookmarkStart w:id="286" w:name="_Toc33183785"/>
      <w:r>
        <w:rPr>
          <w:rFonts w:hint="eastAsia" w:ascii="宋体" w:hAnsi="宋体" w:cs="宋体"/>
          <w:color w:val="auto"/>
          <w:szCs w:val="21"/>
          <w:highlight w:val="none"/>
        </w:rPr>
        <w:t>20.6  对各项保险的一般要求</w:t>
      </w:r>
      <w:bookmarkEnd w:id="285"/>
      <w:bookmarkEnd w:id="286"/>
    </w:p>
    <w:p w14:paraId="54218F3D">
      <w:pPr>
        <w:spacing w:line="360" w:lineRule="auto"/>
        <w:ind w:firstLine="525" w:firstLineChars="250"/>
        <w:rPr>
          <w:rFonts w:hint="eastAsia" w:ascii="宋体" w:hAnsi="宋体" w:cs="宋体"/>
          <w:color w:val="auto"/>
          <w:szCs w:val="21"/>
          <w:highlight w:val="none"/>
        </w:rPr>
      </w:pPr>
      <w:bookmarkStart w:id="287" w:name="_Toc221951328"/>
      <w:r>
        <w:rPr>
          <w:rFonts w:hint="eastAsia" w:ascii="宋体" w:hAnsi="宋体" w:cs="宋体"/>
          <w:color w:val="auto"/>
          <w:szCs w:val="21"/>
          <w:highlight w:val="none"/>
        </w:rPr>
        <w:t>20.6.1  保险凭证</w:t>
      </w:r>
      <w:bookmarkEnd w:id="287"/>
    </w:p>
    <w:p w14:paraId="70F56FBF">
      <w:pPr>
        <w:spacing w:line="360" w:lineRule="auto"/>
        <w:ind w:right="248" w:firstLine="480"/>
        <w:rPr>
          <w:rFonts w:hint="eastAsia" w:ascii="宋体" w:hAnsi="宋体" w:cs="宋体"/>
          <w:color w:val="auto"/>
          <w:szCs w:val="21"/>
          <w:highlight w:val="none"/>
        </w:rPr>
      </w:pPr>
      <w:bookmarkStart w:id="288" w:name="_Toc221951329"/>
      <w:r>
        <w:rPr>
          <w:rFonts w:hint="eastAsia" w:ascii="宋体" w:hAnsi="宋体" w:cs="宋体"/>
          <w:color w:val="auto"/>
          <w:szCs w:val="21"/>
          <w:highlight w:val="none"/>
        </w:rPr>
        <w:t>承包人提交保险凭证的期限：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第一次进度款拨付之前</w:t>
      </w:r>
      <w:r>
        <w:rPr>
          <w:rFonts w:hint="eastAsia" w:ascii="宋体" w:hAnsi="宋体" w:cs="宋体"/>
          <w:color w:val="auto"/>
          <w:szCs w:val="21"/>
          <w:highlight w:val="none"/>
          <w:u w:val="single"/>
        </w:rPr>
        <w:t xml:space="preserve">  </w:t>
      </w:r>
      <w:bookmarkEnd w:id="288"/>
      <w:r>
        <w:rPr>
          <w:rFonts w:hint="eastAsia" w:ascii="宋体" w:hAnsi="宋体" w:cs="宋体"/>
          <w:color w:val="auto"/>
          <w:szCs w:val="21"/>
          <w:highlight w:val="none"/>
        </w:rPr>
        <w:t>；</w:t>
      </w:r>
    </w:p>
    <w:p w14:paraId="384B6BDD">
      <w:pPr>
        <w:spacing w:line="360" w:lineRule="auto"/>
        <w:ind w:right="248" w:firstLine="480"/>
        <w:rPr>
          <w:rFonts w:hint="eastAsia" w:ascii="宋体" w:hAnsi="宋体" w:cs="宋体"/>
          <w:color w:val="auto"/>
          <w:szCs w:val="21"/>
          <w:highlight w:val="none"/>
        </w:rPr>
      </w:pPr>
      <w:bookmarkStart w:id="289" w:name="_Toc221951330"/>
      <w:r>
        <w:rPr>
          <w:rFonts w:hint="eastAsia" w:ascii="宋体" w:hAnsi="宋体" w:cs="宋体"/>
          <w:color w:val="auto"/>
          <w:szCs w:val="21"/>
          <w:highlight w:val="none"/>
        </w:rPr>
        <w:t>保险条件：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289"/>
    </w:p>
    <w:p w14:paraId="12CC8DAE">
      <w:pPr>
        <w:spacing w:line="360" w:lineRule="auto"/>
        <w:ind w:right="248" w:firstLine="480"/>
        <w:rPr>
          <w:rFonts w:hint="eastAsia" w:ascii="宋体" w:hAnsi="宋体" w:cs="宋体"/>
          <w:color w:val="auto"/>
          <w:szCs w:val="21"/>
          <w:highlight w:val="none"/>
        </w:rPr>
      </w:pPr>
      <w:bookmarkStart w:id="290" w:name="_Toc221951331"/>
      <w:r>
        <w:rPr>
          <w:rFonts w:hint="eastAsia" w:ascii="宋体" w:hAnsi="宋体" w:cs="宋体"/>
          <w:color w:val="auto"/>
          <w:szCs w:val="21"/>
          <w:highlight w:val="none"/>
        </w:rPr>
        <w:t>20.6.4  保险金不足的补偿</w:t>
      </w:r>
      <w:bookmarkEnd w:id="290"/>
    </w:p>
    <w:p w14:paraId="4878DEFF">
      <w:pPr>
        <w:spacing w:line="360" w:lineRule="auto"/>
        <w:ind w:left="899" w:leftChars="228" w:right="248" w:hanging="420" w:hangingChars="200"/>
        <w:rPr>
          <w:rFonts w:hint="eastAsia" w:ascii="宋体" w:hAnsi="宋体" w:cs="宋体"/>
          <w:color w:val="auto"/>
          <w:szCs w:val="21"/>
          <w:highlight w:val="none"/>
        </w:rPr>
      </w:pPr>
      <w:bookmarkStart w:id="291" w:name="_Toc221951332"/>
      <w:r>
        <w:rPr>
          <w:rFonts w:hint="eastAsia" w:ascii="宋体" w:hAnsi="宋体" w:cs="宋体"/>
          <w:color w:val="auto"/>
          <w:szCs w:val="21"/>
          <w:highlight w:val="none"/>
        </w:rPr>
        <w:t>承包人负责补偿的范围与金额：</w:t>
      </w:r>
      <w:bookmarkEnd w:id="291"/>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保险金不足以补偿损失的（包括免赔额和超过赔偿限额的部分），应由投保人按合同约定负责补偿。</w:t>
      </w:r>
      <w:r>
        <w:rPr>
          <w:rFonts w:hint="eastAsia" w:ascii="宋体" w:hAnsi="宋体" w:cs="宋体"/>
          <w:color w:val="auto"/>
          <w:szCs w:val="21"/>
          <w:highlight w:val="none"/>
          <w:u w:val="single"/>
        </w:rPr>
        <w:t xml:space="preserve"> </w:t>
      </w:r>
    </w:p>
    <w:p w14:paraId="18B6BF39">
      <w:pPr>
        <w:spacing w:line="360" w:lineRule="auto"/>
        <w:ind w:left="899" w:leftChars="228" w:right="248" w:hanging="420" w:hangingChars="200"/>
        <w:rPr>
          <w:rFonts w:hint="eastAsia" w:ascii="宋体" w:hAnsi="宋体" w:cs="宋体"/>
          <w:color w:val="auto"/>
          <w:szCs w:val="21"/>
          <w:highlight w:val="none"/>
          <w:u w:val="single"/>
        </w:rPr>
      </w:pPr>
      <w:r>
        <w:rPr>
          <w:rFonts w:hint="eastAsia" w:ascii="宋体" w:hAnsi="宋体" w:cs="宋体"/>
          <w:color w:val="auto"/>
          <w:szCs w:val="21"/>
          <w:highlight w:val="none"/>
        </w:rPr>
        <w:t>发包人负责补偿的范围与金额：</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保险金不足以补偿损失的（包括免赔额和超过赔偿限额的部分），应由投保人按合同约定负责补偿。</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w:t>
      </w:r>
    </w:p>
    <w:p w14:paraId="01E7D9C9">
      <w:pPr>
        <w:pStyle w:val="5"/>
        <w:spacing w:line="360" w:lineRule="auto"/>
        <w:rPr>
          <w:rFonts w:hint="eastAsia" w:ascii="宋体" w:hAnsi="宋体" w:cs="宋体"/>
          <w:color w:val="auto"/>
          <w:sz w:val="21"/>
          <w:szCs w:val="21"/>
          <w:highlight w:val="none"/>
        </w:rPr>
      </w:pPr>
      <w:bookmarkStart w:id="292" w:name="_Toc59810424"/>
      <w:bookmarkStart w:id="293" w:name="_Toc33183786"/>
      <w:bookmarkStart w:id="294" w:name="_Toc222032712"/>
      <w:bookmarkStart w:id="295" w:name="_Toc229305401"/>
      <w:bookmarkStart w:id="296" w:name="_Toc221951334"/>
      <w:bookmarkStart w:id="297" w:name="_Toc222033894"/>
      <w:bookmarkStart w:id="298" w:name="_Toc222031045"/>
      <w:bookmarkStart w:id="299" w:name="_Toc222029543"/>
      <w:r>
        <w:rPr>
          <w:rFonts w:hint="eastAsia" w:ascii="宋体" w:hAnsi="宋体" w:cs="宋体"/>
          <w:color w:val="auto"/>
          <w:sz w:val="21"/>
          <w:szCs w:val="21"/>
          <w:highlight w:val="none"/>
        </w:rPr>
        <w:t>21.不可抗力</w:t>
      </w:r>
      <w:bookmarkEnd w:id="292"/>
      <w:bookmarkEnd w:id="293"/>
    </w:p>
    <w:p w14:paraId="5BD061B7">
      <w:pPr>
        <w:keepNext/>
        <w:keepLines/>
        <w:snapToGrid w:val="0"/>
        <w:spacing w:line="600" w:lineRule="exact"/>
        <w:ind w:firstLine="420" w:firstLineChars="200"/>
        <w:outlineLvl w:val="3"/>
        <w:rPr>
          <w:rFonts w:hint="eastAsia" w:ascii="宋体" w:hAnsi="宋体" w:cs="宋体"/>
          <w:color w:val="auto"/>
          <w:szCs w:val="21"/>
          <w:highlight w:val="none"/>
        </w:rPr>
      </w:pPr>
      <w:bookmarkStart w:id="300" w:name="_Toc33183787"/>
      <w:r>
        <w:rPr>
          <w:rFonts w:hint="eastAsia" w:ascii="宋体" w:hAnsi="宋体" w:cs="宋体"/>
          <w:color w:val="auto"/>
          <w:szCs w:val="21"/>
          <w:highlight w:val="none"/>
        </w:rPr>
        <w:t>21.1 不可抗力的确认</w:t>
      </w:r>
      <w:bookmarkEnd w:id="300"/>
    </w:p>
    <w:p w14:paraId="5A74910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除通用合同条款约定的不可抗力事件之外，视为不可抗力的其他情形：</w:t>
      </w:r>
    </w:p>
    <w:p w14:paraId="1ED3C3D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（1）洪水、火山爆发、山崩、山体滑坡、泥石流、龙卷风、隧道内不可预测的突发性地质灾害等自然灾害；</w:t>
      </w:r>
    </w:p>
    <w:p w14:paraId="7B1C72F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（2）骚乱、戒严、封锁、禁运、恐怖行为等社会行为，但承包人或其分包人派遣与雇佣的人员由于合同工程施工原因引起的除外；</w:t>
      </w:r>
    </w:p>
    <w:p w14:paraId="5454522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（3）不能合理预见的重大交通阻滞、停运、交通事故、瘟疫，非双方责任引起的火灾、爆炸、船舶撞击等情形；</w:t>
      </w:r>
    </w:p>
    <w:p w14:paraId="0F87E08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（4）化学或放射性污染或核辐射；</w:t>
      </w:r>
    </w:p>
    <w:p w14:paraId="0AE3E23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（5）环保治理等政府行为导致项目停工的。</w:t>
      </w:r>
    </w:p>
    <w:p w14:paraId="366028C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14A8507">
      <w:pPr>
        <w:keepNext/>
        <w:keepLines/>
        <w:snapToGrid w:val="0"/>
        <w:spacing w:line="600" w:lineRule="exact"/>
        <w:ind w:firstLine="420" w:firstLineChars="200"/>
        <w:outlineLvl w:val="3"/>
        <w:rPr>
          <w:rFonts w:hint="eastAsia" w:ascii="宋体" w:hAnsi="宋体" w:cs="宋体"/>
          <w:color w:val="auto"/>
          <w:szCs w:val="21"/>
          <w:highlight w:val="none"/>
        </w:rPr>
      </w:pPr>
      <w:bookmarkStart w:id="301" w:name="_Toc33183788"/>
      <w:r>
        <w:rPr>
          <w:rFonts w:hint="eastAsia" w:ascii="宋体" w:hAnsi="宋体" w:cs="宋体"/>
          <w:color w:val="auto"/>
          <w:szCs w:val="21"/>
          <w:highlight w:val="none"/>
        </w:rPr>
        <w:t>21.3 不可抗力后果及其处理</w:t>
      </w:r>
      <w:bookmarkEnd w:id="301"/>
    </w:p>
    <w:p w14:paraId="2C4767A9">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本款补充细化21.3.1项如下：</w:t>
      </w:r>
    </w:p>
    <w:p w14:paraId="64300C1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21.3.1不可抗力造成损害的责任</w:t>
      </w:r>
    </w:p>
    <w:p w14:paraId="66EDC02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不可抗力引起的后果及造成的损失由合同当事人按照法律规定及合同约定各自承担。不可抗力发生前已完成的工程应当按照合同约定进行计量支付。</w:t>
      </w:r>
    </w:p>
    <w:p w14:paraId="74885AF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不可抗力导致的人员伤亡、财产损失、费用增加和（或）工期延误等后果，由合同当事人按以下原则承担：</w:t>
      </w:r>
    </w:p>
    <w:p w14:paraId="29812C5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（1）永久工程、已运至施工现场的施工材料和工程设备的损坏，以及因工程损坏造成的第三方人员伤亡和财产损失由发包人承担；</w:t>
      </w:r>
    </w:p>
    <w:p w14:paraId="6C267DF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（2）承包人施工设备的损坏由承包人承担；</w:t>
      </w:r>
    </w:p>
    <w:p w14:paraId="143F49D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（3）发包人和承包人承担各自人员伤亡和财产的损失；</w:t>
      </w:r>
    </w:p>
    <w:p w14:paraId="0275D49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（4）因不可抗力影响承包人履行合同约定的义务，已经引起或将引起工期延误的，应当顺延工期，由此导致承包人停工的费用损失由发包人和承包人合理共担，停工期间必须支付的工人工资由发包人承担；</w:t>
      </w:r>
    </w:p>
    <w:p w14:paraId="279E649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（5）因不可抗力引起或将引起工期延误，发包人要求赶工的，由此增加的赶工费用由发包人承担；</w:t>
      </w:r>
    </w:p>
    <w:p w14:paraId="75F5EC8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（6）承包人在停工期间按照发包人要求照管、清理和修复工程的费用由发包人承担；</w:t>
      </w:r>
    </w:p>
    <w:p w14:paraId="096EAAB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（7）不可抗力事件发生后，合同当事人均应采取措施尽量避免和减少损失的扩大，任何一方当事人没有采取有效措施导致损失扩大的，应对扩大的损失承担责任。</w:t>
      </w:r>
    </w:p>
    <w:p w14:paraId="389936A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302E9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21.3.4 因不可抗力解除合同</w:t>
      </w:r>
    </w:p>
    <w:p w14:paraId="0A37F12B">
      <w:pPr>
        <w:pStyle w:val="2"/>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合同解除后，发包人应在商定或确定发包人应支付款项后</w:t>
      </w:r>
      <w:r>
        <w:rPr>
          <w:rFonts w:hint="eastAsia" w:ascii="宋体" w:hAnsi="宋体" w:cs="宋体"/>
          <w:color w:val="auto"/>
          <w:kern w:val="0"/>
          <w:szCs w:val="21"/>
          <w:highlight w:val="none"/>
          <w:u w:val="single"/>
        </w:rPr>
        <w:t>28</w:t>
      </w:r>
      <w:r>
        <w:rPr>
          <w:rFonts w:hint="eastAsia" w:ascii="宋体" w:hAnsi="宋体" w:cs="宋体"/>
          <w:color w:val="auto"/>
          <w:kern w:val="0"/>
          <w:szCs w:val="21"/>
          <w:highlight w:val="none"/>
        </w:rPr>
        <w:t>天内完成款项的支付。</w:t>
      </w:r>
    </w:p>
    <w:p w14:paraId="0092F7E6">
      <w:pPr>
        <w:pStyle w:val="2"/>
        <w:spacing w:line="400" w:lineRule="exact"/>
        <w:ind w:firstLine="420" w:firstLineChars="200"/>
        <w:rPr>
          <w:rFonts w:hint="eastAsia" w:ascii="宋体" w:hAnsi="宋体" w:cs="宋体"/>
          <w:color w:val="auto"/>
          <w:szCs w:val="21"/>
          <w:highlight w:val="none"/>
        </w:rPr>
      </w:pPr>
    </w:p>
    <w:p w14:paraId="45E5E7C1">
      <w:pPr>
        <w:pStyle w:val="5"/>
        <w:spacing w:line="360" w:lineRule="auto"/>
        <w:rPr>
          <w:rFonts w:hint="eastAsia" w:ascii="宋体" w:hAnsi="宋体" w:cs="宋体"/>
          <w:color w:val="auto"/>
          <w:sz w:val="21"/>
          <w:szCs w:val="21"/>
          <w:highlight w:val="none"/>
        </w:rPr>
      </w:pPr>
      <w:bookmarkStart w:id="302" w:name="_Toc33183789"/>
      <w:bookmarkStart w:id="303" w:name="_Toc59810425"/>
      <w:r>
        <w:rPr>
          <w:rFonts w:hint="eastAsia" w:ascii="宋体" w:hAnsi="宋体" w:cs="宋体"/>
          <w:color w:val="auto"/>
          <w:sz w:val="21"/>
          <w:szCs w:val="21"/>
          <w:highlight w:val="none"/>
        </w:rPr>
        <w:t>22. 违约</w:t>
      </w:r>
      <w:bookmarkEnd w:id="302"/>
      <w:bookmarkEnd w:id="303"/>
    </w:p>
    <w:p w14:paraId="082AA4AA">
      <w:pPr>
        <w:keepNext/>
        <w:keepLines/>
        <w:snapToGrid w:val="0"/>
        <w:spacing w:line="600" w:lineRule="exact"/>
        <w:ind w:firstLine="420" w:firstLineChars="200"/>
        <w:outlineLvl w:val="3"/>
        <w:rPr>
          <w:rFonts w:hint="eastAsia" w:ascii="宋体" w:hAnsi="宋体" w:cs="宋体"/>
          <w:color w:val="auto"/>
          <w:szCs w:val="21"/>
          <w:highlight w:val="none"/>
        </w:rPr>
      </w:pPr>
      <w:bookmarkStart w:id="304" w:name="_Toc33183790"/>
      <w:r>
        <w:rPr>
          <w:rFonts w:hint="eastAsia" w:ascii="宋体" w:hAnsi="宋体" w:cs="宋体"/>
          <w:color w:val="auto"/>
          <w:szCs w:val="21"/>
          <w:highlight w:val="none"/>
        </w:rPr>
        <w:t>22.1 承包人违约</w:t>
      </w:r>
      <w:bookmarkEnd w:id="304"/>
    </w:p>
    <w:p w14:paraId="4C7CB70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22.1.1 承包人违约的情形</w:t>
      </w:r>
    </w:p>
    <w:p w14:paraId="61BF74F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除通用合同条款约定外，承包人违约的其他情形：</w:t>
      </w:r>
    </w:p>
    <w:p w14:paraId="595DE8C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（1）承包人未按合同约定提交履约担保、低价风险担保或质量保证金的；</w:t>
      </w:r>
    </w:p>
    <w:p w14:paraId="5FA2E66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（2）承包人未能按期开工的；</w:t>
      </w:r>
    </w:p>
    <w:p w14:paraId="6F14F8A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（3）承包人未按投标文件或监理人的要求及时配备称职的主要管理人员的，或承包人未按经审定的施工组织设计配备或更换关键施工设备的；</w:t>
      </w:r>
    </w:p>
    <w:p w14:paraId="5C65D3A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（4）承包人有安全问题或有违反安全管理规章制度情况的；</w:t>
      </w:r>
    </w:p>
    <w:p w14:paraId="712721C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（5）承包人在缺陷责任期及保修期内，未能在合理期限对工程缺陷进行修复，或拒绝按发包人要求进行修复的；</w:t>
      </w:r>
    </w:p>
    <w:p w14:paraId="115645F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（6）承包人拖欠其工人或所雇人员工资或报酬，导致其工人或所雇人员向有关部门投诉、控告、检举或以聚集等方式讨要工资或报酬的；</w:t>
      </w:r>
    </w:p>
    <w:p w14:paraId="0F98878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（7）承包人不配合发包人、监理人及发包人委托的工程造价咨询服务单位结算审核或承包人其他原因导致未按期完成工程竣（完）工结算的；</w:t>
      </w:r>
    </w:p>
    <w:p w14:paraId="703E4BC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（8）承包人违反合同约定进行转包或违法分包的；</w:t>
      </w:r>
    </w:p>
    <w:p w14:paraId="443D659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（9）承包人未按合同约定移交全部或部分工作的；</w:t>
      </w:r>
    </w:p>
    <w:p w14:paraId="5535ACC8">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（10）承包人未按合同约定购买保险的；</w:t>
      </w:r>
    </w:p>
    <w:p w14:paraId="63BB5B1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（11）项目经理若有以下情形，属于承包人违约：</w:t>
      </w:r>
    </w:p>
    <w:p w14:paraId="0F62D525">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1）每月在施工现场的天数少于约定天数的；</w:t>
      </w:r>
    </w:p>
    <w:p w14:paraId="75623110">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2）承包人未提交项目经理劳动合同和社会保险证明的；</w:t>
      </w:r>
    </w:p>
    <w:p w14:paraId="1BDFFEF5">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3）未经批准，擅自离开施工现场（超过约定时间）的；</w:t>
      </w:r>
    </w:p>
    <w:p w14:paraId="6000B099">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4）未经批准，擅自变更项目经理的；</w:t>
      </w:r>
    </w:p>
    <w:p w14:paraId="31F553D5">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5）发包人有正当理由认为项目经理不称职/不履职，且承包人在约定时间内不予更换的；</w:t>
      </w:r>
    </w:p>
    <w:p w14:paraId="1B09BFDC">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6）其他双方约定的情形。</w:t>
      </w:r>
    </w:p>
    <w:p w14:paraId="062A43D0">
      <w:pPr>
        <w:snapToGrid w:val="0"/>
        <w:spacing w:line="360" w:lineRule="auto"/>
        <w:ind w:left="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（12）技术负责人若有以下情形，属于承包人违约：</w:t>
      </w:r>
    </w:p>
    <w:p w14:paraId="0A96CC9C">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1）每月在施工现场的天数少于约定天数的；</w:t>
      </w:r>
    </w:p>
    <w:p w14:paraId="5813B4EA">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2）承包人未提交项目经理劳动合同和社会保险证明的；</w:t>
      </w:r>
    </w:p>
    <w:p w14:paraId="31D1B3BA">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3）未经批准，擅自离开施工现场（超过约定时间）的；</w:t>
      </w:r>
    </w:p>
    <w:p w14:paraId="07904C11">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4）未经批准，擅自变更技术负责人的；</w:t>
      </w:r>
    </w:p>
    <w:p w14:paraId="268C1B29">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5）发包人有正当理由认为技术负责人不称职/不履职，且承包人在约定时间内不予更换的；</w:t>
      </w:r>
    </w:p>
    <w:p w14:paraId="064C82A4">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6）其他双方约定的情形。</w:t>
      </w:r>
    </w:p>
    <w:p w14:paraId="0F599FB9">
      <w:pPr>
        <w:snapToGrid w:val="0"/>
        <w:spacing w:line="360" w:lineRule="auto"/>
        <w:ind w:left="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（13）主要施工管理人员若有以下情形，属于承包人违约：</w:t>
      </w:r>
    </w:p>
    <w:p w14:paraId="7783A35D">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1）承包人未提交项目经理劳动合同和社会保险证明的；</w:t>
      </w:r>
    </w:p>
    <w:p w14:paraId="4D9E64E3">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2）未经批准，擅自离开施工现场（超过约定时间）的；</w:t>
      </w:r>
    </w:p>
    <w:p w14:paraId="4FC48021">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3）未经批准，擅自变更主要施工管理人员的；</w:t>
      </w:r>
    </w:p>
    <w:p w14:paraId="7FFEC576">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4）发包人有正当理由认为主要施工管理人员不称职/不履职，且承包人在约定时间内不予更换的；</w:t>
      </w:r>
    </w:p>
    <w:p w14:paraId="32909A09">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5）其他双方约定的情形。</w:t>
      </w:r>
    </w:p>
    <w:p w14:paraId="27DEB40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22.1.2对承包人违约的处理</w:t>
      </w:r>
    </w:p>
    <w:p w14:paraId="08116CE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928D8B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（1）承包人未按合同约定提交履约担保、低价风险担保、质量保证金的违约责任：承包人应支付违约金,违约金的计算方法：每延误1天，承包人按</w:t>
      </w:r>
      <w:r>
        <w:rPr>
          <w:rFonts w:hint="eastAsia" w:ascii="宋体" w:hAnsi="宋体" w:cs="宋体"/>
          <w:color w:val="auto"/>
          <w:kern w:val="0"/>
          <w:szCs w:val="21"/>
          <w:highlight w:val="none"/>
          <w:u w:val="single"/>
        </w:rPr>
        <w:t xml:space="preserve"> （5000～50000）元/天</w:t>
      </w:r>
      <w:r>
        <w:rPr>
          <w:rFonts w:hint="eastAsia" w:ascii="宋体" w:hAnsi="宋体" w:cs="宋体"/>
          <w:color w:val="auto"/>
          <w:kern w:val="0"/>
          <w:szCs w:val="21"/>
          <w:highlight w:val="none"/>
        </w:rPr>
        <w:t>计算违约金，累计违约金上限：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万元（不超过签约合同价的3%）。</w:t>
      </w:r>
    </w:p>
    <w:p w14:paraId="268CC79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宋体"/>
          <w:color w:val="auto"/>
          <w:kern w:val="0"/>
          <w:szCs w:val="21"/>
          <w:highlight w:val="none"/>
          <w:u w:val="single"/>
        </w:rPr>
        <w:t xml:space="preserve"> （5～10）%</w:t>
      </w:r>
      <w:r>
        <w:rPr>
          <w:rFonts w:hint="eastAsia" w:ascii="宋体" w:hAnsi="宋体" w:cs="宋体"/>
          <w:color w:val="auto"/>
          <w:kern w:val="0"/>
          <w:szCs w:val="21"/>
          <w:highlight w:val="none"/>
        </w:rPr>
        <w:t>支付违约金，违法转/分包商应在7天内撤离出场。</w:t>
      </w:r>
    </w:p>
    <w:p w14:paraId="1D556EC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14:paraId="1431ABB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14:paraId="1C66A62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宋体"/>
          <w:color w:val="auto"/>
          <w:kern w:val="0"/>
          <w:szCs w:val="21"/>
          <w:highlight w:val="none"/>
          <w:u w:val="single"/>
        </w:rPr>
        <w:t>（1～5）%</w:t>
      </w:r>
      <w:r>
        <w:rPr>
          <w:rFonts w:hint="eastAsia" w:ascii="宋体" w:hAnsi="宋体" w:cs="宋体"/>
          <w:color w:val="auto"/>
          <w:kern w:val="0"/>
          <w:szCs w:val="21"/>
          <w:highlight w:val="none"/>
        </w:rPr>
        <w:t>支付违约金。</w:t>
      </w:r>
    </w:p>
    <w:p w14:paraId="0628A4D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cs="宋体"/>
          <w:color w:val="auto"/>
          <w:kern w:val="0"/>
          <w:szCs w:val="21"/>
          <w:highlight w:val="none"/>
          <w:u w:val="single"/>
        </w:rPr>
        <w:t xml:space="preserve"> （5000～50000）元/天</w:t>
      </w:r>
      <w:r>
        <w:rPr>
          <w:rFonts w:hint="eastAsia" w:ascii="宋体" w:hAnsi="宋体" w:cs="宋体"/>
          <w:color w:val="auto"/>
          <w:kern w:val="0"/>
          <w:szCs w:val="21"/>
          <w:highlight w:val="none"/>
        </w:rPr>
        <w:t>计算逾期交工违约金，累计违约金上限：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万元（不超过签约合同价的3%）；承包人支付逾期交工违约金后，不免除承包人继续完成工程及修补缺陷的义务。</w:t>
      </w:r>
    </w:p>
    <w:p w14:paraId="107AE20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宋体"/>
          <w:color w:val="auto"/>
          <w:kern w:val="0"/>
          <w:szCs w:val="21"/>
          <w:highlight w:val="none"/>
          <w:u w:val="single"/>
        </w:rPr>
        <w:t>（0.5～2）%</w:t>
      </w:r>
      <w:r>
        <w:rPr>
          <w:rFonts w:hint="eastAsia" w:ascii="宋体" w:hAnsi="宋体" w:cs="宋体"/>
          <w:color w:val="auto"/>
          <w:kern w:val="0"/>
          <w:szCs w:val="21"/>
          <w:highlight w:val="none"/>
        </w:rPr>
        <w:t>支付违约金。</w:t>
      </w:r>
    </w:p>
    <w:p w14:paraId="04B8E88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（8）承包人明确表示或者以其行为表明不履行合同主要义务的违约责任：按签约合同价的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14:paraId="2D63011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（9）承包人未能按照合同约定履行其他义务的违约责任：按</w:t>
      </w:r>
      <w:r>
        <w:rPr>
          <w:rFonts w:hint="eastAsia" w:ascii="宋体" w:hAnsi="宋体" w:cs="宋体"/>
          <w:color w:val="auto"/>
          <w:kern w:val="0"/>
          <w:szCs w:val="21"/>
          <w:highlight w:val="none"/>
          <w:u w:val="single"/>
        </w:rPr>
        <w:t>（500～5000）元/次</w:t>
      </w:r>
      <w:r>
        <w:rPr>
          <w:rFonts w:hint="eastAsia" w:ascii="宋体" w:hAnsi="宋体" w:cs="宋体"/>
          <w:color w:val="auto"/>
          <w:kern w:val="0"/>
          <w:szCs w:val="21"/>
          <w:highlight w:val="none"/>
        </w:rPr>
        <w:t>支付违约金。</w:t>
      </w:r>
    </w:p>
    <w:p w14:paraId="38838FE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（10）承包人未能按期开工的违约责任：按合同价</w:t>
      </w:r>
      <w:r>
        <w:rPr>
          <w:rFonts w:hint="eastAsia" w:ascii="宋体" w:hAnsi="宋体" w:cs="宋体"/>
          <w:color w:val="auto"/>
          <w:kern w:val="0"/>
          <w:szCs w:val="21"/>
          <w:highlight w:val="none"/>
          <w:u w:val="single"/>
        </w:rPr>
        <w:t>0.2‰</w:t>
      </w:r>
      <w:r>
        <w:rPr>
          <w:rFonts w:hint="eastAsia" w:ascii="宋体" w:hAnsi="宋体" w:cs="宋体"/>
          <w:color w:val="auto"/>
          <w:kern w:val="0"/>
          <w:szCs w:val="21"/>
          <w:highlight w:val="none"/>
        </w:rPr>
        <w:t>/天支付违约金，本项违约金累计限额为签约合同价的</w:t>
      </w:r>
      <w:r>
        <w:rPr>
          <w:rFonts w:hint="eastAsia" w:ascii="宋体" w:hAnsi="宋体" w:cs="宋体"/>
          <w:color w:val="auto"/>
          <w:kern w:val="0"/>
          <w:szCs w:val="21"/>
          <w:highlight w:val="none"/>
          <w:u w:val="single"/>
        </w:rPr>
        <w:t xml:space="preserve"> 1 %</w:t>
      </w:r>
      <w:r>
        <w:rPr>
          <w:rFonts w:hint="eastAsia" w:ascii="宋体" w:hAnsi="宋体" w:cs="宋体"/>
          <w:color w:val="auto"/>
          <w:kern w:val="0"/>
          <w:szCs w:val="21"/>
          <w:highlight w:val="none"/>
        </w:rPr>
        <w:t>。</w:t>
      </w:r>
    </w:p>
    <w:p w14:paraId="6424284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（11）承包人未按经审定的施工组织设计配备或更换关键施工设备的违约责任：按</w:t>
      </w:r>
      <w:r>
        <w:rPr>
          <w:rFonts w:hint="eastAsia" w:ascii="宋体" w:hAnsi="宋体" w:cs="宋体"/>
          <w:color w:val="auto"/>
          <w:kern w:val="0"/>
          <w:szCs w:val="21"/>
          <w:highlight w:val="none"/>
          <w:u w:val="single"/>
        </w:rPr>
        <w:t>（5000～50000）元/台·次</w:t>
      </w:r>
      <w:r>
        <w:rPr>
          <w:rFonts w:hint="eastAsia" w:ascii="宋体" w:hAnsi="宋体" w:cs="宋体"/>
          <w:color w:val="auto"/>
          <w:kern w:val="0"/>
          <w:szCs w:val="21"/>
          <w:highlight w:val="none"/>
        </w:rPr>
        <w:t>支付违约金。</w:t>
      </w:r>
    </w:p>
    <w:p w14:paraId="578C0E5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（12）承包人有安全问题或有违反规章制度情况的违约责任：根据具体情节，按签约合同价的</w:t>
      </w:r>
      <w:r>
        <w:rPr>
          <w:rFonts w:hint="eastAsia" w:ascii="宋体" w:hAnsi="宋体" w:cs="宋体"/>
          <w:color w:val="auto"/>
          <w:kern w:val="0"/>
          <w:szCs w:val="21"/>
          <w:highlight w:val="none"/>
          <w:u w:val="single"/>
        </w:rPr>
        <w:t>0.5‰～4‰/次</w:t>
      </w:r>
      <w:r>
        <w:rPr>
          <w:rFonts w:hint="eastAsia" w:ascii="宋体" w:hAnsi="宋体" w:cs="宋体"/>
          <w:color w:val="auto"/>
          <w:kern w:val="0"/>
          <w:szCs w:val="21"/>
          <w:highlight w:val="none"/>
        </w:rPr>
        <w:t>支付违约金（累计不超过签约合同价的1%）。</w:t>
      </w:r>
    </w:p>
    <w:p w14:paraId="440D96E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宋体"/>
          <w:color w:val="auto"/>
          <w:kern w:val="0"/>
          <w:szCs w:val="21"/>
          <w:highlight w:val="none"/>
          <w:u w:val="single"/>
        </w:rPr>
        <w:t>（50000～200000）元/次</w:t>
      </w:r>
      <w:r>
        <w:rPr>
          <w:rFonts w:hint="eastAsia" w:ascii="宋体" w:hAnsi="宋体" w:cs="宋体"/>
          <w:color w:val="auto"/>
          <w:kern w:val="0"/>
          <w:szCs w:val="21"/>
          <w:highlight w:val="none"/>
        </w:rPr>
        <w:t>支付违约金。</w:t>
      </w:r>
    </w:p>
    <w:p w14:paraId="0D0C51F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（14）承包人不配合发包人、监理人及发包人委托的工程造价咨询服务单位结算审核的违约责任：根据具体情节，按</w:t>
      </w:r>
      <w:r>
        <w:rPr>
          <w:rFonts w:hint="eastAsia" w:ascii="宋体" w:hAnsi="宋体" w:cs="宋体"/>
          <w:color w:val="auto"/>
          <w:kern w:val="0"/>
          <w:szCs w:val="21"/>
          <w:highlight w:val="none"/>
          <w:u w:val="single"/>
        </w:rPr>
        <w:t>（10000～100000）元/次</w:t>
      </w:r>
      <w:r>
        <w:rPr>
          <w:rFonts w:hint="eastAsia" w:ascii="宋体" w:hAnsi="宋体" w:cs="宋体"/>
          <w:color w:val="auto"/>
          <w:kern w:val="0"/>
          <w:szCs w:val="21"/>
          <w:highlight w:val="none"/>
        </w:rPr>
        <w:t>支付违约金；因承包人原因未按约定期限完成工程完工结算的责任：由承包人自行承担由此增加的费用，且每延误一天，按</w:t>
      </w:r>
      <w:r>
        <w:rPr>
          <w:rFonts w:hint="eastAsia" w:ascii="宋体" w:hAnsi="宋体" w:cs="宋体"/>
          <w:color w:val="auto"/>
          <w:kern w:val="0"/>
          <w:szCs w:val="21"/>
          <w:highlight w:val="none"/>
          <w:u w:val="single"/>
        </w:rPr>
        <w:t>500</w:t>
      </w:r>
      <w:r>
        <w:rPr>
          <w:rFonts w:hint="eastAsia" w:ascii="宋体" w:hAnsi="宋体" w:cs="宋体"/>
          <w:color w:val="auto"/>
          <w:kern w:val="0"/>
          <w:szCs w:val="21"/>
          <w:highlight w:val="none"/>
        </w:rPr>
        <w:t>元/天支付违约金。</w:t>
      </w:r>
    </w:p>
    <w:p w14:paraId="66F8ACB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宋体"/>
          <w:color w:val="auto"/>
          <w:kern w:val="0"/>
          <w:szCs w:val="21"/>
          <w:highlight w:val="none"/>
          <w:u w:val="single"/>
        </w:rPr>
        <w:t>（0.5～1）‰</w:t>
      </w:r>
      <w:r>
        <w:rPr>
          <w:rFonts w:hint="eastAsia" w:ascii="宋体" w:hAnsi="宋体" w:cs="宋体"/>
          <w:color w:val="auto"/>
          <w:kern w:val="0"/>
          <w:szCs w:val="21"/>
          <w:highlight w:val="none"/>
        </w:rPr>
        <w:t>支付违约金。</w:t>
      </w:r>
    </w:p>
    <w:p w14:paraId="22EDB75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（16）承包人未按合同约定购买保险的违约责任</w:t>
      </w:r>
      <w:r>
        <w:rPr>
          <w:rFonts w:hint="eastAsia" w:ascii="宋体" w:hAnsi="宋体" w:cs="宋体"/>
          <w:color w:val="auto"/>
          <w:szCs w:val="21"/>
          <w:highlight w:val="none"/>
        </w:rPr>
        <w:t>：除按20.6.4项约定执行外，</w:t>
      </w:r>
      <w:r>
        <w:rPr>
          <w:rFonts w:hint="eastAsia" w:ascii="宋体" w:hAnsi="宋体" w:cs="宋体"/>
          <w:color w:val="auto"/>
          <w:kern w:val="0"/>
          <w:szCs w:val="21"/>
          <w:highlight w:val="none"/>
        </w:rPr>
        <w:t>每延迟1天，按</w:t>
      </w:r>
      <w:r>
        <w:rPr>
          <w:rFonts w:hint="eastAsia" w:ascii="宋体" w:hAnsi="宋体" w:cs="宋体"/>
          <w:color w:val="auto"/>
          <w:kern w:val="0"/>
          <w:szCs w:val="21"/>
          <w:highlight w:val="none"/>
          <w:u w:val="single"/>
        </w:rPr>
        <w:t>500</w:t>
      </w:r>
      <w:r>
        <w:rPr>
          <w:rFonts w:hint="eastAsia" w:ascii="宋体" w:hAnsi="宋体" w:cs="宋体"/>
          <w:color w:val="auto"/>
          <w:kern w:val="0"/>
          <w:szCs w:val="21"/>
          <w:highlight w:val="none"/>
        </w:rPr>
        <w:t>元/天支付违约金。</w:t>
      </w:r>
    </w:p>
    <w:p w14:paraId="3E29FF1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（17）发生第22.1.1条（11）、22.1.1条（12）、22.1.1条（13）违约情形的违约责任：除承担由此增加的费用和工期延误的责任，承包人应向发包人支付违约金：</w:t>
      </w:r>
    </w:p>
    <w:p w14:paraId="22D32A6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1）项目经理违约承担方式和计算方法：对于第22.1.1条（11）的六种情形，每发现一次，根据具体情节，按</w:t>
      </w:r>
      <w:r>
        <w:rPr>
          <w:rFonts w:hint="eastAsia" w:ascii="宋体" w:hAnsi="宋体" w:cs="宋体"/>
          <w:color w:val="auto"/>
          <w:kern w:val="0"/>
          <w:szCs w:val="21"/>
          <w:highlight w:val="none"/>
          <w:u w:val="single"/>
        </w:rPr>
        <w:t>（1000～30000）元/天·次</w:t>
      </w:r>
      <w:r>
        <w:rPr>
          <w:rFonts w:hint="eastAsia" w:ascii="宋体" w:hAnsi="宋体" w:cs="宋体"/>
          <w:color w:val="auto"/>
          <w:kern w:val="0"/>
          <w:szCs w:val="21"/>
          <w:highlight w:val="none"/>
        </w:rPr>
        <w:t>计算违约金；擅自更换项目经理的，按签约合同价的</w:t>
      </w:r>
      <w:r>
        <w:rPr>
          <w:rFonts w:hint="eastAsia" w:ascii="宋体" w:hAnsi="宋体" w:cs="宋体"/>
          <w:color w:val="auto"/>
          <w:kern w:val="0"/>
          <w:szCs w:val="21"/>
          <w:highlight w:val="none"/>
          <w:u w:val="single"/>
        </w:rPr>
        <w:t>（0.5～3）%/人·次</w:t>
      </w:r>
      <w:r>
        <w:rPr>
          <w:rFonts w:hint="eastAsia" w:ascii="宋体" w:hAnsi="宋体" w:cs="宋体"/>
          <w:color w:val="auto"/>
          <w:kern w:val="0"/>
          <w:szCs w:val="21"/>
          <w:highlight w:val="none"/>
        </w:rPr>
        <w:t>支付违约金，每次不低于20万，累计不超过200万。</w:t>
      </w:r>
    </w:p>
    <w:p w14:paraId="43CE531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2）主要技术负责人违约承担方式和计算方法：对于第22.1.1条（12）的六种情形，每发现一次，根据具体情节，按</w:t>
      </w:r>
      <w:r>
        <w:rPr>
          <w:rFonts w:hint="eastAsia" w:ascii="宋体" w:hAnsi="宋体" w:cs="宋体"/>
          <w:color w:val="auto"/>
          <w:kern w:val="0"/>
          <w:szCs w:val="21"/>
          <w:highlight w:val="none"/>
          <w:u w:val="single"/>
        </w:rPr>
        <w:t>1000～30000</w:t>
      </w:r>
      <w:r>
        <w:rPr>
          <w:rFonts w:hint="eastAsia" w:ascii="宋体" w:hAnsi="宋体" w:cs="宋体"/>
          <w:color w:val="auto"/>
          <w:kern w:val="0"/>
          <w:szCs w:val="21"/>
          <w:highlight w:val="none"/>
        </w:rPr>
        <w:t>元/天·次计算违约金；擅自更换主要技术负责人的，按签约合同价的</w:t>
      </w:r>
      <w:r>
        <w:rPr>
          <w:rFonts w:hint="eastAsia" w:ascii="宋体" w:hAnsi="宋体" w:cs="宋体"/>
          <w:color w:val="auto"/>
          <w:kern w:val="0"/>
          <w:szCs w:val="21"/>
          <w:highlight w:val="none"/>
          <w:u w:val="single"/>
        </w:rPr>
        <w:t>（0.5～2）%</w:t>
      </w:r>
      <w:r>
        <w:rPr>
          <w:rFonts w:hint="eastAsia" w:ascii="宋体" w:hAnsi="宋体" w:cs="宋体"/>
          <w:color w:val="auto"/>
          <w:kern w:val="0"/>
          <w:szCs w:val="21"/>
          <w:highlight w:val="none"/>
        </w:rPr>
        <w:t>/人·次支付违约金，每次不低于10万，累计不超过100万。</w:t>
      </w:r>
    </w:p>
    <w:p w14:paraId="760DD96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3）主要施工管理人违约承担方式和计算方法：对于第22.1.1条（13）的五种情形，每发现一次，根据具体情节，按</w:t>
      </w:r>
      <w:r>
        <w:rPr>
          <w:rFonts w:hint="eastAsia" w:ascii="宋体" w:hAnsi="宋体" w:cs="宋体"/>
          <w:color w:val="auto"/>
          <w:kern w:val="0"/>
          <w:szCs w:val="21"/>
          <w:highlight w:val="none"/>
          <w:u w:val="single"/>
        </w:rPr>
        <w:t>500～10000</w:t>
      </w:r>
      <w:r>
        <w:rPr>
          <w:rFonts w:hint="eastAsia" w:ascii="宋体" w:hAnsi="宋体" w:cs="宋体"/>
          <w:color w:val="auto"/>
          <w:kern w:val="0"/>
          <w:szCs w:val="21"/>
          <w:highlight w:val="none"/>
        </w:rPr>
        <w:t>元/天·次计算违约金；擅自更换主要技术负责人的，按签约合同价的</w:t>
      </w:r>
      <w:r>
        <w:rPr>
          <w:rFonts w:hint="eastAsia" w:ascii="宋体" w:hAnsi="宋体" w:cs="宋体"/>
          <w:color w:val="auto"/>
          <w:kern w:val="0"/>
          <w:szCs w:val="21"/>
          <w:highlight w:val="none"/>
          <w:u w:val="single"/>
        </w:rPr>
        <w:t>（0.5～1）%</w:t>
      </w:r>
      <w:r>
        <w:rPr>
          <w:rFonts w:hint="eastAsia" w:ascii="宋体" w:hAnsi="宋体" w:cs="宋体"/>
          <w:color w:val="auto"/>
          <w:kern w:val="0"/>
          <w:szCs w:val="21"/>
          <w:highlight w:val="none"/>
        </w:rPr>
        <w:t>/人·次支付违约金，累计不超过50万。</w:t>
      </w:r>
    </w:p>
    <w:p w14:paraId="6D659C1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（18）合同另有约定的，按照其约定。</w:t>
      </w:r>
    </w:p>
    <w:p w14:paraId="0DA7A1C7">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14:paraId="60C2B24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承包人必须及时纠正违约行为，满足合同要求，自行承担纠正违约行为的费用或损失，工期不予顺延，并承担由此给发包人造成的经济损失。</w:t>
      </w:r>
    </w:p>
    <w:p w14:paraId="16514D0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承包人承担承包范围的工程质量、安全、环保责任，因承包人原因引起的质量、安全、环保等事故由承包人承担相应的法律后果。</w:t>
      </w:r>
    </w:p>
    <w:p w14:paraId="67399293">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22.1.3 因承包人违约解除合同</w:t>
      </w:r>
    </w:p>
    <w:p w14:paraId="1F47594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因承包人违约并致使合同目的不能实现的，发包人有权解除合同：</w:t>
      </w:r>
    </w:p>
    <w:p w14:paraId="5C2380F3">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（1）未按合同约定延迟提供履约担保、低价风险担保、质量保证金超过14天的；</w:t>
      </w:r>
    </w:p>
    <w:p w14:paraId="509D41EA">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（2）未按合同约定购买保险且经催告后超过56天的；</w:t>
      </w:r>
    </w:p>
    <w:p w14:paraId="579F7A64">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（3）因承包人原因导致开工时间累计延误超过56天的；</w:t>
      </w:r>
    </w:p>
    <w:p w14:paraId="02BA3F33">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（4）因承包人原因导致工期延误超过90天的；</w:t>
      </w:r>
    </w:p>
    <w:p w14:paraId="0528A00B">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（5）发生22.1.2（13）目的情形2次的；</w:t>
      </w:r>
    </w:p>
    <w:p w14:paraId="7DD8B888">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（6）发生第25.1款〔退出机制〕约定的情形的；</w:t>
      </w:r>
    </w:p>
    <w:p w14:paraId="59E3F0A3">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（7）监理人发出整改通知后，承包人在监理人限定的期限内仍不纠正违约行为的；</w:t>
      </w:r>
    </w:p>
    <w:p w14:paraId="7348CC2A">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（8）发包人进入清算或者严重资不抵债且无法履行合同的；</w:t>
      </w:r>
    </w:p>
    <w:p w14:paraId="3F416662">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（9）违反适用法律而被相关政府部门依法吊销营业执照、责令停业、清算或宣布破产、责令关闭的；</w:t>
      </w:r>
    </w:p>
    <w:p w14:paraId="797A2A09">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（10）承包人未履行合同项下的义务构成对合同的实质性违约，并且在收到发包人要求说明其违约并予以补救的通知后56天内仍未能补救该实质性违约的；</w:t>
      </w:r>
    </w:p>
    <w:p w14:paraId="431A8CE0">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（11）合同约定其他情况的，发包人有权解除合同的。</w:t>
      </w:r>
    </w:p>
    <w:p w14:paraId="054E4A43">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22.1.4因承包人违约解除合同后的处理</w:t>
      </w:r>
    </w:p>
    <w:p w14:paraId="4C144D53">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因承包人违约导致合同解除的，合同当事人应在合同解除后56天内并按以下约定完成估价、付款和清算：</w:t>
      </w:r>
    </w:p>
    <w:p w14:paraId="260F705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）合同解除后，承包人应按照发包人要求和监理人的指示完成现场的清理和撤离。</w:t>
      </w:r>
    </w:p>
    <w:p w14:paraId="4D4B91A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D3B2D4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因承包人违约解除合同的，发包人有权暂停对承包人的付款，查清各项付款和已扣款项。发包人和承包人未能就合同解除后的清算和款项支付达成一致的，按照第24条〔争议的解决〕的约定处理。</w:t>
      </w:r>
    </w:p>
    <w:p w14:paraId="7575733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20D908D6">
      <w:pPr>
        <w:keepNext/>
        <w:keepLines/>
        <w:snapToGrid w:val="0"/>
        <w:spacing w:line="600" w:lineRule="exact"/>
        <w:ind w:firstLine="420" w:firstLineChars="200"/>
        <w:outlineLvl w:val="3"/>
        <w:rPr>
          <w:rFonts w:hint="eastAsia" w:ascii="宋体" w:hAnsi="宋体" w:cs="宋体"/>
          <w:color w:val="auto"/>
          <w:szCs w:val="21"/>
          <w:highlight w:val="none"/>
        </w:rPr>
      </w:pPr>
      <w:bookmarkStart w:id="305" w:name="_Toc33183791"/>
      <w:r>
        <w:rPr>
          <w:rFonts w:hint="eastAsia" w:ascii="宋体" w:hAnsi="宋体" w:cs="宋体"/>
          <w:color w:val="auto"/>
          <w:szCs w:val="21"/>
          <w:highlight w:val="none"/>
        </w:rPr>
        <w:t>22.2 发包人违约</w:t>
      </w:r>
      <w:bookmarkEnd w:id="305"/>
    </w:p>
    <w:p w14:paraId="4EA2E5BA">
      <w:pPr>
        <w:snapToGrid w:val="0"/>
        <w:ind w:firstLine="420"/>
        <w:jc w:val="left"/>
        <w:rPr>
          <w:rFonts w:hint="eastAsia" w:ascii="宋体" w:hAnsi="宋体" w:cs="宋体"/>
          <w:color w:val="auto"/>
          <w:szCs w:val="21"/>
          <w:highlight w:val="none"/>
        </w:rPr>
      </w:pPr>
      <w:bookmarkStart w:id="306" w:name="_Toc33183792"/>
      <w:r>
        <w:rPr>
          <w:rFonts w:hint="eastAsia" w:ascii="宋体" w:hAnsi="宋体" w:cs="宋体"/>
          <w:color w:val="auto"/>
          <w:szCs w:val="21"/>
          <w:highlight w:val="none"/>
        </w:rPr>
        <w:t>22.2.1 发包人违约的情形</w:t>
      </w:r>
      <w:bookmarkEnd w:id="306"/>
    </w:p>
    <w:p w14:paraId="3A7F72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除通用合同条款约定外，发包人违约的其他情形：</w:t>
      </w:r>
    </w:p>
    <w:p w14:paraId="5AAA175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（1）根据专用合同条款第11.3款发包人的工期延误；</w:t>
      </w:r>
    </w:p>
    <w:p w14:paraId="4E0F63D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（2）因发包人原因未能及时办理完毕合同约定的许可、批准或备案的；</w:t>
      </w:r>
    </w:p>
    <w:p w14:paraId="0544EC5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（3）因监理人未能按合同约定发出指示、指示延误或发出了错误指示而导致承包人费用增加和（或）工期延误的；</w:t>
      </w:r>
    </w:p>
    <w:p w14:paraId="24BFDAD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（4）根据第13.5.3条发包人或监理人要求重新检查的，经检查证明工程质量符合合同要求的，并由此产生增加的费用和（或）延误的工期的；</w:t>
      </w:r>
    </w:p>
    <w:p w14:paraId="13E39D1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（5）因发包人原因造成工程质量未达到合同约定标准的；</w:t>
      </w:r>
    </w:p>
    <w:p w14:paraId="34B2600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（6）由于发包人原因对承包人造成的人员人身伤亡和财产损失的；</w:t>
      </w:r>
    </w:p>
    <w:p w14:paraId="6B71759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（7）因发包人原因导致工程无法按期办理竣工验收和竣工结算的；</w:t>
      </w:r>
    </w:p>
    <w:p w14:paraId="56B908E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（8）发包人无正当理由未按约定退还履约担保、低价风险担保或质量保证金的；</w:t>
      </w:r>
    </w:p>
    <w:p w14:paraId="7F62CD2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（9）发包人不当提取履约担保、低价风险担保或质量保证金的；</w:t>
      </w:r>
    </w:p>
    <w:p w14:paraId="6E314BF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（10）发包人未按合同约定接收全部或部分工作的；</w:t>
      </w:r>
    </w:p>
    <w:p w14:paraId="71D40CE4">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（11）发包人未按合同约定办理保险的；</w:t>
      </w:r>
    </w:p>
    <w:p w14:paraId="194C4D50">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（12）其他：        </w:t>
      </w:r>
      <w:r>
        <w:rPr>
          <w:rFonts w:hint="eastAsia" w:ascii="宋体" w:hAnsi="宋体" w:cs="宋体"/>
          <w:color w:val="auto"/>
          <w:kern w:val="0"/>
          <w:szCs w:val="21"/>
          <w:highlight w:val="none"/>
        </w:rPr>
        <w:t>。</w:t>
      </w:r>
    </w:p>
    <w:p w14:paraId="13718FD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22.2.3 发包人违约解除合同</w:t>
      </w:r>
    </w:p>
    <w:p w14:paraId="4DF5033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因发包人违约并致使合同目的不能实现的，承包人有权解除合同：</w:t>
      </w:r>
    </w:p>
    <w:p w14:paraId="4ADA98B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（1）因发包人原因延迟支付合同价款超过180天的；</w:t>
      </w:r>
    </w:p>
    <w:p w14:paraId="2EF3EED5">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（2）因发包人原因导致工期延误超过90天的；</w:t>
      </w:r>
    </w:p>
    <w:p w14:paraId="50634B0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（3）因发包人第22.2.6（5）违约情形导致暂停施工满56天，且发包人仍未纠正其违约行为的；</w:t>
      </w:r>
    </w:p>
    <w:p w14:paraId="1797A5F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（4）其他未履行合同项下的义务构成对合同的实质性违约，并且在收到承包人要求说明其违约并予以补救的通知后56天内仍未补救该实质性违约的。</w:t>
      </w:r>
    </w:p>
    <w:p w14:paraId="3395FAE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22.2.4解除合同后的付款</w:t>
      </w:r>
    </w:p>
    <w:p w14:paraId="549E589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承包人按照本款约定解除合同的，发包人应在解除合同后28天内支付下列款项，并解除履约担保、低价风险担保：</w:t>
      </w:r>
    </w:p>
    <w:p w14:paraId="3B870E7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（1）合同解除前所完成工作的价款；</w:t>
      </w:r>
    </w:p>
    <w:p w14:paraId="0CC96745">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（2）承包人为工程施工订购并已付款的材料、工程设备和其他物品的价款；</w:t>
      </w:r>
    </w:p>
    <w:p w14:paraId="33EA8AA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（3）承包人撤离施工现场以及遣散承包人人员的款项；</w:t>
      </w:r>
    </w:p>
    <w:p w14:paraId="4073E1D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（4）按照合同约定在合同解除前应支付的违约金；</w:t>
      </w:r>
    </w:p>
    <w:p w14:paraId="0204C9B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（5）按照合同约定应当支付给承包人的其他款项；</w:t>
      </w:r>
    </w:p>
    <w:p w14:paraId="21E86FD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（6）按照合同约定应退还的质量保证金；</w:t>
      </w:r>
    </w:p>
    <w:p w14:paraId="4E1FA2A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（7）因解除合同给承包人造成的损失。</w:t>
      </w:r>
    </w:p>
    <w:p w14:paraId="7F82B4A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合同当事人未能就解除合同后的结清达成一致的，按照第20条〔争议解决〕的约定处理。</w:t>
      </w:r>
    </w:p>
    <w:p w14:paraId="3D8F5A7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4DF0445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22.2.6发包人违约的责任</w:t>
      </w:r>
    </w:p>
    <w:p w14:paraId="11DD0AE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（1）因发包人原因未能及时办理完毕前述许可、批准或备案的违约责任：由发包人承担由此增加的费用和（或）顺延工期，并支付合理利润，具体索赔程序按照第23条〔索赔〕约定执行。</w:t>
      </w:r>
    </w:p>
    <w:p w14:paraId="52575E19">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14:paraId="2D4EF01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（3）因发包人原因导致工期延误的违约责任：由发包人承担由此增加的费用和（或）顺延工期，并支付合理利润，具体索赔程序按照第23条〔索赔〕约定执行。</w:t>
      </w:r>
    </w:p>
    <w:p w14:paraId="5CD1A1B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（4）因发包人原因未能在计划开工日期前7天内下达开工通知的违约责任：由发包人承担由此增加的费用和（或）顺延工期，并支付合理利润，具体索赔程序按照第23条〔索赔〕约定执行。</w:t>
      </w:r>
    </w:p>
    <w:p w14:paraId="7A6298F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（5）根据第13.5.3项发包人或监理人要求重新检查的，经检查证明工程质量符合合同要求的，由发包人承担由此增加的费用和（或）顺延工期，并支付合理利润，具体索赔程序按照第23条〔索赔〕约定执行。</w:t>
      </w:r>
    </w:p>
    <w:p w14:paraId="5CDBC32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宋体"/>
          <w:color w:val="auto"/>
          <w:kern w:val="0"/>
          <w:szCs w:val="21"/>
          <w:highlight w:val="none"/>
          <w:u w:val="single"/>
        </w:rPr>
        <w:t>违约金=应付未付金额×中国人民银行  年  月公布的5年期贷款市场报价利率/360天×逾期天数</w:t>
      </w:r>
      <w:r>
        <w:rPr>
          <w:rFonts w:hint="eastAsia" w:ascii="宋体" w:hAnsi="宋体" w:cs="宋体"/>
          <w:color w:val="auto"/>
          <w:szCs w:val="21"/>
          <w:highlight w:val="none"/>
          <w:u w:val="single"/>
        </w:rPr>
        <w:t>（自第29天起计算）</w:t>
      </w:r>
      <w:r>
        <w:rPr>
          <w:rFonts w:hint="eastAsia" w:ascii="宋体" w:hAnsi="宋体" w:cs="宋体"/>
          <w:color w:val="auto"/>
          <w:kern w:val="0"/>
          <w:szCs w:val="21"/>
          <w:highlight w:val="none"/>
          <w:u w:val="single"/>
        </w:rPr>
        <w:t>；逾期天数超过56天的，超过部分天数按上述利率的两倍计算并支付违约金。</w:t>
      </w:r>
    </w:p>
    <w:p w14:paraId="4C5772D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（7）发包人违反合同约定，自行实施或转由他人实施被取消的合同工作内容的违约责任：由发包人承担由此给承包人造成的实际损失并支付合理利润。</w:t>
      </w:r>
    </w:p>
    <w:p w14:paraId="2928310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14:paraId="0E6E80A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（9）因发包人原因造成工程质量未达到合同约定标准的，由发包人承担由此增加的费用和（或）延误的工期，并支付合理利润。</w:t>
      </w:r>
    </w:p>
    <w:p w14:paraId="4304029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（10）因发包人违反合同约定造成暂停施工的违约责任：由发包人承担由此增加的费用和（或）顺延工期，并支付合理利润，具体索赔程序按照第23条〔索赔〕约定执行。</w:t>
      </w:r>
    </w:p>
    <w:p w14:paraId="7112A77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（11）发包人无正当理由没有在约定期限内发出复工指示，导致承包人无法复工的违约责任：由发包人承担由此增加的费用和（或）顺延工期，并支付合理利润，具体索赔程序按照第23条〔索赔〕约定执行。</w:t>
      </w:r>
    </w:p>
    <w:p w14:paraId="5F5878B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（12）因发包人原因导致工程无法按期办理竣工验收和竣工结算的违约责任：由发包人承担由此增加的费用和（或）顺延工期，并支付合理利润，具体索赔程序按照第23条〔索赔〕约定执行。</w:t>
      </w:r>
    </w:p>
    <w:p w14:paraId="2E1ED36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（13）</w:t>
      </w:r>
      <w:r>
        <w:rPr>
          <w:rFonts w:hint="eastAsia" w:ascii="宋体" w:hAnsi="宋体" w:cs="宋体"/>
          <w:color w:val="auto"/>
          <w:kern w:val="0"/>
          <w:szCs w:val="21"/>
          <w:highlight w:val="none"/>
        </w:rPr>
        <w:t>发包人无正当理由未按约定退还履约担保、低价风险担保或质量保证金的违约责任：发包人应向承包人支付违约金，自应当退还之日起28天后开始计算违约金，</w:t>
      </w:r>
      <w:r>
        <w:rPr>
          <w:rFonts w:hint="eastAsia" w:ascii="宋体" w:hAnsi="宋体" w:cs="宋体"/>
          <w:color w:val="auto"/>
          <w:kern w:val="0"/>
          <w:szCs w:val="21"/>
          <w:highlight w:val="none"/>
          <w:u w:val="single"/>
        </w:rPr>
        <w:t>计算公式：违约金=应退未退担保金额×中国人民银行    年   月公布的5年期贷款市场报价利率/360天×逾期天数</w:t>
      </w:r>
      <w:r>
        <w:rPr>
          <w:rFonts w:hint="eastAsia" w:ascii="宋体" w:hAnsi="宋体" w:cs="宋体"/>
          <w:color w:val="auto"/>
          <w:szCs w:val="21"/>
          <w:highlight w:val="none"/>
          <w:u w:val="single"/>
        </w:rPr>
        <w:t>（自第29天起计算）</w:t>
      </w:r>
      <w:r>
        <w:rPr>
          <w:rFonts w:hint="eastAsia" w:ascii="宋体" w:hAnsi="宋体" w:cs="宋体"/>
          <w:color w:val="auto"/>
          <w:kern w:val="0"/>
          <w:szCs w:val="21"/>
          <w:highlight w:val="none"/>
        </w:rPr>
        <w:t>。</w:t>
      </w:r>
    </w:p>
    <w:p w14:paraId="26BF73D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（14）发包人不当提取履约担保、低价风险担保或质量保证金的，应及时予以退还，若不当提取超过28天的，应承担违约责任：发包人应向承包人支付违约金，</w:t>
      </w:r>
      <w:r>
        <w:rPr>
          <w:rFonts w:hint="eastAsia" w:ascii="宋体" w:hAnsi="宋体" w:cs="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cs="宋体"/>
          <w:color w:val="auto"/>
          <w:szCs w:val="21"/>
          <w:highlight w:val="none"/>
        </w:rPr>
        <w:t>。</w:t>
      </w:r>
    </w:p>
    <w:p w14:paraId="18CB0FD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（15）发包人未按合同约定接收全部或部分工作的违约责任：由发包人承担自应当接收工程之日起的工程照管、成品保护、保管等与工程有关的各项费用。</w:t>
      </w:r>
    </w:p>
    <w:p w14:paraId="4F62A0E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（16）由于发包人原因对承包人造成的人员人身伤亡和财产损失的，由发包人负责赔偿，并承担由此增加的费用和（或）延误的工期，并支付合理利润。</w:t>
      </w:r>
    </w:p>
    <w:p w14:paraId="6DF84890">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（17）发包人未按合同约定办理保险的违约责任：除按18.6.1项约定执行外，每延迟1天，按500元/天支付违约金。</w:t>
      </w:r>
    </w:p>
    <w:p w14:paraId="5256FCE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（18）其他：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71D7A49">
      <w:pPr>
        <w:snapToGrid w:val="0"/>
        <w:spacing w:line="360" w:lineRule="auto"/>
        <w:ind w:firstLine="420" w:firstLineChars="200"/>
        <w:jc w:val="left"/>
        <w:rPr>
          <w:rFonts w:hint="eastAsia"/>
          <w:color w:val="auto"/>
          <w:highlight w:val="none"/>
        </w:rPr>
      </w:pPr>
      <w:r>
        <w:rPr>
          <w:rFonts w:hint="eastAsia" w:ascii="宋体" w:hAnsi="宋体" w:cs="宋体"/>
          <w:color w:val="auto"/>
          <w:kern w:val="0"/>
          <w:szCs w:val="21"/>
          <w:highlight w:val="none"/>
        </w:rPr>
        <w:t>发包人发生除第22.2.1项（7）以外的违约情况时，承包人可向发包人发出通知，要求发包人采取有效措施纠正违约行为。发包人收到承包人通知后的28天内仍不履行合同义务，承包人有权暂停施工，并通知监理人。</w:t>
      </w:r>
    </w:p>
    <w:p w14:paraId="50927C00">
      <w:pPr>
        <w:pStyle w:val="5"/>
        <w:spacing w:line="360" w:lineRule="auto"/>
        <w:rPr>
          <w:rFonts w:hint="eastAsia" w:ascii="宋体" w:hAnsi="宋体" w:cs="宋体"/>
          <w:color w:val="auto"/>
          <w:sz w:val="21"/>
          <w:szCs w:val="21"/>
          <w:highlight w:val="none"/>
        </w:rPr>
      </w:pPr>
      <w:bookmarkStart w:id="307" w:name="_Toc59810426"/>
      <w:bookmarkStart w:id="308" w:name="_Toc33183793"/>
      <w:r>
        <w:rPr>
          <w:rFonts w:hint="eastAsia" w:ascii="宋体" w:hAnsi="宋体" w:cs="宋体"/>
          <w:color w:val="auto"/>
          <w:sz w:val="21"/>
          <w:szCs w:val="21"/>
          <w:highlight w:val="none"/>
        </w:rPr>
        <w:t>23. 索赔</w:t>
      </w:r>
      <w:bookmarkEnd w:id="307"/>
      <w:bookmarkEnd w:id="308"/>
    </w:p>
    <w:p w14:paraId="0461D972">
      <w:pPr>
        <w:keepNext/>
        <w:keepLines/>
        <w:snapToGrid w:val="0"/>
        <w:spacing w:line="600" w:lineRule="exact"/>
        <w:ind w:firstLine="420" w:firstLineChars="200"/>
        <w:outlineLvl w:val="3"/>
        <w:rPr>
          <w:rFonts w:hint="eastAsia" w:ascii="宋体" w:hAnsi="宋体" w:cs="宋体"/>
          <w:color w:val="auto"/>
          <w:szCs w:val="21"/>
          <w:highlight w:val="none"/>
        </w:rPr>
      </w:pPr>
      <w:bookmarkStart w:id="309" w:name="_Toc33183794"/>
      <w:r>
        <w:rPr>
          <w:rFonts w:hint="eastAsia" w:ascii="宋体" w:hAnsi="宋体" w:cs="宋体"/>
          <w:color w:val="auto"/>
          <w:szCs w:val="21"/>
          <w:highlight w:val="none"/>
        </w:rPr>
        <w:t>23.1 承包人索赔的提出</w:t>
      </w:r>
      <w:bookmarkEnd w:id="309"/>
    </w:p>
    <w:p w14:paraId="71685AC0">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根据合同约定，承包人认为有权得到追加付款和（或）延长工期的，应按以下程序向发包人提出索赔：</w:t>
      </w:r>
    </w:p>
    <w:p w14:paraId="28B87A1E">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7D7CCA07">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3482DFF">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（3）索赔事件具有持续影响的，承包人应按监理人要求的合理时间间隔继续递交延续索赔通知，说明持续影响的实际情况和记录，列出累计的追加付款金额和（或）工期延长天数；</w:t>
      </w:r>
    </w:p>
    <w:p w14:paraId="5CE104AC">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（4）在索赔事件影响结束后28天内，承包人应向监理人递交最终索赔报告，说明最终要求索赔的追加付款金额和（或）延长的工期，并附必要的记录和证明材料。</w:t>
      </w:r>
    </w:p>
    <w:p w14:paraId="60AEAC32">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F0966C2">
      <w:pPr>
        <w:keepNext/>
        <w:keepLines/>
        <w:snapToGrid w:val="0"/>
        <w:spacing w:line="600" w:lineRule="exact"/>
        <w:ind w:firstLine="420" w:firstLineChars="200"/>
        <w:outlineLvl w:val="3"/>
        <w:rPr>
          <w:rFonts w:hint="eastAsia" w:ascii="宋体" w:hAnsi="宋体" w:cs="宋体"/>
          <w:color w:val="auto"/>
          <w:szCs w:val="21"/>
          <w:highlight w:val="none"/>
        </w:rPr>
      </w:pPr>
      <w:bookmarkStart w:id="310" w:name="_Toc33183795"/>
      <w:r>
        <w:rPr>
          <w:rFonts w:hint="eastAsia" w:ascii="宋体" w:hAnsi="宋体" w:cs="宋体"/>
          <w:color w:val="auto"/>
          <w:szCs w:val="21"/>
          <w:highlight w:val="none"/>
        </w:rPr>
        <w:t>23.2 承包人索赔处理程序</w:t>
      </w:r>
      <w:bookmarkEnd w:id="310"/>
    </w:p>
    <w:p w14:paraId="327737AE">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对承包人索赔的处理程序：</w:t>
      </w:r>
    </w:p>
    <w:p w14:paraId="014B656A">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应按3.5目商定或确定追加的付款和（或）延长的工期，并在收到上述索赔通知书或有关索赔的进一步证明材料后的28天内，将索赔处理结果报发包人批准后答复承包人。如果承包人提出的索赔要求未能遵守23.1（2）～（4）项的规定，则承包人只限于索赔由监理人按当时记录予以核实的那部分款额和（或）工期延长天数。</w:t>
      </w:r>
    </w:p>
    <w:p w14:paraId="7D697006">
      <w:pPr>
        <w:rPr>
          <w:rFonts w:hint="eastAsia" w:ascii="宋体" w:hAnsi="宋体" w:cs="宋体"/>
          <w:color w:val="auto"/>
          <w:szCs w:val="21"/>
          <w:highlight w:val="none"/>
        </w:rPr>
      </w:pPr>
    </w:p>
    <w:p w14:paraId="79D2E55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23.3 承包人/发包人提出索赔的期限</w:t>
      </w:r>
    </w:p>
    <w:p w14:paraId="3468277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任一索赔事件发生后28天内，承包人/发包人未向对方发出索赔意向通知书的，视为其已放弃索赔权，无权再就该索赔事项提出任何索赔。</w:t>
      </w:r>
    </w:p>
    <w:p w14:paraId="29F9BC8E">
      <w:pPr>
        <w:spacing w:line="360" w:lineRule="auto"/>
        <w:rPr>
          <w:rFonts w:hint="eastAsia" w:ascii="宋体" w:hAnsi="宋体" w:cs="宋体"/>
          <w:color w:val="auto"/>
          <w:szCs w:val="21"/>
          <w:highlight w:val="none"/>
        </w:rPr>
      </w:pPr>
    </w:p>
    <w:p w14:paraId="46FA920D">
      <w:pPr>
        <w:keepNext/>
        <w:keepLines/>
        <w:snapToGrid w:val="0"/>
        <w:spacing w:line="600" w:lineRule="exact"/>
        <w:ind w:firstLine="420" w:firstLineChars="200"/>
        <w:outlineLvl w:val="3"/>
        <w:rPr>
          <w:rFonts w:hint="eastAsia" w:ascii="宋体" w:hAnsi="宋体" w:cs="宋体"/>
          <w:color w:val="auto"/>
          <w:szCs w:val="21"/>
          <w:highlight w:val="none"/>
        </w:rPr>
      </w:pPr>
      <w:bookmarkStart w:id="311" w:name="_Toc33183796"/>
      <w:r>
        <w:rPr>
          <w:rFonts w:hint="eastAsia" w:ascii="宋体" w:hAnsi="宋体" w:cs="宋体"/>
          <w:color w:val="auto"/>
          <w:szCs w:val="21"/>
          <w:highlight w:val="none"/>
        </w:rPr>
        <w:t>23.4 发包人的索赔</w:t>
      </w:r>
      <w:bookmarkEnd w:id="311"/>
    </w:p>
    <w:p w14:paraId="66D5D27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根据合同约定，发包人认为有权得到赔付金额和（或）延长缺陷责任期的，监理人应向承包人发出通知并附有详细的证明。</w:t>
      </w:r>
    </w:p>
    <w:p w14:paraId="32110E64">
      <w:pPr>
        <w:pStyle w:val="2"/>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14:paraId="7C635C49">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对发包人索赔的处理如下：</w:t>
      </w:r>
    </w:p>
    <w:p w14:paraId="0D65B530">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（1）承包人收到发包人提交的索赔报告后，应及时审查索赔报告的内容、查验发包人证明材料；</w:t>
      </w:r>
    </w:p>
    <w:p w14:paraId="4B80CA9A">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1144DCC5">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（3）承包人接受索赔处理结果的，发包人可从应支付给承包人的合同价款中扣除赔付的金额或延长缺陷责任期；发包人不接受索赔处理结果的，按第24条〔争议的解决〕约定处理。</w:t>
      </w:r>
    </w:p>
    <w:p w14:paraId="6BA2E063">
      <w:pPr>
        <w:spacing w:line="360" w:lineRule="auto"/>
        <w:rPr>
          <w:rFonts w:hint="eastAsia" w:ascii="宋体" w:hAnsi="宋体" w:cs="宋体"/>
          <w:color w:val="auto"/>
          <w:szCs w:val="21"/>
          <w:highlight w:val="none"/>
        </w:rPr>
      </w:pPr>
    </w:p>
    <w:p w14:paraId="24C8FEAD">
      <w:pPr>
        <w:pStyle w:val="5"/>
        <w:spacing w:line="360" w:lineRule="auto"/>
        <w:rPr>
          <w:rFonts w:hint="eastAsia" w:ascii="宋体" w:hAnsi="宋体" w:cs="宋体"/>
          <w:color w:val="auto"/>
          <w:sz w:val="21"/>
          <w:szCs w:val="21"/>
          <w:highlight w:val="none"/>
        </w:rPr>
      </w:pPr>
      <w:bookmarkStart w:id="312" w:name="_Toc33183797"/>
      <w:bookmarkStart w:id="313" w:name="_Toc59810427"/>
      <w:r>
        <w:rPr>
          <w:rFonts w:hint="eastAsia" w:ascii="宋体" w:hAnsi="宋体" w:cs="宋体"/>
          <w:color w:val="auto"/>
          <w:sz w:val="21"/>
          <w:szCs w:val="21"/>
          <w:highlight w:val="none"/>
        </w:rPr>
        <w:t>24. 争议的解决</w:t>
      </w:r>
      <w:bookmarkEnd w:id="294"/>
      <w:bookmarkEnd w:id="295"/>
      <w:bookmarkEnd w:id="296"/>
      <w:bookmarkEnd w:id="297"/>
      <w:bookmarkEnd w:id="298"/>
      <w:bookmarkEnd w:id="299"/>
      <w:bookmarkEnd w:id="312"/>
      <w:bookmarkEnd w:id="313"/>
    </w:p>
    <w:p w14:paraId="5F31D4CA">
      <w:pPr>
        <w:keepNext/>
        <w:keepLines/>
        <w:snapToGrid w:val="0"/>
        <w:spacing w:line="600" w:lineRule="exact"/>
        <w:ind w:firstLine="420" w:firstLineChars="200"/>
        <w:outlineLvl w:val="3"/>
        <w:rPr>
          <w:rFonts w:hint="eastAsia" w:ascii="宋体" w:hAnsi="宋体" w:cs="宋体"/>
          <w:color w:val="auto"/>
          <w:szCs w:val="21"/>
          <w:highlight w:val="none"/>
        </w:rPr>
      </w:pPr>
      <w:bookmarkStart w:id="314" w:name="_Toc33183798"/>
      <w:bookmarkStart w:id="315" w:name="_Toc221951335"/>
      <w:r>
        <w:rPr>
          <w:rFonts w:hint="eastAsia" w:ascii="宋体" w:hAnsi="宋体" w:cs="宋体"/>
          <w:color w:val="auto"/>
          <w:szCs w:val="21"/>
          <w:highlight w:val="none"/>
        </w:rPr>
        <w:t>24.1 争议的解决方式</w:t>
      </w:r>
      <w:bookmarkEnd w:id="314"/>
    </w:p>
    <w:p w14:paraId="2D0AF784">
      <w:pPr>
        <w:keepNext/>
        <w:keepLines/>
        <w:spacing w:line="360" w:lineRule="auto"/>
        <w:ind w:firstLine="420" w:firstLineChars="200"/>
        <w:outlineLvl w:val="3"/>
        <w:rPr>
          <w:rFonts w:hint="eastAsia" w:ascii="宋体" w:hAnsi="宋体" w:cs="宋体"/>
          <w:color w:val="auto"/>
          <w:szCs w:val="21"/>
          <w:highlight w:val="none"/>
        </w:rPr>
      </w:pPr>
      <w:bookmarkStart w:id="316" w:name="_Toc33183799"/>
      <w:r>
        <w:rPr>
          <w:rFonts w:hint="eastAsia" w:ascii="宋体" w:hAnsi="宋体" w:cs="宋体"/>
          <w:color w:val="auto"/>
          <w:szCs w:val="21"/>
          <w:highlight w:val="none"/>
        </w:rPr>
        <w:t>合同当事人友好协商解决不成、不愿提请争议评审或不接受争议评审组意见的，约定的合同争议解决方式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bookmarkEnd w:id="315"/>
      <w:bookmarkEnd w:id="316"/>
    </w:p>
    <w:p w14:paraId="07C85A56">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24.3 争议评审</w:t>
      </w:r>
    </w:p>
    <w:p w14:paraId="6B4A8CC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合同当事人是否同意将工程争议提交争议评审小组决定：</w:t>
      </w:r>
      <w:r>
        <w:rPr>
          <w:rFonts w:hint="eastAsia" w:ascii="宋体" w:hAnsi="宋体" w:cs="宋体"/>
          <w:color w:val="auto"/>
          <w:kern w:val="0"/>
          <w:szCs w:val="21"/>
          <w:highlight w:val="none"/>
          <w:u w:val="single"/>
        </w:rPr>
        <w:t xml:space="preserve"> 是 </w:t>
      </w:r>
      <w:r>
        <w:rPr>
          <w:rFonts w:hint="eastAsia" w:ascii="宋体" w:hAnsi="宋体" w:cs="宋体"/>
          <w:color w:val="auto"/>
          <w:kern w:val="0"/>
          <w:szCs w:val="21"/>
          <w:highlight w:val="none"/>
        </w:rPr>
        <w:t>。</w:t>
      </w:r>
    </w:p>
    <w:p w14:paraId="5A69642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本款补充细化24.3.1项如下：</w:t>
      </w:r>
    </w:p>
    <w:p w14:paraId="0DE0F98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24.3.1采用争议评审的，发包人和承包人应在开工日后的28 天内或在争议发生后，协商成立争议评审组。争议评审组由</w:t>
      </w:r>
      <w:r>
        <w:rPr>
          <w:rFonts w:hint="eastAsia" w:ascii="宋体" w:hAnsi="宋体" w:cs="宋体"/>
          <w:color w:val="auto"/>
          <w:kern w:val="0"/>
          <w:szCs w:val="21"/>
          <w:highlight w:val="none"/>
          <w:u w:val="single"/>
        </w:rPr>
        <w:t>一名或三名</w:t>
      </w:r>
      <w:r>
        <w:rPr>
          <w:rFonts w:hint="eastAsia" w:ascii="宋体" w:hAnsi="宋体" w:cs="宋体"/>
          <w:color w:val="auto"/>
          <w:kern w:val="0"/>
          <w:szCs w:val="21"/>
          <w:highlight w:val="none"/>
        </w:rPr>
        <w:t>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0A08BB4E">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24.4 仲裁或诉讼</w:t>
      </w:r>
    </w:p>
    <w:p w14:paraId="78F0ACC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因合同及合同有关事项发生的争议，按下列第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种方式解决：</w:t>
      </w:r>
    </w:p>
    <w:p w14:paraId="706217D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仲裁委员会申请仲裁；</w:t>
      </w:r>
    </w:p>
    <w:p w14:paraId="16E45FF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人民法院起诉。</w:t>
      </w:r>
    </w:p>
    <w:p w14:paraId="522BBBAE">
      <w:pPr>
        <w:ind w:firstLine="420" w:firstLineChars="200"/>
        <w:rPr>
          <w:rFonts w:hint="eastAsia" w:ascii="宋体" w:hAnsi="宋体" w:cs="宋体"/>
          <w:color w:val="auto"/>
          <w:kern w:val="0"/>
          <w:szCs w:val="21"/>
          <w:highlight w:val="none"/>
        </w:rPr>
      </w:pPr>
    </w:p>
    <w:p w14:paraId="48AF9B72">
      <w:pPr>
        <w:pStyle w:val="2"/>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本合同补充第25、26条如下：</w:t>
      </w:r>
    </w:p>
    <w:p w14:paraId="119CFDF3">
      <w:pPr>
        <w:pStyle w:val="5"/>
        <w:spacing w:line="360" w:lineRule="auto"/>
        <w:rPr>
          <w:rFonts w:hint="eastAsia" w:ascii="宋体" w:hAnsi="宋体" w:cs="宋体"/>
          <w:color w:val="auto"/>
          <w:sz w:val="21"/>
          <w:szCs w:val="21"/>
          <w:highlight w:val="none"/>
        </w:rPr>
      </w:pPr>
      <w:bookmarkStart w:id="317" w:name="_Toc59810428"/>
      <w:bookmarkStart w:id="318" w:name="_Toc33183800"/>
      <w:r>
        <w:rPr>
          <w:rFonts w:hint="eastAsia" w:ascii="宋体" w:hAnsi="宋体" w:cs="宋体"/>
          <w:color w:val="auto"/>
          <w:sz w:val="21"/>
          <w:szCs w:val="21"/>
          <w:highlight w:val="none"/>
        </w:rPr>
        <w:t>25. 补充条款</w:t>
      </w:r>
      <w:bookmarkEnd w:id="317"/>
      <w:bookmarkEnd w:id="318"/>
    </w:p>
    <w:p w14:paraId="6739FAEA">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25.1 退出机制</w:t>
      </w:r>
    </w:p>
    <w:p w14:paraId="1020B46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25.1.1有下列情形之一的，发包人有权解除合同，亦有权兑付履约担保，并对承包人做清退出场处理：</w:t>
      </w:r>
    </w:p>
    <w:p w14:paraId="1C80DF9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（1）因承包人原因造成较大及以上等级生产安全事故或工程质量事故的；</w:t>
      </w:r>
    </w:p>
    <w:p w14:paraId="4F3EE0E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（2）因承包人债权债务纠纷或其他纠纷导致工程无法正常施工的。</w:t>
      </w:r>
    </w:p>
    <w:p w14:paraId="439F79D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AB164A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25.1.2有下列情形之一的，承包人有权解除合同，并按16.1.4约定执行：</w:t>
      </w:r>
    </w:p>
    <w:p w14:paraId="247A2B57">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（1）因发包人征地、拆迁、补偿、审批手续等原因致使本工程延期开工超过90天的。</w:t>
      </w:r>
    </w:p>
    <w:p w14:paraId="06B33BD3">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DF70A0B">
      <w:pPr>
        <w:pStyle w:val="5"/>
        <w:spacing w:line="360" w:lineRule="auto"/>
        <w:rPr>
          <w:rFonts w:hint="eastAsia" w:ascii="宋体" w:hAnsi="宋体" w:cs="宋体"/>
          <w:color w:val="auto"/>
          <w:sz w:val="21"/>
          <w:szCs w:val="21"/>
          <w:highlight w:val="none"/>
        </w:rPr>
      </w:pPr>
      <w:bookmarkStart w:id="319" w:name="_Toc59810429"/>
      <w:bookmarkStart w:id="320" w:name="_Toc33183801"/>
      <w:r>
        <w:rPr>
          <w:rFonts w:hint="eastAsia" w:ascii="宋体" w:hAnsi="宋体" w:cs="宋体"/>
          <w:color w:val="auto"/>
          <w:sz w:val="21"/>
          <w:szCs w:val="21"/>
          <w:highlight w:val="none"/>
        </w:rPr>
        <w:t>26. 合同附件</w:t>
      </w:r>
      <w:bookmarkEnd w:id="319"/>
      <w:bookmarkEnd w:id="320"/>
    </w:p>
    <w:p w14:paraId="15CD077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以下八个附件是本合同的有效组成部分：</w:t>
      </w:r>
    </w:p>
    <w:p w14:paraId="3FB7033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附件1：主要建设工程文件目录</w:t>
      </w:r>
    </w:p>
    <w:p w14:paraId="76F8332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附件2：承包人项目管理机构组成表</w:t>
      </w:r>
    </w:p>
    <w:p w14:paraId="79A0763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附件3：履约担保</w:t>
      </w:r>
    </w:p>
    <w:p w14:paraId="5BA42D6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附件4：预付款担保</w:t>
      </w:r>
    </w:p>
    <w:p w14:paraId="3D51430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附件5：支付担保</w:t>
      </w:r>
    </w:p>
    <w:p w14:paraId="4C5A37C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附件6：重庆市水利工程建设安全生产合同</w:t>
      </w:r>
    </w:p>
    <w:p w14:paraId="061028A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附件7：重庆市水利工程建设廉政合同</w:t>
      </w:r>
    </w:p>
    <w:p w14:paraId="450D871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附件8：按期支付农民工工资合同</w:t>
      </w:r>
    </w:p>
    <w:p w14:paraId="2CF8D214">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附件1：主要建设工程文件目录</w:t>
      </w:r>
    </w:p>
    <w:p w14:paraId="74CDD358">
      <w:pPr>
        <w:pStyle w:val="2"/>
        <w:rPr>
          <w:rFonts w:hint="eastAsia"/>
          <w:color w:val="auto"/>
          <w:highlight w:val="none"/>
        </w:rPr>
      </w:pPr>
    </w:p>
    <w:p w14:paraId="7273AF46">
      <w:pPr>
        <w:spacing w:line="360" w:lineRule="auto"/>
        <w:ind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主要工程文件目录</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4AC9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noWrap w:val="0"/>
            <w:vAlign w:val="center"/>
          </w:tcPr>
          <w:p w14:paraId="7AA8F498">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文件名称</w:t>
            </w:r>
          </w:p>
        </w:tc>
        <w:tc>
          <w:tcPr>
            <w:tcW w:w="1418" w:type="dxa"/>
            <w:noWrap w:val="0"/>
            <w:vAlign w:val="center"/>
          </w:tcPr>
          <w:p w14:paraId="568597C6">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套数</w:t>
            </w:r>
          </w:p>
        </w:tc>
        <w:tc>
          <w:tcPr>
            <w:tcW w:w="1418" w:type="dxa"/>
            <w:noWrap w:val="0"/>
            <w:vAlign w:val="top"/>
          </w:tcPr>
          <w:p w14:paraId="0DF6F266">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移交时间</w:t>
            </w:r>
          </w:p>
        </w:tc>
        <w:tc>
          <w:tcPr>
            <w:tcW w:w="2917" w:type="dxa"/>
            <w:noWrap w:val="0"/>
            <w:vAlign w:val="top"/>
          </w:tcPr>
          <w:p w14:paraId="13C316D4">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责任人</w:t>
            </w:r>
          </w:p>
        </w:tc>
      </w:tr>
      <w:tr w14:paraId="2672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7971C48E">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2B2F7A57">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02CD95EB">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0A73CBBF">
            <w:pPr>
              <w:spacing w:line="360" w:lineRule="auto"/>
              <w:ind w:firstLine="420" w:firstLineChars="200"/>
              <w:rPr>
                <w:rFonts w:hint="eastAsia" w:ascii="宋体" w:hAnsi="宋体" w:cs="宋体"/>
                <w:color w:val="auto"/>
                <w:kern w:val="0"/>
                <w:szCs w:val="21"/>
                <w:highlight w:val="none"/>
              </w:rPr>
            </w:pPr>
          </w:p>
        </w:tc>
      </w:tr>
      <w:tr w14:paraId="6F44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51473475">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39B5B27B">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4A416AF2">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53A214E6">
            <w:pPr>
              <w:spacing w:line="360" w:lineRule="auto"/>
              <w:ind w:firstLine="420" w:firstLineChars="200"/>
              <w:rPr>
                <w:rFonts w:hint="eastAsia" w:ascii="宋体" w:hAnsi="宋体" w:cs="宋体"/>
                <w:color w:val="auto"/>
                <w:kern w:val="0"/>
                <w:szCs w:val="21"/>
                <w:highlight w:val="none"/>
              </w:rPr>
            </w:pPr>
          </w:p>
        </w:tc>
      </w:tr>
      <w:tr w14:paraId="6F17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490D5D6D">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01FB12B6">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090202AD">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735A14E3">
            <w:pPr>
              <w:spacing w:line="360" w:lineRule="auto"/>
              <w:ind w:firstLine="420" w:firstLineChars="200"/>
              <w:rPr>
                <w:rFonts w:hint="eastAsia" w:ascii="宋体" w:hAnsi="宋体" w:cs="宋体"/>
                <w:color w:val="auto"/>
                <w:kern w:val="0"/>
                <w:szCs w:val="21"/>
                <w:highlight w:val="none"/>
              </w:rPr>
            </w:pPr>
          </w:p>
        </w:tc>
      </w:tr>
      <w:tr w14:paraId="2541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3B175A7A">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484FA4B0">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7A4616B7">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3D31BDE4">
            <w:pPr>
              <w:spacing w:line="360" w:lineRule="auto"/>
              <w:ind w:firstLine="420" w:firstLineChars="200"/>
              <w:rPr>
                <w:rFonts w:hint="eastAsia" w:ascii="宋体" w:hAnsi="宋体" w:cs="宋体"/>
                <w:color w:val="auto"/>
                <w:kern w:val="0"/>
                <w:szCs w:val="21"/>
                <w:highlight w:val="none"/>
              </w:rPr>
            </w:pPr>
          </w:p>
        </w:tc>
      </w:tr>
      <w:tr w14:paraId="1C55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495F6DA6">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1DEB7B9B">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337C7289">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007FA1D1">
            <w:pPr>
              <w:spacing w:line="360" w:lineRule="auto"/>
              <w:ind w:firstLine="420" w:firstLineChars="200"/>
              <w:rPr>
                <w:rFonts w:hint="eastAsia" w:ascii="宋体" w:hAnsi="宋体" w:cs="宋体"/>
                <w:color w:val="auto"/>
                <w:kern w:val="0"/>
                <w:szCs w:val="21"/>
                <w:highlight w:val="none"/>
              </w:rPr>
            </w:pPr>
          </w:p>
        </w:tc>
      </w:tr>
      <w:tr w14:paraId="1FE4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5271E34B">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0C89F765">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16F3A5D0">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358267D8">
            <w:pPr>
              <w:spacing w:line="360" w:lineRule="auto"/>
              <w:ind w:firstLine="420" w:firstLineChars="200"/>
              <w:rPr>
                <w:rFonts w:hint="eastAsia" w:ascii="宋体" w:hAnsi="宋体" w:cs="宋体"/>
                <w:color w:val="auto"/>
                <w:kern w:val="0"/>
                <w:szCs w:val="21"/>
                <w:highlight w:val="none"/>
              </w:rPr>
            </w:pPr>
          </w:p>
        </w:tc>
      </w:tr>
      <w:tr w14:paraId="502F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51B87AF5">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4B290D7A">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507204AE">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48FDF5CF">
            <w:pPr>
              <w:spacing w:line="360" w:lineRule="auto"/>
              <w:ind w:firstLine="420" w:firstLineChars="200"/>
              <w:rPr>
                <w:rFonts w:hint="eastAsia" w:ascii="宋体" w:hAnsi="宋体" w:cs="宋体"/>
                <w:color w:val="auto"/>
                <w:kern w:val="0"/>
                <w:szCs w:val="21"/>
                <w:highlight w:val="none"/>
              </w:rPr>
            </w:pPr>
          </w:p>
        </w:tc>
      </w:tr>
      <w:tr w14:paraId="6841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0220F648">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4EFA054C">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1ACFFCFA">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228D4F55">
            <w:pPr>
              <w:spacing w:line="360" w:lineRule="auto"/>
              <w:ind w:firstLine="420" w:firstLineChars="200"/>
              <w:rPr>
                <w:rFonts w:hint="eastAsia" w:ascii="宋体" w:hAnsi="宋体" w:cs="宋体"/>
                <w:color w:val="auto"/>
                <w:kern w:val="0"/>
                <w:szCs w:val="21"/>
                <w:highlight w:val="none"/>
              </w:rPr>
            </w:pPr>
          </w:p>
        </w:tc>
      </w:tr>
      <w:tr w14:paraId="5313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06C57800">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173C554C">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41A5B362">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7BBF23DE">
            <w:pPr>
              <w:spacing w:line="360" w:lineRule="auto"/>
              <w:ind w:firstLine="420" w:firstLineChars="200"/>
              <w:rPr>
                <w:rFonts w:hint="eastAsia" w:ascii="宋体" w:hAnsi="宋体" w:cs="宋体"/>
                <w:color w:val="auto"/>
                <w:kern w:val="0"/>
                <w:szCs w:val="21"/>
                <w:highlight w:val="none"/>
              </w:rPr>
            </w:pPr>
          </w:p>
        </w:tc>
      </w:tr>
      <w:tr w14:paraId="103B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2E56B554">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27A8CEEF">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14:paraId="03E55BF5">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14:paraId="230F5BDB">
            <w:pPr>
              <w:spacing w:line="360" w:lineRule="auto"/>
              <w:ind w:firstLine="420" w:firstLineChars="200"/>
              <w:rPr>
                <w:rFonts w:hint="eastAsia" w:ascii="宋体" w:hAnsi="宋体" w:cs="宋体"/>
                <w:color w:val="auto"/>
                <w:kern w:val="0"/>
                <w:szCs w:val="21"/>
                <w:highlight w:val="none"/>
              </w:rPr>
            </w:pPr>
          </w:p>
        </w:tc>
      </w:tr>
      <w:tr w14:paraId="77C5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6EE3FE23">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4CEB0F49">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65F13411">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03D4094A">
            <w:pPr>
              <w:spacing w:line="360" w:lineRule="auto"/>
              <w:ind w:firstLine="420" w:firstLineChars="200"/>
              <w:rPr>
                <w:rFonts w:hint="eastAsia" w:ascii="宋体" w:hAnsi="宋体" w:cs="宋体"/>
                <w:color w:val="auto"/>
                <w:kern w:val="0"/>
                <w:szCs w:val="21"/>
                <w:highlight w:val="none"/>
              </w:rPr>
            </w:pPr>
          </w:p>
        </w:tc>
      </w:tr>
      <w:tr w14:paraId="4880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690EC70D">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757ACD3F">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42C0B8CA">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27D2D3B0">
            <w:pPr>
              <w:spacing w:line="360" w:lineRule="auto"/>
              <w:ind w:firstLine="420" w:firstLineChars="200"/>
              <w:rPr>
                <w:rFonts w:hint="eastAsia" w:ascii="宋体" w:hAnsi="宋体" w:cs="宋体"/>
                <w:color w:val="auto"/>
                <w:kern w:val="0"/>
                <w:szCs w:val="21"/>
                <w:highlight w:val="none"/>
              </w:rPr>
            </w:pPr>
          </w:p>
        </w:tc>
      </w:tr>
      <w:tr w14:paraId="3BD4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1314E2F9">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4D0D9262">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03E23C97">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4E39B85B">
            <w:pPr>
              <w:spacing w:line="360" w:lineRule="auto"/>
              <w:ind w:firstLine="420" w:firstLineChars="200"/>
              <w:rPr>
                <w:rFonts w:hint="eastAsia" w:ascii="宋体" w:hAnsi="宋体" w:cs="宋体"/>
                <w:color w:val="auto"/>
                <w:kern w:val="0"/>
                <w:szCs w:val="21"/>
                <w:highlight w:val="none"/>
              </w:rPr>
            </w:pPr>
          </w:p>
        </w:tc>
      </w:tr>
      <w:tr w14:paraId="072E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12AA204C">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474AFD69">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51863355">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7A7794E3">
            <w:pPr>
              <w:spacing w:line="360" w:lineRule="auto"/>
              <w:ind w:firstLine="420" w:firstLineChars="200"/>
              <w:rPr>
                <w:rFonts w:hint="eastAsia" w:ascii="宋体" w:hAnsi="宋体" w:cs="宋体"/>
                <w:color w:val="auto"/>
                <w:kern w:val="0"/>
                <w:szCs w:val="21"/>
                <w:highlight w:val="none"/>
              </w:rPr>
            </w:pPr>
          </w:p>
        </w:tc>
      </w:tr>
      <w:tr w14:paraId="69BB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1A4E20AE">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710EACC5">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18EBA35A">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5644E7C5">
            <w:pPr>
              <w:spacing w:line="360" w:lineRule="auto"/>
              <w:ind w:firstLine="420" w:firstLineChars="200"/>
              <w:rPr>
                <w:rFonts w:hint="eastAsia" w:ascii="宋体" w:hAnsi="宋体" w:cs="宋体"/>
                <w:color w:val="auto"/>
                <w:kern w:val="0"/>
                <w:szCs w:val="21"/>
                <w:highlight w:val="none"/>
              </w:rPr>
            </w:pPr>
          </w:p>
        </w:tc>
      </w:tr>
      <w:tr w14:paraId="7F61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451261C2">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6EC8C5B1">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1A238FC8">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47AFC278">
            <w:pPr>
              <w:spacing w:line="360" w:lineRule="auto"/>
              <w:ind w:firstLine="420" w:firstLineChars="200"/>
              <w:rPr>
                <w:rFonts w:hint="eastAsia" w:ascii="宋体" w:hAnsi="宋体" w:cs="宋体"/>
                <w:color w:val="auto"/>
                <w:kern w:val="0"/>
                <w:szCs w:val="21"/>
                <w:highlight w:val="none"/>
              </w:rPr>
            </w:pPr>
          </w:p>
        </w:tc>
      </w:tr>
      <w:tr w14:paraId="4B64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1B7DD4CD">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4351671E">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3CD1D699">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2B6F07F5">
            <w:pPr>
              <w:spacing w:line="360" w:lineRule="auto"/>
              <w:ind w:firstLine="420" w:firstLineChars="200"/>
              <w:rPr>
                <w:rFonts w:hint="eastAsia" w:ascii="宋体" w:hAnsi="宋体" w:cs="宋体"/>
                <w:color w:val="auto"/>
                <w:kern w:val="0"/>
                <w:szCs w:val="21"/>
                <w:highlight w:val="none"/>
              </w:rPr>
            </w:pPr>
          </w:p>
        </w:tc>
      </w:tr>
      <w:tr w14:paraId="747F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2C1E1E3E">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38BFCAEA">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14:paraId="28B3430E">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14:paraId="61906401">
            <w:pPr>
              <w:spacing w:line="360" w:lineRule="auto"/>
              <w:ind w:firstLine="420" w:firstLineChars="200"/>
              <w:rPr>
                <w:rFonts w:hint="eastAsia" w:ascii="宋体" w:hAnsi="宋体" w:cs="宋体"/>
                <w:color w:val="auto"/>
                <w:kern w:val="0"/>
                <w:szCs w:val="21"/>
                <w:highlight w:val="none"/>
              </w:rPr>
            </w:pPr>
          </w:p>
        </w:tc>
      </w:tr>
    </w:tbl>
    <w:p w14:paraId="48FD8AB6">
      <w:pPr>
        <w:spacing w:line="360" w:lineRule="auto"/>
        <w:ind w:firstLine="420" w:firstLineChars="200"/>
        <w:rPr>
          <w:rFonts w:hint="eastAsia" w:ascii="宋体" w:hAnsi="宋体" w:cs="宋体"/>
          <w:color w:val="auto"/>
          <w:kern w:val="0"/>
          <w:szCs w:val="21"/>
          <w:highlight w:val="none"/>
        </w:rPr>
      </w:pPr>
    </w:p>
    <w:p w14:paraId="47746584">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附件2：承包人项目管理机构组成表</w:t>
      </w:r>
    </w:p>
    <w:p w14:paraId="52DE99B2">
      <w:pPr>
        <w:spacing w:line="360" w:lineRule="auto"/>
        <w:ind w:firstLine="420" w:firstLineChars="200"/>
        <w:jc w:val="center"/>
        <w:rPr>
          <w:rFonts w:hint="eastAsia" w:ascii="宋体" w:hAnsi="宋体" w:cs="宋体"/>
          <w:color w:val="auto"/>
          <w:kern w:val="0"/>
          <w:szCs w:val="21"/>
          <w:highlight w:val="none"/>
        </w:rPr>
      </w:pPr>
    </w:p>
    <w:p w14:paraId="3B8EED77">
      <w:pPr>
        <w:spacing w:line="360" w:lineRule="auto"/>
        <w:ind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承包人项目管理机构组成表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25"/>
        <w:gridCol w:w="1593"/>
        <w:gridCol w:w="992"/>
        <w:gridCol w:w="1276"/>
        <w:gridCol w:w="851"/>
        <w:gridCol w:w="1641"/>
        <w:gridCol w:w="1080"/>
        <w:gridCol w:w="720"/>
      </w:tblGrid>
      <w:tr w14:paraId="2E77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14:paraId="1533653A">
            <w:pPr>
              <w:rPr>
                <w:rFonts w:hint="eastAsia" w:ascii="宋体" w:hAnsi="宋体" w:cs="宋体"/>
                <w:color w:val="auto"/>
                <w:kern w:val="0"/>
                <w:szCs w:val="21"/>
                <w:highlight w:val="none"/>
              </w:rPr>
            </w:pP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16D36B41">
            <w:pPr>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p>
        </w:tc>
        <w:tc>
          <w:tcPr>
            <w:tcW w:w="1593" w:type="dxa"/>
            <w:vMerge w:val="restart"/>
            <w:tcBorders>
              <w:top w:val="single" w:color="auto" w:sz="4" w:space="0"/>
              <w:left w:val="single" w:color="auto" w:sz="4" w:space="0"/>
              <w:bottom w:val="single" w:color="auto" w:sz="4" w:space="0"/>
              <w:right w:val="single" w:color="auto" w:sz="4" w:space="0"/>
            </w:tcBorders>
            <w:noWrap w:val="0"/>
            <w:vAlign w:val="center"/>
          </w:tcPr>
          <w:p w14:paraId="0F2C1BE5">
            <w:pPr>
              <w:rPr>
                <w:rFonts w:hint="eastAsia" w:ascii="宋体" w:hAnsi="宋体" w:cs="宋体"/>
                <w:color w:val="auto"/>
                <w:kern w:val="0"/>
                <w:szCs w:val="21"/>
                <w:highlight w:val="none"/>
              </w:rPr>
            </w:pPr>
            <w:r>
              <w:rPr>
                <w:rFonts w:hint="eastAsia" w:ascii="宋体" w:hAnsi="宋体" w:cs="宋体"/>
                <w:color w:val="auto"/>
                <w:kern w:val="0"/>
                <w:szCs w:val="21"/>
                <w:highlight w:val="none"/>
              </w:rPr>
              <w:t>职务</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7A9612DA">
            <w:pPr>
              <w:rPr>
                <w:rFonts w:hint="eastAsia" w:ascii="宋体" w:hAnsi="宋体" w:cs="宋体"/>
                <w:color w:val="auto"/>
                <w:kern w:val="0"/>
                <w:szCs w:val="21"/>
                <w:highlight w:val="none"/>
              </w:rPr>
            </w:pPr>
            <w:r>
              <w:rPr>
                <w:rFonts w:hint="eastAsia" w:ascii="宋体" w:hAnsi="宋体" w:cs="宋体"/>
                <w:color w:val="auto"/>
                <w:kern w:val="0"/>
                <w:szCs w:val="21"/>
                <w:highlight w:val="none"/>
              </w:rPr>
              <w:t>职称</w:t>
            </w:r>
          </w:p>
        </w:tc>
        <w:tc>
          <w:tcPr>
            <w:tcW w:w="4848" w:type="dxa"/>
            <w:gridSpan w:val="4"/>
            <w:tcBorders>
              <w:top w:val="single" w:color="auto" w:sz="4" w:space="0"/>
              <w:left w:val="single" w:color="auto" w:sz="4" w:space="0"/>
              <w:bottom w:val="single" w:color="auto" w:sz="4" w:space="0"/>
              <w:right w:val="single" w:color="auto" w:sz="4" w:space="0"/>
            </w:tcBorders>
            <w:noWrap w:val="0"/>
            <w:vAlign w:val="center"/>
          </w:tcPr>
          <w:p w14:paraId="2E74E3F1">
            <w:pPr>
              <w:rPr>
                <w:rFonts w:hint="eastAsia" w:ascii="宋体" w:hAnsi="宋体" w:cs="宋体"/>
                <w:color w:val="auto"/>
                <w:kern w:val="0"/>
                <w:szCs w:val="21"/>
                <w:highlight w:val="none"/>
              </w:rPr>
            </w:pPr>
            <w:r>
              <w:rPr>
                <w:rFonts w:hint="eastAsia" w:ascii="宋体" w:hAnsi="宋体" w:cs="宋体"/>
                <w:color w:val="auto"/>
                <w:kern w:val="0"/>
                <w:szCs w:val="21"/>
                <w:highlight w:val="none"/>
              </w:rPr>
              <w:t>执业或职业资格证明</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31D0A86E">
            <w:pP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0A4E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14:paraId="0D22DE4B">
            <w:pPr>
              <w:rPr>
                <w:rFonts w:hint="eastAsia" w:ascii="宋体" w:hAnsi="宋体" w:cs="宋体"/>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FDC9F7A">
            <w:pPr>
              <w:rPr>
                <w:rFonts w:hint="eastAsia" w:ascii="宋体" w:hAnsi="宋体" w:cs="宋体"/>
                <w:color w:val="auto"/>
                <w:kern w:val="0"/>
                <w:szCs w:val="21"/>
                <w:highlight w:val="none"/>
              </w:rPr>
            </w:pPr>
          </w:p>
        </w:tc>
        <w:tc>
          <w:tcPr>
            <w:tcW w:w="1593" w:type="dxa"/>
            <w:vMerge w:val="continue"/>
            <w:tcBorders>
              <w:top w:val="single" w:color="auto" w:sz="4" w:space="0"/>
              <w:left w:val="single" w:color="auto" w:sz="4" w:space="0"/>
              <w:bottom w:val="single" w:color="auto" w:sz="4" w:space="0"/>
              <w:right w:val="single" w:color="auto" w:sz="4" w:space="0"/>
            </w:tcBorders>
            <w:noWrap w:val="0"/>
            <w:vAlign w:val="center"/>
          </w:tcPr>
          <w:p w14:paraId="6AD19364">
            <w:pPr>
              <w:rPr>
                <w:rFonts w:hint="eastAsia" w:ascii="宋体" w:hAnsi="宋体" w:cs="宋体"/>
                <w:color w:val="auto"/>
                <w:kern w:val="0"/>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63762D89">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9EA8529">
            <w:pPr>
              <w:rPr>
                <w:rFonts w:hint="eastAsia" w:ascii="宋体" w:hAnsi="宋体" w:cs="宋体"/>
                <w:color w:val="auto"/>
                <w:kern w:val="0"/>
                <w:szCs w:val="21"/>
                <w:highlight w:val="none"/>
              </w:rPr>
            </w:pPr>
            <w:r>
              <w:rPr>
                <w:rFonts w:hint="eastAsia" w:ascii="宋体" w:hAnsi="宋体" w:cs="宋体"/>
                <w:color w:val="auto"/>
                <w:kern w:val="0"/>
                <w:szCs w:val="21"/>
                <w:highlight w:val="none"/>
              </w:rPr>
              <w:t>证书名称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089FF88">
            <w:pPr>
              <w:rPr>
                <w:rFonts w:hint="eastAsia" w:ascii="宋体" w:hAnsi="宋体" w:cs="宋体"/>
                <w:color w:val="auto"/>
                <w:kern w:val="0"/>
                <w:szCs w:val="21"/>
                <w:highlight w:val="none"/>
              </w:rPr>
            </w:pPr>
            <w:r>
              <w:rPr>
                <w:rFonts w:hint="eastAsia" w:ascii="宋体" w:hAnsi="宋体" w:cs="宋体"/>
                <w:color w:val="auto"/>
                <w:kern w:val="0"/>
                <w:szCs w:val="21"/>
                <w:highlight w:val="none"/>
              </w:rPr>
              <w:t>级别</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09E9BADB">
            <w:pPr>
              <w:rPr>
                <w:rFonts w:hint="eastAsia" w:ascii="宋体" w:hAnsi="宋体" w:cs="宋体"/>
                <w:color w:val="auto"/>
                <w:kern w:val="0"/>
                <w:szCs w:val="21"/>
                <w:highlight w:val="none"/>
              </w:rPr>
            </w:pPr>
            <w:r>
              <w:rPr>
                <w:rFonts w:hint="eastAsia" w:ascii="宋体" w:hAnsi="宋体" w:cs="宋体"/>
                <w:color w:val="auto"/>
                <w:kern w:val="0"/>
                <w:szCs w:val="21"/>
                <w:highlight w:val="none"/>
              </w:rPr>
              <w:t>证号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8C792A">
            <w:pPr>
              <w:rPr>
                <w:rFonts w:hint="eastAsia" w:ascii="宋体" w:hAnsi="宋体" w:cs="宋体"/>
                <w:color w:val="auto"/>
                <w:kern w:val="0"/>
                <w:szCs w:val="21"/>
                <w:highlight w:val="none"/>
              </w:rPr>
            </w:pPr>
            <w:r>
              <w:rPr>
                <w:rFonts w:hint="eastAsia" w:ascii="宋体" w:hAnsi="宋体" w:cs="宋体"/>
                <w:color w:val="auto"/>
                <w:kern w:val="0"/>
                <w:szCs w:val="21"/>
                <w:highlight w:val="none"/>
              </w:rPr>
              <w:t>专业</w:t>
            </w: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715B4B29">
            <w:pPr>
              <w:rPr>
                <w:rFonts w:hint="eastAsia" w:ascii="宋体" w:hAnsi="宋体" w:cs="宋体"/>
                <w:color w:val="auto"/>
                <w:kern w:val="0"/>
                <w:szCs w:val="21"/>
                <w:highlight w:val="none"/>
              </w:rPr>
            </w:pPr>
          </w:p>
        </w:tc>
      </w:tr>
      <w:tr w14:paraId="4204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0350DFCB">
            <w:pP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988B93B">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3094B94F">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601EA61">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AE77D02">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28AC039">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09D957F7">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68AB1C">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71DD17">
            <w:pPr>
              <w:rPr>
                <w:rFonts w:hint="eastAsia" w:ascii="宋体" w:hAnsi="宋体" w:cs="宋体"/>
                <w:color w:val="auto"/>
                <w:kern w:val="0"/>
                <w:szCs w:val="21"/>
                <w:highlight w:val="none"/>
              </w:rPr>
            </w:pPr>
          </w:p>
        </w:tc>
      </w:tr>
      <w:tr w14:paraId="14B2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021DDD61">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57EE7A6">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3B2D74B9">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458AD0">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DFFDCD8">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E11EBA9">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65A7E076">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7D985C">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03A68E0">
            <w:pPr>
              <w:rPr>
                <w:rFonts w:hint="eastAsia" w:ascii="宋体" w:hAnsi="宋体" w:cs="宋体"/>
                <w:color w:val="auto"/>
                <w:kern w:val="0"/>
                <w:szCs w:val="21"/>
                <w:highlight w:val="none"/>
              </w:rPr>
            </w:pPr>
          </w:p>
        </w:tc>
      </w:tr>
      <w:tr w14:paraId="08E3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5C0F8AB4">
            <w:pP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32D4D1F">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083D64CF">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F589AA">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21B396">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C600352">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4AEAD294">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E464A6">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F622BE2">
            <w:pPr>
              <w:rPr>
                <w:rFonts w:hint="eastAsia" w:ascii="宋体" w:hAnsi="宋体" w:cs="宋体"/>
                <w:color w:val="auto"/>
                <w:kern w:val="0"/>
                <w:szCs w:val="21"/>
                <w:highlight w:val="none"/>
              </w:rPr>
            </w:pPr>
          </w:p>
        </w:tc>
      </w:tr>
      <w:tr w14:paraId="63E3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6466DBBD">
            <w:pP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83BA035">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554C9035">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CECF7E4">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7EF2B94">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B240DC3">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7B4F061A">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127420">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E739492">
            <w:pPr>
              <w:rPr>
                <w:rFonts w:hint="eastAsia" w:ascii="宋体" w:hAnsi="宋体" w:cs="宋体"/>
                <w:color w:val="auto"/>
                <w:kern w:val="0"/>
                <w:szCs w:val="21"/>
                <w:highlight w:val="none"/>
              </w:rPr>
            </w:pPr>
          </w:p>
        </w:tc>
      </w:tr>
      <w:tr w14:paraId="14AE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03F227DF">
            <w:pP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11C3303E">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4DB6467C">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BB1EF3B">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115D77">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CF9DA5D">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36B8F2EF">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19C062">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07767F">
            <w:pPr>
              <w:rPr>
                <w:rFonts w:hint="eastAsia" w:ascii="宋体" w:hAnsi="宋体" w:cs="宋体"/>
                <w:color w:val="auto"/>
                <w:kern w:val="0"/>
                <w:szCs w:val="21"/>
                <w:highlight w:val="none"/>
              </w:rPr>
            </w:pPr>
          </w:p>
        </w:tc>
      </w:tr>
      <w:tr w14:paraId="2A9C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14:paraId="5E71EBD5">
            <w:pP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5F7D464">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65DAF5A3">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AE11CED">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31B83C">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7EC4ED6">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1EBB60A6">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4F919E">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1BEAD24">
            <w:pPr>
              <w:rPr>
                <w:rFonts w:hint="eastAsia" w:ascii="宋体" w:hAnsi="宋体" w:cs="宋体"/>
                <w:color w:val="auto"/>
                <w:kern w:val="0"/>
                <w:szCs w:val="21"/>
                <w:highlight w:val="none"/>
              </w:rPr>
            </w:pPr>
          </w:p>
        </w:tc>
      </w:tr>
      <w:tr w14:paraId="0AFB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14:paraId="7F86562F">
            <w:pP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92542D0">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4275FF5C">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E8E2FDB">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C5AEC1">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E19B710">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2AF8D30E">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EC96C8">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F6556F">
            <w:pPr>
              <w:rPr>
                <w:rFonts w:hint="eastAsia" w:ascii="宋体" w:hAnsi="宋体" w:cs="宋体"/>
                <w:color w:val="auto"/>
                <w:kern w:val="0"/>
                <w:szCs w:val="21"/>
                <w:highlight w:val="none"/>
              </w:rPr>
            </w:pPr>
          </w:p>
        </w:tc>
      </w:tr>
    </w:tbl>
    <w:p w14:paraId="01AE1F69">
      <w:pPr>
        <w:spacing w:line="500" w:lineRule="exact"/>
        <w:ind w:firstLine="420" w:firstLineChars="200"/>
        <w:rPr>
          <w:rFonts w:hint="eastAsia" w:ascii="宋体" w:hAnsi="宋体" w:cs="宋体"/>
          <w:color w:val="auto"/>
          <w:kern w:val="0"/>
          <w:szCs w:val="21"/>
          <w:highlight w:val="none"/>
        </w:rPr>
      </w:pPr>
    </w:p>
    <w:p w14:paraId="17CD6497">
      <w:pPr>
        <w:spacing w:line="500" w:lineRule="exact"/>
        <w:ind w:firstLine="420" w:firstLineChars="200"/>
        <w:rPr>
          <w:rFonts w:hint="eastAsia" w:ascii="宋体" w:hAnsi="宋体" w:cs="宋体"/>
          <w:color w:val="auto"/>
          <w:kern w:val="0"/>
          <w:szCs w:val="21"/>
          <w:highlight w:val="none"/>
        </w:rPr>
      </w:pPr>
    </w:p>
    <w:p w14:paraId="1407B137">
      <w:pPr>
        <w:spacing w:line="500" w:lineRule="exact"/>
        <w:ind w:firstLine="420" w:firstLineChars="200"/>
        <w:rPr>
          <w:rFonts w:hint="eastAsia" w:ascii="宋体" w:hAnsi="宋体" w:cs="宋体"/>
          <w:color w:val="auto"/>
          <w:kern w:val="0"/>
          <w:szCs w:val="21"/>
          <w:highlight w:val="none"/>
        </w:rPr>
      </w:pPr>
    </w:p>
    <w:p w14:paraId="5009A4C7">
      <w:pPr>
        <w:spacing w:line="500" w:lineRule="exact"/>
        <w:ind w:firstLine="420" w:firstLineChars="200"/>
        <w:rPr>
          <w:rFonts w:hint="eastAsia" w:ascii="宋体" w:hAnsi="宋体" w:cs="宋体"/>
          <w:color w:val="auto"/>
          <w:kern w:val="0"/>
          <w:szCs w:val="21"/>
          <w:highlight w:val="none"/>
        </w:rPr>
      </w:pPr>
    </w:p>
    <w:p w14:paraId="34E4BE0E">
      <w:pPr>
        <w:spacing w:line="500" w:lineRule="exact"/>
        <w:ind w:firstLine="420" w:firstLineChars="200"/>
        <w:rPr>
          <w:rFonts w:hint="eastAsia" w:ascii="宋体" w:hAnsi="宋体" w:cs="宋体"/>
          <w:color w:val="auto"/>
          <w:kern w:val="0"/>
          <w:szCs w:val="21"/>
          <w:highlight w:val="none"/>
        </w:rPr>
      </w:pPr>
    </w:p>
    <w:p w14:paraId="6631531B">
      <w:pPr>
        <w:spacing w:line="500" w:lineRule="exact"/>
        <w:ind w:firstLine="420" w:firstLineChars="200"/>
        <w:rPr>
          <w:rFonts w:hint="eastAsia" w:ascii="宋体" w:hAnsi="宋体" w:cs="宋体"/>
          <w:color w:val="auto"/>
          <w:kern w:val="0"/>
          <w:szCs w:val="21"/>
          <w:highlight w:val="none"/>
        </w:rPr>
      </w:pPr>
    </w:p>
    <w:p w14:paraId="0F6B4532">
      <w:pPr>
        <w:spacing w:line="500" w:lineRule="exact"/>
        <w:ind w:firstLine="420" w:firstLineChars="200"/>
        <w:rPr>
          <w:rFonts w:hint="eastAsia" w:ascii="宋体" w:hAnsi="宋体" w:cs="宋体"/>
          <w:color w:val="auto"/>
          <w:kern w:val="0"/>
          <w:szCs w:val="21"/>
          <w:highlight w:val="none"/>
        </w:rPr>
      </w:pPr>
    </w:p>
    <w:p w14:paraId="686D09FD">
      <w:pPr>
        <w:spacing w:line="500" w:lineRule="exact"/>
        <w:ind w:firstLine="420" w:firstLineChars="200"/>
        <w:rPr>
          <w:rFonts w:hint="eastAsia" w:ascii="宋体" w:hAnsi="宋体" w:cs="宋体"/>
          <w:color w:val="auto"/>
          <w:kern w:val="0"/>
          <w:szCs w:val="21"/>
          <w:highlight w:val="none"/>
        </w:rPr>
      </w:pPr>
    </w:p>
    <w:p w14:paraId="5C23CE74">
      <w:pPr>
        <w:spacing w:line="500" w:lineRule="exact"/>
        <w:ind w:firstLine="420" w:firstLineChars="200"/>
        <w:rPr>
          <w:rFonts w:hint="eastAsia" w:ascii="宋体" w:hAnsi="宋体" w:cs="宋体"/>
          <w:color w:val="auto"/>
          <w:kern w:val="0"/>
          <w:szCs w:val="21"/>
          <w:highlight w:val="none"/>
        </w:rPr>
      </w:pPr>
    </w:p>
    <w:p w14:paraId="36D0B970">
      <w:pPr>
        <w:spacing w:line="500" w:lineRule="exact"/>
        <w:ind w:firstLine="420" w:firstLineChars="200"/>
        <w:rPr>
          <w:rFonts w:hint="eastAsia" w:ascii="宋体" w:hAnsi="宋体" w:cs="宋体"/>
          <w:color w:val="auto"/>
          <w:kern w:val="0"/>
          <w:szCs w:val="21"/>
          <w:highlight w:val="none"/>
        </w:rPr>
      </w:pPr>
    </w:p>
    <w:p w14:paraId="3A84E66F">
      <w:pPr>
        <w:spacing w:line="500" w:lineRule="exact"/>
        <w:ind w:firstLine="420" w:firstLineChars="200"/>
        <w:rPr>
          <w:rFonts w:hint="eastAsia" w:ascii="宋体" w:hAnsi="宋体" w:cs="宋体"/>
          <w:color w:val="auto"/>
          <w:kern w:val="0"/>
          <w:szCs w:val="21"/>
          <w:highlight w:val="none"/>
        </w:rPr>
      </w:pPr>
    </w:p>
    <w:p w14:paraId="09625691">
      <w:pPr>
        <w:spacing w:line="500" w:lineRule="exact"/>
        <w:ind w:firstLine="420" w:firstLineChars="200"/>
        <w:rPr>
          <w:rFonts w:hint="eastAsia" w:ascii="宋体" w:hAnsi="宋体" w:cs="宋体"/>
          <w:color w:val="auto"/>
          <w:kern w:val="0"/>
          <w:szCs w:val="21"/>
          <w:highlight w:val="none"/>
        </w:rPr>
      </w:pPr>
    </w:p>
    <w:p w14:paraId="4B92F770">
      <w:pPr>
        <w:spacing w:line="500" w:lineRule="exact"/>
        <w:ind w:firstLine="420" w:firstLineChars="200"/>
        <w:rPr>
          <w:rFonts w:hint="eastAsia" w:ascii="宋体" w:hAnsi="宋体" w:cs="宋体"/>
          <w:color w:val="auto"/>
          <w:kern w:val="0"/>
          <w:szCs w:val="21"/>
          <w:highlight w:val="none"/>
        </w:rPr>
      </w:pPr>
    </w:p>
    <w:p w14:paraId="282DD809">
      <w:pPr>
        <w:spacing w:line="500" w:lineRule="exact"/>
        <w:ind w:firstLine="420" w:firstLineChars="200"/>
        <w:rPr>
          <w:rFonts w:hint="eastAsia" w:ascii="宋体" w:hAnsi="宋体" w:cs="宋体"/>
          <w:color w:val="auto"/>
          <w:kern w:val="0"/>
          <w:szCs w:val="21"/>
          <w:highlight w:val="none"/>
        </w:rPr>
      </w:pPr>
    </w:p>
    <w:p w14:paraId="28948DA3">
      <w:pPr>
        <w:spacing w:line="500" w:lineRule="exact"/>
        <w:ind w:firstLine="420" w:firstLineChars="200"/>
        <w:rPr>
          <w:rFonts w:hint="eastAsia" w:ascii="宋体" w:hAnsi="宋体" w:cs="宋体"/>
          <w:color w:val="auto"/>
          <w:kern w:val="0"/>
          <w:szCs w:val="21"/>
          <w:highlight w:val="none"/>
        </w:rPr>
      </w:pPr>
    </w:p>
    <w:p w14:paraId="6AB95C27">
      <w:pPr>
        <w:spacing w:line="500" w:lineRule="exact"/>
        <w:ind w:firstLine="420" w:firstLineChars="200"/>
        <w:rPr>
          <w:rFonts w:hint="eastAsia" w:ascii="宋体" w:hAnsi="宋体" w:cs="宋体"/>
          <w:color w:val="auto"/>
          <w:kern w:val="0"/>
          <w:szCs w:val="21"/>
          <w:highlight w:val="none"/>
        </w:rPr>
      </w:pPr>
    </w:p>
    <w:p w14:paraId="108DC2C8">
      <w:pPr>
        <w:spacing w:line="500" w:lineRule="exact"/>
        <w:ind w:firstLine="420" w:firstLineChars="200"/>
        <w:rPr>
          <w:rFonts w:hint="eastAsia" w:ascii="宋体" w:hAnsi="宋体" w:cs="宋体"/>
          <w:color w:val="auto"/>
          <w:kern w:val="0"/>
          <w:szCs w:val="21"/>
          <w:highlight w:val="none"/>
        </w:rPr>
      </w:pPr>
    </w:p>
    <w:p w14:paraId="7D2CF79B">
      <w:pPr>
        <w:spacing w:line="500" w:lineRule="exact"/>
        <w:ind w:firstLine="420" w:firstLineChars="200"/>
        <w:rPr>
          <w:rFonts w:hint="eastAsia" w:ascii="宋体" w:hAnsi="宋体" w:cs="宋体"/>
          <w:color w:val="auto"/>
          <w:kern w:val="0"/>
          <w:szCs w:val="21"/>
          <w:highlight w:val="none"/>
        </w:rPr>
      </w:pPr>
    </w:p>
    <w:p w14:paraId="738BE0CA">
      <w:pPr>
        <w:spacing w:line="500" w:lineRule="exact"/>
        <w:ind w:firstLine="420" w:firstLineChars="200"/>
        <w:rPr>
          <w:rFonts w:hint="eastAsia" w:ascii="宋体" w:hAnsi="宋体" w:cs="宋体"/>
          <w:color w:val="auto"/>
          <w:kern w:val="0"/>
          <w:szCs w:val="21"/>
          <w:highlight w:val="none"/>
        </w:rPr>
      </w:pPr>
    </w:p>
    <w:p w14:paraId="4A932F24">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附件3：履约担保</w:t>
      </w:r>
    </w:p>
    <w:p w14:paraId="6046B398">
      <w:pPr>
        <w:pStyle w:val="2"/>
        <w:spacing w:line="360" w:lineRule="auto"/>
        <w:rPr>
          <w:rFonts w:hint="eastAsia" w:ascii="宋体" w:hAnsi="宋体" w:cs="宋体"/>
          <w:color w:val="auto"/>
          <w:kern w:val="0"/>
          <w:szCs w:val="21"/>
          <w:highlight w:val="none"/>
        </w:rPr>
      </w:pPr>
    </w:p>
    <w:p w14:paraId="1CF19F5F">
      <w:pPr>
        <w:spacing w:line="500" w:lineRule="exact"/>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p w14:paraId="7F05F091">
      <w:pPr>
        <w:pStyle w:val="2"/>
        <w:spacing w:line="360" w:lineRule="auto"/>
        <w:rPr>
          <w:rFonts w:hint="eastAsia" w:ascii="宋体" w:hAnsi="宋体" w:cs="宋体"/>
          <w:color w:val="auto"/>
          <w:szCs w:val="21"/>
          <w:highlight w:val="none"/>
        </w:rPr>
      </w:pPr>
    </w:p>
    <w:p w14:paraId="43558B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（发包人名称）：</w:t>
      </w:r>
    </w:p>
    <w:p w14:paraId="1FC52AEA">
      <w:pPr>
        <w:spacing w:line="360" w:lineRule="auto"/>
        <w:ind w:firstLine="420" w:firstLineChars="200"/>
        <w:rPr>
          <w:rFonts w:hint="eastAsia" w:ascii="宋体" w:hAnsi="宋体" w:cs="宋体"/>
          <w:color w:val="auto"/>
          <w:szCs w:val="21"/>
          <w:highlight w:val="none"/>
        </w:rPr>
      </w:pPr>
    </w:p>
    <w:p w14:paraId="214D4C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w:t>
      </w:r>
    </w:p>
    <w:p w14:paraId="405A04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（工程名称）施工及有关事项协商一致共同签订《建设工程施工合同》。我方愿意无条件地、不可撤销地就承包人履行与你方签订的合同，向你方提供连带责任担保。</w:t>
      </w:r>
    </w:p>
    <w:p w14:paraId="25C34A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040E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担保有效期自提交履约担保之日起至发包人颁发合同工程完工证书之日止。</w:t>
      </w:r>
    </w:p>
    <w:p w14:paraId="16F26B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1E3AF9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你方和承包人按合同约定变更合同时，我方承担本担保规定的义务不变。</w:t>
      </w:r>
    </w:p>
    <w:p w14:paraId="182D33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14:paraId="00A5378D">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14:paraId="2D6A7B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3BFD82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145F9C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w:t>
      </w:r>
    </w:p>
    <w:p w14:paraId="2B787AAC">
      <w:pPr>
        <w:pStyle w:val="2"/>
        <w:rPr>
          <w:rFonts w:hint="eastAsia" w:ascii="宋体" w:hAnsi="宋体" w:cs="宋体"/>
          <w:color w:val="auto"/>
          <w:szCs w:val="21"/>
          <w:highlight w:val="none"/>
        </w:rPr>
      </w:pPr>
    </w:p>
    <w:p w14:paraId="239AD284">
      <w:pPr>
        <w:pStyle w:val="2"/>
        <w:rPr>
          <w:rFonts w:hint="eastAsia" w:ascii="宋体" w:hAnsi="宋体" w:cs="宋体"/>
          <w:color w:val="auto"/>
          <w:szCs w:val="21"/>
          <w:highlight w:val="none"/>
        </w:rPr>
      </w:pPr>
    </w:p>
    <w:p w14:paraId="17736F52">
      <w:pPr>
        <w:pStyle w:val="2"/>
        <w:rPr>
          <w:rFonts w:hint="eastAsia" w:ascii="宋体" w:hAnsi="宋体" w:cs="宋体"/>
          <w:color w:val="auto"/>
          <w:szCs w:val="21"/>
          <w:highlight w:val="none"/>
        </w:rPr>
      </w:pPr>
    </w:p>
    <w:p w14:paraId="46140E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73B66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CEC3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40826E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75560A8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044B00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5169F926">
      <w:pPr>
        <w:spacing w:line="360" w:lineRule="auto"/>
        <w:ind w:firstLine="420" w:firstLineChars="200"/>
        <w:rPr>
          <w:rFonts w:hint="eastAsia" w:ascii="宋体" w:hAnsi="宋体" w:cs="宋体"/>
          <w:color w:val="auto"/>
          <w:szCs w:val="21"/>
          <w:highlight w:val="none"/>
          <w:u w:val="single"/>
        </w:rPr>
      </w:pPr>
    </w:p>
    <w:p w14:paraId="742D9D69">
      <w:pPr>
        <w:spacing w:line="500" w:lineRule="exact"/>
        <w:ind w:left="1329" w:firstLine="420" w:firstLineChars="200"/>
        <w:jc w:val="right"/>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6B9E217">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附件4：预付款担保</w:t>
      </w:r>
    </w:p>
    <w:p w14:paraId="7FF78C93">
      <w:pPr>
        <w:spacing w:line="500" w:lineRule="exact"/>
        <w:ind w:firstLine="420" w:firstLineChars="200"/>
        <w:rPr>
          <w:rFonts w:hint="eastAsia" w:ascii="宋体" w:hAnsi="宋体" w:cs="宋体"/>
          <w:color w:val="auto"/>
          <w:kern w:val="0"/>
          <w:szCs w:val="21"/>
          <w:highlight w:val="none"/>
        </w:rPr>
      </w:pPr>
    </w:p>
    <w:p w14:paraId="0BC54B8F">
      <w:pPr>
        <w:spacing w:before="120" w:beforeLines="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预付款担保</w:t>
      </w:r>
    </w:p>
    <w:p w14:paraId="78D4BAEB">
      <w:pPr>
        <w:spacing w:line="360" w:lineRule="auto"/>
        <w:rPr>
          <w:rFonts w:hint="eastAsia" w:ascii="宋体" w:hAnsi="宋体" w:cs="宋体"/>
          <w:color w:val="auto"/>
          <w:szCs w:val="21"/>
          <w:highlight w:val="none"/>
          <w:u w:val="single"/>
        </w:rPr>
      </w:pPr>
    </w:p>
    <w:p w14:paraId="2C7CC78F">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（发包人名称）：</w:t>
      </w:r>
    </w:p>
    <w:p w14:paraId="6DA1DAEF">
      <w:pPr>
        <w:spacing w:line="360" w:lineRule="auto"/>
        <w:rPr>
          <w:rFonts w:hint="eastAsia" w:ascii="宋体" w:hAnsi="宋体" w:cs="宋体"/>
          <w:color w:val="auto"/>
          <w:szCs w:val="21"/>
          <w:highlight w:val="none"/>
        </w:rPr>
      </w:pPr>
    </w:p>
    <w:p w14:paraId="33B0C7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55163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E123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担保有效期自预付款支付给承包人起生效，至你方签发的进度款支付证书说明已完全扣清止。</w:t>
      </w:r>
    </w:p>
    <w:p w14:paraId="0A001F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6EC2E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你方和承包人按合同约定变更合同时，我方承担本保函规定的义务不变。</w:t>
      </w:r>
    </w:p>
    <w:p w14:paraId="17EF86C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14:paraId="3787462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14:paraId="2B3AE0A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417C610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5D2303D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（以下无正文）</w:t>
      </w:r>
    </w:p>
    <w:p w14:paraId="5BC5A5E3">
      <w:pPr>
        <w:pStyle w:val="2"/>
        <w:spacing w:line="360" w:lineRule="auto"/>
        <w:rPr>
          <w:rFonts w:hint="eastAsia" w:ascii="宋体" w:hAnsi="宋体" w:cs="宋体"/>
          <w:color w:val="auto"/>
          <w:szCs w:val="21"/>
          <w:highlight w:val="none"/>
        </w:rPr>
      </w:pPr>
    </w:p>
    <w:p w14:paraId="31CFEC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1A713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6DD1F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AA13D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393AB90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173EFF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0CE7551D">
      <w:pPr>
        <w:spacing w:line="360" w:lineRule="auto"/>
        <w:ind w:firstLine="420" w:firstLineChars="200"/>
        <w:rPr>
          <w:rFonts w:hint="eastAsia" w:ascii="宋体" w:hAnsi="宋体" w:cs="宋体"/>
          <w:color w:val="auto"/>
          <w:szCs w:val="21"/>
          <w:highlight w:val="none"/>
          <w:u w:val="single"/>
        </w:rPr>
      </w:pPr>
    </w:p>
    <w:p w14:paraId="25E3B486">
      <w:pPr>
        <w:spacing w:line="500" w:lineRule="exact"/>
        <w:jc w:val="right"/>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F0989AB">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附件5: 支付担保</w:t>
      </w:r>
    </w:p>
    <w:p w14:paraId="006E225A">
      <w:pPr>
        <w:spacing w:line="500" w:lineRule="exact"/>
        <w:ind w:firstLine="420" w:firstLineChars="200"/>
        <w:rPr>
          <w:rFonts w:hint="eastAsia" w:ascii="宋体" w:hAnsi="宋体" w:cs="宋体"/>
          <w:color w:val="auto"/>
          <w:kern w:val="0"/>
          <w:szCs w:val="21"/>
          <w:highlight w:val="none"/>
        </w:rPr>
      </w:pPr>
    </w:p>
    <w:p w14:paraId="66603F91">
      <w:pPr>
        <w:spacing w:before="120" w:beforeLines="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支付担保</w:t>
      </w:r>
    </w:p>
    <w:p w14:paraId="0F93910A">
      <w:pPr>
        <w:spacing w:line="360" w:lineRule="auto"/>
        <w:jc w:val="left"/>
        <w:rPr>
          <w:rFonts w:hint="eastAsia" w:ascii="宋体" w:hAnsi="宋体" w:cs="宋体"/>
          <w:color w:val="auto"/>
          <w:szCs w:val="21"/>
          <w:highlight w:val="none"/>
          <w:u w:val="single"/>
        </w:rPr>
      </w:pPr>
    </w:p>
    <w:p w14:paraId="13F1F1D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w:t>
      </w:r>
    </w:p>
    <w:p w14:paraId="0ABD5C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鉴于你方作为承包人已经与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（工程名称）《建设工程施工合同》（以下称“主合同”），应发包人的申请，我方愿就发包人履行主合同约定的工程款支付义务以保证的方式向你方提供如下担保：</w:t>
      </w:r>
    </w:p>
    <w:p w14:paraId="680159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一、保证的范围及保证金额</w:t>
      </w:r>
    </w:p>
    <w:p w14:paraId="4D3908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我方的保证范围是主合同约定的工程款。</w:t>
      </w:r>
    </w:p>
    <w:p w14:paraId="0CD245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本保函所称主合同约定的工程款是指主合同约定的除工程质量保证金以外的合同价款。</w:t>
      </w:r>
    </w:p>
    <w:p w14:paraId="393340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我方保证的金额是主合同约定的工程款的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%，数额最高不超过人民币元（大写：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36259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二、保证的方式及保证期间</w:t>
      </w:r>
    </w:p>
    <w:p w14:paraId="247390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我方保证的方式为：连带责任保证。</w:t>
      </w:r>
    </w:p>
    <w:p w14:paraId="49906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我方保证的期间为：自合同生效之日起至主合同约定的工程款支付完毕之日后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w:t>
      </w:r>
    </w:p>
    <w:p w14:paraId="30A574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你方与发包人协议变更工程款支付日期的，经我方书面同意后，保证期间按照变更后的支付日期做相应调整。</w:t>
      </w:r>
    </w:p>
    <w:p w14:paraId="4F3737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三、承担保证责任的形式</w:t>
      </w:r>
    </w:p>
    <w:p w14:paraId="7939E8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我方承担保证责任的形式是代为支付。发包人未按主合同约定向你方支付工程款的，由我方在保证金额内代为支付。</w:t>
      </w:r>
    </w:p>
    <w:p w14:paraId="783B36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四、代偿的安排</w:t>
      </w:r>
    </w:p>
    <w:p w14:paraId="0D5108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604FEB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C5ADC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我方收到你方的书面索赔通知及相应的证明材料后７天内无条件支付。</w:t>
      </w:r>
    </w:p>
    <w:p w14:paraId="418E04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五、保证责任的解除</w:t>
      </w:r>
    </w:p>
    <w:p w14:paraId="467A65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在本保函承诺的保证期间内，你方未书面向我方主张保证责任的，自保证期间届满次日起，我方保证责任解除。</w:t>
      </w:r>
    </w:p>
    <w:p w14:paraId="0F210B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发包人按主合同约定履行了工程款的全部支付义务的，自本保函承诺的保证期间届满次日起，我方保证责任解除。</w:t>
      </w:r>
    </w:p>
    <w:p w14:paraId="676522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我方按照本保函向你方履行保证责任所支付金额达到本保函保证金额时，自我方向你方支付（支付款项从我方账户划出）之日起，保证责任即解除。</w:t>
      </w:r>
    </w:p>
    <w:p w14:paraId="7FB579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按照法律法规的规定或出现应解除我方保证责任的其他情形的，我方在本保函项下的保证责任亦解除。</w:t>
      </w:r>
    </w:p>
    <w:p w14:paraId="47976F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我方解除保证责任后，你方应自我方保证责任解除之日起  个工作日内，将本保函原件返还我方。</w:t>
      </w:r>
    </w:p>
    <w:p w14:paraId="3935D5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六、免责条款</w:t>
      </w:r>
    </w:p>
    <w:p w14:paraId="2312A0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因你方违约致使发包人不能履行义务的，我方不承担保证责任。</w:t>
      </w:r>
    </w:p>
    <w:p w14:paraId="01B1BC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依照法律法规的规定或你方与发包人的另行约定，免除发包人部分或全部义务的，我方亦免除其相应的保证责任。</w:t>
      </w:r>
    </w:p>
    <w:p w14:paraId="0D156F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232FFC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因不可抗力造成发包人不能履行义务的，我方不承担保证责任。</w:t>
      </w:r>
    </w:p>
    <w:p w14:paraId="1FEE41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七、争议解决</w:t>
      </w:r>
    </w:p>
    <w:p w14:paraId="555776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因本保函或本保函相关事项发生的纠纷，可由双方协商解决，协商不成的，按下列第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14:paraId="304E8F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14:paraId="42BDCE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5EA3F5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八、保函的生效</w:t>
      </w:r>
    </w:p>
    <w:p w14:paraId="44C751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本保函自我方法定代表人（或其授权代理人）签字并加盖公章之日起生效。</w:t>
      </w:r>
    </w:p>
    <w:p w14:paraId="3A957834">
      <w:pPr>
        <w:spacing w:line="360" w:lineRule="auto"/>
        <w:ind w:right="60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1C36F7F8">
      <w:pPr>
        <w:spacing w:line="360" w:lineRule="auto"/>
        <w:ind w:right="1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055923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591618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70DA155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55BF8FD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rPr>
        <w:br w:type="page"/>
      </w:r>
      <w:bookmarkStart w:id="321" w:name="_Toc33183802"/>
    </w:p>
    <w:p w14:paraId="07116444">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附件6：</w:t>
      </w:r>
      <w:bookmarkEnd w:id="321"/>
      <w:r>
        <w:rPr>
          <w:rFonts w:hint="eastAsia" w:ascii="宋体" w:hAnsi="宋体" w:cs="宋体"/>
          <w:color w:val="auto"/>
          <w:kern w:val="0"/>
          <w:szCs w:val="21"/>
          <w:highlight w:val="none"/>
        </w:rPr>
        <w:t>重庆市水利工程建设安全生产合同</w:t>
      </w:r>
    </w:p>
    <w:p w14:paraId="7EEDD279">
      <w:pPr>
        <w:snapToGrid w:val="0"/>
        <w:spacing w:line="324" w:lineRule="auto"/>
        <w:rPr>
          <w:rFonts w:hint="eastAsia" w:ascii="宋体" w:hAnsi="宋体" w:cs="宋体"/>
          <w:color w:val="auto"/>
          <w:kern w:val="0"/>
          <w:szCs w:val="21"/>
          <w:highlight w:val="none"/>
        </w:rPr>
      </w:pPr>
    </w:p>
    <w:p w14:paraId="613E5E7D">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重庆市水利工程建设安全生产合同</w:t>
      </w:r>
    </w:p>
    <w:p w14:paraId="41C359F2">
      <w:pPr>
        <w:tabs>
          <w:tab w:val="left" w:pos="6474"/>
        </w:tabs>
        <w:snapToGrid w:val="0"/>
        <w:spacing w:line="312" w:lineRule="auto"/>
        <w:ind w:firstLine="312" w:firstLineChars="149"/>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b/>
      </w:r>
    </w:p>
    <w:p w14:paraId="0EB09AD6">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施工工程合同编号：</w:t>
      </w:r>
      <w:r>
        <w:rPr>
          <w:rFonts w:hint="eastAsia" w:ascii="宋体" w:hAnsi="宋体" w:cs="宋体"/>
          <w:color w:val="auto"/>
          <w:kern w:val="0"/>
          <w:szCs w:val="21"/>
          <w:highlight w:val="none"/>
          <w:u w:val="single"/>
        </w:rPr>
        <w:t xml:space="preserve">                     </w:t>
      </w:r>
    </w:p>
    <w:p w14:paraId="1BD1A7E9">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安全生产合同编号：</w:t>
      </w:r>
      <w:r>
        <w:rPr>
          <w:rFonts w:hint="eastAsia" w:ascii="宋体" w:hAnsi="宋体" w:cs="宋体"/>
          <w:color w:val="auto"/>
          <w:kern w:val="0"/>
          <w:szCs w:val="21"/>
          <w:highlight w:val="none"/>
          <w:u w:val="single"/>
        </w:rPr>
        <w:t xml:space="preserve">                     </w:t>
      </w:r>
    </w:p>
    <w:p w14:paraId="0C633CE4">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甲方（建设工程的项目法人）：</w:t>
      </w:r>
      <w:r>
        <w:rPr>
          <w:rFonts w:hint="eastAsia" w:ascii="宋体" w:hAnsi="宋体" w:cs="宋体"/>
          <w:color w:val="auto"/>
          <w:kern w:val="0"/>
          <w:szCs w:val="21"/>
          <w:highlight w:val="none"/>
          <w:u w:val="single"/>
        </w:rPr>
        <w:t xml:space="preserve">                    </w:t>
      </w:r>
    </w:p>
    <w:p w14:paraId="5BF377F3">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乙方（中标单位即施工单位）：</w:t>
      </w:r>
      <w:r>
        <w:rPr>
          <w:rFonts w:hint="eastAsia" w:ascii="宋体" w:hAnsi="宋体" w:cs="宋体"/>
          <w:color w:val="auto"/>
          <w:kern w:val="0"/>
          <w:szCs w:val="21"/>
          <w:highlight w:val="none"/>
          <w:u w:val="single"/>
        </w:rPr>
        <w:t xml:space="preserve">                    </w:t>
      </w:r>
    </w:p>
    <w:p w14:paraId="75E0E320">
      <w:pPr>
        <w:snapToGrid w:val="0"/>
        <w:spacing w:line="312" w:lineRule="auto"/>
        <w:rPr>
          <w:rFonts w:hint="eastAsia" w:ascii="宋体" w:hAnsi="宋体" w:cs="宋体"/>
          <w:color w:val="auto"/>
          <w:kern w:val="0"/>
          <w:szCs w:val="21"/>
          <w:highlight w:val="none"/>
        </w:rPr>
      </w:pPr>
    </w:p>
    <w:p w14:paraId="464163B2">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在工程实施过程中营造安全、高效的施工环境，切实搞好项目安全管理工作，根据《中华人民共和国合同法》、《中华人民共和国安全生产法》、《建设工程安全生产管理条例》以及《水利工程建设安全生产管理办法》等法律法规以及相关政策的规定，经甲、乙双方协商一致，特制定本合同。</w:t>
      </w:r>
    </w:p>
    <w:p w14:paraId="4C2C7F8B">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一、项目工程名称：</w:t>
      </w:r>
      <w:r>
        <w:rPr>
          <w:rFonts w:hint="eastAsia" w:ascii="宋体" w:hAnsi="宋体" w:cs="宋体"/>
          <w:color w:val="auto"/>
          <w:kern w:val="0"/>
          <w:szCs w:val="21"/>
          <w:highlight w:val="none"/>
          <w:u w:val="single"/>
        </w:rPr>
        <w:t xml:space="preserve">                               </w:t>
      </w:r>
    </w:p>
    <w:p w14:paraId="2FBE0BC9">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二、项目所在地：</w:t>
      </w:r>
      <w:r>
        <w:rPr>
          <w:rFonts w:hint="eastAsia" w:ascii="宋体" w:hAnsi="宋体" w:cs="宋体"/>
          <w:color w:val="auto"/>
          <w:kern w:val="0"/>
          <w:szCs w:val="21"/>
          <w:highlight w:val="none"/>
          <w:u w:val="single"/>
        </w:rPr>
        <w:t xml:space="preserve">                                 </w:t>
      </w:r>
    </w:p>
    <w:p w14:paraId="5701D382">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二、工程内容：</w:t>
      </w:r>
      <w:r>
        <w:rPr>
          <w:rFonts w:hint="eastAsia" w:ascii="宋体" w:hAnsi="宋体" w:cs="宋体"/>
          <w:color w:val="auto"/>
          <w:kern w:val="0"/>
          <w:szCs w:val="21"/>
          <w:highlight w:val="none"/>
          <w:u w:val="single"/>
        </w:rPr>
        <w:t xml:space="preserve">                                   </w:t>
      </w:r>
    </w:p>
    <w:p w14:paraId="31472BB3">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三、合同履行期限：</w:t>
      </w:r>
      <w:r>
        <w:rPr>
          <w:rFonts w:hint="eastAsia" w:ascii="宋体" w:hAnsi="宋体" w:cs="宋体"/>
          <w:color w:val="auto"/>
          <w:kern w:val="0"/>
          <w:szCs w:val="21"/>
          <w:highlight w:val="none"/>
          <w:u w:val="single"/>
        </w:rPr>
        <w:t xml:space="preserve">                               </w:t>
      </w:r>
    </w:p>
    <w:p w14:paraId="7C63235C">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四、本工程主要危险源：</w:t>
      </w:r>
      <w:r>
        <w:rPr>
          <w:rFonts w:hint="eastAsia" w:ascii="宋体" w:hAnsi="宋体" w:cs="宋体"/>
          <w:color w:val="auto"/>
          <w:kern w:val="0"/>
          <w:szCs w:val="21"/>
          <w:highlight w:val="none"/>
          <w:u w:val="single"/>
        </w:rPr>
        <w:t xml:space="preserve">                           </w:t>
      </w:r>
    </w:p>
    <w:p w14:paraId="7AE15CA5">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五、双方的权利义务</w:t>
      </w:r>
    </w:p>
    <w:p w14:paraId="10C29CF4">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 甲方的权利义务</w:t>
      </w:r>
    </w:p>
    <w:p w14:paraId="7F73CC6D">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14:paraId="7CCD691E">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2．甲方不得调减和挪用中标价中所确定的水利工程建设有关安全作业环境及安全施工措施等所需费用。</w:t>
      </w:r>
    </w:p>
    <w:p w14:paraId="65F99FA2">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甲方应督促乙方严格执行财政部、国家安全生产监督管理总局《关于印发高危行业企业安全生产费用财务管理暂行办法的通知》（财企〔2006〕478号）和重庆市水利局、市财政局、市发改委和市安监局《关于落实水利工程建设安全生产费用及使用管理问题的通知》（渝水基〔2009〕28号）的规定。</w:t>
      </w:r>
    </w:p>
    <w:p w14:paraId="41999CF2">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4．甲方不得对乙方提出不符合建设工程安全生产法律、法规和强制性标准规定的要求，不得压缩合同约定的工期。</w:t>
      </w:r>
    </w:p>
    <w:p w14:paraId="41C7B3A1">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5．甲方应编制保证安全生产的措施方案，并在规定时间内报有管辖权的水行政主管部门备案。</w:t>
      </w:r>
    </w:p>
    <w:p w14:paraId="3128D223">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6．在本水利工程开工前，甲方应当就落实保证安全生产的措施进行全面系统的布置，明确施工单位的安全生产责任。</w:t>
      </w:r>
    </w:p>
    <w:p w14:paraId="6DC09E59">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甲方应当在拆除或者爆破工程施工15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14:paraId="6BCBC199">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8．甲方有权检查乙方执行有关安全生产方面的工作规定，对乙方不符合安全、文明施工要求的行为进行制止、纠正并发出安全整改通知书，直至清退出场。</w:t>
      </w:r>
    </w:p>
    <w:p w14:paraId="598879C9">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9．甲方应确保安全设施与主体工程建设“三同时”的原则，即：同时设计，同时施工，同时投入使用。 </w:t>
      </w:r>
    </w:p>
    <w:p w14:paraId="495F66ED">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10．甲方不得明示或者暗示乙方购买、租赁、使用不符合安全施工要求的安全防护用具、机械设备、施工机具及配件、消防设施和器材。</w:t>
      </w:r>
    </w:p>
    <w:p w14:paraId="0E6D654E">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11．甲方应在事故发生后，按照事故处理的相关程序上报有关部门，不得延误。</w:t>
      </w:r>
    </w:p>
    <w:p w14:paraId="5BDA64B7">
      <w:pPr>
        <w:snapToGrid w:val="0"/>
        <w:spacing w:line="312" w:lineRule="auto"/>
        <w:ind w:firstLine="420" w:firstLineChars="200"/>
        <w:rPr>
          <w:rFonts w:hint="eastAsia" w:ascii="宋体" w:hAnsi="宋体" w:cs="宋体"/>
          <w:color w:val="auto"/>
          <w:kern w:val="0"/>
          <w:szCs w:val="21"/>
          <w:highlight w:val="none"/>
        </w:rPr>
      </w:pPr>
      <w:bookmarkStart w:id="322" w:name="_Toc33183803"/>
      <w:r>
        <w:rPr>
          <w:rFonts w:hint="eastAsia" w:ascii="宋体" w:hAnsi="宋体" w:cs="宋体"/>
          <w:color w:val="auto"/>
          <w:kern w:val="0"/>
          <w:szCs w:val="21"/>
          <w:highlight w:val="none"/>
        </w:rPr>
        <w:t>（二）乙方的权利义务</w:t>
      </w:r>
      <w:bookmarkEnd w:id="322"/>
    </w:p>
    <w:p w14:paraId="30B7CC6C">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1．乙方应严格执行安全生产法律法规，水行政主管部门的规定，按照工程建设规范要求，特别是强制性规范对安全施工的各项规定，依法履行安全生产管理职责和义务。</w:t>
      </w:r>
    </w:p>
    <w:p w14:paraId="1570248F">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2．乙方应承诺本单位依法取得符合本工程要求的《安全生产许可证》；本单位的主要负责人、拟投入项目负责人以及专职安全生产管理人员具有合法有效的安全资质证书。</w:t>
      </w:r>
    </w:p>
    <w:p w14:paraId="5EFEC6EF">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为保证施工现场安全管理体系有效运行，乙方应当设立专职的安全生产管理机构，并配备专职安全生产管理人员。施工现场应当按照每2000万元施工合同额配备1名的比例，配备专职安全生产管理人员，每个标段不足2000万元的至少配备1名；建立健全安全生产规章制度和操作规程，对工程建设进行经常性的安全检查，并做好安全检查记录。</w:t>
      </w:r>
    </w:p>
    <w:p w14:paraId="50F44197">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4．乙方严格执行财政部、国家安全生产监督管理总局《关于印发高危行业企业安全生产费用财务管理暂行办法的通知》（财企〔2006〕478号）和重庆市水利局、市财政局、</w:t>
      </w:r>
      <w:r>
        <w:rPr>
          <w:rFonts w:hint="eastAsia" w:ascii="宋体" w:hAnsi="宋体" w:cs="宋体"/>
          <w:color w:val="auto"/>
          <w:kern w:val="0"/>
          <w:szCs w:val="21"/>
          <w:highlight w:val="none"/>
          <w:u w:val="single"/>
          <w:lang w:eastAsia="zh-CN"/>
        </w:rPr>
        <w:t>重庆市规划和自然资源局重庆市财政局关于印发《重庆市土地开发整理项目预算定额标准》的通知（渝规资〔2023〕433 号）的规定</w:t>
      </w:r>
      <w:r>
        <w:rPr>
          <w:rFonts w:hint="eastAsia" w:ascii="宋体" w:hAnsi="宋体" w:cs="宋体"/>
          <w:color w:val="auto"/>
          <w:kern w:val="0"/>
          <w:szCs w:val="21"/>
          <w:highlight w:val="none"/>
          <w:u w:val="single"/>
        </w:rPr>
        <w:t>要求</w:t>
      </w:r>
      <w:r>
        <w:rPr>
          <w:rFonts w:hint="eastAsia" w:ascii="宋体" w:hAnsi="宋体" w:cs="宋体"/>
          <w:color w:val="auto"/>
          <w:kern w:val="0"/>
          <w:szCs w:val="21"/>
          <w:highlight w:val="none"/>
        </w:rPr>
        <w:t>，以不低于建筑安装工程造价的</w:t>
      </w:r>
      <w:r>
        <w:rPr>
          <w:rFonts w:hint="eastAsia" w:ascii="宋体" w:hAnsi="宋体" w:cs="宋体"/>
          <w:color w:val="auto"/>
          <w:kern w:val="0"/>
          <w:szCs w:val="21"/>
          <w:highlight w:val="none"/>
          <w:lang w:eastAsia="zh-CN"/>
        </w:rPr>
        <w:t>1.35%</w:t>
      </w:r>
      <w:r>
        <w:rPr>
          <w:rFonts w:hint="eastAsia" w:ascii="宋体" w:hAnsi="宋体" w:cs="宋体"/>
          <w:color w:val="auto"/>
          <w:kern w:val="0"/>
          <w:szCs w:val="21"/>
          <w:highlight w:val="none"/>
        </w:rPr>
        <w:t>计提安全费用，保证安全生产投入。</w:t>
      </w:r>
    </w:p>
    <w:p w14:paraId="264D18C1">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5．乙方应认可其投标报价已包括（但不限于）完成本工程实物工作量所需的安全管理、质量管理、安全培训、劳动保护、文明施工等全部费用。</w:t>
      </w:r>
    </w:p>
    <w:p w14:paraId="6CAC59C6">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乙方参与项目的承建单位所有人员（含农民工）上岗前均按照相关规定的要求进行了与其从事岗位相符的安全教育培训，具备必要的安全生产知识，熟悉有关的安全生产规章制度和安全操作规程，掌握本岗位的安全操作技能。</w:t>
      </w:r>
    </w:p>
    <w:p w14:paraId="6A50A8F1">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所有特种作业人员接受了与本工种相适应的、专门的安全技术培训，经安全技术理论考核实际操作技能考试合格，并取得有效的特种作业人员操作证书。</w:t>
      </w:r>
    </w:p>
    <w:p w14:paraId="4225291B">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7．乙方所有进场设备、机具、设备应符合安全技术规范要求。特种设备具有特种设备安全检测机构出具的有效的检测合格证书或审批手续。</w:t>
      </w:r>
    </w:p>
    <w:p w14:paraId="489E9DA4">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8．乙方应遵守法律法规关于易燃易爆及危化物品购买、运输、储存、管理使用的相关规定，自觉接受当地公安部门的监管。</w:t>
      </w:r>
    </w:p>
    <w:p w14:paraId="0CA3ED2F">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9．乙方应按照《安全生产事故隐患排查治理暂行规定》的要求，主动承担起隐患排查、治理和防控的主体责任，建立并落实从主要负责人到每个从业人员的隐患排查治理和监控责任制。</w:t>
      </w:r>
    </w:p>
    <w:p w14:paraId="44791414">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乙方应当按照重庆市水利局、市安监局《重庆市重点水利工程危险性较大单项工程安全专项施工方案编制和审查管理（暂行）办法》（渝水基〔2010〕15号）的要求，对危险性较大的单项工程编制安全生产专项方案，并严格履行审核、审查批准程序后方可实施。</w:t>
      </w:r>
    </w:p>
    <w:p w14:paraId="29109F38">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11．乙方应按照本工程项目特点，组织制定本工程实施中的生产安全事故应急救援预案；承担度汛要求的工程，还应当编制满足度汛要求的施工度汛方案，并按程序审批、备案。</w:t>
      </w:r>
    </w:p>
    <w:p w14:paraId="55A11FB1">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12．乙方应按照国务院《生产安全事故报告和调查处理条例》及相关规定的要求，及时上报有关部门，不得延误。</w:t>
      </w:r>
    </w:p>
    <w:p w14:paraId="55C2C4F5">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13．乙方应承担施工期间因生产安全事故造成的刑事、行政、民事责任和全部直接经济损失。</w:t>
      </w:r>
    </w:p>
    <w:p w14:paraId="2DE12347">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发生“七、违约责任”中所述乙方违约情形时的有关违约金以及施工单位承担责任的安全事故处置和事故善后工作所产生的有关费用，甲方将在工程进度款中扣除，后续进度款不足的在履约保证金中扣除。乙方应在发生生产安全事故后及时开展救援处置工作。</w:t>
      </w:r>
    </w:p>
    <w:p w14:paraId="442A23B7">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七、违约责任</w:t>
      </w:r>
    </w:p>
    <w:p w14:paraId="601F5F63">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（一）甲方违反本合同约定的义务，导致乙方发生生产安全事故和经济损失的，应承担由此而产生的直接经济损失。</w:t>
      </w:r>
    </w:p>
    <w:p w14:paraId="7578D028">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（二）乙方如发生特别重大、重大、较大和一般生产安全事故，应当以安全生产行政主管部门出具的事故调查处理报告为依据，分别承担100万元、50万元、30万元、10万元的违约金。</w:t>
      </w:r>
    </w:p>
    <w:p w14:paraId="422430BF">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（三）乙方发生人身伤亡工伤事故或机械设备事故后，故意破坏或伪造事故现场，隐瞒不报、谎报、虚报，应承担违约金50万元。</w:t>
      </w:r>
    </w:p>
    <w:p w14:paraId="0781701F">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（四）乙方每发生一次本合同附件所列举的“习惯性违章行为”一条，乙方应承担违约金1万元；发生一次两条，乙方应承担违约金2万元，以此类推。</w:t>
      </w:r>
    </w:p>
    <w:p w14:paraId="5E3F2D63">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八、甲、乙双方应自觉接受项目监理单位对本工程实施的安全监督和检查，并按要求承担违约责任。</w:t>
      </w:r>
    </w:p>
    <w:p w14:paraId="4FC4E397">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九、本合同有效期为：甲乙双方签署之日起至合同工程完工验收之日止。</w:t>
      </w:r>
    </w:p>
    <w:p w14:paraId="67FFE816">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十、本合同一式陆份，甲乙双方各执份贰份，监理单位贰份，由双方加盖公章、法定代表人或其授权代理人签字后生效。</w:t>
      </w:r>
    </w:p>
    <w:p w14:paraId="53E6CAB6">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十一、合同未尽事宜，各方协商解决。如协商不成，可提请有管辖权的仲裁机构或法院进行裁决。</w:t>
      </w:r>
    </w:p>
    <w:p w14:paraId="325323C7">
      <w:pPr>
        <w:snapToGrid w:val="0"/>
        <w:spacing w:line="324" w:lineRule="auto"/>
        <w:rPr>
          <w:rFonts w:hint="eastAsia" w:ascii="宋体" w:hAnsi="宋体" w:cs="宋体"/>
          <w:color w:val="auto"/>
          <w:kern w:val="0"/>
          <w:szCs w:val="21"/>
          <w:highlight w:val="none"/>
        </w:rPr>
      </w:pPr>
    </w:p>
    <w:p w14:paraId="3288DE5D">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甲方：（盖章）</w:t>
      </w:r>
    </w:p>
    <w:p w14:paraId="55FCD775">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14:paraId="58E52B58">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乙方：（盖章）</w:t>
      </w:r>
    </w:p>
    <w:p w14:paraId="080F24C1">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14:paraId="6B0F5325">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p w14:paraId="40354620">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地点：</w:t>
      </w:r>
    </w:p>
    <w:p w14:paraId="7D3F251D">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1CFCC92A">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附件：</w:t>
      </w:r>
    </w:p>
    <w:p w14:paraId="2D8AF672">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习惯性违章行为</w:t>
      </w:r>
    </w:p>
    <w:p w14:paraId="5EB316B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1．进入施工生产区域的人员不正确穿戴使用劳动防护用品。</w:t>
      </w:r>
    </w:p>
    <w:p w14:paraId="0220B64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2．作业人员随意解除、挪动已设置的安全措施或擅自穿、跨越安全围栏或超越安全警戒线。</w:t>
      </w:r>
    </w:p>
    <w:p w14:paraId="7E8B750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3．在行人道口或人口密集区从事高处作业，工作地点的下面不设围栏、未设专人看守或其他安全措施。</w:t>
      </w:r>
    </w:p>
    <w:p w14:paraId="41EAE7D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4．高处作业不系安全带、安全带系在移动或不牢固的物件上、换位时失去安全带保护；高处作业人员不系安全绳、安全绳低挂高用。</w:t>
      </w:r>
    </w:p>
    <w:p w14:paraId="62E83DF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5．高处作业不用绳索传递物品，随手上下抛掷器具、材料。</w:t>
      </w:r>
    </w:p>
    <w:p w14:paraId="10A184E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6．施工现场临时搭建的建筑物不符合安全使用要求。</w:t>
      </w:r>
    </w:p>
    <w:p w14:paraId="4021E04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7．未对因建设工程施工可能造成损害的毗邻建筑物、构筑物和地下管线等采取专项防护措施。</w:t>
      </w:r>
    </w:p>
    <w:p w14:paraId="2BCD89D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8．施工现场的井、洞、坑、沟、口等危险处不设明显警示标志，未采取加盖板或设置围栏等防护措施。</w:t>
      </w:r>
    </w:p>
    <w:p w14:paraId="3E8490D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9．临水、临空、临边等部位不设安全防护栏杆和挡脚板。</w:t>
      </w:r>
    </w:p>
    <w:p w14:paraId="1022246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10．上下层垂直立体作业无隔离防护措施，或错开作业期间无专人监护。</w:t>
      </w:r>
    </w:p>
    <w:p w14:paraId="4C9746C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11．在高处平台、孔洞边缘倚坐或跨越栏杆。</w:t>
      </w:r>
    </w:p>
    <w:p w14:paraId="0A05E61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12．高边坡作业未在作业面上方设置防护设施。</w:t>
      </w:r>
    </w:p>
    <w:p w14:paraId="1A8EFA3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13．隧洞作业未采取必要的安全措施。</w:t>
      </w:r>
    </w:p>
    <w:p w14:paraId="16C21FF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14．将运行中转动设备的防护罩打开；将手伸入运动中转动设备的遮拦内；戴手套或用抹布对转动部分进行清扫或进行其他工作。</w:t>
      </w:r>
    </w:p>
    <w:p w14:paraId="38A879C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15．空气压缩机房的维修平台和电动机地坑的周围无防护栏杆，或栏杆下部无防护网（板），地沟未铺设盖板；移动式空压机无防雨、防晒、隔离防拦等设施。</w:t>
      </w:r>
    </w:p>
    <w:p w14:paraId="3BC806F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16．现场倒闸操作不戴绝缘手套，雷雨天气巡视或操作室外高压设备不穿绝缘靴。</w:t>
      </w:r>
    </w:p>
    <w:p w14:paraId="36E6580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17．停电作业不验电接地或不按规定顺序装拆接地线、不按规定使用个人保安线。</w:t>
      </w:r>
    </w:p>
    <w:p w14:paraId="5BC313A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18．在带电设备周围使用钢卷尺、皮卷尺和线尺（夹有金属丝者）进行测量工作。</w:t>
      </w:r>
    </w:p>
    <w:p w14:paraId="041D589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19．在带电设备周围使用金属梯子进行作业；在户外变电站和高压室内不按规定使用和搬运梯子、管子等长物。</w:t>
      </w:r>
    </w:p>
    <w:p w14:paraId="2560182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20．未经值班人员许可，擅自进入带电运行设备区域。</w:t>
      </w:r>
    </w:p>
    <w:p w14:paraId="4F09573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21．水上作业不佩戴救生工具。</w:t>
      </w:r>
    </w:p>
    <w:p w14:paraId="5D17372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22．建设项目施工单位不严格按照安全设施的施工图纸和设计要求施工。</w:t>
      </w:r>
    </w:p>
    <w:p w14:paraId="5909E89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23．作业人员不按照审批后的施工方案进行作业或随意变动施工方案；擅自扩大工作范围、工作内容。</w:t>
      </w:r>
    </w:p>
    <w:p w14:paraId="125F2C3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24．开工前没有对所有作业人员进行安全技术交底、不明确工作范围、安全措施不交代或交代不清，盲目开工。</w:t>
      </w:r>
    </w:p>
    <w:p w14:paraId="78AEE1A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25．专责监护人不认真履行监护职责，从事与监护无关的工作。</w:t>
      </w:r>
    </w:p>
    <w:p w14:paraId="29FF3D7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26．对基坑支护与降水、土方开挖与边坡防护、模板、起重吊装、脚手架、拆除、爆破等单项工程无专项施工方案和安全技术措施，或专项施工方案未完善编、审、批手续，或方案不符合强制性标准要求。</w:t>
      </w:r>
    </w:p>
    <w:p w14:paraId="61DE31F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27．组立杆塔、撤杆、撤线或紧线前未按规定使用防倒杆装置等防倒杆措施或采取突然剪断导线、地线、拉线等方法撤杆撤线。</w:t>
      </w:r>
    </w:p>
    <w:p w14:paraId="1E35A7E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28．使用吊篮载人。</w:t>
      </w:r>
    </w:p>
    <w:p w14:paraId="63EF6C3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29．吊车起吊前未鸣笛示警或起重工作无专人指挥。</w:t>
      </w:r>
    </w:p>
    <w:p w14:paraId="3B44474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30．起重时凭借栏杆、脚手架、瓷件等起吊物件。</w:t>
      </w:r>
    </w:p>
    <w:p w14:paraId="0100EBA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31．在起吊或牵引过程中，受力钢丝绳周围、上下方、内角侧和起吊物下面，有人逗留和通过。吊运重物时从人头顶通过或吊臂下站人。</w:t>
      </w:r>
    </w:p>
    <w:p w14:paraId="3787574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32．龙门吊、塔吊拆卸(安装)工程中未严格按照规定程序执行。</w:t>
      </w:r>
    </w:p>
    <w:p w14:paraId="5F25DA4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33．在梯子上作业，无人扶梯子或梯子架设在不稳定的支持物上。</w:t>
      </w:r>
    </w:p>
    <w:p w14:paraId="6236E91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34．施工临时用电未严格执行“三相五线制”、线路敷设不整齐、绝缘不可靠、用其他金属丝代替熔断丝。</w:t>
      </w:r>
    </w:p>
    <w:p w14:paraId="1E436B8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35．配电箱、开关箱及漏电保护开关的配置未实行“三级配电、两级保护”，配电箱内电器设置应按“一机、一闸、一漏”原则设置。</w:t>
      </w:r>
    </w:p>
    <w:p w14:paraId="339277D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36．配电箱、开关箱无防雨、防尘和防砸措施。</w:t>
      </w:r>
    </w:p>
    <w:p w14:paraId="3DD290F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37．不按规定使用合格的安全工器具或超过检测周期的安全工器具进行作业。</w:t>
      </w:r>
    </w:p>
    <w:p w14:paraId="318DC33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38．使用未经检验或检验不合格的特种设备。</w:t>
      </w:r>
    </w:p>
    <w:p w14:paraId="3088424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39．带电作业，不按规定使用绝缘工具。</w:t>
      </w:r>
    </w:p>
    <w:p w14:paraId="34E486B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40．使用电动工器具时未接入漏电保护装置、金属外壳不接地或接地不可靠、或不戴绝缘手套。</w:t>
      </w:r>
    </w:p>
    <w:p w14:paraId="4B8A2D3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41．使用电动工具时将电源线直接插入插座孔或钩挂在闸刀开关上使用。</w:t>
      </w:r>
    </w:p>
    <w:p w14:paraId="035C976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42．爆破物、有害气体和液体存放处不设明显且符合国际标准的安全警示标志。</w:t>
      </w:r>
    </w:p>
    <w:p w14:paraId="2A1B1B2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43．对有爆炸和火灾危险的场所，未按危险场所等级选择相应的防爆型照明器。</w:t>
      </w:r>
    </w:p>
    <w:p w14:paraId="148DA24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44．在易燃物品及重要设备上方进行焊接，下方无监护人，未采取防火等安全措施。</w:t>
      </w:r>
    </w:p>
    <w:p w14:paraId="14F3BAA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45．在宿舍、办公室、休息室内存放易燃易爆物品，使用电炉。</w:t>
      </w:r>
    </w:p>
    <w:p w14:paraId="2F8168B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46．未履行有关手续即对有压力、带电、充油的容器及管道施焊。</w:t>
      </w:r>
    </w:p>
    <w:p w14:paraId="0829240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47．消防设施配备不足或使用已过期失效的消防器材。</w:t>
      </w:r>
    </w:p>
    <w:p w14:paraId="1B14C43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48．爆破作业时无专人指挥、无统一信号和专人警戒。</w:t>
      </w:r>
    </w:p>
    <w:p w14:paraId="5E1EA5A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49．特种作业人员不持证上岗或非特种作业人员进行特种作业。</w:t>
      </w:r>
    </w:p>
    <w:p w14:paraId="6D368BD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50．无证驾驶、酒后驾驶、客货混装。</w:t>
      </w:r>
    </w:p>
    <w:p w14:paraId="2AEAE29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51．机器的传动部分没有装防护罩或其他防护设备，露出的轴端没有设护盖。</w:t>
      </w:r>
    </w:p>
    <w:p w14:paraId="3B7C0E5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52．高空作业搭设的脚手架不符合安全要求。</w:t>
      </w:r>
    </w:p>
    <w:p w14:paraId="3DE7670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53．深沟、深坑四周无安全警戒线，夜间无警告红灯。</w:t>
      </w:r>
    </w:p>
    <w:p w14:paraId="1BD6908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54．起重机械，如绞磨、汽车吊、卷扬机等无制动和逆止装置，或制动装置失灵、不灵敏。</w:t>
      </w:r>
    </w:p>
    <w:p w14:paraId="5CF6E99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55．易燃易爆区、重点防火区内的防火设施不全或符合规定要求。</w:t>
      </w:r>
    </w:p>
    <w:p w14:paraId="4370617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56．电器防误闭锁装置不全。</w:t>
      </w:r>
    </w:p>
    <w:p w14:paraId="45FE07F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57．高低压线路对地、对建筑物等安全距离不够。</w:t>
      </w:r>
    </w:p>
    <w:p w14:paraId="481CE04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58．电气设备外壳无接地。</w:t>
      </w:r>
    </w:p>
    <w:p w14:paraId="4B7679D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59．临时电源无漏电保护器。</w:t>
      </w:r>
    </w:p>
    <w:p w14:paraId="12B53BD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60．未建立和完善各级人员安全生产责任制，使各级人员安全管理职责不清、安全责任不明。</w:t>
      </w:r>
    </w:p>
    <w:p w14:paraId="1102952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61．不建立健全安全生产管理制度和基础台帐。</w:t>
      </w:r>
    </w:p>
    <w:p w14:paraId="203427F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62．未按规定设置安全监督机构和配置安全员。</w:t>
      </w:r>
    </w:p>
    <w:p w14:paraId="7BB52C0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63．未按规定落实安全生产措施、计划、资金。</w:t>
      </w:r>
    </w:p>
    <w:p w14:paraId="20DB7CE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64．未按规定配备符合国家标准和行业标准的安全防护装置、安全工器具和个人防护用品。</w:t>
      </w:r>
    </w:p>
    <w:p w14:paraId="4EAF29D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65．施工单位不为现场从事危险作业人员依法办理保险的凭证。</w:t>
      </w:r>
    </w:p>
    <w:p w14:paraId="6E9319C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66．新进场人员（包括农民工）未进行安全教育或未配证上岗作业的；或安排非特种作业人员进行特种作业的。</w:t>
      </w:r>
    </w:p>
    <w:p w14:paraId="1B923DE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67．临时工从事有危险的工作时，未派专人监护。</w:t>
      </w:r>
    </w:p>
    <w:p w14:paraId="0534334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68．违章指挥，强令工人冒险作业。</w:t>
      </w:r>
    </w:p>
    <w:p w14:paraId="5C6F861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69．对排查出的安全隐患未制定整改计划或未落实整改治理措施。</w:t>
      </w:r>
    </w:p>
    <w:p w14:paraId="7CBA1D9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70．使用无相应资质的单位在施工现场安装、拆卸施工起重机械和整体提升脚手架、模板等自升式架设设施。</w:t>
      </w:r>
    </w:p>
    <w:p w14:paraId="1F1EEC5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71．对承包方未进行资质审查或违规进行工程发包。</w:t>
      </w:r>
    </w:p>
    <w:p w14:paraId="7328642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72．承发包工程未依法签订安全协议，未明确双方应承担的安全责任。</w:t>
      </w:r>
    </w:p>
    <w:p w14:paraId="72BD995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73．建设工程中租用未经安全性能检测或者经检测不合格的机械设备和施工机具。</w:t>
      </w:r>
    </w:p>
    <w:p w14:paraId="2648134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74.  未按要求编制生产安全事故应急救援预案和施工度汛方案。</w:t>
      </w:r>
    </w:p>
    <w:p w14:paraId="62505A1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75．在尚未竣工的建筑物内设置员工集体宿舍。</w:t>
      </w:r>
    </w:p>
    <w:p w14:paraId="705F135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76．发生施工安全事故后，不按规定程序进行报告或不遵循“四不放过”原则组织开展事故调查及处理。</w:t>
      </w:r>
    </w:p>
    <w:p w14:paraId="3410F2A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77. 法律法规、强制性规范规定的其他违章行为。</w:t>
      </w:r>
    </w:p>
    <w:p w14:paraId="53715931">
      <w:pPr>
        <w:snapToGrid w:val="0"/>
        <w:spacing w:line="324" w:lineRule="auto"/>
        <w:rPr>
          <w:rFonts w:hint="eastAsia" w:ascii="宋体" w:hAnsi="宋体" w:cs="宋体"/>
          <w:color w:val="auto"/>
          <w:kern w:val="0"/>
          <w:szCs w:val="21"/>
          <w:highlight w:val="none"/>
        </w:rPr>
      </w:pPr>
    </w:p>
    <w:p w14:paraId="526702E9">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甲方：（盖章）</w:t>
      </w:r>
    </w:p>
    <w:p w14:paraId="7F3678A5">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14:paraId="17B10A4A">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乙方：（盖章）</w:t>
      </w:r>
    </w:p>
    <w:p w14:paraId="04FAABFF">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14:paraId="5D056D82">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p w14:paraId="1FAD69D2">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地点：</w:t>
      </w:r>
    </w:p>
    <w:p w14:paraId="70A68F4E">
      <w:pPr>
        <w:snapToGrid w:val="0"/>
        <w:spacing w:line="324" w:lineRule="auto"/>
        <w:rPr>
          <w:rFonts w:hint="eastAsia" w:ascii="宋体" w:hAnsi="宋体" w:cs="宋体"/>
          <w:color w:val="auto"/>
          <w:kern w:val="0"/>
          <w:szCs w:val="21"/>
          <w:highlight w:val="none"/>
        </w:rPr>
      </w:pPr>
    </w:p>
    <w:p w14:paraId="481C39D6">
      <w:pPr>
        <w:snapToGrid w:val="0"/>
        <w:spacing w:line="324" w:lineRule="auto"/>
        <w:rPr>
          <w:rFonts w:hint="eastAsia" w:ascii="宋体" w:hAnsi="宋体" w:cs="宋体"/>
          <w:color w:val="auto"/>
          <w:kern w:val="0"/>
          <w:szCs w:val="21"/>
          <w:highlight w:val="none"/>
        </w:rPr>
      </w:pPr>
    </w:p>
    <w:p w14:paraId="0DBEA4CA">
      <w:pPr>
        <w:snapToGrid w:val="0"/>
        <w:spacing w:line="32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bookmarkStart w:id="323" w:name="_Toc33183804"/>
    </w:p>
    <w:p w14:paraId="241CB653">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附件7：</w:t>
      </w:r>
      <w:bookmarkEnd w:id="323"/>
      <w:r>
        <w:rPr>
          <w:rFonts w:hint="eastAsia" w:ascii="宋体" w:hAnsi="宋体" w:cs="宋体"/>
          <w:color w:val="auto"/>
          <w:kern w:val="0"/>
          <w:szCs w:val="21"/>
          <w:highlight w:val="none"/>
        </w:rPr>
        <w:t>重庆市水利工程建设廉政合同</w:t>
      </w:r>
    </w:p>
    <w:p w14:paraId="65CB6F1D">
      <w:pPr>
        <w:spacing w:line="360" w:lineRule="auto"/>
        <w:ind w:firstLine="422" w:firstLineChars="200"/>
        <w:rPr>
          <w:rFonts w:hint="eastAsia" w:ascii="宋体" w:hAnsi="宋体" w:cs="宋体"/>
          <w:b/>
          <w:color w:val="auto"/>
          <w:szCs w:val="21"/>
          <w:highlight w:val="none"/>
        </w:rPr>
      </w:pPr>
    </w:p>
    <w:p w14:paraId="0183A189">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重庆市水利工程建设廉政合同</w:t>
      </w:r>
    </w:p>
    <w:p w14:paraId="383D33B4">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工程合同编号：</w:t>
      </w:r>
      <w:r>
        <w:rPr>
          <w:rFonts w:hint="eastAsia" w:ascii="宋体" w:hAnsi="宋体" w:cs="宋体"/>
          <w:color w:val="auto"/>
          <w:kern w:val="0"/>
          <w:szCs w:val="21"/>
          <w:highlight w:val="none"/>
          <w:u w:val="single"/>
        </w:rPr>
        <w:t xml:space="preserve">                                     </w:t>
      </w:r>
    </w:p>
    <w:p w14:paraId="54819FA4">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廉政合同编号：</w:t>
      </w:r>
      <w:r>
        <w:rPr>
          <w:rFonts w:hint="eastAsia" w:ascii="宋体" w:hAnsi="宋体" w:cs="宋体"/>
          <w:color w:val="auto"/>
          <w:kern w:val="0"/>
          <w:szCs w:val="21"/>
          <w:highlight w:val="none"/>
          <w:u w:val="single"/>
        </w:rPr>
        <w:t xml:space="preserve">                                     </w:t>
      </w:r>
    </w:p>
    <w:p w14:paraId="525597A3">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工程项目名称：</w:t>
      </w:r>
      <w:r>
        <w:rPr>
          <w:rFonts w:hint="eastAsia" w:ascii="宋体" w:hAnsi="宋体" w:cs="宋体"/>
          <w:color w:val="auto"/>
          <w:kern w:val="0"/>
          <w:szCs w:val="21"/>
          <w:highlight w:val="none"/>
          <w:u w:val="single"/>
        </w:rPr>
        <w:t xml:space="preserve">                                     </w:t>
      </w:r>
    </w:p>
    <w:p w14:paraId="7507D8F3">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工程项目地址：</w:t>
      </w:r>
      <w:r>
        <w:rPr>
          <w:rFonts w:hint="eastAsia" w:ascii="宋体" w:hAnsi="宋体" w:cs="宋体"/>
          <w:color w:val="auto"/>
          <w:kern w:val="0"/>
          <w:szCs w:val="21"/>
          <w:highlight w:val="none"/>
          <w:u w:val="single"/>
        </w:rPr>
        <w:t xml:space="preserve">                                     </w:t>
      </w:r>
    </w:p>
    <w:p w14:paraId="68160F45">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项目法人（甲方）：</w:t>
      </w:r>
      <w:r>
        <w:rPr>
          <w:rFonts w:hint="eastAsia" w:ascii="宋体" w:hAnsi="宋体" w:cs="宋体"/>
          <w:color w:val="auto"/>
          <w:kern w:val="0"/>
          <w:szCs w:val="21"/>
          <w:highlight w:val="none"/>
          <w:u w:val="single"/>
        </w:rPr>
        <w:t xml:space="preserve">                                     </w:t>
      </w:r>
    </w:p>
    <w:p w14:paraId="52157010">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施工单位（乙方）：</w:t>
      </w:r>
      <w:r>
        <w:rPr>
          <w:rFonts w:hint="eastAsia" w:ascii="宋体" w:hAnsi="宋体" w:cs="宋体"/>
          <w:color w:val="auto"/>
          <w:kern w:val="0"/>
          <w:szCs w:val="21"/>
          <w:highlight w:val="none"/>
          <w:u w:val="single"/>
        </w:rPr>
        <w:t xml:space="preserve">                                     </w:t>
      </w:r>
    </w:p>
    <w:p w14:paraId="792B635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为加强水利工程建设中的党风廉政建设，保证工程建设高效优质，保证建设资金的安全和有效使用以及投资效益，双方特订立本廉政合同。</w:t>
      </w:r>
    </w:p>
    <w:p w14:paraId="66DF1B1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第一条  双方的责任：</w:t>
      </w:r>
    </w:p>
    <w:p w14:paraId="1450DC7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（一）严格遵守党和国家有关法律法规及水行政主管部门的规定。</w:t>
      </w:r>
    </w:p>
    <w:p w14:paraId="0276DEB3">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建设工程的合同，自觉遵守合同。</w:t>
      </w:r>
    </w:p>
    <w:p w14:paraId="404210E3">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（三）双方的业务活动坚持公开、公正、诚信、透明原则（法律认定的商业秘密和合同文件另有规定的除外），不得损害国家和集体利益，不得违反工程建设管理规章制度。</w:t>
      </w:r>
    </w:p>
    <w:p w14:paraId="0FA80A0A">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（四）建立健全廉政制度，开展廉政教育，设立廉政告示牌，公布举报电话，监督并认真查处违法违纪行为。</w:t>
      </w:r>
    </w:p>
    <w:p w14:paraId="0F493215">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（五）任何一方发现对方在业务活动中有违反廉政规定的行为，有及时提醒对方纠正的权利和义务。</w:t>
      </w:r>
    </w:p>
    <w:p w14:paraId="289D4E23">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（六）发现对方严重违反本合同的行为，任何一方有向上级有关部门举报、建议给予处理并要求告知处理结果的权利。</w:t>
      </w:r>
    </w:p>
    <w:p w14:paraId="191E94DD">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第二条  甲方应遵守的内容：</w:t>
      </w:r>
    </w:p>
    <w:p w14:paraId="3701C0A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（一）甲方及其工作人员不得索取、接受或者变相接受乙方的财物。不得在乙方报销任何应由甲方或个人支付的费用等。</w:t>
      </w:r>
    </w:p>
    <w:p w14:paraId="0F413CE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（二）甲方工作人员不得接受可能影响公正执行公务的礼品、宴请以及旅游、健身、娱乐等活动安排，不得接受乙方提供的通讯工具、交通工具和高档办公用品等。</w:t>
      </w:r>
    </w:p>
    <w:p w14:paraId="3B83821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（三）甲方及其工作人员不得要求或者接受乙方为其住房装修、婚丧嫁娶活动、配偶子女的工作安排以及出国出境、旅游等提供方便等。</w:t>
      </w:r>
    </w:p>
    <w:p w14:paraId="344C6C7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（四）甲方工作人员的配偶、子女不得从事与甲方工程有关的材料设备供应、工程分包、劳务等经济活动等。</w:t>
      </w:r>
    </w:p>
    <w:p w14:paraId="7A8B977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（五）除本合同规定外，甲方及其工作人员不得以任何理由向乙方推荐分包单位，不得要求乙方购买合同规定外的材料和设备。</w:t>
      </w:r>
    </w:p>
    <w:p w14:paraId="2BF6CC6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第三条  乙方应遵守的内容：</w:t>
      </w:r>
    </w:p>
    <w:p w14:paraId="5ACE8DC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（一）乙方不得以任何理由向甲方及其工作人员行贿或馈赠财物。</w:t>
      </w:r>
    </w:p>
    <w:p w14:paraId="00D1AD8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5856490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（三）乙方不得以任何理由邀请甲方及其工作人员外出旅游或安排甲方工作人员参加超标准宴请及娱乐活动。</w:t>
      </w:r>
    </w:p>
    <w:p w14:paraId="00AFF79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（四）乙方不得为甲方单位和个人购置或提供通讯工具、交通工具和高档办公用品等。</w:t>
      </w:r>
    </w:p>
    <w:p w14:paraId="147F6E3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（五）乙方及其工作人员应严格按监理规程办事，不得为谋取私利向监理人员非法行贿，私下串通，损害甲方利益。同时必须对监理单位和工程监理人员履行向甲方承诺的上述其他廉政义务。</w:t>
      </w:r>
    </w:p>
    <w:p w14:paraId="104F67D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如果发现甲方工作人员或工程监理人员有违反廉政规定的行为，应向甲方组织或上级单位举报。甲方和工程监理部门不得找任何借口对乙方进行报复。甲方对举报属实或严格遵守廉政合同的乙方，在同等条件下给予承接后续工程的优先邀请投标权。</w:t>
      </w:r>
    </w:p>
    <w:p w14:paraId="6C12850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第四条  违约责任：</w:t>
      </w:r>
    </w:p>
    <w:p w14:paraId="225B95B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（一）甲方及其工作人员违反本合同第一、二条，按管理权限，依据有关规定给予党纪、政纪或组织处理；涉嫌犯罪的，移交司法机关追究刑事责任；给乙方单位造成经济损失的，应予以赔偿。</w:t>
      </w:r>
    </w:p>
    <w:p w14:paraId="2C1B00F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合同第一、三条的，按管理权限，依据有关规定，给予党纪、政纪或组织处理；给甲方单位造成经济损失的，应予以赔偿；情节严重的，甲方建议水行政主管部门给予乙方二至五年内不得进入其主管的水利工程建设市场的处罚。</w:t>
      </w:r>
    </w:p>
    <w:p w14:paraId="162BCC5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及其工作人员违反本《廉政合同》规定，根据查证金额的10倍，由乙方向甲方承担违约金，并在工程进度款中扣除，后续进度款不足的在履约保证金中扣除。若仍不足以支付违约金，甲方还可向乙方继续追讨。</w:t>
      </w:r>
    </w:p>
    <w:p w14:paraId="30D949A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第五条  本《廉政合同》的监督单位为项目所在地水行政主管部门纪检监察机构。</w:t>
      </w:r>
    </w:p>
    <w:p w14:paraId="1948599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第六条  本合同有效期为甲乙双方签署之日起至该合同工程完工验收后止。</w:t>
      </w:r>
    </w:p>
    <w:p w14:paraId="719400C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第七条  本合同作为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工程施工合同的附件，与工程施工合同具有同等的法律效力，经甲乙双方监督单位加盖公章，法定代表人或授权代理人签字后生效。</w:t>
      </w:r>
    </w:p>
    <w:p w14:paraId="48DB302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第八条  本合同一式叁份，甲、乙双方及监督单位各执一份。</w:t>
      </w:r>
    </w:p>
    <w:p w14:paraId="42B8529F">
      <w:pPr>
        <w:snapToGrid w:val="0"/>
        <w:spacing w:line="324" w:lineRule="auto"/>
        <w:rPr>
          <w:rFonts w:hint="eastAsia" w:ascii="宋体" w:hAnsi="宋体" w:cs="宋体"/>
          <w:color w:val="auto"/>
          <w:kern w:val="0"/>
          <w:szCs w:val="21"/>
          <w:highlight w:val="none"/>
        </w:rPr>
      </w:pPr>
    </w:p>
    <w:p w14:paraId="703621E3">
      <w:pPr>
        <w:snapToGrid w:val="0"/>
        <w:spacing w:line="324" w:lineRule="auto"/>
        <w:rPr>
          <w:rFonts w:hint="eastAsia" w:ascii="宋体" w:hAnsi="宋体" w:cs="宋体"/>
          <w:color w:val="auto"/>
          <w:kern w:val="0"/>
          <w:szCs w:val="21"/>
          <w:highlight w:val="none"/>
        </w:rPr>
      </w:pPr>
    </w:p>
    <w:p w14:paraId="05C53106">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甲方单位：（盖章）              乙方单位：（盖章）</w:t>
      </w:r>
    </w:p>
    <w:p w14:paraId="7814D1C5">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                   法定代表人：</w:t>
      </w:r>
    </w:p>
    <w:p w14:paraId="12CDB194">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地址：                         地址：</w:t>
      </w:r>
    </w:p>
    <w:p w14:paraId="705535DD">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电话：                         电话：</w:t>
      </w:r>
    </w:p>
    <w:p w14:paraId="48958764">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年   月   日                年   月   日 </w:t>
      </w:r>
    </w:p>
    <w:p w14:paraId="64CA7883">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监督单位：（盖章）</w:t>
      </w:r>
    </w:p>
    <w:p w14:paraId="40646692">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p>
    <w:p w14:paraId="24078215">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p w14:paraId="4398BE8C">
      <w:pPr>
        <w:keepNext/>
        <w:keepLines/>
        <w:snapToGrid w:val="0"/>
        <w:spacing w:line="600" w:lineRule="exact"/>
        <w:ind w:firstLine="422" w:firstLineChars="200"/>
        <w:outlineLvl w:val="3"/>
        <w:rPr>
          <w:rFonts w:hint="eastAsia" w:ascii="宋体" w:hAnsi="宋体" w:cs="宋体"/>
          <w:color w:val="auto"/>
          <w:kern w:val="0"/>
          <w:szCs w:val="21"/>
          <w:highlight w:val="none"/>
        </w:rPr>
      </w:pPr>
      <w:r>
        <w:rPr>
          <w:rFonts w:hint="eastAsia" w:ascii="宋体" w:hAnsi="宋体" w:cs="宋体"/>
          <w:b/>
          <w:color w:val="auto"/>
          <w:szCs w:val="21"/>
          <w:highlight w:val="none"/>
        </w:rPr>
        <w:br w:type="page"/>
      </w:r>
      <w:bookmarkStart w:id="324" w:name="_Toc33183805"/>
      <w:r>
        <w:rPr>
          <w:rFonts w:hint="eastAsia" w:ascii="宋体" w:hAnsi="宋体" w:cs="宋体"/>
          <w:color w:val="auto"/>
          <w:kern w:val="0"/>
          <w:szCs w:val="21"/>
          <w:highlight w:val="none"/>
        </w:rPr>
        <w:t>附件8：</w:t>
      </w:r>
      <w:bookmarkEnd w:id="324"/>
      <w:r>
        <w:rPr>
          <w:rFonts w:hint="eastAsia" w:ascii="宋体" w:hAnsi="宋体" w:cs="宋体"/>
          <w:color w:val="auto"/>
          <w:kern w:val="0"/>
          <w:szCs w:val="21"/>
          <w:highlight w:val="none"/>
        </w:rPr>
        <w:t>按期支付农民工工资合同</w:t>
      </w:r>
    </w:p>
    <w:p w14:paraId="2DF7F572">
      <w:pPr>
        <w:snapToGrid w:val="0"/>
        <w:spacing w:line="324" w:lineRule="auto"/>
        <w:ind w:firstLine="420" w:firstLineChars="200"/>
        <w:rPr>
          <w:rFonts w:hint="eastAsia" w:ascii="宋体" w:hAnsi="宋体" w:cs="宋体"/>
          <w:color w:val="auto"/>
          <w:kern w:val="0"/>
          <w:szCs w:val="21"/>
          <w:highlight w:val="none"/>
        </w:rPr>
      </w:pPr>
    </w:p>
    <w:p w14:paraId="60512448">
      <w:pPr>
        <w:snapToGrid w:val="0"/>
        <w:spacing w:line="324" w:lineRule="auto"/>
        <w:jc w:val="center"/>
        <w:rPr>
          <w:rFonts w:hint="eastAsia" w:ascii="宋体" w:hAnsi="宋体" w:cs="宋体"/>
          <w:color w:val="auto"/>
          <w:kern w:val="0"/>
          <w:szCs w:val="21"/>
          <w:highlight w:val="none"/>
        </w:rPr>
      </w:pPr>
    </w:p>
    <w:p w14:paraId="7752F7B8">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按期支付农民工工资合同</w:t>
      </w:r>
    </w:p>
    <w:p w14:paraId="7E5199D5">
      <w:pPr>
        <w:snapToGrid w:val="0"/>
        <w:spacing w:line="324" w:lineRule="auto"/>
        <w:jc w:val="center"/>
        <w:rPr>
          <w:rFonts w:hint="eastAsia" w:ascii="宋体" w:hAnsi="宋体" w:cs="宋体"/>
          <w:color w:val="auto"/>
          <w:kern w:val="0"/>
          <w:szCs w:val="21"/>
          <w:highlight w:val="none"/>
        </w:rPr>
      </w:pPr>
    </w:p>
    <w:p w14:paraId="5FBF1820">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r>
        <w:rPr>
          <w:rFonts w:hint="eastAsia" w:ascii="宋体" w:hAnsi="宋体" w:cs="宋体"/>
          <w:color w:val="auto"/>
          <w:kern w:val="0"/>
          <w:szCs w:val="21"/>
          <w:highlight w:val="none"/>
          <w:u w:val="single"/>
        </w:rPr>
        <w:t xml:space="preserve">                 </w:t>
      </w:r>
    </w:p>
    <w:p w14:paraId="46EE4BAA">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施工工程合同编号：</w:t>
      </w:r>
      <w:r>
        <w:rPr>
          <w:rFonts w:hint="eastAsia" w:ascii="宋体" w:hAnsi="宋体" w:cs="宋体"/>
          <w:color w:val="auto"/>
          <w:kern w:val="0"/>
          <w:szCs w:val="21"/>
          <w:highlight w:val="none"/>
          <w:u w:val="single"/>
        </w:rPr>
        <w:t xml:space="preserve">                  </w:t>
      </w:r>
    </w:p>
    <w:p w14:paraId="167D42E1">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支付农民工工资合同编号：</w:t>
      </w:r>
      <w:r>
        <w:rPr>
          <w:rFonts w:hint="eastAsia" w:ascii="宋体" w:hAnsi="宋体" w:cs="宋体"/>
          <w:color w:val="auto"/>
          <w:kern w:val="0"/>
          <w:szCs w:val="21"/>
          <w:highlight w:val="none"/>
          <w:u w:val="single"/>
        </w:rPr>
        <w:t xml:space="preserve">                  </w:t>
      </w:r>
    </w:p>
    <w:p w14:paraId="08BFB3ED">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甲方（建设工程的项目法人）：</w:t>
      </w:r>
      <w:r>
        <w:rPr>
          <w:rFonts w:hint="eastAsia" w:ascii="宋体" w:hAnsi="宋体" w:cs="宋体"/>
          <w:color w:val="auto"/>
          <w:kern w:val="0"/>
          <w:szCs w:val="21"/>
          <w:highlight w:val="none"/>
          <w:u w:val="single"/>
        </w:rPr>
        <w:t xml:space="preserve">                  </w:t>
      </w:r>
    </w:p>
    <w:p w14:paraId="3FFA38B2">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乙方（中标单位即施工单位）：</w:t>
      </w:r>
      <w:r>
        <w:rPr>
          <w:rFonts w:hint="eastAsia" w:ascii="宋体" w:hAnsi="宋体" w:cs="宋体"/>
          <w:color w:val="auto"/>
          <w:kern w:val="0"/>
          <w:szCs w:val="21"/>
          <w:highlight w:val="none"/>
          <w:u w:val="single"/>
        </w:rPr>
        <w:t xml:space="preserve">                  </w:t>
      </w:r>
    </w:p>
    <w:p w14:paraId="502D414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为保证工程建设过程中对农民工管理规范有序，工资依法支付，切实保障农民工的合法权益，维护社会稳定，根据《中华人民共和国劳动法》、《中华人民共和国建筑法》、《劳动保障监察条例》、</w:t>
      </w:r>
      <w:r>
        <w:rPr>
          <w:rFonts w:hint="eastAsia"/>
          <w:color w:val="auto"/>
          <w:highlight w:val="none"/>
        </w:rPr>
        <w:t>《保障农民工工资支付条例》（中华人民共和国国务院令第724号）、</w:t>
      </w:r>
      <w:r>
        <w:rPr>
          <w:rFonts w:hint="eastAsia" w:ascii="宋体" w:hAnsi="宋体" w:cs="宋体"/>
          <w:color w:val="auto"/>
          <w:kern w:val="0"/>
          <w:szCs w:val="21"/>
          <w:highlight w:val="none"/>
        </w:rPr>
        <w:t>《重庆市建设领域农民工工资支付监管暂行办法》（渝人社发〔2009〕65号）</w:t>
      </w:r>
      <w:r>
        <w:rPr>
          <w:rFonts w:hint="eastAsia"/>
          <w:color w:val="auto"/>
          <w:highlight w:val="none"/>
        </w:rPr>
        <w:t>以及《重庆市人民政府办公厅关于全面治理拖欠农民工工资问题的实施意见》（渝府办发〔2016〕101号）</w:t>
      </w:r>
      <w:r>
        <w:rPr>
          <w:rFonts w:hint="eastAsia" w:ascii="宋体" w:hAnsi="宋体" w:cs="宋体"/>
          <w:color w:val="auto"/>
          <w:kern w:val="0"/>
          <w:szCs w:val="21"/>
          <w:highlight w:val="none"/>
        </w:rPr>
        <w:t>等相关法律法规的规定，</w:t>
      </w:r>
      <w:r>
        <w:rPr>
          <w:rFonts w:hint="eastAsia" w:ascii="宋体" w:hAnsi="宋体" w:cs="宋体"/>
          <w:color w:val="auto"/>
          <w:kern w:val="0"/>
          <w:szCs w:val="21"/>
          <w:highlight w:val="none"/>
          <w:u w:val="single"/>
        </w:rPr>
        <w:t xml:space="preserve">       工程（工程名称</w:t>
      </w:r>
      <w:r>
        <w:rPr>
          <w:rFonts w:hint="eastAsia" w:ascii="宋体" w:hAnsi="宋体" w:cs="宋体"/>
          <w:color w:val="auto"/>
          <w:kern w:val="0"/>
          <w:szCs w:val="21"/>
          <w:highlight w:val="none"/>
        </w:rPr>
        <w:t>）的项目法人（以下简称甲方），与中标单位即施工单位（以下简称乙方），特订立如下合同。</w:t>
      </w:r>
    </w:p>
    <w:p w14:paraId="5827731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第一条  基本要求</w:t>
      </w:r>
    </w:p>
    <w:p w14:paraId="4E86A1D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（一）本工程农民工工资支付实行项目业主责任制，即本合同甲方在工程项目发生拖欠农民工工资时，承担监督和维稳责任。</w:t>
      </w:r>
    </w:p>
    <w:p w14:paraId="3C8CB0C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（二）施工单位（本合同乙方）对农民工工资支付负总责，即本合同乙方对所承包工程的农民工工资支付负直接责任。</w:t>
      </w:r>
    </w:p>
    <w:p w14:paraId="21227C7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（三）本工程监理单位对施工单位农民工工资支付行为加强监督，督促其按月结清农民工工资，施工单位应接受监理单位的监督管理。</w:t>
      </w:r>
    </w:p>
    <w:p w14:paraId="71420A9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（四）本工程农民工工资支付情况应当接受项目所在地人力资源与社会劳动保障主管部门和水行政主管部门的监督管理。</w:t>
      </w:r>
    </w:p>
    <w:p w14:paraId="79D029F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第二条  本工程实行农民工工资支付保证金制度。</w:t>
      </w:r>
    </w:p>
    <w:p w14:paraId="6A90A49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（一）保证金由乙方在签订工程承包合同时一次性交纳甲方，保证金比例为工程中标价的3%， 金额人民币：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）。甲方设立专用账户保管，不得挪作他用。甲方帐号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，开户行：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，如乙方未按时足额交纳保证金，甲方有权拒绝签订工程承包合同，并要求乙方承担缔约过失责任。</w:t>
      </w:r>
    </w:p>
    <w:p w14:paraId="3BB663F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（二）若乙方发生拖欠农民工工资和其他应付农民工的费用（包括工伤赔偿金等）的情况，甲方有权动用本工程农民工工资支付保证金专用</w:t>
      </w:r>
      <w:r>
        <w:rPr>
          <w:rFonts w:hint="eastAsia" w:ascii="宋体" w:hAnsi="宋体" w:cs="宋体"/>
          <w:color w:val="auto"/>
          <w:kern w:val="0"/>
          <w:szCs w:val="21"/>
          <w:highlight w:val="none"/>
          <w:lang w:eastAsia="zh-CN"/>
        </w:rPr>
        <w:t>账户</w:t>
      </w:r>
      <w:r>
        <w:rPr>
          <w:rFonts w:hint="eastAsia" w:ascii="宋体" w:hAnsi="宋体" w:cs="宋体"/>
          <w:color w:val="auto"/>
          <w:kern w:val="0"/>
          <w:szCs w:val="21"/>
          <w:highlight w:val="none"/>
        </w:rPr>
        <w:t>内的保证金，用于支付拖欠的农民工资和其他应付农民工的费用。</w:t>
      </w:r>
    </w:p>
    <w:p w14:paraId="30694EE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（三）农民工工资支付保证金专用</w:t>
      </w:r>
      <w:r>
        <w:rPr>
          <w:rFonts w:hint="eastAsia" w:ascii="宋体" w:hAnsi="宋体" w:cs="宋体"/>
          <w:color w:val="auto"/>
          <w:kern w:val="0"/>
          <w:szCs w:val="21"/>
          <w:highlight w:val="none"/>
          <w:lang w:eastAsia="zh-CN"/>
        </w:rPr>
        <w:t>账户</w:t>
      </w:r>
      <w:r>
        <w:rPr>
          <w:rFonts w:hint="eastAsia" w:ascii="宋体" w:hAnsi="宋体" w:cs="宋体"/>
          <w:color w:val="auto"/>
          <w:kern w:val="0"/>
          <w:szCs w:val="21"/>
          <w:highlight w:val="none"/>
        </w:rPr>
        <w:t>内的资金使用不足后，乙方应在接到甲方书面通知后5日内，补足等额资金。若乙方不补足资金，甲方可在工程进度款中直接扣取资金，用于补足等额保证金；如当月进度款不足以抵扣，在下月进度款中扣除余额，以此类推，扣完为止。</w:t>
      </w:r>
    </w:p>
    <w:p w14:paraId="796308C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农民工工资保证金的退还：工程开工三个月后，如乙方按月结清了农民工工资，可向甲方申请从第四个月起，在每月支付工程进度款时，按工程形象进度同比例退还农民工工资保证金，申请时必须附上已结清申请之日前的所有农民工工资和其它应付费用的有效证据，甲方审查核实后可按完工形象进度同比例退还保证金。合同工程完工验收后，由乙方向甲方提交剩余保证金的退款申请，并同时提交农民工工资支付凭证、农民工工资支付表册或其它能证明农民工工资和可能产生的其它应付费用已付清的充分证据。甲方在接到报告后的3个工作日内，到施工工地张贴无欠薪欠费通告，在通告7个工作日后，如没有接到投诉，方可退还保证金，否则暂不予退还，直至满足上诉退还条件为止。</w:t>
      </w:r>
    </w:p>
    <w:p w14:paraId="5BBE03F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甲方接到农民工关于工资拖欠的投诉时，应及时核实农民工投诉情况，对乙方拖欠工资属实的，应责成其立即纠正，对于不服从协调解决，拒不改正拖欠行为的，将告知农民工通过申请劳动仲裁等合法途径维护自身权益。</w:t>
      </w:r>
    </w:p>
    <w:p w14:paraId="623CA4A1">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第三条  甲乙双方的责任和义务</w:t>
      </w:r>
    </w:p>
    <w:p w14:paraId="50ADEAE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（一）甲方负责按本工程施工承包合同约定及时支付工程款，并跟踪、监督乙方及时足额支付农民工工资，乙方应接受甲方监督。</w:t>
      </w:r>
    </w:p>
    <w:p w14:paraId="3080FFF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招用农民工，应严格劳动用工制度，必须依照《中华人民共和国劳动法》及相关规定，与农民工签订劳动合同。劳动合同要明确合同期限、劳动报酬、工作内容、工作时间、劳动保护、劳动条件、工资支付的方式及违反劳动合同的责任等内容。</w:t>
      </w:r>
    </w:p>
    <w:p w14:paraId="703191F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（三）乙方按照与农民工依法签订的集体合同或劳动合同约定的日期，按月支付农民工工资，实行月结月清制度，支付的工资不得低于当地最低工资标准。</w:t>
      </w:r>
    </w:p>
    <w:p w14:paraId="1FA3DE6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为确保农民工工资月结月清，甲方将乙方上月农民工工资支付清单作为拨付当月工程进度款的前置条件。若上月农民工工资未按约定付清，在水行政主管部门和劳动保障行政部门的监督下，甲方按照本合同第二条第二款及第三款规定使用农民工工资支付保证金账户内的保证金或应支付乙方的当月工程款直接支付农民工工资。</w:t>
      </w:r>
    </w:p>
    <w:p w14:paraId="12617055">
      <w:pPr>
        <w:snapToGrid w:val="0"/>
        <w:spacing w:line="324" w:lineRule="auto"/>
        <w:ind w:firstLine="420" w:firstLineChars="200"/>
        <w:rPr>
          <w:rFonts w:hint="eastAsia" w:ascii="宋体" w:hAnsi="宋体" w:cs="宋体"/>
          <w:color w:val="auto"/>
          <w:kern w:val="0"/>
          <w:szCs w:val="21"/>
          <w:highlight w:val="none"/>
        </w:rPr>
      </w:pPr>
      <w:bookmarkStart w:id="325" w:name="_Toc33183806"/>
      <w:r>
        <w:rPr>
          <w:rFonts w:hint="eastAsia" w:ascii="宋体" w:hAnsi="宋体" w:cs="宋体"/>
          <w:color w:val="auto"/>
          <w:kern w:val="0"/>
          <w:szCs w:val="21"/>
          <w:highlight w:val="none"/>
        </w:rPr>
        <w:t>（五）甲乙双方共同在项目施工现场设立“农民工维权告示牌”（见附件1）</w:t>
      </w:r>
      <w:bookmarkEnd w:id="325"/>
    </w:p>
    <w:p w14:paraId="1EF8AF8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应建立农民工用工工资档案制度。农民工工资档案（含农民工花名册、农民工工资支付表、劳动用工及工资支付情况汇总表，格式见附件2、3、4）以书面形式记录支付农民工工资的数额、时间、领取者的姓名以及签字等，并保存两年以上以备查。</w:t>
      </w:r>
    </w:p>
    <w:p w14:paraId="29F745D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第四条  接受监督管理的约定</w:t>
      </w:r>
    </w:p>
    <w:p w14:paraId="255E002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双方约定：本《合同》的监督管理单位为项目所在地劳动保障行政部门和水行政主管部门。监督管理单位负责对《合同》执行情况检查，提出在本《合同》规定范围内的裁定意见，执行本《合同》第五条所规定的处罚。</w:t>
      </w:r>
    </w:p>
    <w:p w14:paraId="78E93005">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检查方式：本《合同》的履约情况检查由监督管理单位主持，甲乙双方共同派人参加，检查方式为座谈、问卷调查、查看资料或各方约定的其他方式等。检查时间、次数、检查方式、检查结论和处罚意见等由各方协商确定，如无法达成一致意见，由监督管理单位依据事实裁定。</w:t>
      </w:r>
    </w:p>
    <w:p w14:paraId="10B467C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（三）本《合同》有效期为：甲乙双方签署之日起至合同工程完工验收，且乙方结清本工程所有农民工工资和其他应付给农民工的费用之日止。</w:t>
      </w:r>
    </w:p>
    <w:p w14:paraId="6DE5AFA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第五条  监管与处罚</w:t>
      </w:r>
    </w:p>
    <w:p w14:paraId="001515A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（一）甲乙双方约定，本工程接受监督管理单位对农民工工资支付保证金专用账户的监管，接受监督管理单位视具体情节提出的资金使用、处理意见。</w:t>
      </w:r>
    </w:p>
    <w:p w14:paraId="1189DCB7">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违法拖欠或克扣农民工工资或拒绝纠正违法行为，甲方有权向监督单位建议将其列入工程建设不良行为并记入信用档案。如乙方发生两次及以上拖欠行为，拒不改正，甲方可向监督管理单位申请清退乙方。</w:t>
      </w:r>
    </w:p>
    <w:p w14:paraId="5F0C1133">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第六条  不可抗力事件的合同责任</w:t>
      </w:r>
    </w:p>
    <w:p w14:paraId="166E96D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（一）由于战争、地震、水灾、火灾、暴风雪或其他不可抗力原因导致不能履行合同或延迟履行合同的，不适用第四条和第五条规定。</w:t>
      </w:r>
    </w:p>
    <w:p w14:paraId="44F7C5AA">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按照本工程施工合同约定负责办理工程保险的一方，应及时投保“建筑工程一切险”、“安装工程一切险”和“人身意外伤害险”，由保险公司赔偿工程施工过程中因自然灾害或意外事故而引起的一切损失，乙方所获得的损失赔偿首先用于清欠不可抗力事件发生前的所有农民工工资和其他应付费用。当乙方有权获得工期顺延时，负责办理保险的一方应在保险合同有效期届满前办理保险的延续手续；若因乙方原因不能按期竣工，在延迟的施工时间内发生的不可抗力引起的一切损失由乙方自行负责。</w:t>
      </w:r>
    </w:p>
    <w:p w14:paraId="789EC9EC">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第七条  本《合同》为</w:t>
      </w:r>
      <w:r>
        <w:rPr>
          <w:rFonts w:hint="eastAsia" w:ascii="宋体" w:hAnsi="宋体" w:cs="宋体"/>
          <w:color w:val="auto"/>
          <w:kern w:val="0"/>
          <w:szCs w:val="21"/>
          <w:highlight w:val="none"/>
          <w:u w:val="single"/>
        </w:rPr>
        <w:t xml:space="preserve">           （工程名称）</w:t>
      </w:r>
      <w:r>
        <w:rPr>
          <w:rFonts w:hint="eastAsia" w:ascii="宋体" w:hAnsi="宋体" w:cs="宋体"/>
          <w:color w:val="auto"/>
          <w:kern w:val="0"/>
          <w:szCs w:val="21"/>
          <w:highlight w:val="none"/>
        </w:rPr>
        <w:t>施工承包合同的附件，与工程施工承包合同具有同等法律效力，经甲乙双方法定代表人（或其授权代表）签署，加盖公章立即生效。</w:t>
      </w:r>
    </w:p>
    <w:p w14:paraId="2CC92D24">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第八条  本《合同》一式陆份，甲、乙双方各执贰份，送交项目所在地的水行政主管部门和人力资源与社会劳动保障部门各一份备案。 </w:t>
      </w:r>
    </w:p>
    <w:p w14:paraId="5280FFF6">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第九条  未尽事宜，双方另行协商或签订补充协议解决，补充协议及本合同附件与本合同具有同等法律效力。 </w:t>
      </w:r>
    </w:p>
    <w:p w14:paraId="0B2D2995">
      <w:pPr>
        <w:snapToGrid w:val="0"/>
        <w:spacing w:line="324" w:lineRule="auto"/>
        <w:ind w:firstLine="420" w:firstLineChars="200"/>
        <w:rPr>
          <w:rFonts w:hint="eastAsia" w:ascii="宋体" w:hAnsi="宋体" w:cs="宋体"/>
          <w:color w:val="auto"/>
          <w:kern w:val="0"/>
          <w:szCs w:val="21"/>
          <w:highlight w:val="none"/>
        </w:rPr>
      </w:pPr>
    </w:p>
    <w:p w14:paraId="63E6692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附件：1．农民工维权告示牌</w:t>
      </w:r>
    </w:p>
    <w:p w14:paraId="31711C7D">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2．农民工花名册</w:t>
      </w:r>
    </w:p>
    <w:p w14:paraId="70FD0EC6">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3．农民工工资表</w:t>
      </w:r>
    </w:p>
    <w:p w14:paraId="6CF13420">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4．劳动用工及工资支付情况汇总表</w:t>
      </w:r>
    </w:p>
    <w:p w14:paraId="64BC4A04">
      <w:pPr>
        <w:snapToGrid w:val="0"/>
        <w:spacing w:line="324" w:lineRule="auto"/>
        <w:ind w:firstLine="1050" w:firstLineChars="500"/>
        <w:rPr>
          <w:rFonts w:hint="eastAsia" w:ascii="宋体" w:hAnsi="宋体" w:cs="宋体"/>
          <w:color w:val="auto"/>
          <w:kern w:val="0"/>
          <w:szCs w:val="21"/>
          <w:highlight w:val="none"/>
        </w:rPr>
      </w:pPr>
    </w:p>
    <w:p w14:paraId="6AC0731E">
      <w:pPr>
        <w:snapToGrid w:val="0"/>
        <w:spacing w:line="324" w:lineRule="auto"/>
        <w:ind w:firstLine="1050" w:firstLineChars="500"/>
        <w:rPr>
          <w:rFonts w:hint="eastAsia" w:ascii="宋体" w:hAnsi="宋体" w:cs="宋体"/>
          <w:color w:val="auto"/>
          <w:kern w:val="0"/>
          <w:szCs w:val="21"/>
          <w:highlight w:val="none"/>
        </w:rPr>
      </w:pPr>
    </w:p>
    <w:p w14:paraId="748767F2">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甲方单位：（盖章）         乙方单位：（盖章）</w:t>
      </w:r>
    </w:p>
    <w:p w14:paraId="79ADBCCF">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              法定代表人：</w:t>
      </w:r>
    </w:p>
    <w:p w14:paraId="3190E25D">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                    地址：</w:t>
      </w:r>
    </w:p>
    <w:p w14:paraId="75332E9B">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电话：                    电话：</w:t>
      </w:r>
    </w:p>
    <w:p w14:paraId="0810A070">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            年    月    日</w:t>
      </w:r>
    </w:p>
    <w:p w14:paraId="4F12010A">
      <w:pPr>
        <w:snapToGrid w:val="0"/>
        <w:spacing w:line="324" w:lineRule="auto"/>
        <w:ind w:firstLine="420" w:firstLineChars="200"/>
        <w:rPr>
          <w:rFonts w:hint="eastAsia" w:ascii="宋体" w:hAnsi="宋体" w:cs="宋体"/>
          <w:color w:val="auto"/>
          <w:kern w:val="0"/>
          <w:szCs w:val="21"/>
          <w:highlight w:val="none"/>
        </w:rPr>
      </w:pPr>
    </w:p>
    <w:p w14:paraId="12A54115">
      <w:pPr>
        <w:snapToGrid w:val="0"/>
        <w:spacing w:line="324" w:lineRule="auto"/>
        <w:ind w:firstLine="420" w:firstLineChars="200"/>
        <w:rPr>
          <w:rFonts w:hint="eastAsia" w:ascii="宋体" w:hAnsi="宋体" w:cs="宋体"/>
          <w:color w:val="auto"/>
          <w:kern w:val="0"/>
          <w:szCs w:val="21"/>
          <w:highlight w:val="none"/>
        </w:rPr>
      </w:pPr>
    </w:p>
    <w:p w14:paraId="1BB62B8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监督单位（项目所在地劳动保障部门）（盖章）</w:t>
      </w:r>
    </w:p>
    <w:p w14:paraId="2AAD1889">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p w14:paraId="4FA480C9">
      <w:pPr>
        <w:snapToGrid w:val="0"/>
        <w:spacing w:line="324" w:lineRule="auto"/>
        <w:ind w:firstLine="420" w:firstLineChars="200"/>
        <w:rPr>
          <w:rFonts w:hint="eastAsia" w:ascii="宋体" w:hAnsi="宋体" w:cs="宋体"/>
          <w:color w:val="auto"/>
          <w:kern w:val="0"/>
          <w:szCs w:val="21"/>
          <w:highlight w:val="none"/>
        </w:rPr>
      </w:pPr>
    </w:p>
    <w:p w14:paraId="13D05B7E">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监督单位（项目所在地水行政主管部门）（盖章）</w:t>
      </w:r>
    </w:p>
    <w:p w14:paraId="2A43D7F8">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p w14:paraId="429D27AB">
      <w:pPr>
        <w:ind w:firstLine="420" w:firstLineChars="200"/>
        <w:rPr>
          <w:rFonts w:hint="eastAsia" w:ascii="宋体" w:hAnsi="宋体" w:cs="宋体"/>
          <w:color w:val="auto"/>
          <w:kern w:val="0"/>
          <w:szCs w:val="21"/>
          <w:highlight w:val="none"/>
        </w:rPr>
      </w:pPr>
    </w:p>
    <w:p w14:paraId="6E3A1C0B">
      <w:pPr>
        <w:snapToGrid w:val="0"/>
        <w:spacing w:line="324" w:lineRule="auto"/>
        <w:ind w:firstLine="420" w:firstLineChars="200"/>
        <w:rPr>
          <w:rFonts w:hint="eastAsia" w:ascii="宋体" w:hAnsi="宋体" w:cs="宋体"/>
          <w:color w:val="auto"/>
          <w:kern w:val="0"/>
          <w:szCs w:val="21"/>
          <w:highlight w:val="none"/>
        </w:rPr>
      </w:pPr>
      <w:bookmarkStart w:id="326" w:name="_Toc33183807"/>
    </w:p>
    <w:p w14:paraId="7696DC58">
      <w:pPr>
        <w:snapToGrid w:val="0"/>
        <w:spacing w:line="324" w:lineRule="auto"/>
        <w:rPr>
          <w:rFonts w:hint="eastAsia" w:ascii="宋体" w:hAnsi="宋体" w:cs="宋体"/>
          <w:color w:val="auto"/>
          <w:kern w:val="0"/>
          <w:szCs w:val="21"/>
          <w:highlight w:val="none"/>
        </w:rPr>
      </w:pPr>
    </w:p>
    <w:p w14:paraId="28E3B5CE">
      <w:pPr>
        <w:pStyle w:val="156"/>
        <w:spacing w:before="120" w:after="120"/>
        <w:outlineLvl w:val="9"/>
        <w:rPr>
          <w:rFonts w:hint="eastAsia" w:ascii="宋体" w:hAnsi="宋体" w:cs="宋体"/>
          <w:b w:val="0"/>
          <w:color w:val="auto"/>
          <w:sz w:val="21"/>
          <w:szCs w:val="21"/>
          <w:highlight w:val="none"/>
        </w:rPr>
      </w:pPr>
      <w:bookmarkStart w:id="327" w:name="_Toc59810430"/>
      <w:r>
        <w:rPr>
          <w:rFonts w:hint="eastAsia" w:ascii="宋体" w:hAnsi="宋体" w:cs="宋体"/>
          <w:b w:val="0"/>
          <w:color w:val="auto"/>
          <w:sz w:val="21"/>
          <w:szCs w:val="21"/>
          <w:highlight w:val="none"/>
        </w:rPr>
        <w:t>附件：</w:t>
      </w:r>
      <w:bookmarkEnd w:id="326"/>
      <w:bookmarkEnd w:id="327"/>
    </w:p>
    <w:p w14:paraId="2BCAC2F9">
      <w:pPr>
        <w:pStyle w:val="156"/>
        <w:spacing w:before="120" w:after="120"/>
        <w:outlineLvl w:val="9"/>
        <w:rPr>
          <w:rFonts w:hint="eastAsia" w:ascii="宋体" w:hAnsi="宋体" w:cs="宋体"/>
          <w:b w:val="0"/>
          <w:color w:val="auto"/>
          <w:sz w:val="21"/>
          <w:szCs w:val="21"/>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7A4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0"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14:paraId="6E1D8C87">
            <w:pPr>
              <w:spacing w:line="6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农民工维权告示牌</w:t>
            </w:r>
          </w:p>
          <w:p w14:paraId="13A3C512">
            <w:pPr>
              <w:spacing w:line="400" w:lineRule="exact"/>
              <w:ind w:firstLine="629"/>
              <w:jc w:val="center"/>
              <w:rPr>
                <w:rFonts w:hint="eastAsia" w:ascii="宋体" w:hAnsi="宋体" w:cs="宋体"/>
                <w:color w:val="auto"/>
                <w:kern w:val="0"/>
                <w:szCs w:val="21"/>
                <w:highlight w:val="none"/>
              </w:rPr>
            </w:pPr>
          </w:p>
          <w:p w14:paraId="6A4CA590">
            <w:pPr>
              <w:spacing w:line="5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项目全体农民工：</w:t>
            </w:r>
          </w:p>
          <w:p w14:paraId="04424812">
            <w:pPr>
              <w:pStyle w:val="26"/>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为保障你在项目劳动期间的合法权益，帮助你依法有序维权，现将有关情况告示如下：</w:t>
            </w:r>
          </w:p>
          <w:p w14:paraId="1736FE42">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◆农民工劳动保障权益主要内容：</w:t>
            </w:r>
          </w:p>
          <w:p w14:paraId="3351195C">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建筑领域直接招用农民工的施工企业或劳务分包企业，必须依照《中华人民共和国劳动法》、《中华人民共和国劳动合同法》的规定，与农民工签订劳动合同，并提倡签订集体合同。</w:t>
            </w:r>
          </w:p>
          <w:p w14:paraId="11B78973">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建筑领域直接招用农民工的施工企业或劳务分包企业，必须按劳动合同约定或劳动保障法律法规规定足额支付工资。</w:t>
            </w:r>
          </w:p>
          <w:p w14:paraId="1CB114E5">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◆特别提醒</w:t>
            </w:r>
          </w:p>
          <w:p w14:paraId="75EAC9BE">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如果用人单位拒不与你签订劳动合同、集体合同，以及未按劳动合同、集体合同约定足额支付工资，请及时向劳工监督员或劳工管理员反映有关情况，由其协调解决；同时也可向项目所在地劳动保障监察机构投诉。</w:t>
            </w:r>
          </w:p>
          <w:p w14:paraId="6F1E1265">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为有效维护你的权益，你应妥善保留各种有效证据，如劳动合同或协议、工作证件、工资结算单等。</w:t>
            </w:r>
          </w:p>
          <w:p w14:paraId="5FA5F4E6">
            <w:pPr>
              <w:spacing w:line="520" w:lineRule="exact"/>
              <w:ind w:firstLine="630"/>
              <w:rPr>
                <w:rFonts w:hint="eastAsia" w:ascii="宋体" w:hAnsi="宋体" w:cs="宋体"/>
                <w:color w:val="auto"/>
                <w:kern w:val="0"/>
                <w:szCs w:val="21"/>
                <w:highlight w:val="none"/>
              </w:rPr>
            </w:pPr>
          </w:p>
          <w:p w14:paraId="660F2E47">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施工企业劳工管理员：             联系电话：</w:t>
            </w:r>
          </w:p>
          <w:p w14:paraId="780200CD">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分包企业劳工管理员：             联系电话：</w:t>
            </w:r>
          </w:p>
          <w:p w14:paraId="0E13ADAA">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建设单位劳工监督员：             联系电话：</w:t>
            </w:r>
          </w:p>
          <w:p w14:paraId="281546A7">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劳动保障监察机构：               联系电话：</w:t>
            </w:r>
          </w:p>
          <w:p w14:paraId="745AFFF5">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p>
          <w:p w14:paraId="62B9C3AD">
            <w:pPr>
              <w:spacing w:line="640" w:lineRule="exact"/>
              <w:rPr>
                <w:rFonts w:hint="eastAsia" w:ascii="宋体" w:hAnsi="宋体" w:cs="宋体"/>
                <w:color w:val="auto"/>
                <w:kern w:val="0"/>
                <w:szCs w:val="21"/>
                <w:highlight w:val="none"/>
              </w:rPr>
            </w:pPr>
          </w:p>
        </w:tc>
      </w:tr>
    </w:tbl>
    <w:p w14:paraId="63E859A7">
      <w:pPr>
        <w:widowControl/>
        <w:jc w:val="left"/>
        <w:rPr>
          <w:rFonts w:hint="eastAsia" w:ascii="宋体" w:hAnsi="宋体" w:cs="宋体"/>
          <w:color w:val="auto"/>
          <w:kern w:val="0"/>
          <w:szCs w:val="21"/>
          <w:highlight w:val="none"/>
        </w:rPr>
        <w:sectPr>
          <w:footerReference r:id="rId5" w:type="first"/>
          <w:headerReference r:id="rId3" w:type="default"/>
          <w:footerReference r:id="rId4" w:type="default"/>
          <w:pgSz w:w="11907" w:h="16840"/>
          <w:pgMar w:top="1418" w:right="1418" w:bottom="1418" w:left="1418" w:header="851" w:footer="1247" w:gutter="0"/>
          <w:pgNumType w:fmt="numberInDash"/>
          <w:cols w:space="720" w:num="1"/>
          <w:titlePg/>
        </w:sectPr>
      </w:pPr>
    </w:p>
    <w:p w14:paraId="59CB8A67">
      <w:pPr>
        <w:pStyle w:val="156"/>
        <w:spacing w:before="120" w:after="120"/>
        <w:outlineLvl w:val="9"/>
        <w:rPr>
          <w:rFonts w:hint="eastAsia" w:ascii="宋体" w:hAnsi="宋体" w:cs="宋体"/>
          <w:b w:val="0"/>
          <w:color w:val="auto"/>
          <w:sz w:val="21"/>
          <w:szCs w:val="21"/>
          <w:highlight w:val="none"/>
        </w:rPr>
      </w:pPr>
      <w:bookmarkStart w:id="328" w:name="_Toc33183808"/>
      <w:bookmarkStart w:id="329" w:name="_Toc59810431"/>
      <w:r>
        <w:rPr>
          <w:rFonts w:hint="eastAsia" w:ascii="宋体" w:hAnsi="宋体" w:cs="宋体"/>
          <w:b w:val="0"/>
          <w:color w:val="auto"/>
          <w:sz w:val="21"/>
          <w:szCs w:val="21"/>
          <w:highlight w:val="none"/>
        </w:rPr>
        <w:t>附件：</w:t>
      </w:r>
      <w:bookmarkEnd w:id="328"/>
      <w:bookmarkEnd w:id="329"/>
      <w:r>
        <w:rPr>
          <w:rFonts w:hint="eastAsia" w:ascii="宋体" w:hAnsi="宋体" w:cs="宋体"/>
          <w:b w:val="0"/>
          <w:color w:val="auto"/>
          <w:sz w:val="21"/>
          <w:szCs w:val="21"/>
          <w:highlight w:val="none"/>
        </w:rPr>
        <w:t xml:space="preserve"> </w:t>
      </w:r>
    </w:p>
    <w:p w14:paraId="09CD013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农民工花名册</w:t>
      </w:r>
    </w:p>
    <w:p w14:paraId="7B18484A">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用工单位名称（盖章）：</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274"/>
        <w:gridCol w:w="546"/>
        <w:gridCol w:w="2584"/>
        <w:gridCol w:w="1419"/>
        <w:gridCol w:w="966"/>
        <w:gridCol w:w="1266"/>
        <w:gridCol w:w="1266"/>
        <w:gridCol w:w="1266"/>
        <w:gridCol w:w="1266"/>
        <w:gridCol w:w="1266"/>
      </w:tblGrid>
      <w:tr w14:paraId="0400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115C9C3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055DD1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4B7B7FD7">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性别</w:t>
            </w:r>
          </w:p>
        </w:tc>
        <w:tc>
          <w:tcPr>
            <w:tcW w:w="2584" w:type="dxa"/>
            <w:tcBorders>
              <w:top w:val="single" w:color="auto" w:sz="4" w:space="0"/>
              <w:left w:val="single" w:color="auto" w:sz="4" w:space="0"/>
              <w:bottom w:val="single" w:color="auto" w:sz="4" w:space="0"/>
              <w:right w:val="single" w:color="auto" w:sz="4" w:space="0"/>
            </w:tcBorders>
            <w:noWrap w:val="0"/>
            <w:vAlign w:val="center"/>
          </w:tcPr>
          <w:p w14:paraId="527AB41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62BAA2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7FCEFB0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工种</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EAAB89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w:t>
            </w:r>
          </w:p>
          <w:p w14:paraId="3D39CA6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岗位</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1BCEE8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进场</w:t>
            </w:r>
          </w:p>
          <w:p w14:paraId="2083120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975CE8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劳动者签 名</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C58656F">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离场</w:t>
            </w:r>
          </w:p>
          <w:p w14:paraId="154990C0">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879445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劳动者签 名</w:t>
            </w:r>
          </w:p>
        </w:tc>
      </w:tr>
      <w:tr w14:paraId="0AD0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489F8CC3">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25F406E">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5E388869">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4A6B5AC0">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7B1C912A">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0710984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E1A310D">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2AA7A12">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FB6F1EC">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EEAC7D0">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3910199">
            <w:pPr>
              <w:spacing w:line="400" w:lineRule="exact"/>
              <w:jc w:val="center"/>
              <w:rPr>
                <w:rFonts w:hint="eastAsia" w:ascii="宋体" w:hAnsi="宋体" w:cs="宋体"/>
                <w:color w:val="auto"/>
                <w:kern w:val="0"/>
                <w:szCs w:val="21"/>
                <w:highlight w:val="none"/>
              </w:rPr>
            </w:pPr>
          </w:p>
        </w:tc>
      </w:tr>
      <w:tr w14:paraId="2514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032A2465">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A1CC89E">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3DF49495">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0221FFA5">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7344296E">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59013E0">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8651A0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AF4253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0CE3DF2">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A340176">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3C1D541">
            <w:pPr>
              <w:spacing w:line="400" w:lineRule="exact"/>
              <w:jc w:val="center"/>
              <w:rPr>
                <w:rFonts w:hint="eastAsia" w:ascii="宋体" w:hAnsi="宋体" w:cs="宋体"/>
                <w:color w:val="auto"/>
                <w:kern w:val="0"/>
                <w:szCs w:val="21"/>
                <w:highlight w:val="none"/>
              </w:rPr>
            </w:pPr>
          </w:p>
        </w:tc>
      </w:tr>
      <w:tr w14:paraId="5A1E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015A416C">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B6CBDA5">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1E63BC23">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28921E70">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EEB581F">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084A5069">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4CEB932">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5F3A031">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415FF66">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1DC9522">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5419116">
            <w:pPr>
              <w:spacing w:line="400" w:lineRule="exact"/>
              <w:jc w:val="center"/>
              <w:rPr>
                <w:rFonts w:hint="eastAsia" w:ascii="宋体" w:hAnsi="宋体" w:cs="宋体"/>
                <w:color w:val="auto"/>
                <w:kern w:val="0"/>
                <w:szCs w:val="21"/>
                <w:highlight w:val="none"/>
              </w:rPr>
            </w:pPr>
          </w:p>
        </w:tc>
      </w:tr>
      <w:tr w14:paraId="18B9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4FADA0BB">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1788B89">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37D436B1">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238152AE">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70F2655F">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31462190">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90B041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E1ED720">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E8E4CC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8499D9B">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3B7606E">
            <w:pPr>
              <w:spacing w:line="400" w:lineRule="exact"/>
              <w:jc w:val="center"/>
              <w:rPr>
                <w:rFonts w:hint="eastAsia" w:ascii="宋体" w:hAnsi="宋体" w:cs="宋体"/>
                <w:color w:val="auto"/>
                <w:kern w:val="0"/>
                <w:szCs w:val="21"/>
                <w:highlight w:val="none"/>
              </w:rPr>
            </w:pPr>
          </w:p>
        </w:tc>
      </w:tr>
      <w:tr w14:paraId="521B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5C2C35C6">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58FF40D">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3344FFF6">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20260D45">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6B79FDD5">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5C33C388">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39A2690">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285F8DD">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6B52C00">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0540C97">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4EEFA4E">
            <w:pPr>
              <w:spacing w:line="400" w:lineRule="exact"/>
              <w:jc w:val="center"/>
              <w:rPr>
                <w:rFonts w:hint="eastAsia" w:ascii="宋体" w:hAnsi="宋体" w:cs="宋体"/>
                <w:color w:val="auto"/>
                <w:kern w:val="0"/>
                <w:szCs w:val="21"/>
                <w:highlight w:val="none"/>
              </w:rPr>
            </w:pPr>
          </w:p>
        </w:tc>
      </w:tr>
      <w:tr w14:paraId="2ABF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3CE47A52">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377C3A0">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02AFAD55">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5BB8DB27">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19B9A89B">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74156277">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F0A622F">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927639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1CED3BB">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8A70606">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B674A2F">
            <w:pPr>
              <w:spacing w:line="400" w:lineRule="exact"/>
              <w:jc w:val="center"/>
              <w:rPr>
                <w:rFonts w:hint="eastAsia" w:ascii="宋体" w:hAnsi="宋体" w:cs="宋体"/>
                <w:color w:val="auto"/>
                <w:kern w:val="0"/>
                <w:szCs w:val="21"/>
                <w:highlight w:val="none"/>
              </w:rPr>
            </w:pPr>
          </w:p>
        </w:tc>
      </w:tr>
      <w:tr w14:paraId="00E0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289A757F">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22404C6">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23A21052">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33C6FDA5">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4CD168D8">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47E140A7">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FCD48B6">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B43AFFD">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457B68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A26CA1C">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BBB18D3">
            <w:pPr>
              <w:spacing w:line="400" w:lineRule="exact"/>
              <w:jc w:val="center"/>
              <w:rPr>
                <w:rFonts w:hint="eastAsia" w:ascii="宋体" w:hAnsi="宋体" w:cs="宋体"/>
                <w:color w:val="auto"/>
                <w:kern w:val="0"/>
                <w:szCs w:val="21"/>
                <w:highlight w:val="none"/>
              </w:rPr>
            </w:pPr>
          </w:p>
        </w:tc>
      </w:tr>
      <w:tr w14:paraId="7101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222A0433">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4618E76">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6A354F72">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3C87704F">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083F7AD1">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56C7EF71">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D7C66AF">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585CE38">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ED1F5FA">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5D94037">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500F0A8">
            <w:pPr>
              <w:spacing w:line="400" w:lineRule="exact"/>
              <w:jc w:val="center"/>
              <w:rPr>
                <w:rFonts w:hint="eastAsia" w:ascii="宋体" w:hAnsi="宋体" w:cs="宋体"/>
                <w:color w:val="auto"/>
                <w:kern w:val="0"/>
                <w:szCs w:val="21"/>
                <w:highlight w:val="none"/>
              </w:rPr>
            </w:pPr>
          </w:p>
        </w:tc>
      </w:tr>
      <w:tr w14:paraId="4BDB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000D00A6">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4596EEA">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64255991">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0FB3D3E0">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755E3A04">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772FD28">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1F48E90">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DA10010">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BB887D7">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4C7C3B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5C6E852">
            <w:pPr>
              <w:spacing w:line="400" w:lineRule="exact"/>
              <w:jc w:val="center"/>
              <w:rPr>
                <w:rFonts w:hint="eastAsia" w:ascii="宋体" w:hAnsi="宋体" w:cs="宋体"/>
                <w:color w:val="auto"/>
                <w:kern w:val="0"/>
                <w:szCs w:val="21"/>
                <w:highlight w:val="none"/>
              </w:rPr>
            </w:pPr>
          </w:p>
        </w:tc>
      </w:tr>
      <w:tr w14:paraId="2B43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5F15EA79">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BFC8259">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159DC37F">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6D8989C3">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1EAA8112">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71F8BC9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37BED46">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CF087A5">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1A81A9A">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BF00184">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4A2277F">
            <w:pPr>
              <w:spacing w:line="400" w:lineRule="exact"/>
              <w:jc w:val="center"/>
              <w:rPr>
                <w:rFonts w:hint="eastAsia" w:ascii="宋体" w:hAnsi="宋体" w:cs="宋体"/>
                <w:color w:val="auto"/>
                <w:kern w:val="0"/>
                <w:szCs w:val="21"/>
                <w:highlight w:val="none"/>
              </w:rPr>
            </w:pPr>
          </w:p>
        </w:tc>
      </w:tr>
      <w:tr w14:paraId="4962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64F9BA0E">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C06C9F9">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42A485EB">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5D1BEDF1">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0C4905D7">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44587788">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3F1189F">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51FDE0B">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C2A563D">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900969D">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02DE381">
            <w:pPr>
              <w:spacing w:line="400" w:lineRule="exact"/>
              <w:jc w:val="center"/>
              <w:rPr>
                <w:rFonts w:hint="eastAsia" w:ascii="宋体" w:hAnsi="宋体" w:cs="宋体"/>
                <w:color w:val="auto"/>
                <w:kern w:val="0"/>
                <w:szCs w:val="21"/>
                <w:highlight w:val="none"/>
              </w:rPr>
            </w:pPr>
          </w:p>
        </w:tc>
      </w:tr>
      <w:tr w14:paraId="7588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58234E69">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6A40810">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025F9712">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14:paraId="21BCC6C0">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A30AAD2">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2325648B">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E093E8E">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8C673A9">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138F41C">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7ECC177">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AA89CCB">
            <w:pPr>
              <w:spacing w:line="400" w:lineRule="exact"/>
              <w:jc w:val="center"/>
              <w:rPr>
                <w:rFonts w:hint="eastAsia" w:ascii="宋体" w:hAnsi="宋体" w:cs="宋体"/>
                <w:color w:val="auto"/>
                <w:kern w:val="0"/>
                <w:szCs w:val="21"/>
                <w:highlight w:val="none"/>
              </w:rPr>
            </w:pPr>
          </w:p>
        </w:tc>
      </w:tr>
    </w:tbl>
    <w:p w14:paraId="1BB4BB48">
      <w:pPr>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第  页</w:t>
      </w:r>
    </w:p>
    <w:p w14:paraId="483F191C">
      <w:pPr>
        <w:widowControl/>
        <w:jc w:val="left"/>
        <w:rPr>
          <w:rFonts w:hint="eastAsia" w:ascii="宋体" w:hAnsi="宋体" w:cs="宋体"/>
          <w:color w:val="auto"/>
          <w:kern w:val="0"/>
          <w:szCs w:val="21"/>
          <w:highlight w:val="none"/>
        </w:rPr>
        <w:sectPr>
          <w:pgSz w:w="16840" w:h="11907" w:orient="landscape"/>
          <w:pgMar w:top="1418" w:right="1418" w:bottom="1418" w:left="1418" w:header="851" w:footer="1247" w:gutter="0"/>
          <w:pgNumType w:fmt="numberInDash"/>
          <w:cols w:space="720" w:num="1"/>
        </w:sectPr>
      </w:pPr>
    </w:p>
    <w:p w14:paraId="241E36D5">
      <w:pPr>
        <w:pStyle w:val="156"/>
        <w:spacing w:before="156" w:after="156"/>
        <w:outlineLvl w:val="9"/>
        <w:rPr>
          <w:rFonts w:hint="eastAsia" w:ascii="宋体" w:hAnsi="宋体" w:cs="宋体"/>
          <w:b w:val="0"/>
          <w:color w:val="auto"/>
          <w:sz w:val="21"/>
          <w:szCs w:val="21"/>
          <w:highlight w:val="none"/>
        </w:rPr>
      </w:pPr>
      <w:bookmarkStart w:id="330" w:name="_Toc33183809"/>
      <w:bookmarkStart w:id="331" w:name="_Toc59810432"/>
      <w:r>
        <w:rPr>
          <w:rFonts w:hint="eastAsia" w:ascii="宋体" w:hAnsi="宋体" w:cs="宋体"/>
          <w:b w:val="0"/>
          <w:color w:val="auto"/>
          <w:sz w:val="21"/>
          <w:szCs w:val="21"/>
          <w:highlight w:val="none"/>
        </w:rPr>
        <w:t>附件：</w:t>
      </w:r>
      <w:bookmarkEnd w:id="330"/>
      <w:bookmarkEnd w:id="331"/>
      <w:r>
        <w:rPr>
          <w:rFonts w:hint="eastAsia" w:ascii="宋体" w:hAnsi="宋体" w:cs="宋体"/>
          <w:b w:val="0"/>
          <w:color w:val="auto"/>
          <w:sz w:val="21"/>
          <w:szCs w:val="21"/>
          <w:highlight w:val="none"/>
        </w:rPr>
        <w:t xml:space="preserve"> </w:t>
      </w:r>
    </w:p>
    <w:p w14:paraId="16A8913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农民工工资表</w:t>
      </w:r>
    </w:p>
    <w:p w14:paraId="12B3BC1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班组名称：                                     时间：  年   月</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17"/>
        <w:gridCol w:w="997"/>
        <w:gridCol w:w="745"/>
        <w:gridCol w:w="745"/>
        <w:gridCol w:w="745"/>
        <w:gridCol w:w="745"/>
        <w:gridCol w:w="745"/>
        <w:gridCol w:w="745"/>
        <w:gridCol w:w="745"/>
        <w:gridCol w:w="746"/>
        <w:gridCol w:w="746"/>
      </w:tblGrid>
      <w:tr w14:paraId="6979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0D96341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14:paraId="5BF949DF">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997" w:type="dxa"/>
            <w:vMerge w:val="restart"/>
            <w:tcBorders>
              <w:top w:val="single" w:color="auto" w:sz="4" w:space="0"/>
              <w:left w:val="single" w:color="auto" w:sz="4" w:space="0"/>
              <w:bottom w:val="single" w:color="auto" w:sz="4" w:space="0"/>
              <w:right w:val="single" w:color="auto" w:sz="4" w:space="0"/>
            </w:tcBorders>
            <w:noWrap w:val="0"/>
            <w:vAlign w:val="center"/>
          </w:tcPr>
          <w:p w14:paraId="2DE7695F">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1490" w:type="dxa"/>
            <w:gridSpan w:val="2"/>
            <w:tcBorders>
              <w:top w:val="single" w:color="auto" w:sz="4" w:space="0"/>
              <w:left w:val="single" w:color="auto" w:sz="4" w:space="0"/>
              <w:bottom w:val="single" w:color="auto" w:sz="4" w:space="0"/>
              <w:right w:val="single" w:color="auto" w:sz="4" w:space="0"/>
            </w:tcBorders>
            <w:noWrap w:val="0"/>
            <w:vAlign w:val="center"/>
          </w:tcPr>
          <w:p w14:paraId="6D84EE4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工作量</w:t>
            </w:r>
          </w:p>
        </w:tc>
        <w:tc>
          <w:tcPr>
            <w:tcW w:w="1490" w:type="dxa"/>
            <w:gridSpan w:val="2"/>
            <w:tcBorders>
              <w:top w:val="single" w:color="auto" w:sz="4" w:space="0"/>
              <w:left w:val="single" w:color="auto" w:sz="4" w:space="0"/>
              <w:bottom w:val="single" w:color="auto" w:sz="4" w:space="0"/>
              <w:right w:val="single" w:color="auto" w:sz="4" w:space="0"/>
            </w:tcBorders>
            <w:noWrap w:val="0"/>
            <w:vAlign w:val="center"/>
          </w:tcPr>
          <w:p w14:paraId="1BD9B35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工资计算标准</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4761AAD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应得</w:t>
            </w:r>
          </w:p>
          <w:p w14:paraId="532FDAB7">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6A22E2A7">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借支预支金额</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5BF40D4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实得工资金额</w:t>
            </w:r>
          </w:p>
        </w:tc>
        <w:tc>
          <w:tcPr>
            <w:tcW w:w="746" w:type="dxa"/>
            <w:vMerge w:val="restart"/>
            <w:tcBorders>
              <w:top w:val="single" w:color="auto" w:sz="4" w:space="0"/>
              <w:left w:val="single" w:color="auto" w:sz="4" w:space="0"/>
              <w:bottom w:val="single" w:color="auto" w:sz="4" w:space="0"/>
              <w:right w:val="single" w:color="auto" w:sz="4" w:space="0"/>
            </w:tcBorders>
            <w:noWrap w:val="0"/>
            <w:vAlign w:val="center"/>
          </w:tcPr>
          <w:p w14:paraId="590F4807">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领取人签字</w:t>
            </w:r>
          </w:p>
        </w:tc>
        <w:tc>
          <w:tcPr>
            <w:tcW w:w="746" w:type="dxa"/>
            <w:vMerge w:val="restart"/>
            <w:tcBorders>
              <w:top w:val="single" w:color="auto" w:sz="4" w:space="0"/>
              <w:left w:val="single" w:color="auto" w:sz="4" w:space="0"/>
              <w:bottom w:val="single" w:color="auto" w:sz="4" w:space="0"/>
              <w:right w:val="single" w:color="auto" w:sz="4" w:space="0"/>
            </w:tcBorders>
            <w:noWrap w:val="0"/>
            <w:vAlign w:val="center"/>
          </w:tcPr>
          <w:p w14:paraId="7278973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72DD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1E7452B1">
            <w:pPr>
              <w:widowControl/>
              <w:jc w:val="left"/>
              <w:rPr>
                <w:rFonts w:hint="eastAsia" w:ascii="宋体" w:hAnsi="宋体" w:cs="宋体"/>
                <w:color w:val="auto"/>
                <w:kern w:val="0"/>
                <w:szCs w:val="21"/>
                <w:highlight w:val="none"/>
              </w:rPr>
            </w:pPr>
          </w:p>
        </w:tc>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2C1D656B">
            <w:pPr>
              <w:widowControl/>
              <w:jc w:val="left"/>
              <w:rPr>
                <w:rFonts w:hint="eastAsia" w:ascii="宋体" w:hAnsi="宋体" w:cs="宋体"/>
                <w:color w:val="auto"/>
                <w:kern w:val="0"/>
                <w:szCs w:val="21"/>
                <w:highlight w:val="none"/>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14:paraId="7BCB5908">
            <w:pPr>
              <w:widowControl/>
              <w:jc w:val="left"/>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5D58DB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计时</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422A3F97">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计件</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634AFF2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计时</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0748DE9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计件</w:t>
            </w: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7BBD06B">
            <w:pPr>
              <w:widowControl/>
              <w:jc w:val="left"/>
              <w:rPr>
                <w:rFonts w:hint="eastAsia" w:ascii="宋体" w:hAnsi="宋体" w:cs="宋体"/>
                <w:color w:val="auto"/>
                <w:kern w:val="0"/>
                <w:szCs w:val="21"/>
                <w:highlight w:val="none"/>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0E19596">
            <w:pPr>
              <w:widowControl/>
              <w:jc w:val="left"/>
              <w:rPr>
                <w:rFonts w:hint="eastAsia" w:ascii="宋体" w:hAnsi="宋体" w:cs="宋体"/>
                <w:color w:val="auto"/>
                <w:kern w:val="0"/>
                <w:szCs w:val="21"/>
                <w:highlight w:val="none"/>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D82C744">
            <w:pPr>
              <w:widowControl/>
              <w:jc w:val="left"/>
              <w:rPr>
                <w:rFonts w:hint="eastAsia" w:ascii="宋体" w:hAnsi="宋体" w:cs="宋体"/>
                <w:color w:val="auto"/>
                <w:kern w:val="0"/>
                <w:szCs w:val="21"/>
                <w:highlight w:val="none"/>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14:paraId="57879A97">
            <w:pPr>
              <w:widowControl/>
              <w:jc w:val="left"/>
              <w:rPr>
                <w:rFonts w:hint="eastAsia" w:ascii="宋体" w:hAnsi="宋体" w:cs="宋体"/>
                <w:color w:val="auto"/>
                <w:kern w:val="0"/>
                <w:szCs w:val="21"/>
                <w:highlight w:val="none"/>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14:paraId="2BA4D008">
            <w:pPr>
              <w:widowControl/>
              <w:jc w:val="left"/>
              <w:rPr>
                <w:rFonts w:hint="eastAsia" w:ascii="宋体" w:hAnsi="宋体" w:cs="宋体"/>
                <w:color w:val="auto"/>
                <w:kern w:val="0"/>
                <w:szCs w:val="21"/>
                <w:highlight w:val="none"/>
              </w:rPr>
            </w:pPr>
          </w:p>
        </w:tc>
      </w:tr>
      <w:tr w14:paraId="450F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3E22AB17">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09C4F13">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2431F05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CC9494A">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D70F6AB">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CC041B5">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22543EE">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EB52440">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A9C37F4">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8A90B55">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4BAD5CD7">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15BAFA47">
            <w:pPr>
              <w:spacing w:line="400" w:lineRule="exact"/>
              <w:jc w:val="center"/>
              <w:rPr>
                <w:rFonts w:hint="eastAsia" w:ascii="宋体" w:hAnsi="宋体" w:cs="宋体"/>
                <w:color w:val="auto"/>
                <w:kern w:val="0"/>
                <w:szCs w:val="21"/>
                <w:highlight w:val="none"/>
              </w:rPr>
            </w:pPr>
          </w:p>
        </w:tc>
      </w:tr>
      <w:tr w14:paraId="0FDC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54D99BB4">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E97D00E">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2D82DADC">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80845E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9B9EEB5">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ACC6AA5">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BE09A1A">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BFEC20D">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613C2DB">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8DEBEF6">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540C8D3D">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5BEAE409">
            <w:pPr>
              <w:spacing w:line="400" w:lineRule="exact"/>
              <w:jc w:val="center"/>
              <w:rPr>
                <w:rFonts w:hint="eastAsia" w:ascii="宋体" w:hAnsi="宋体" w:cs="宋体"/>
                <w:color w:val="auto"/>
                <w:kern w:val="0"/>
                <w:szCs w:val="21"/>
                <w:highlight w:val="none"/>
              </w:rPr>
            </w:pPr>
          </w:p>
        </w:tc>
      </w:tr>
      <w:tr w14:paraId="3968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1EE1F3CF">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149759E">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30D0A97D">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7C6EC8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7996142">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5872A83">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9B3335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06FF8A4">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E040F7A">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FB81378">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03C939DE">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20714AD1">
            <w:pPr>
              <w:spacing w:line="400" w:lineRule="exact"/>
              <w:jc w:val="center"/>
              <w:rPr>
                <w:rFonts w:hint="eastAsia" w:ascii="宋体" w:hAnsi="宋体" w:cs="宋体"/>
                <w:color w:val="auto"/>
                <w:kern w:val="0"/>
                <w:szCs w:val="21"/>
                <w:highlight w:val="none"/>
              </w:rPr>
            </w:pPr>
          </w:p>
        </w:tc>
      </w:tr>
      <w:tr w14:paraId="2F20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42F05B80">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003414F">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66AFB93C">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D47625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265ED4C">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318A9DF">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CE8ACD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5AECA04">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E7D8061">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511FB61">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464EFFF2">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1912C96B">
            <w:pPr>
              <w:spacing w:line="400" w:lineRule="exact"/>
              <w:jc w:val="center"/>
              <w:rPr>
                <w:rFonts w:hint="eastAsia" w:ascii="宋体" w:hAnsi="宋体" w:cs="宋体"/>
                <w:color w:val="auto"/>
                <w:kern w:val="0"/>
                <w:szCs w:val="21"/>
                <w:highlight w:val="none"/>
              </w:rPr>
            </w:pPr>
          </w:p>
        </w:tc>
      </w:tr>
      <w:tr w14:paraId="64C4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40CB1F01">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B33693A">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6C51B230">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2D67AE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9C800A4">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FEE3360">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5C52537">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B88278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6EAE4C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3591C4F">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28F31543">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19B0F0FD">
            <w:pPr>
              <w:spacing w:line="400" w:lineRule="exact"/>
              <w:jc w:val="center"/>
              <w:rPr>
                <w:rFonts w:hint="eastAsia" w:ascii="宋体" w:hAnsi="宋体" w:cs="宋体"/>
                <w:color w:val="auto"/>
                <w:kern w:val="0"/>
                <w:szCs w:val="21"/>
                <w:highlight w:val="none"/>
              </w:rPr>
            </w:pPr>
          </w:p>
        </w:tc>
      </w:tr>
      <w:tr w14:paraId="0EF0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01F57437">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4CC796A">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05E77359">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1C31D07">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CA8F893">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D352A1F">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847B244">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11B15BE">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6F1518E">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46A7368">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61009014">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183B7044">
            <w:pPr>
              <w:spacing w:line="400" w:lineRule="exact"/>
              <w:jc w:val="center"/>
              <w:rPr>
                <w:rFonts w:hint="eastAsia" w:ascii="宋体" w:hAnsi="宋体" w:cs="宋体"/>
                <w:color w:val="auto"/>
                <w:kern w:val="0"/>
                <w:szCs w:val="21"/>
                <w:highlight w:val="none"/>
              </w:rPr>
            </w:pPr>
          </w:p>
        </w:tc>
      </w:tr>
      <w:tr w14:paraId="7244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2B0084C5">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0F4979A">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45E2AC1F">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C1D7967">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7A7141B">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F228447">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3AA2F81">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C3F2C14">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1674F93">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741C4DF">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5A9151AA">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029B7A7E">
            <w:pPr>
              <w:spacing w:line="400" w:lineRule="exact"/>
              <w:jc w:val="center"/>
              <w:rPr>
                <w:rFonts w:hint="eastAsia" w:ascii="宋体" w:hAnsi="宋体" w:cs="宋体"/>
                <w:color w:val="auto"/>
                <w:kern w:val="0"/>
                <w:szCs w:val="21"/>
                <w:highlight w:val="none"/>
              </w:rPr>
            </w:pPr>
          </w:p>
        </w:tc>
      </w:tr>
      <w:tr w14:paraId="4B6C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5635F2FA">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146661A">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01E0A0F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04511CA">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16AE935">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304EFE7">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1AE822C">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2DE3673">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2EEB90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9D1206E">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01F41142">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32715502">
            <w:pPr>
              <w:spacing w:line="400" w:lineRule="exact"/>
              <w:jc w:val="center"/>
              <w:rPr>
                <w:rFonts w:hint="eastAsia" w:ascii="宋体" w:hAnsi="宋体" w:cs="宋体"/>
                <w:color w:val="auto"/>
                <w:kern w:val="0"/>
                <w:szCs w:val="21"/>
                <w:highlight w:val="none"/>
              </w:rPr>
            </w:pPr>
          </w:p>
        </w:tc>
      </w:tr>
      <w:tr w14:paraId="6894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2341A645">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5D32DE1">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44AD7D17">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D010B82">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586D85B">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1799BDE">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6763F8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62EA6CA">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6742F79">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46B12A9">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2001C81E">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2D79DFB4">
            <w:pPr>
              <w:spacing w:line="400" w:lineRule="exact"/>
              <w:jc w:val="center"/>
              <w:rPr>
                <w:rFonts w:hint="eastAsia" w:ascii="宋体" w:hAnsi="宋体" w:cs="宋体"/>
                <w:color w:val="auto"/>
                <w:kern w:val="0"/>
                <w:szCs w:val="21"/>
                <w:highlight w:val="none"/>
              </w:rPr>
            </w:pPr>
          </w:p>
        </w:tc>
      </w:tr>
      <w:tr w14:paraId="05D1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14:paraId="6AC28E1A">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F0B56AD">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2116E6A6">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0D4092CC">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7F4FA61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614015B8">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287957F3">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4E69CD99">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58A83DAD">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18DAA723">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659A5E76">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36E62512">
            <w:pPr>
              <w:spacing w:line="400" w:lineRule="exact"/>
              <w:jc w:val="center"/>
              <w:rPr>
                <w:rFonts w:hint="eastAsia" w:ascii="宋体" w:hAnsi="宋体" w:cs="宋体"/>
                <w:color w:val="auto"/>
                <w:kern w:val="0"/>
                <w:szCs w:val="21"/>
                <w:highlight w:val="none"/>
              </w:rPr>
            </w:pPr>
          </w:p>
        </w:tc>
      </w:tr>
    </w:tbl>
    <w:p w14:paraId="3B5845E9">
      <w:pPr>
        <w:spacing w:before="240"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用工单位负责人：                   用工单位劳工员：                       制表人：</w:t>
      </w:r>
    </w:p>
    <w:p w14:paraId="57B1FADF">
      <w:pPr>
        <w:spacing w:line="400" w:lineRule="exact"/>
        <w:ind w:firstLine="3570" w:firstLineChars="17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日（用人单位印章）</w:t>
      </w:r>
    </w:p>
    <w:p w14:paraId="65D7DE23">
      <w:pPr>
        <w:snapToGrid w:val="0"/>
        <w:spacing w:before="240" w:line="324"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注：1．领取人签字后即表示当月工资已足额领取。</w:t>
      </w:r>
    </w:p>
    <w:p w14:paraId="3D96B123">
      <w:pPr>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2．以上情况属实，签字人愿对其真实性负法律责任。</w:t>
      </w:r>
    </w:p>
    <w:p w14:paraId="30CCFB0A">
      <w:pPr>
        <w:jc w:val="left"/>
        <w:rPr>
          <w:rFonts w:hint="eastAsia" w:ascii="宋体" w:hAnsi="宋体" w:cs="宋体"/>
          <w:color w:val="auto"/>
          <w:kern w:val="0"/>
          <w:szCs w:val="21"/>
          <w:highlight w:val="none"/>
        </w:rPr>
      </w:pPr>
    </w:p>
    <w:p w14:paraId="5A995DBE">
      <w:pPr>
        <w:jc w:val="left"/>
        <w:rPr>
          <w:rFonts w:hint="eastAsia" w:ascii="宋体" w:hAnsi="宋体" w:cs="宋体"/>
          <w:color w:val="auto"/>
          <w:kern w:val="0"/>
          <w:szCs w:val="21"/>
          <w:highlight w:val="none"/>
        </w:rPr>
      </w:pPr>
    </w:p>
    <w:p w14:paraId="661FBA73">
      <w:pPr>
        <w:jc w:val="left"/>
        <w:rPr>
          <w:rFonts w:hint="eastAsia" w:ascii="宋体" w:hAnsi="宋体" w:cs="宋体"/>
          <w:color w:val="auto"/>
          <w:kern w:val="0"/>
          <w:szCs w:val="21"/>
          <w:highlight w:val="none"/>
        </w:rPr>
      </w:pPr>
    </w:p>
    <w:p w14:paraId="0EBFC1AB">
      <w:pPr>
        <w:pStyle w:val="156"/>
        <w:spacing w:before="156" w:after="156"/>
        <w:outlineLvl w:val="9"/>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br w:type="page"/>
      </w:r>
      <w:bookmarkStart w:id="332" w:name="_Toc33183810"/>
      <w:bookmarkStart w:id="333" w:name="_Toc59810433"/>
      <w:r>
        <w:rPr>
          <w:rFonts w:hint="eastAsia" w:ascii="宋体" w:hAnsi="宋体" w:cs="宋体"/>
          <w:b w:val="0"/>
          <w:color w:val="auto"/>
          <w:sz w:val="21"/>
          <w:szCs w:val="21"/>
          <w:highlight w:val="none"/>
        </w:rPr>
        <w:t>附件：</w:t>
      </w:r>
      <w:bookmarkEnd w:id="332"/>
      <w:bookmarkEnd w:id="333"/>
      <w:r>
        <w:rPr>
          <w:rFonts w:hint="eastAsia" w:ascii="宋体" w:hAnsi="宋体" w:cs="宋体"/>
          <w:b w:val="0"/>
          <w:color w:val="auto"/>
          <w:sz w:val="21"/>
          <w:szCs w:val="21"/>
          <w:highlight w:val="none"/>
        </w:rPr>
        <w:t xml:space="preserve"> </w:t>
      </w:r>
    </w:p>
    <w:p w14:paraId="675628B0">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劳动用工及工资支付情况汇总表</w:t>
      </w:r>
    </w:p>
    <w:p w14:paraId="5B0A456F">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时间：    年   季度</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56"/>
        <w:gridCol w:w="1056"/>
        <w:gridCol w:w="1056"/>
        <w:gridCol w:w="1056"/>
        <w:gridCol w:w="1056"/>
        <w:gridCol w:w="1056"/>
        <w:gridCol w:w="1056"/>
        <w:gridCol w:w="1056"/>
      </w:tblGrid>
      <w:tr w14:paraId="064C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67F7FFD2">
            <w:pPr>
              <w:spacing w:line="400" w:lineRule="exact"/>
              <w:jc w:val="center"/>
              <w:rPr>
                <w:rFonts w:hint="eastAsia" w:ascii="宋体" w:hAnsi="宋体" w:cs="宋体"/>
                <w:color w:val="auto"/>
                <w:kern w:val="0"/>
                <w:szCs w:val="21"/>
                <w:highlight w:val="none"/>
              </w:rPr>
            </w:pPr>
          </w:p>
        </w:tc>
        <w:tc>
          <w:tcPr>
            <w:tcW w:w="3168" w:type="dxa"/>
            <w:gridSpan w:val="3"/>
            <w:tcBorders>
              <w:top w:val="single" w:color="auto" w:sz="4" w:space="0"/>
              <w:left w:val="single" w:color="auto" w:sz="4" w:space="0"/>
              <w:bottom w:val="single" w:color="auto" w:sz="4" w:space="0"/>
              <w:right w:val="single" w:color="auto" w:sz="4" w:space="0"/>
            </w:tcBorders>
            <w:noWrap w:val="0"/>
            <w:vAlign w:val="center"/>
          </w:tcPr>
          <w:p w14:paraId="1998338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用工变动情况</w:t>
            </w:r>
          </w:p>
        </w:tc>
        <w:tc>
          <w:tcPr>
            <w:tcW w:w="4224" w:type="dxa"/>
            <w:gridSpan w:val="4"/>
            <w:tcBorders>
              <w:top w:val="single" w:color="auto" w:sz="4" w:space="0"/>
              <w:left w:val="single" w:color="auto" w:sz="4" w:space="0"/>
              <w:bottom w:val="single" w:color="auto" w:sz="4" w:space="0"/>
              <w:right w:val="single" w:color="auto" w:sz="4" w:space="0"/>
            </w:tcBorders>
            <w:noWrap w:val="0"/>
            <w:vAlign w:val="center"/>
          </w:tcPr>
          <w:p w14:paraId="033A646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工资支付情况</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49F516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w:t>
            </w:r>
          </w:p>
        </w:tc>
      </w:tr>
      <w:tr w14:paraId="01A3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59C12C9E">
            <w:pPr>
              <w:widowControl/>
              <w:jc w:val="left"/>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5840AC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当月离场人数</w:t>
            </w:r>
          </w:p>
          <w:p w14:paraId="3A68DCF6">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8A902C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当月新增进场人数</w:t>
            </w:r>
          </w:p>
          <w:p w14:paraId="64CE5540">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9EE7896">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月末</w:t>
            </w:r>
          </w:p>
          <w:p w14:paraId="766FBA6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FCCD560">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应付工资总额（元）</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BEA0F0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应付工资人数（人）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D59E04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实付工资总额（元）</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8FF20B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实付工资人数（人）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AD3C53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签订劳动合同人数（人）</w:t>
            </w:r>
          </w:p>
        </w:tc>
      </w:tr>
      <w:tr w14:paraId="114C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82712A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本季度第一月</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CF29E5E">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9A6EF25">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230D5EB">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33A3991">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B440BAE">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8515D06">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EE91287">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8354723">
            <w:pPr>
              <w:spacing w:line="400" w:lineRule="exact"/>
              <w:jc w:val="center"/>
              <w:rPr>
                <w:rFonts w:hint="eastAsia" w:ascii="宋体" w:hAnsi="宋体" w:cs="宋体"/>
                <w:color w:val="auto"/>
                <w:kern w:val="0"/>
                <w:szCs w:val="21"/>
                <w:highlight w:val="none"/>
              </w:rPr>
            </w:pPr>
          </w:p>
        </w:tc>
      </w:tr>
      <w:tr w14:paraId="0681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F3FEC7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本季度第二月</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B2EB17C">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E542F24">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3415EC4">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4169441">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3D799B2">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D917D1B">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EAF48AA">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BC566C4">
            <w:pPr>
              <w:spacing w:line="400" w:lineRule="exact"/>
              <w:jc w:val="center"/>
              <w:rPr>
                <w:rFonts w:hint="eastAsia" w:ascii="宋体" w:hAnsi="宋体" w:cs="宋体"/>
                <w:color w:val="auto"/>
                <w:kern w:val="0"/>
                <w:szCs w:val="21"/>
                <w:highlight w:val="none"/>
              </w:rPr>
            </w:pPr>
          </w:p>
        </w:tc>
      </w:tr>
      <w:tr w14:paraId="5C11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970E0F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本季度第三月</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DF2F37E">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866958E">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7F60209">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FB96546">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5EB596A">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4516D73">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4A2513E">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98610C3">
            <w:pPr>
              <w:spacing w:line="400" w:lineRule="exact"/>
              <w:jc w:val="center"/>
              <w:rPr>
                <w:rFonts w:hint="eastAsia" w:ascii="宋体" w:hAnsi="宋体" w:cs="宋体"/>
                <w:color w:val="auto"/>
                <w:kern w:val="0"/>
                <w:szCs w:val="21"/>
                <w:highlight w:val="none"/>
              </w:rPr>
            </w:pPr>
          </w:p>
        </w:tc>
      </w:tr>
      <w:tr w14:paraId="6DA3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1E65947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季度合计</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5AD9B93">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D92400D">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BC42371">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1545F2C">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3EE1C85">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AFD2108">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33CBA10">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BE28940">
            <w:pPr>
              <w:spacing w:line="400" w:lineRule="exact"/>
              <w:jc w:val="center"/>
              <w:rPr>
                <w:rFonts w:hint="eastAsia" w:ascii="宋体" w:hAnsi="宋体" w:cs="宋体"/>
                <w:color w:val="auto"/>
                <w:kern w:val="0"/>
                <w:szCs w:val="21"/>
                <w:highlight w:val="none"/>
              </w:rPr>
            </w:pPr>
          </w:p>
        </w:tc>
      </w:tr>
    </w:tbl>
    <w:p w14:paraId="5C90728A">
      <w:pPr>
        <w:spacing w:before="2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用工单位负责人：        用工单位劳工管理员：      填表时间：</w:t>
      </w:r>
    </w:p>
    <w:p w14:paraId="05DB8329">
      <w:pPr>
        <w:jc w:val="left"/>
        <w:rPr>
          <w:rFonts w:hint="eastAsia" w:ascii="宋体" w:hAnsi="宋体" w:cs="宋体"/>
          <w:color w:val="auto"/>
          <w:kern w:val="0"/>
          <w:szCs w:val="21"/>
          <w:highlight w:val="none"/>
        </w:rPr>
      </w:pPr>
    </w:p>
    <w:p w14:paraId="3B28AECE">
      <w:pPr>
        <w:spacing w:line="440" w:lineRule="exact"/>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注：此表为每季度末后5天内向项目所在地区县（自治县）劳动和社会保障行政部门报送。</w:t>
      </w:r>
    </w:p>
    <w:p w14:paraId="006C3DA2">
      <w:pPr>
        <w:pStyle w:val="164"/>
        <w:rPr>
          <w:rFonts w:hint="eastAsia" w:cs="宋体"/>
          <w:color w:val="auto"/>
          <w:sz w:val="21"/>
          <w:highlight w:val="none"/>
        </w:rPr>
      </w:pPr>
      <w:r>
        <w:rPr>
          <w:rFonts w:hint="eastAsia" w:cs="宋体"/>
          <w:color w:val="auto"/>
          <w:sz w:val="21"/>
          <w:highlight w:val="none"/>
        </w:rPr>
        <w:t>联系人：               联系电话：             传真：</w:t>
      </w:r>
    </w:p>
    <w:p w14:paraId="78AF8C86">
      <w:pPr>
        <w:pStyle w:val="156"/>
        <w:spacing w:before="156" w:after="156"/>
        <w:outlineLvl w:val="9"/>
        <w:rPr>
          <w:rFonts w:hint="eastAsia" w:ascii="宋体" w:hAnsi="宋体" w:cs="宋体"/>
          <w:b w:val="0"/>
          <w:color w:val="auto"/>
          <w:sz w:val="21"/>
          <w:szCs w:val="21"/>
          <w:highlight w:val="none"/>
        </w:rPr>
      </w:pPr>
    </w:p>
    <w:p w14:paraId="3E3BAA8D">
      <w:pPr>
        <w:pStyle w:val="156"/>
        <w:spacing w:before="156" w:after="156"/>
        <w:outlineLvl w:val="9"/>
        <w:rPr>
          <w:rFonts w:ascii="宋体" w:hAnsi="宋体" w:cs="宋体"/>
          <w:b w:val="0"/>
          <w:color w:val="auto"/>
          <w:sz w:val="21"/>
          <w:szCs w:val="21"/>
          <w:highlight w:val="none"/>
        </w:rPr>
      </w:pPr>
    </w:p>
    <w:p w14:paraId="4EA5B142">
      <w:pPr>
        <w:pStyle w:val="156"/>
        <w:spacing w:before="156" w:after="156"/>
        <w:outlineLvl w:val="9"/>
        <w:rPr>
          <w:rFonts w:ascii="宋体" w:hAnsi="宋体" w:cs="宋体"/>
          <w:b w:val="0"/>
          <w:color w:val="auto"/>
          <w:sz w:val="21"/>
          <w:szCs w:val="21"/>
          <w:highlight w:val="none"/>
        </w:rPr>
      </w:pPr>
    </w:p>
    <w:bookmarkEnd w:id="7"/>
    <w:bookmarkEnd w:id="8"/>
    <w:bookmarkEnd w:id="9"/>
    <w:bookmarkEnd w:id="10"/>
    <w:p w14:paraId="132B4FCE">
      <w:pPr>
        <w:spacing w:line="240" w:lineRule="exact"/>
        <w:rPr>
          <w:rFonts w:ascii="宋体" w:hAnsi="宋体"/>
          <w:b/>
          <w:color w:val="auto"/>
          <w:highlight w:val="none"/>
        </w:rPr>
      </w:pPr>
      <w:bookmarkStart w:id="334" w:name="招标文件05章工程量清单"/>
      <w:bookmarkEnd w:id="334"/>
    </w:p>
    <w:sectPr>
      <w:footerReference r:id="rId6" w:type="default"/>
      <w:footerReference r:id="rId7" w:type="even"/>
      <w:pgSz w:w="11906" w:h="16838"/>
      <w:pgMar w:top="1304" w:right="1133" w:bottom="993" w:left="993" w:header="851" w:footer="102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1" w:fontKey="{2DF29175-B3FD-4CDA-913D-25C0C4A422B6}"/>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书宋简体">
    <w:panose1 w:val="02000000000000000000"/>
    <w:charset w:val="86"/>
    <w:family w:val="script"/>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script"/>
    <w:pitch w:val="default"/>
    <w:sig w:usb0="A00002BF" w:usb1="184F6CFA"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2" w:fontKey="{111A571C-BB63-4D0F-A131-625ED457200C}"/>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embedRegular r:id="rId3" w:fontKey="{10A83FCA-3C51-46EF-B5B6-27AB5BC04D42}"/>
  </w:font>
  <w:font w:name="华文仿宋">
    <w:panose1 w:val="02010600040101010101"/>
    <w:charset w:val="86"/>
    <w:family w:val="auto"/>
    <w:pitch w:val="default"/>
    <w:sig w:usb0="00000287" w:usb1="080F0000" w:usb2="00000000" w:usb3="00000000" w:csb0="0004009F" w:csb1="DFD70000"/>
    <w:embedRegular r:id="rId4" w:fontKey="{4E572ECA-6E37-4ADD-A0A8-08EA45A658FE}"/>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D6A0">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12065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332105" cy="120650"/>
                      </a:xfrm>
                      <a:prstGeom prst="rect">
                        <a:avLst/>
                      </a:prstGeom>
                      <a:noFill/>
                      <a:ln w="15875">
                        <a:noFill/>
                      </a:ln>
                    </wps:spPr>
                    <wps:txbx>
                      <w:txbxContent>
                        <w:p w14:paraId="01CB1809">
                          <w:pPr>
                            <w:pStyle w:val="29"/>
                            <w:rPr>
                              <w:rFonts w:hint="eastAsia"/>
                            </w:rPr>
                          </w:pPr>
                          <w:r>
                            <w:fldChar w:fldCharType="begin"/>
                          </w:r>
                          <w:r>
                            <w:rPr>
                              <w:rStyle w:val="50"/>
                            </w:rPr>
                            <w:instrText xml:space="preserve">PAGE  </w:instrText>
                          </w:r>
                          <w:r>
                            <w:fldChar w:fldCharType="separate"/>
                          </w:r>
                          <w:r>
                            <w:rPr>
                              <w:rStyle w:val="50"/>
                            </w:rPr>
                            <w:t>- 14 -</w:t>
                          </w:r>
                          <w:r>
                            <w:fldChar w:fldCharType="end"/>
                          </w:r>
                        </w:p>
                      </w:txbxContent>
                    </wps:txbx>
                    <wps:bodyPr wrap="square" lIns="0" tIns="0" rIns="0" bIns="0" upright="0"/>
                  </wps:wsp>
                </a:graphicData>
              </a:graphic>
            </wp:anchor>
          </w:drawing>
        </mc:Choice>
        <mc:Fallback>
          <w:pict>
            <v:shape id="文本框 2052" o:spid="_x0000_s1026" o:spt="202" type="#_x0000_t202" style="position:absolute;left:0pt;margin-top:0pt;height:9.5pt;width:26.15pt;mso-position-horizontal:center;mso-position-horizontal-relative:margin;z-index:251659264;mso-width-relative:page;mso-height-relative:page;" filled="f" stroked="f" coordsize="21600,21600" o:gfxdata="UEsDBAoAAAAAAIdO4kAAAAAAAAAAAAAAAAAEAAAAZHJzL1BLAwQUAAAACACHTuJA47vv+tMAAAAD&#10;AQAADwAAAGRycy9kb3ducmV2LnhtbE2PQUsDMRCF74L/IYzgRWzSlha7brZIQQRPuvoDspvp7uJm&#10;EpJ02/rrHb3Yy4PhPd77ptye3CgmjGnwpGE+UyCQWm8H6jR8fjzfP4BI2ZA1oyfUcMYE2+r6qjSF&#10;9Ud6x6nOneASSoXR0OccCilT26MzaeYDEnt7H53JfMZO2miOXO5GuVBqLZ0ZiBd6E3DXY/tVH5yG&#10;+jUv4+5lFfrpKdzZt++mXZ+j1rc3c/UIIuMp/4fhF5/RoWKmxh/IJjFq4Efyn7K3WixBNJzZKJBV&#10;KS/Zqx9QSwMEFAAAAAgAh07iQJUQRaPPAQAAjAMAAA4AAABkcnMvZTJvRG9jLnhtbK1TzY7TMBC+&#10;I/EOlu80aVYtq6jpSqhahIQAaeEBXMdpLPmPGbdJXwDegBMX7jxXn4Ox23TRctkDF2c8P5/n+2ay&#10;uhutYQcFqL1r+HxWcqac9K12u4Z/+Xz/6pYzjMK1wninGn5UyO/WL1+shlCryvfetAoYgTish9Dw&#10;PsZQFwXKXlmBMx+Uo2DnwYpIV9gVLYiB0K0pqrJcFoOHNoCXCpG8m3OQXxDhOYC+67RUGy/3Vrl4&#10;RgVlRCRK2OuAfJ277Tol48euQxWZaTgxjfmkR8jeprNYr0S9AxF6LS8tiOe08ISTFdrRo1eojYiC&#10;7UH/A2W1BI++izPpbXEmkhUhFvPyiTYPvQgqcyGpMVxFx/8HKz8cPgHTbcOXnDlhaeCnH99PP3+f&#10;fn1jVbmokkJDwJoSHwKlxvGNH2lvJj+SMxEfO7DpS5QYxUnf41VfNUYmyXlzU83LBWeSQvOqXC6y&#10;/sVjcQCMb5W3LBkNBxpfVlUc3mOkRih1SklvOX+vjckjNI4NBLq4fb3IFdcQlRhHlYnDuddkxXE7&#10;XohtfXskXgPtQMPx616A4sy8cyRyWpjJgMnYTsY+gN71eaNSawmWhpSbvCxU2oK/7znr8Sda/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u+/60wAAAAMBAAAPAAAAAAAAAAEAIAAAACIAAABkcnMv&#10;ZG93bnJldi54bWxQSwECFAAUAAAACACHTuJAlRBFo88BAACMAwAADgAAAAAAAAABACAAAAAiAQAA&#10;ZHJzL2Uyb0RvYy54bWxQSwUGAAAAAAYABgBZAQAAYwUAAAAA&#10;">
              <v:fill on="f" focussize="0,0"/>
              <v:stroke on="f" weight="1.25pt"/>
              <v:imagedata o:title=""/>
              <o:lock v:ext="edit" aspectratio="f"/>
              <v:textbox inset="0mm,0mm,0mm,0mm">
                <w:txbxContent>
                  <w:p w14:paraId="01CB1809">
                    <w:pPr>
                      <w:pStyle w:val="29"/>
                      <w:rPr>
                        <w:rFonts w:hint="eastAsia"/>
                      </w:rPr>
                    </w:pPr>
                    <w:r>
                      <w:fldChar w:fldCharType="begin"/>
                    </w:r>
                    <w:r>
                      <w:rPr>
                        <w:rStyle w:val="50"/>
                      </w:rPr>
                      <w:instrText xml:space="preserve">PAGE  </w:instrText>
                    </w:r>
                    <w:r>
                      <w:fldChar w:fldCharType="separate"/>
                    </w:r>
                    <w:r>
                      <w:rPr>
                        <w:rStyle w:val="50"/>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CBDFD">
    <w:pPr>
      <w:pStyle w:val="29"/>
      <w:jc w:val="center"/>
    </w:pPr>
    <w:r>
      <w:fldChar w:fldCharType="begin"/>
    </w:r>
    <w:r>
      <w:instrText xml:space="preserve"> PAGE </w:instrText>
    </w:r>
    <w:r>
      <w:fldChar w:fldCharType="separate"/>
    </w:r>
    <w:r>
      <w:t>- 5 -</w:t>
    </w:r>
    <w:r>
      <w:fldChar w:fldCharType="end"/>
    </w:r>
    <w:r>
      <w:t xml:space="preserve"> </w:t>
    </w:r>
  </w:p>
  <w:p w14:paraId="06D81481">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BE73">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6F0556">
                          <w:pPr>
                            <w:pStyle w:val="29"/>
                            <w:jc w:val="center"/>
                          </w:pPr>
                          <w:r>
                            <w:t xml:space="preserve">- </w:t>
                          </w:r>
                          <w:r>
                            <w:fldChar w:fldCharType="begin"/>
                          </w:r>
                          <w:r>
                            <w:instrText xml:space="preserve"> PAGE </w:instrText>
                          </w:r>
                          <w:r>
                            <w:fldChar w:fldCharType="separate"/>
                          </w:r>
                          <w:r>
                            <w:t>- 216 -</w:t>
                          </w:r>
                          <w:r>
                            <w:fldChar w:fldCharType="end"/>
                          </w:r>
                          <w:r>
                            <w:t xml:space="preserve"> -</w:t>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vg/UAQAApgMAAA4AAABkcnMvZTJvRG9jLnhtbK1TzY7TMBC+&#10;I/EOlu802aKyUdR0BaoWISFA2uUBXMduLPlPHrdJXwDegBMX7jxXn4Oxk3TR7mUPe3FmPONv5vtm&#10;sr4ZjCZHEUA529CrRUmJsNy1yu4b+v3+9k1FCURmW6adFQ09CaA3m9ev1r2vxdJ1TrciEASxUPe+&#10;oV2Mvi4K4J0wDBbOC4tB6YJhEd2wL9rAekQ3uliW5buid6H1wXEBgLfbMUgnxPAcQCel4mLr+MEI&#10;G0fUIDSLSAk65YFucrdSCh6/SgkiEt1QZBrziUXQ3qWz2KxZvQ/Md4pPLbDntPCIk2HKYtEL1JZF&#10;Rg5BPYEyigcHTsYFd6YYiWRFkMVV+Uibu455kbmg1OAvosPLwfIvx2+BqLah15RYZnDg518/z7//&#10;nv/8IMty9TYp1HuoMfHOY2ocPrgB92a+B7xMxAcZTPoiJYJx1Pd00VcMkfD0qFpWVYkhjrHZQfzi&#10;4bkPED8KZ0gyGhpwgFlXdvwMcUydU1I1626V1nmI2pIeUVfV9S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QPr4P1AEAAKYDAAAOAAAAAAAAAAEAIAAA&#10;ACIBAABkcnMvZTJvRG9jLnhtbFBLBQYAAAAABgAGAFkBAABoBQAAAAA=&#10;">
              <v:fill on="f" focussize="0,0"/>
              <v:stroke on="f" weight="1.25pt"/>
              <v:imagedata o:title=""/>
              <o:lock v:ext="edit" aspectratio="f"/>
              <v:textbox inset="0mm,0mm,0mm,0mm" style="mso-fit-shape-to-text:t;">
                <w:txbxContent>
                  <w:p w14:paraId="296F0556">
                    <w:pPr>
                      <w:pStyle w:val="29"/>
                      <w:jc w:val="center"/>
                    </w:pPr>
                    <w:r>
                      <w:t xml:space="preserve">- </w:t>
                    </w:r>
                    <w:r>
                      <w:fldChar w:fldCharType="begin"/>
                    </w:r>
                    <w:r>
                      <w:instrText xml:space="preserve"> PAGE </w:instrText>
                    </w:r>
                    <w:r>
                      <w:fldChar w:fldCharType="separate"/>
                    </w:r>
                    <w:r>
                      <w:t>- 216 -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A66B3">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45B75CE4">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D350A">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YWM3NWE4NTcxZTE2ZjlmYmVhOWZlOThiZDM4MGQifQ=="/>
  </w:docVars>
  <w:rsids>
    <w:rsidRoot w:val="00172A27"/>
    <w:rsid w:val="00001B1E"/>
    <w:rsid w:val="000027C8"/>
    <w:rsid w:val="0000353C"/>
    <w:rsid w:val="00003A3F"/>
    <w:rsid w:val="00004B09"/>
    <w:rsid w:val="0000509C"/>
    <w:rsid w:val="00005DD9"/>
    <w:rsid w:val="00005E79"/>
    <w:rsid w:val="0000613F"/>
    <w:rsid w:val="000067A3"/>
    <w:rsid w:val="000135B1"/>
    <w:rsid w:val="00013F14"/>
    <w:rsid w:val="00014DF1"/>
    <w:rsid w:val="00015C9C"/>
    <w:rsid w:val="0001647D"/>
    <w:rsid w:val="0001650A"/>
    <w:rsid w:val="00017D2A"/>
    <w:rsid w:val="00017F2D"/>
    <w:rsid w:val="0002038D"/>
    <w:rsid w:val="000208F3"/>
    <w:rsid w:val="00021228"/>
    <w:rsid w:val="000215EB"/>
    <w:rsid w:val="00021756"/>
    <w:rsid w:val="00021861"/>
    <w:rsid w:val="00022747"/>
    <w:rsid w:val="00022A3B"/>
    <w:rsid w:val="00022F4C"/>
    <w:rsid w:val="00023B7F"/>
    <w:rsid w:val="00024492"/>
    <w:rsid w:val="00025666"/>
    <w:rsid w:val="0002592F"/>
    <w:rsid w:val="00025DD0"/>
    <w:rsid w:val="00025FB1"/>
    <w:rsid w:val="000301A4"/>
    <w:rsid w:val="00030255"/>
    <w:rsid w:val="000316FE"/>
    <w:rsid w:val="00032255"/>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37C89"/>
    <w:rsid w:val="0004008B"/>
    <w:rsid w:val="000415C5"/>
    <w:rsid w:val="000418B4"/>
    <w:rsid w:val="000426A8"/>
    <w:rsid w:val="000426EA"/>
    <w:rsid w:val="000433B9"/>
    <w:rsid w:val="000434B1"/>
    <w:rsid w:val="000437CD"/>
    <w:rsid w:val="00043951"/>
    <w:rsid w:val="00046EAC"/>
    <w:rsid w:val="000479E7"/>
    <w:rsid w:val="00047F7E"/>
    <w:rsid w:val="00050329"/>
    <w:rsid w:val="00050A2B"/>
    <w:rsid w:val="00050F21"/>
    <w:rsid w:val="00052486"/>
    <w:rsid w:val="0005301D"/>
    <w:rsid w:val="00053B37"/>
    <w:rsid w:val="00054784"/>
    <w:rsid w:val="00054C30"/>
    <w:rsid w:val="00054D78"/>
    <w:rsid w:val="00054F64"/>
    <w:rsid w:val="000554D5"/>
    <w:rsid w:val="0005572F"/>
    <w:rsid w:val="0005605E"/>
    <w:rsid w:val="0005646F"/>
    <w:rsid w:val="00056DB9"/>
    <w:rsid w:val="00057103"/>
    <w:rsid w:val="000578DC"/>
    <w:rsid w:val="00057D13"/>
    <w:rsid w:val="00061927"/>
    <w:rsid w:val="00061B42"/>
    <w:rsid w:val="00062D58"/>
    <w:rsid w:val="000631ED"/>
    <w:rsid w:val="00063C01"/>
    <w:rsid w:val="000640B5"/>
    <w:rsid w:val="000654D9"/>
    <w:rsid w:val="00065C93"/>
    <w:rsid w:val="00065D7D"/>
    <w:rsid w:val="00065F0A"/>
    <w:rsid w:val="000677BF"/>
    <w:rsid w:val="00067E50"/>
    <w:rsid w:val="000703E1"/>
    <w:rsid w:val="00070444"/>
    <w:rsid w:val="00070DB4"/>
    <w:rsid w:val="00071785"/>
    <w:rsid w:val="00071848"/>
    <w:rsid w:val="000729A4"/>
    <w:rsid w:val="00072C40"/>
    <w:rsid w:val="00072EB2"/>
    <w:rsid w:val="0007377C"/>
    <w:rsid w:val="00074445"/>
    <w:rsid w:val="00074926"/>
    <w:rsid w:val="000753AE"/>
    <w:rsid w:val="00075A88"/>
    <w:rsid w:val="00075F71"/>
    <w:rsid w:val="00076583"/>
    <w:rsid w:val="0007662F"/>
    <w:rsid w:val="00076C46"/>
    <w:rsid w:val="00077453"/>
    <w:rsid w:val="00077788"/>
    <w:rsid w:val="000777DB"/>
    <w:rsid w:val="00077A92"/>
    <w:rsid w:val="00081AED"/>
    <w:rsid w:val="00081E58"/>
    <w:rsid w:val="00083156"/>
    <w:rsid w:val="00084006"/>
    <w:rsid w:val="00084056"/>
    <w:rsid w:val="00084085"/>
    <w:rsid w:val="000843AE"/>
    <w:rsid w:val="00084AD3"/>
    <w:rsid w:val="00085720"/>
    <w:rsid w:val="00086F23"/>
    <w:rsid w:val="00087D30"/>
    <w:rsid w:val="00090828"/>
    <w:rsid w:val="0009092D"/>
    <w:rsid w:val="00090FD7"/>
    <w:rsid w:val="000925AC"/>
    <w:rsid w:val="000925B9"/>
    <w:rsid w:val="000927A3"/>
    <w:rsid w:val="000928A8"/>
    <w:rsid w:val="00092F8F"/>
    <w:rsid w:val="0009358F"/>
    <w:rsid w:val="00093B07"/>
    <w:rsid w:val="00095189"/>
    <w:rsid w:val="0009559A"/>
    <w:rsid w:val="000955EA"/>
    <w:rsid w:val="00095DEF"/>
    <w:rsid w:val="0009606E"/>
    <w:rsid w:val="00096615"/>
    <w:rsid w:val="000967E2"/>
    <w:rsid w:val="00097C86"/>
    <w:rsid w:val="000A0398"/>
    <w:rsid w:val="000A0D3C"/>
    <w:rsid w:val="000A2AF4"/>
    <w:rsid w:val="000A2CA5"/>
    <w:rsid w:val="000A3234"/>
    <w:rsid w:val="000A41FD"/>
    <w:rsid w:val="000A47C0"/>
    <w:rsid w:val="000A4A55"/>
    <w:rsid w:val="000A569B"/>
    <w:rsid w:val="000A6BF5"/>
    <w:rsid w:val="000A7403"/>
    <w:rsid w:val="000A7CCE"/>
    <w:rsid w:val="000B0F51"/>
    <w:rsid w:val="000B131D"/>
    <w:rsid w:val="000B1596"/>
    <w:rsid w:val="000B1B81"/>
    <w:rsid w:val="000B1DE8"/>
    <w:rsid w:val="000B283B"/>
    <w:rsid w:val="000B285A"/>
    <w:rsid w:val="000B3303"/>
    <w:rsid w:val="000B489F"/>
    <w:rsid w:val="000B4C5B"/>
    <w:rsid w:val="000B5039"/>
    <w:rsid w:val="000B55BE"/>
    <w:rsid w:val="000B5C3A"/>
    <w:rsid w:val="000B5E88"/>
    <w:rsid w:val="000B6648"/>
    <w:rsid w:val="000B6BBC"/>
    <w:rsid w:val="000B786B"/>
    <w:rsid w:val="000C00B2"/>
    <w:rsid w:val="000C079C"/>
    <w:rsid w:val="000C0827"/>
    <w:rsid w:val="000C0EE5"/>
    <w:rsid w:val="000C13A1"/>
    <w:rsid w:val="000C30AC"/>
    <w:rsid w:val="000C3285"/>
    <w:rsid w:val="000C3E3B"/>
    <w:rsid w:val="000C463E"/>
    <w:rsid w:val="000C5AA2"/>
    <w:rsid w:val="000C5C93"/>
    <w:rsid w:val="000C6282"/>
    <w:rsid w:val="000D122D"/>
    <w:rsid w:val="000D1234"/>
    <w:rsid w:val="000D1779"/>
    <w:rsid w:val="000D1F8D"/>
    <w:rsid w:val="000D21F1"/>
    <w:rsid w:val="000D252E"/>
    <w:rsid w:val="000D2557"/>
    <w:rsid w:val="000D3548"/>
    <w:rsid w:val="000D3551"/>
    <w:rsid w:val="000D42D0"/>
    <w:rsid w:val="000D42FA"/>
    <w:rsid w:val="000D5211"/>
    <w:rsid w:val="000D65FC"/>
    <w:rsid w:val="000D6726"/>
    <w:rsid w:val="000D6B45"/>
    <w:rsid w:val="000D6FB3"/>
    <w:rsid w:val="000D7254"/>
    <w:rsid w:val="000D753D"/>
    <w:rsid w:val="000D76E1"/>
    <w:rsid w:val="000D7823"/>
    <w:rsid w:val="000E073B"/>
    <w:rsid w:val="000E0DB3"/>
    <w:rsid w:val="000E10A5"/>
    <w:rsid w:val="000E10FF"/>
    <w:rsid w:val="000E1A63"/>
    <w:rsid w:val="000E2122"/>
    <w:rsid w:val="000E413E"/>
    <w:rsid w:val="000E496C"/>
    <w:rsid w:val="000E4C3D"/>
    <w:rsid w:val="000E6342"/>
    <w:rsid w:val="000E6849"/>
    <w:rsid w:val="000E72B9"/>
    <w:rsid w:val="000F05AB"/>
    <w:rsid w:val="000F091D"/>
    <w:rsid w:val="000F1B68"/>
    <w:rsid w:val="000F2179"/>
    <w:rsid w:val="000F23FE"/>
    <w:rsid w:val="000F278B"/>
    <w:rsid w:val="000F2955"/>
    <w:rsid w:val="000F40C0"/>
    <w:rsid w:val="000F45C8"/>
    <w:rsid w:val="000F4BBE"/>
    <w:rsid w:val="000F4C70"/>
    <w:rsid w:val="000F50C6"/>
    <w:rsid w:val="000F51EA"/>
    <w:rsid w:val="000F5AD4"/>
    <w:rsid w:val="000F60AC"/>
    <w:rsid w:val="000F6DC9"/>
    <w:rsid w:val="000F79F1"/>
    <w:rsid w:val="000F7CF5"/>
    <w:rsid w:val="000F7F03"/>
    <w:rsid w:val="00100471"/>
    <w:rsid w:val="00101E5F"/>
    <w:rsid w:val="00102332"/>
    <w:rsid w:val="001023BA"/>
    <w:rsid w:val="001025D9"/>
    <w:rsid w:val="00104130"/>
    <w:rsid w:val="001057F5"/>
    <w:rsid w:val="00105F22"/>
    <w:rsid w:val="001062D4"/>
    <w:rsid w:val="001066B1"/>
    <w:rsid w:val="00107AE8"/>
    <w:rsid w:val="001100AC"/>
    <w:rsid w:val="001108D6"/>
    <w:rsid w:val="001109ED"/>
    <w:rsid w:val="00111268"/>
    <w:rsid w:val="00111C02"/>
    <w:rsid w:val="00111FF3"/>
    <w:rsid w:val="001128C3"/>
    <w:rsid w:val="00112A83"/>
    <w:rsid w:val="00113166"/>
    <w:rsid w:val="00113E49"/>
    <w:rsid w:val="00113E95"/>
    <w:rsid w:val="00114A01"/>
    <w:rsid w:val="00114CF3"/>
    <w:rsid w:val="00115685"/>
    <w:rsid w:val="00115C76"/>
    <w:rsid w:val="00115CA3"/>
    <w:rsid w:val="00116F55"/>
    <w:rsid w:val="00116F93"/>
    <w:rsid w:val="00117445"/>
    <w:rsid w:val="0012046B"/>
    <w:rsid w:val="0012096C"/>
    <w:rsid w:val="001209B5"/>
    <w:rsid w:val="001214C7"/>
    <w:rsid w:val="00121F6B"/>
    <w:rsid w:val="00121FD0"/>
    <w:rsid w:val="00122131"/>
    <w:rsid w:val="00122362"/>
    <w:rsid w:val="0012259E"/>
    <w:rsid w:val="00122D4D"/>
    <w:rsid w:val="0012481C"/>
    <w:rsid w:val="00126B3E"/>
    <w:rsid w:val="00126EB4"/>
    <w:rsid w:val="001303A1"/>
    <w:rsid w:val="00131D1B"/>
    <w:rsid w:val="001330BB"/>
    <w:rsid w:val="00134327"/>
    <w:rsid w:val="001347A9"/>
    <w:rsid w:val="00135872"/>
    <w:rsid w:val="00136D1E"/>
    <w:rsid w:val="00136E6E"/>
    <w:rsid w:val="00137E45"/>
    <w:rsid w:val="00137F99"/>
    <w:rsid w:val="00140FF4"/>
    <w:rsid w:val="001440F2"/>
    <w:rsid w:val="001455A1"/>
    <w:rsid w:val="00145AE6"/>
    <w:rsid w:val="00145F46"/>
    <w:rsid w:val="001460D9"/>
    <w:rsid w:val="001466BF"/>
    <w:rsid w:val="00146C44"/>
    <w:rsid w:val="00147AFF"/>
    <w:rsid w:val="00147FD9"/>
    <w:rsid w:val="00150025"/>
    <w:rsid w:val="00150696"/>
    <w:rsid w:val="00150964"/>
    <w:rsid w:val="00150A27"/>
    <w:rsid w:val="00150B52"/>
    <w:rsid w:val="00150E46"/>
    <w:rsid w:val="00150F2A"/>
    <w:rsid w:val="00152078"/>
    <w:rsid w:val="001534E6"/>
    <w:rsid w:val="00153F38"/>
    <w:rsid w:val="001545E0"/>
    <w:rsid w:val="001546CF"/>
    <w:rsid w:val="0015532E"/>
    <w:rsid w:val="0015596B"/>
    <w:rsid w:val="00155C0F"/>
    <w:rsid w:val="00155D1F"/>
    <w:rsid w:val="00160417"/>
    <w:rsid w:val="0016132F"/>
    <w:rsid w:val="0016174D"/>
    <w:rsid w:val="00162B36"/>
    <w:rsid w:val="0016317C"/>
    <w:rsid w:val="001641FF"/>
    <w:rsid w:val="00164DCB"/>
    <w:rsid w:val="001650AD"/>
    <w:rsid w:val="00165642"/>
    <w:rsid w:val="00165B64"/>
    <w:rsid w:val="00165D82"/>
    <w:rsid w:val="00166470"/>
    <w:rsid w:val="00166F24"/>
    <w:rsid w:val="001674AE"/>
    <w:rsid w:val="00167BBE"/>
    <w:rsid w:val="001710E6"/>
    <w:rsid w:val="001721A5"/>
    <w:rsid w:val="0017293A"/>
    <w:rsid w:val="00172DEA"/>
    <w:rsid w:val="00172F37"/>
    <w:rsid w:val="00173A7B"/>
    <w:rsid w:val="00174134"/>
    <w:rsid w:val="00176A64"/>
    <w:rsid w:val="00176B11"/>
    <w:rsid w:val="00176C6C"/>
    <w:rsid w:val="00176FBE"/>
    <w:rsid w:val="00177E29"/>
    <w:rsid w:val="00177F8E"/>
    <w:rsid w:val="00180037"/>
    <w:rsid w:val="001806AD"/>
    <w:rsid w:val="001818BD"/>
    <w:rsid w:val="00182F9F"/>
    <w:rsid w:val="00184528"/>
    <w:rsid w:val="00184AF6"/>
    <w:rsid w:val="001862DA"/>
    <w:rsid w:val="001862DC"/>
    <w:rsid w:val="00186401"/>
    <w:rsid w:val="00186442"/>
    <w:rsid w:val="001866A1"/>
    <w:rsid w:val="00186EE8"/>
    <w:rsid w:val="00190FA7"/>
    <w:rsid w:val="00192735"/>
    <w:rsid w:val="00193696"/>
    <w:rsid w:val="00193F09"/>
    <w:rsid w:val="001947FB"/>
    <w:rsid w:val="001953C5"/>
    <w:rsid w:val="00195720"/>
    <w:rsid w:val="0019604B"/>
    <w:rsid w:val="00196CDD"/>
    <w:rsid w:val="00196D64"/>
    <w:rsid w:val="001975C9"/>
    <w:rsid w:val="00197EBF"/>
    <w:rsid w:val="001A05FF"/>
    <w:rsid w:val="001A189F"/>
    <w:rsid w:val="001A1CD8"/>
    <w:rsid w:val="001A293D"/>
    <w:rsid w:val="001A2A77"/>
    <w:rsid w:val="001A3908"/>
    <w:rsid w:val="001A468C"/>
    <w:rsid w:val="001A5133"/>
    <w:rsid w:val="001A77C4"/>
    <w:rsid w:val="001A7BE0"/>
    <w:rsid w:val="001A7BF5"/>
    <w:rsid w:val="001B15C6"/>
    <w:rsid w:val="001B17D1"/>
    <w:rsid w:val="001B229E"/>
    <w:rsid w:val="001B2B2F"/>
    <w:rsid w:val="001B2DEF"/>
    <w:rsid w:val="001B3206"/>
    <w:rsid w:val="001B3EB8"/>
    <w:rsid w:val="001B412E"/>
    <w:rsid w:val="001B48E0"/>
    <w:rsid w:val="001B4A7A"/>
    <w:rsid w:val="001B4D7D"/>
    <w:rsid w:val="001B5125"/>
    <w:rsid w:val="001B5B97"/>
    <w:rsid w:val="001B671E"/>
    <w:rsid w:val="001B68E8"/>
    <w:rsid w:val="001B6AA4"/>
    <w:rsid w:val="001B726F"/>
    <w:rsid w:val="001B766F"/>
    <w:rsid w:val="001C023F"/>
    <w:rsid w:val="001C02D5"/>
    <w:rsid w:val="001C0B84"/>
    <w:rsid w:val="001C1E56"/>
    <w:rsid w:val="001C2CF6"/>
    <w:rsid w:val="001C4064"/>
    <w:rsid w:val="001C41DF"/>
    <w:rsid w:val="001C4205"/>
    <w:rsid w:val="001C4775"/>
    <w:rsid w:val="001C49F4"/>
    <w:rsid w:val="001C71D7"/>
    <w:rsid w:val="001D0710"/>
    <w:rsid w:val="001D0F66"/>
    <w:rsid w:val="001D125F"/>
    <w:rsid w:val="001D1574"/>
    <w:rsid w:val="001D16DA"/>
    <w:rsid w:val="001D17FB"/>
    <w:rsid w:val="001D2271"/>
    <w:rsid w:val="001D2345"/>
    <w:rsid w:val="001D251C"/>
    <w:rsid w:val="001D30ED"/>
    <w:rsid w:val="001D3B3D"/>
    <w:rsid w:val="001D4261"/>
    <w:rsid w:val="001D42FF"/>
    <w:rsid w:val="001D4381"/>
    <w:rsid w:val="001D47CF"/>
    <w:rsid w:val="001D4A3E"/>
    <w:rsid w:val="001D4E14"/>
    <w:rsid w:val="001D613B"/>
    <w:rsid w:val="001D6225"/>
    <w:rsid w:val="001D6439"/>
    <w:rsid w:val="001D67FA"/>
    <w:rsid w:val="001D6AD4"/>
    <w:rsid w:val="001D6D8C"/>
    <w:rsid w:val="001E054D"/>
    <w:rsid w:val="001E1308"/>
    <w:rsid w:val="001E1520"/>
    <w:rsid w:val="001E19DD"/>
    <w:rsid w:val="001E19F9"/>
    <w:rsid w:val="001E2392"/>
    <w:rsid w:val="001E2B93"/>
    <w:rsid w:val="001E2C16"/>
    <w:rsid w:val="001E2D72"/>
    <w:rsid w:val="001E2E68"/>
    <w:rsid w:val="001E36B3"/>
    <w:rsid w:val="001E3AAF"/>
    <w:rsid w:val="001E3D84"/>
    <w:rsid w:val="001E42DA"/>
    <w:rsid w:val="001E4C39"/>
    <w:rsid w:val="001E4F0E"/>
    <w:rsid w:val="001E5033"/>
    <w:rsid w:val="001E594C"/>
    <w:rsid w:val="001E5E16"/>
    <w:rsid w:val="001E6131"/>
    <w:rsid w:val="001E6BFA"/>
    <w:rsid w:val="001F07E9"/>
    <w:rsid w:val="001F0D0C"/>
    <w:rsid w:val="001F1674"/>
    <w:rsid w:val="001F1CED"/>
    <w:rsid w:val="001F234F"/>
    <w:rsid w:val="001F24B9"/>
    <w:rsid w:val="001F31AC"/>
    <w:rsid w:val="001F3815"/>
    <w:rsid w:val="001F3DB0"/>
    <w:rsid w:val="001F3E77"/>
    <w:rsid w:val="001F43FC"/>
    <w:rsid w:val="001F57A7"/>
    <w:rsid w:val="001F5A67"/>
    <w:rsid w:val="00200575"/>
    <w:rsid w:val="00200EBF"/>
    <w:rsid w:val="00201FBF"/>
    <w:rsid w:val="002034B2"/>
    <w:rsid w:val="002048AE"/>
    <w:rsid w:val="00204D75"/>
    <w:rsid w:val="002050D7"/>
    <w:rsid w:val="002051B0"/>
    <w:rsid w:val="00205413"/>
    <w:rsid w:val="0020625B"/>
    <w:rsid w:val="002063C9"/>
    <w:rsid w:val="0020686F"/>
    <w:rsid w:val="002076AA"/>
    <w:rsid w:val="0021027A"/>
    <w:rsid w:val="00211077"/>
    <w:rsid w:val="00211C8D"/>
    <w:rsid w:val="00211EBF"/>
    <w:rsid w:val="00212A14"/>
    <w:rsid w:val="00214D88"/>
    <w:rsid w:val="00215175"/>
    <w:rsid w:val="00215906"/>
    <w:rsid w:val="00215A2A"/>
    <w:rsid w:val="002166F9"/>
    <w:rsid w:val="002168E9"/>
    <w:rsid w:val="00216AD5"/>
    <w:rsid w:val="0021733C"/>
    <w:rsid w:val="0021735F"/>
    <w:rsid w:val="00217891"/>
    <w:rsid w:val="002207FA"/>
    <w:rsid w:val="00221627"/>
    <w:rsid w:val="00221E15"/>
    <w:rsid w:val="00221E51"/>
    <w:rsid w:val="00221F8E"/>
    <w:rsid w:val="00221FE1"/>
    <w:rsid w:val="002220C5"/>
    <w:rsid w:val="00222689"/>
    <w:rsid w:val="00223852"/>
    <w:rsid w:val="002245B9"/>
    <w:rsid w:val="00225099"/>
    <w:rsid w:val="002250CA"/>
    <w:rsid w:val="0022607A"/>
    <w:rsid w:val="00226152"/>
    <w:rsid w:val="002264D0"/>
    <w:rsid w:val="002270BE"/>
    <w:rsid w:val="00227713"/>
    <w:rsid w:val="00227D7D"/>
    <w:rsid w:val="0023185F"/>
    <w:rsid w:val="00232197"/>
    <w:rsid w:val="002329B7"/>
    <w:rsid w:val="00232AD2"/>
    <w:rsid w:val="00232D4B"/>
    <w:rsid w:val="0023462F"/>
    <w:rsid w:val="00234A36"/>
    <w:rsid w:val="00235CED"/>
    <w:rsid w:val="002360B7"/>
    <w:rsid w:val="002369E6"/>
    <w:rsid w:val="00237DCC"/>
    <w:rsid w:val="00237DD3"/>
    <w:rsid w:val="00237DDB"/>
    <w:rsid w:val="00237F17"/>
    <w:rsid w:val="0024052C"/>
    <w:rsid w:val="002410BB"/>
    <w:rsid w:val="0024122A"/>
    <w:rsid w:val="00241884"/>
    <w:rsid w:val="00241889"/>
    <w:rsid w:val="00243253"/>
    <w:rsid w:val="002432CD"/>
    <w:rsid w:val="00246DFB"/>
    <w:rsid w:val="002476F0"/>
    <w:rsid w:val="00247DA6"/>
    <w:rsid w:val="00251F81"/>
    <w:rsid w:val="00251FD7"/>
    <w:rsid w:val="002526AC"/>
    <w:rsid w:val="00252997"/>
    <w:rsid w:val="00252F86"/>
    <w:rsid w:val="00253DE9"/>
    <w:rsid w:val="002555DD"/>
    <w:rsid w:val="002555E1"/>
    <w:rsid w:val="00255ACC"/>
    <w:rsid w:val="00255C94"/>
    <w:rsid w:val="002560EC"/>
    <w:rsid w:val="00257031"/>
    <w:rsid w:val="00257EC3"/>
    <w:rsid w:val="00257EFE"/>
    <w:rsid w:val="002603C8"/>
    <w:rsid w:val="002603DF"/>
    <w:rsid w:val="00260D92"/>
    <w:rsid w:val="0026138C"/>
    <w:rsid w:val="00261E20"/>
    <w:rsid w:val="00262012"/>
    <w:rsid w:val="00262CEC"/>
    <w:rsid w:val="00263225"/>
    <w:rsid w:val="0026466E"/>
    <w:rsid w:val="00264D7B"/>
    <w:rsid w:val="00264DF5"/>
    <w:rsid w:val="00264EBF"/>
    <w:rsid w:val="00265D30"/>
    <w:rsid w:val="00265D64"/>
    <w:rsid w:val="00265DD9"/>
    <w:rsid w:val="002667EA"/>
    <w:rsid w:val="00266C56"/>
    <w:rsid w:val="00267A99"/>
    <w:rsid w:val="002702C1"/>
    <w:rsid w:val="00272128"/>
    <w:rsid w:val="0027264B"/>
    <w:rsid w:val="002736CE"/>
    <w:rsid w:val="00273F7A"/>
    <w:rsid w:val="002742E2"/>
    <w:rsid w:val="00274CFD"/>
    <w:rsid w:val="00274ED6"/>
    <w:rsid w:val="00274FC1"/>
    <w:rsid w:val="00275167"/>
    <w:rsid w:val="002752C6"/>
    <w:rsid w:val="0027586B"/>
    <w:rsid w:val="002763D7"/>
    <w:rsid w:val="00276BC6"/>
    <w:rsid w:val="00276C59"/>
    <w:rsid w:val="00276F21"/>
    <w:rsid w:val="0027711A"/>
    <w:rsid w:val="0027792D"/>
    <w:rsid w:val="00281357"/>
    <w:rsid w:val="0028167A"/>
    <w:rsid w:val="002830A8"/>
    <w:rsid w:val="002832B2"/>
    <w:rsid w:val="00283515"/>
    <w:rsid w:val="00283721"/>
    <w:rsid w:val="00283BAD"/>
    <w:rsid w:val="0028466A"/>
    <w:rsid w:val="002846E8"/>
    <w:rsid w:val="00284F98"/>
    <w:rsid w:val="002854B2"/>
    <w:rsid w:val="00285507"/>
    <w:rsid w:val="0028561D"/>
    <w:rsid w:val="00285FF7"/>
    <w:rsid w:val="002860F1"/>
    <w:rsid w:val="002907E7"/>
    <w:rsid w:val="00291148"/>
    <w:rsid w:val="00292278"/>
    <w:rsid w:val="00295263"/>
    <w:rsid w:val="00295974"/>
    <w:rsid w:val="0029631A"/>
    <w:rsid w:val="0029633C"/>
    <w:rsid w:val="00297BEE"/>
    <w:rsid w:val="002A05DC"/>
    <w:rsid w:val="002A0C60"/>
    <w:rsid w:val="002A0F20"/>
    <w:rsid w:val="002A274B"/>
    <w:rsid w:val="002A2A57"/>
    <w:rsid w:val="002A3032"/>
    <w:rsid w:val="002A3274"/>
    <w:rsid w:val="002A32D9"/>
    <w:rsid w:val="002A43FD"/>
    <w:rsid w:val="002A4EC2"/>
    <w:rsid w:val="002A59B9"/>
    <w:rsid w:val="002A6092"/>
    <w:rsid w:val="002A64E8"/>
    <w:rsid w:val="002B11B7"/>
    <w:rsid w:val="002B13CB"/>
    <w:rsid w:val="002B1854"/>
    <w:rsid w:val="002B1A51"/>
    <w:rsid w:val="002B1A7F"/>
    <w:rsid w:val="002B23B0"/>
    <w:rsid w:val="002B27DC"/>
    <w:rsid w:val="002B2AE1"/>
    <w:rsid w:val="002B3159"/>
    <w:rsid w:val="002B33B4"/>
    <w:rsid w:val="002B3A8F"/>
    <w:rsid w:val="002B3E1F"/>
    <w:rsid w:val="002B4646"/>
    <w:rsid w:val="002B5324"/>
    <w:rsid w:val="002B5C91"/>
    <w:rsid w:val="002B5D23"/>
    <w:rsid w:val="002B5F4B"/>
    <w:rsid w:val="002B6603"/>
    <w:rsid w:val="002B6F5F"/>
    <w:rsid w:val="002B6F82"/>
    <w:rsid w:val="002C0828"/>
    <w:rsid w:val="002C124B"/>
    <w:rsid w:val="002C1532"/>
    <w:rsid w:val="002C1A0B"/>
    <w:rsid w:val="002C264C"/>
    <w:rsid w:val="002C33AF"/>
    <w:rsid w:val="002C3B75"/>
    <w:rsid w:val="002C3EAB"/>
    <w:rsid w:val="002C47E9"/>
    <w:rsid w:val="002C4E26"/>
    <w:rsid w:val="002C4E6C"/>
    <w:rsid w:val="002C54BF"/>
    <w:rsid w:val="002C5519"/>
    <w:rsid w:val="002C59CD"/>
    <w:rsid w:val="002C5BE7"/>
    <w:rsid w:val="002C67E5"/>
    <w:rsid w:val="002C6F5D"/>
    <w:rsid w:val="002D0639"/>
    <w:rsid w:val="002D0768"/>
    <w:rsid w:val="002D08F4"/>
    <w:rsid w:val="002D097F"/>
    <w:rsid w:val="002D0D0C"/>
    <w:rsid w:val="002D1172"/>
    <w:rsid w:val="002D1258"/>
    <w:rsid w:val="002D13E8"/>
    <w:rsid w:val="002D1CA5"/>
    <w:rsid w:val="002D223F"/>
    <w:rsid w:val="002D2807"/>
    <w:rsid w:val="002D2D68"/>
    <w:rsid w:val="002D2D97"/>
    <w:rsid w:val="002D3BDF"/>
    <w:rsid w:val="002D426C"/>
    <w:rsid w:val="002D4721"/>
    <w:rsid w:val="002D472F"/>
    <w:rsid w:val="002D4DB6"/>
    <w:rsid w:val="002E0D86"/>
    <w:rsid w:val="002E1086"/>
    <w:rsid w:val="002E16AE"/>
    <w:rsid w:val="002E1795"/>
    <w:rsid w:val="002E1871"/>
    <w:rsid w:val="002E1A25"/>
    <w:rsid w:val="002E1C38"/>
    <w:rsid w:val="002E3521"/>
    <w:rsid w:val="002E3526"/>
    <w:rsid w:val="002E3527"/>
    <w:rsid w:val="002E37F4"/>
    <w:rsid w:val="002E4190"/>
    <w:rsid w:val="002E4316"/>
    <w:rsid w:val="002E43A5"/>
    <w:rsid w:val="002E6B8C"/>
    <w:rsid w:val="002E7318"/>
    <w:rsid w:val="002E7617"/>
    <w:rsid w:val="002E7C56"/>
    <w:rsid w:val="002E7D8E"/>
    <w:rsid w:val="002F1BE6"/>
    <w:rsid w:val="002F210E"/>
    <w:rsid w:val="002F2154"/>
    <w:rsid w:val="002F27B6"/>
    <w:rsid w:val="002F2B50"/>
    <w:rsid w:val="002F405F"/>
    <w:rsid w:val="002F491B"/>
    <w:rsid w:val="002F4953"/>
    <w:rsid w:val="002F4ACB"/>
    <w:rsid w:val="002F6B47"/>
    <w:rsid w:val="002F7430"/>
    <w:rsid w:val="002F777B"/>
    <w:rsid w:val="002F7D86"/>
    <w:rsid w:val="00300191"/>
    <w:rsid w:val="003003AE"/>
    <w:rsid w:val="00300AAF"/>
    <w:rsid w:val="00300E50"/>
    <w:rsid w:val="00300F8D"/>
    <w:rsid w:val="00304E38"/>
    <w:rsid w:val="003059F4"/>
    <w:rsid w:val="00306670"/>
    <w:rsid w:val="0030689E"/>
    <w:rsid w:val="003068D7"/>
    <w:rsid w:val="003071B2"/>
    <w:rsid w:val="00307599"/>
    <w:rsid w:val="00307AAC"/>
    <w:rsid w:val="00310302"/>
    <w:rsid w:val="00310399"/>
    <w:rsid w:val="00310D40"/>
    <w:rsid w:val="00310D8D"/>
    <w:rsid w:val="00311222"/>
    <w:rsid w:val="0031445A"/>
    <w:rsid w:val="003149F6"/>
    <w:rsid w:val="003152F5"/>
    <w:rsid w:val="00316368"/>
    <w:rsid w:val="0031640C"/>
    <w:rsid w:val="00316420"/>
    <w:rsid w:val="00316AB8"/>
    <w:rsid w:val="0031721B"/>
    <w:rsid w:val="003174B4"/>
    <w:rsid w:val="00317994"/>
    <w:rsid w:val="0032026A"/>
    <w:rsid w:val="0032047A"/>
    <w:rsid w:val="00320939"/>
    <w:rsid w:val="00320F9D"/>
    <w:rsid w:val="00321B76"/>
    <w:rsid w:val="00321BBE"/>
    <w:rsid w:val="00323813"/>
    <w:rsid w:val="003248B8"/>
    <w:rsid w:val="00325077"/>
    <w:rsid w:val="0032515F"/>
    <w:rsid w:val="003253BE"/>
    <w:rsid w:val="0032679D"/>
    <w:rsid w:val="00327D78"/>
    <w:rsid w:val="00327E48"/>
    <w:rsid w:val="003302F7"/>
    <w:rsid w:val="0033056F"/>
    <w:rsid w:val="00331249"/>
    <w:rsid w:val="00332437"/>
    <w:rsid w:val="00332A90"/>
    <w:rsid w:val="00332AB7"/>
    <w:rsid w:val="00332B68"/>
    <w:rsid w:val="00333E90"/>
    <w:rsid w:val="00334C69"/>
    <w:rsid w:val="00334E81"/>
    <w:rsid w:val="003353E9"/>
    <w:rsid w:val="00335CA1"/>
    <w:rsid w:val="00335E6A"/>
    <w:rsid w:val="00337322"/>
    <w:rsid w:val="00337A18"/>
    <w:rsid w:val="003408AE"/>
    <w:rsid w:val="00340CDE"/>
    <w:rsid w:val="00340CFB"/>
    <w:rsid w:val="0034133E"/>
    <w:rsid w:val="003413B3"/>
    <w:rsid w:val="003415A1"/>
    <w:rsid w:val="00342048"/>
    <w:rsid w:val="00342174"/>
    <w:rsid w:val="00342994"/>
    <w:rsid w:val="00342F54"/>
    <w:rsid w:val="00343A39"/>
    <w:rsid w:val="00343F87"/>
    <w:rsid w:val="00346101"/>
    <w:rsid w:val="00347C24"/>
    <w:rsid w:val="00347EB1"/>
    <w:rsid w:val="003503BF"/>
    <w:rsid w:val="003508F6"/>
    <w:rsid w:val="00351FF3"/>
    <w:rsid w:val="00352B90"/>
    <w:rsid w:val="00353231"/>
    <w:rsid w:val="00353315"/>
    <w:rsid w:val="003544AB"/>
    <w:rsid w:val="00354D6E"/>
    <w:rsid w:val="0035514C"/>
    <w:rsid w:val="00356084"/>
    <w:rsid w:val="00356E07"/>
    <w:rsid w:val="00361570"/>
    <w:rsid w:val="00362532"/>
    <w:rsid w:val="003642D2"/>
    <w:rsid w:val="003643A1"/>
    <w:rsid w:val="0036450C"/>
    <w:rsid w:val="00364574"/>
    <w:rsid w:val="00364A42"/>
    <w:rsid w:val="00365074"/>
    <w:rsid w:val="00365225"/>
    <w:rsid w:val="0036546D"/>
    <w:rsid w:val="003664C3"/>
    <w:rsid w:val="003667CD"/>
    <w:rsid w:val="003675A1"/>
    <w:rsid w:val="0036773D"/>
    <w:rsid w:val="00367A3E"/>
    <w:rsid w:val="00367FEB"/>
    <w:rsid w:val="003711C1"/>
    <w:rsid w:val="00371BC3"/>
    <w:rsid w:val="00371CBE"/>
    <w:rsid w:val="00372C9E"/>
    <w:rsid w:val="00373AD1"/>
    <w:rsid w:val="00373AD4"/>
    <w:rsid w:val="0037428F"/>
    <w:rsid w:val="00374539"/>
    <w:rsid w:val="003746A1"/>
    <w:rsid w:val="003747BD"/>
    <w:rsid w:val="00374D4E"/>
    <w:rsid w:val="00374DD5"/>
    <w:rsid w:val="0037591D"/>
    <w:rsid w:val="0037720A"/>
    <w:rsid w:val="00377C6B"/>
    <w:rsid w:val="0038006D"/>
    <w:rsid w:val="00381EB9"/>
    <w:rsid w:val="0038206D"/>
    <w:rsid w:val="00383A81"/>
    <w:rsid w:val="00383D6A"/>
    <w:rsid w:val="00384693"/>
    <w:rsid w:val="00385DC1"/>
    <w:rsid w:val="00385F02"/>
    <w:rsid w:val="00386DED"/>
    <w:rsid w:val="0038719C"/>
    <w:rsid w:val="00387506"/>
    <w:rsid w:val="00390B71"/>
    <w:rsid w:val="00390E97"/>
    <w:rsid w:val="003924AE"/>
    <w:rsid w:val="00392E76"/>
    <w:rsid w:val="00393BF6"/>
    <w:rsid w:val="00393D1D"/>
    <w:rsid w:val="00393D8B"/>
    <w:rsid w:val="00393F1C"/>
    <w:rsid w:val="00393F6E"/>
    <w:rsid w:val="00394276"/>
    <w:rsid w:val="00394BA4"/>
    <w:rsid w:val="0039536F"/>
    <w:rsid w:val="0039597A"/>
    <w:rsid w:val="0039697D"/>
    <w:rsid w:val="00396E7A"/>
    <w:rsid w:val="00397188"/>
    <w:rsid w:val="0039750E"/>
    <w:rsid w:val="00397618"/>
    <w:rsid w:val="00397731"/>
    <w:rsid w:val="00397786"/>
    <w:rsid w:val="003A014B"/>
    <w:rsid w:val="003A1350"/>
    <w:rsid w:val="003A17CE"/>
    <w:rsid w:val="003A1920"/>
    <w:rsid w:val="003A1A61"/>
    <w:rsid w:val="003A2C3E"/>
    <w:rsid w:val="003A2D49"/>
    <w:rsid w:val="003A3487"/>
    <w:rsid w:val="003A4709"/>
    <w:rsid w:val="003A4BD2"/>
    <w:rsid w:val="003A591A"/>
    <w:rsid w:val="003A5F2B"/>
    <w:rsid w:val="003A612F"/>
    <w:rsid w:val="003A6E02"/>
    <w:rsid w:val="003A722D"/>
    <w:rsid w:val="003A7DA8"/>
    <w:rsid w:val="003B01FB"/>
    <w:rsid w:val="003B0557"/>
    <w:rsid w:val="003B0E02"/>
    <w:rsid w:val="003B0FDA"/>
    <w:rsid w:val="003B206D"/>
    <w:rsid w:val="003B231B"/>
    <w:rsid w:val="003B3157"/>
    <w:rsid w:val="003B3EDC"/>
    <w:rsid w:val="003B3FC0"/>
    <w:rsid w:val="003B4786"/>
    <w:rsid w:val="003B56E2"/>
    <w:rsid w:val="003B602A"/>
    <w:rsid w:val="003B6913"/>
    <w:rsid w:val="003B71D0"/>
    <w:rsid w:val="003B7450"/>
    <w:rsid w:val="003C03AA"/>
    <w:rsid w:val="003C1A92"/>
    <w:rsid w:val="003C21C5"/>
    <w:rsid w:val="003C2C74"/>
    <w:rsid w:val="003C3E88"/>
    <w:rsid w:val="003C45E6"/>
    <w:rsid w:val="003C4C78"/>
    <w:rsid w:val="003C568C"/>
    <w:rsid w:val="003C5EFF"/>
    <w:rsid w:val="003C63A8"/>
    <w:rsid w:val="003C6725"/>
    <w:rsid w:val="003C7107"/>
    <w:rsid w:val="003D09F9"/>
    <w:rsid w:val="003D0D2D"/>
    <w:rsid w:val="003D16A1"/>
    <w:rsid w:val="003D16F1"/>
    <w:rsid w:val="003D1778"/>
    <w:rsid w:val="003D1B5E"/>
    <w:rsid w:val="003D28A5"/>
    <w:rsid w:val="003D30C9"/>
    <w:rsid w:val="003D4635"/>
    <w:rsid w:val="003D472B"/>
    <w:rsid w:val="003D49E5"/>
    <w:rsid w:val="003D4F91"/>
    <w:rsid w:val="003D5092"/>
    <w:rsid w:val="003D6240"/>
    <w:rsid w:val="003D6EEC"/>
    <w:rsid w:val="003D7D65"/>
    <w:rsid w:val="003E007A"/>
    <w:rsid w:val="003E09C9"/>
    <w:rsid w:val="003E0CFA"/>
    <w:rsid w:val="003E0D77"/>
    <w:rsid w:val="003E0DA2"/>
    <w:rsid w:val="003E11B1"/>
    <w:rsid w:val="003E11D8"/>
    <w:rsid w:val="003E1873"/>
    <w:rsid w:val="003E23E0"/>
    <w:rsid w:val="003E25CD"/>
    <w:rsid w:val="003E25DA"/>
    <w:rsid w:val="003E2BDE"/>
    <w:rsid w:val="003E2F13"/>
    <w:rsid w:val="003E3005"/>
    <w:rsid w:val="003E386C"/>
    <w:rsid w:val="003E3BB1"/>
    <w:rsid w:val="003E44BC"/>
    <w:rsid w:val="003E4AD0"/>
    <w:rsid w:val="003E509B"/>
    <w:rsid w:val="003E5A4D"/>
    <w:rsid w:val="003E5AE0"/>
    <w:rsid w:val="003E60A8"/>
    <w:rsid w:val="003E6141"/>
    <w:rsid w:val="003E620D"/>
    <w:rsid w:val="003E6771"/>
    <w:rsid w:val="003E6F86"/>
    <w:rsid w:val="003F111F"/>
    <w:rsid w:val="003F1441"/>
    <w:rsid w:val="003F1A7F"/>
    <w:rsid w:val="003F2465"/>
    <w:rsid w:val="003F330F"/>
    <w:rsid w:val="003F36C9"/>
    <w:rsid w:val="003F441E"/>
    <w:rsid w:val="003F4A7C"/>
    <w:rsid w:val="003F4DA5"/>
    <w:rsid w:val="003F5122"/>
    <w:rsid w:val="003F5144"/>
    <w:rsid w:val="003F57A3"/>
    <w:rsid w:val="003F5DC0"/>
    <w:rsid w:val="003F6D88"/>
    <w:rsid w:val="003F73B2"/>
    <w:rsid w:val="0040067C"/>
    <w:rsid w:val="004012CF"/>
    <w:rsid w:val="0040177F"/>
    <w:rsid w:val="00401801"/>
    <w:rsid w:val="00402034"/>
    <w:rsid w:val="0040256A"/>
    <w:rsid w:val="00402971"/>
    <w:rsid w:val="00402AC1"/>
    <w:rsid w:val="00402FB4"/>
    <w:rsid w:val="004030DB"/>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231D"/>
    <w:rsid w:val="004133BA"/>
    <w:rsid w:val="00413638"/>
    <w:rsid w:val="00413B4D"/>
    <w:rsid w:val="00413ED4"/>
    <w:rsid w:val="00414B0A"/>
    <w:rsid w:val="00414B6F"/>
    <w:rsid w:val="00414DD6"/>
    <w:rsid w:val="00414DE7"/>
    <w:rsid w:val="004159EE"/>
    <w:rsid w:val="00415A46"/>
    <w:rsid w:val="0041663C"/>
    <w:rsid w:val="00417E42"/>
    <w:rsid w:val="00421ECD"/>
    <w:rsid w:val="0042271D"/>
    <w:rsid w:val="00422F2E"/>
    <w:rsid w:val="004237E6"/>
    <w:rsid w:val="00424573"/>
    <w:rsid w:val="00425258"/>
    <w:rsid w:val="0042547A"/>
    <w:rsid w:val="00425D4B"/>
    <w:rsid w:val="00425FAD"/>
    <w:rsid w:val="00426287"/>
    <w:rsid w:val="00426B97"/>
    <w:rsid w:val="00426C16"/>
    <w:rsid w:val="00426CCD"/>
    <w:rsid w:val="00426D3C"/>
    <w:rsid w:val="00426F58"/>
    <w:rsid w:val="00430AD8"/>
    <w:rsid w:val="00431D9E"/>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3DB2"/>
    <w:rsid w:val="00444810"/>
    <w:rsid w:val="00444AFB"/>
    <w:rsid w:val="00444F38"/>
    <w:rsid w:val="00445781"/>
    <w:rsid w:val="00445B95"/>
    <w:rsid w:val="00446AC5"/>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59"/>
    <w:rsid w:val="004607DA"/>
    <w:rsid w:val="00460A63"/>
    <w:rsid w:val="00461628"/>
    <w:rsid w:val="00461886"/>
    <w:rsid w:val="00461F30"/>
    <w:rsid w:val="00462481"/>
    <w:rsid w:val="00462A0F"/>
    <w:rsid w:val="0046391A"/>
    <w:rsid w:val="00464FEE"/>
    <w:rsid w:val="00465126"/>
    <w:rsid w:val="004654CF"/>
    <w:rsid w:val="00465B8F"/>
    <w:rsid w:val="00465BC5"/>
    <w:rsid w:val="00466200"/>
    <w:rsid w:val="004670F4"/>
    <w:rsid w:val="00467585"/>
    <w:rsid w:val="00467813"/>
    <w:rsid w:val="00467B19"/>
    <w:rsid w:val="004700F0"/>
    <w:rsid w:val="004704E1"/>
    <w:rsid w:val="004704EB"/>
    <w:rsid w:val="00470B02"/>
    <w:rsid w:val="00470DED"/>
    <w:rsid w:val="004738CC"/>
    <w:rsid w:val="00473922"/>
    <w:rsid w:val="004742F2"/>
    <w:rsid w:val="004749A9"/>
    <w:rsid w:val="00474B56"/>
    <w:rsid w:val="00474B70"/>
    <w:rsid w:val="004750DD"/>
    <w:rsid w:val="0047645E"/>
    <w:rsid w:val="00477CA6"/>
    <w:rsid w:val="00477F89"/>
    <w:rsid w:val="004805B7"/>
    <w:rsid w:val="004807F6"/>
    <w:rsid w:val="00480C5C"/>
    <w:rsid w:val="00481512"/>
    <w:rsid w:val="004815E1"/>
    <w:rsid w:val="00481632"/>
    <w:rsid w:val="0048222C"/>
    <w:rsid w:val="004823D9"/>
    <w:rsid w:val="004824CC"/>
    <w:rsid w:val="00482F64"/>
    <w:rsid w:val="00482FF5"/>
    <w:rsid w:val="004837B0"/>
    <w:rsid w:val="0048533A"/>
    <w:rsid w:val="00485C27"/>
    <w:rsid w:val="004861E3"/>
    <w:rsid w:val="004864EC"/>
    <w:rsid w:val="00486E1F"/>
    <w:rsid w:val="00486ECD"/>
    <w:rsid w:val="00487255"/>
    <w:rsid w:val="004877A9"/>
    <w:rsid w:val="00487893"/>
    <w:rsid w:val="00491E53"/>
    <w:rsid w:val="0049221E"/>
    <w:rsid w:val="0049286D"/>
    <w:rsid w:val="00492C5B"/>
    <w:rsid w:val="0049312E"/>
    <w:rsid w:val="004933BA"/>
    <w:rsid w:val="00494084"/>
    <w:rsid w:val="004944CE"/>
    <w:rsid w:val="00494BCE"/>
    <w:rsid w:val="0049512D"/>
    <w:rsid w:val="0049547D"/>
    <w:rsid w:val="004956F3"/>
    <w:rsid w:val="00495C75"/>
    <w:rsid w:val="00496A42"/>
    <w:rsid w:val="00497B07"/>
    <w:rsid w:val="00497DFF"/>
    <w:rsid w:val="00497F32"/>
    <w:rsid w:val="004A0046"/>
    <w:rsid w:val="004A14A9"/>
    <w:rsid w:val="004A16C7"/>
    <w:rsid w:val="004A195A"/>
    <w:rsid w:val="004A2078"/>
    <w:rsid w:val="004A2959"/>
    <w:rsid w:val="004A39D9"/>
    <w:rsid w:val="004A3BE1"/>
    <w:rsid w:val="004A45C0"/>
    <w:rsid w:val="004A482A"/>
    <w:rsid w:val="004A4B79"/>
    <w:rsid w:val="004A5051"/>
    <w:rsid w:val="004A5387"/>
    <w:rsid w:val="004A54D4"/>
    <w:rsid w:val="004A7948"/>
    <w:rsid w:val="004A7ADA"/>
    <w:rsid w:val="004B044A"/>
    <w:rsid w:val="004B0657"/>
    <w:rsid w:val="004B0E71"/>
    <w:rsid w:val="004B134A"/>
    <w:rsid w:val="004B147C"/>
    <w:rsid w:val="004B256E"/>
    <w:rsid w:val="004B2D58"/>
    <w:rsid w:val="004B53F7"/>
    <w:rsid w:val="004B709E"/>
    <w:rsid w:val="004C0754"/>
    <w:rsid w:val="004C1884"/>
    <w:rsid w:val="004C52F8"/>
    <w:rsid w:val="004C552D"/>
    <w:rsid w:val="004C6663"/>
    <w:rsid w:val="004C6A1B"/>
    <w:rsid w:val="004C70BF"/>
    <w:rsid w:val="004C7F38"/>
    <w:rsid w:val="004D0F84"/>
    <w:rsid w:val="004D1CA0"/>
    <w:rsid w:val="004D3D5B"/>
    <w:rsid w:val="004D62A4"/>
    <w:rsid w:val="004D646A"/>
    <w:rsid w:val="004D6CB7"/>
    <w:rsid w:val="004D7170"/>
    <w:rsid w:val="004D786D"/>
    <w:rsid w:val="004D79CD"/>
    <w:rsid w:val="004E07B7"/>
    <w:rsid w:val="004E104C"/>
    <w:rsid w:val="004E20A4"/>
    <w:rsid w:val="004E25EB"/>
    <w:rsid w:val="004E26C6"/>
    <w:rsid w:val="004E2EF0"/>
    <w:rsid w:val="004E37B5"/>
    <w:rsid w:val="004E3C1F"/>
    <w:rsid w:val="004E42F1"/>
    <w:rsid w:val="004E5C08"/>
    <w:rsid w:val="004E61F6"/>
    <w:rsid w:val="004E670B"/>
    <w:rsid w:val="004E755F"/>
    <w:rsid w:val="004E79D0"/>
    <w:rsid w:val="004F18EA"/>
    <w:rsid w:val="004F210D"/>
    <w:rsid w:val="004F22A2"/>
    <w:rsid w:val="004F2678"/>
    <w:rsid w:val="004F2DD9"/>
    <w:rsid w:val="004F3A99"/>
    <w:rsid w:val="004F4D07"/>
    <w:rsid w:val="004F51B9"/>
    <w:rsid w:val="004F5D2B"/>
    <w:rsid w:val="004F6718"/>
    <w:rsid w:val="004F6BD5"/>
    <w:rsid w:val="004F6C21"/>
    <w:rsid w:val="004F74C3"/>
    <w:rsid w:val="004F7829"/>
    <w:rsid w:val="004F7B94"/>
    <w:rsid w:val="00500514"/>
    <w:rsid w:val="005005B7"/>
    <w:rsid w:val="0050188D"/>
    <w:rsid w:val="0050246E"/>
    <w:rsid w:val="00504207"/>
    <w:rsid w:val="005049DE"/>
    <w:rsid w:val="00504DDF"/>
    <w:rsid w:val="005050E3"/>
    <w:rsid w:val="00505C40"/>
    <w:rsid w:val="0050643D"/>
    <w:rsid w:val="00506645"/>
    <w:rsid w:val="00506BCC"/>
    <w:rsid w:val="00506D93"/>
    <w:rsid w:val="0050725D"/>
    <w:rsid w:val="00507390"/>
    <w:rsid w:val="00507D2E"/>
    <w:rsid w:val="00507D49"/>
    <w:rsid w:val="00510C3C"/>
    <w:rsid w:val="00510F3D"/>
    <w:rsid w:val="0051174F"/>
    <w:rsid w:val="00511B7C"/>
    <w:rsid w:val="005121F6"/>
    <w:rsid w:val="005124E1"/>
    <w:rsid w:val="005126A3"/>
    <w:rsid w:val="00512791"/>
    <w:rsid w:val="00512DE1"/>
    <w:rsid w:val="00513FA7"/>
    <w:rsid w:val="005145EB"/>
    <w:rsid w:val="005149CC"/>
    <w:rsid w:val="00514D8B"/>
    <w:rsid w:val="00515A9C"/>
    <w:rsid w:val="005162EA"/>
    <w:rsid w:val="00516A7C"/>
    <w:rsid w:val="00516B9F"/>
    <w:rsid w:val="00517675"/>
    <w:rsid w:val="00517CD4"/>
    <w:rsid w:val="0052022B"/>
    <w:rsid w:val="005202FC"/>
    <w:rsid w:val="00520891"/>
    <w:rsid w:val="0052138F"/>
    <w:rsid w:val="0052139B"/>
    <w:rsid w:val="00522BC7"/>
    <w:rsid w:val="00523E65"/>
    <w:rsid w:val="00523F75"/>
    <w:rsid w:val="00524716"/>
    <w:rsid w:val="00524F87"/>
    <w:rsid w:val="0052524B"/>
    <w:rsid w:val="00525557"/>
    <w:rsid w:val="00525833"/>
    <w:rsid w:val="00526131"/>
    <w:rsid w:val="00526E2B"/>
    <w:rsid w:val="00527756"/>
    <w:rsid w:val="005318BB"/>
    <w:rsid w:val="0053229A"/>
    <w:rsid w:val="005326EE"/>
    <w:rsid w:val="0053293B"/>
    <w:rsid w:val="005333D5"/>
    <w:rsid w:val="00533882"/>
    <w:rsid w:val="00533A0E"/>
    <w:rsid w:val="005341E3"/>
    <w:rsid w:val="005348C6"/>
    <w:rsid w:val="00536682"/>
    <w:rsid w:val="005374EA"/>
    <w:rsid w:val="00537BE1"/>
    <w:rsid w:val="00540675"/>
    <w:rsid w:val="005406E4"/>
    <w:rsid w:val="00540B52"/>
    <w:rsid w:val="00541A86"/>
    <w:rsid w:val="0054235C"/>
    <w:rsid w:val="0054329C"/>
    <w:rsid w:val="00543AC4"/>
    <w:rsid w:val="00545811"/>
    <w:rsid w:val="00545BF2"/>
    <w:rsid w:val="00545F04"/>
    <w:rsid w:val="0054791B"/>
    <w:rsid w:val="00550520"/>
    <w:rsid w:val="0055222E"/>
    <w:rsid w:val="0055250D"/>
    <w:rsid w:val="00554298"/>
    <w:rsid w:val="005552BF"/>
    <w:rsid w:val="00555523"/>
    <w:rsid w:val="005557DD"/>
    <w:rsid w:val="005559BA"/>
    <w:rsid w:val="00555DB9"/>
    <w:rsid w:val="0055676A"/>
    <w:rsid w:val="005567C4"/>
    <w:rsid w:val="005573F8"/>
    <w:rsid w:val="00560AC2"/>
    <w:rsid w:val="00560BB3"/>
    <w:rsid w:val="00560CCE"/>
    <w:rsid w:val="00561FA5"/>
    <w:rsid w:val="00563AEA"/>
    <w:rsid w:val="00564141"/>
    <w:rsid w:val="005644A8"/>
    <w:rsid w:val="00564814"/>
    <w:rsid w:val="00564947"/>
    <w:rsid w:val="00564BBF"/>
    <w:rsid w:val="00564E1B"/>
    <w:rsid w:val="00564F4F"/>
    <w:rsid w:val="005659BD"/>
    <w:rsid w:val="00565ED9"/>
    <w:rsid w:val="005662F1"/>
    <w:rsid w:val="005663AA"/>
    <w:rsid w:val="0056698E"/>
    <w:rsid w:val="005676F1"/>
    <w:rsid w:val="00567723"/>
    <w:rsid w:val="00567A83"/>
    <w:rsid w:val="0057090D"/>
    <w:rsid w:val="00570F42"/>
    <w:rsid w:val="00571233"/>
    <w:rsid w:val="0057130A"/>
    <w:rsid w:val="00571907"/>
    <w:rsid w:val="00571AC6"/>
    <w:rsid w:val="0057274D"/>
    <w:rsid w:val="00572924"/>
    <w:rsid w:val="00572C5F"/>
    <w:rsid w:val="0057356C"/>
    <w:rsid w:val="00573BDF"/>
    <w:rsid w:val="00573CC6"/>
    <w:rsid w:val="00573E1E"/>
    <w:rsid w:val="005744A4"/>
    <w:rsid w:val="0057633C"/>
    <w:rsid w:val="0057676F"/>
    <w:rsid w:val="005769A2"/>
    <w:rsid w:val="00576E96"/>
    <w:rsid w:val="00577E7D"/>
    <w:rsid w:val="00580625"/>
    <w:rsid w:val="00581682"/>
    <w:rsid w:val="005822FD"/>
    <w:rsid w:val="00582382"/>
    <w:rsid w:val="00582D77"/>
    <w:rsid w:val="00582DFB"/>
    <w:rsid w:val="00583203"/>
    <w:rsid w:val="0058364F"/>
    <w:rsid w:val="005842AD"/>
    <w:rsid w:val="005849EA"/>
    <w:rsid w:val="00585684"/>
    <w:rsid w:val="00585B55"/>
    <w:rsid w:val="00586CF4"/>
    <w:rsid w:val="005871A8"/>
    <w:rsid w:val="005877E5"/>
    <w:rsid w:val="0058790A"/>
    <w:rsid w:val="00590842"/>
    <w:rsid w:val="00590CDB"/>
    <w:rsid w:val="00590F88"/>
    <w:rsid w:val="00591928"/>
    <w:rsid w:val="00591D65"/>
    <w:rsid w:val="00592A43"/>
    <w:rsid w:val="00593DC3"/>
    <w:rsid w:val="0059433A"/>
    <w:rsid w:val="00594ECA"/>
    <w:rsid w:val="00595505"/>
    <w:rsid w:val="005955E3"/>
    <w:rsid w:val="005964EC"/>
    <w:rsid w:val="005968CB"/>
    <w:rsid w:val="00596AB7"/>
    <w:rsid w:val="00596B6A"/>
    <w:rsid w:val="00596D1F"/>
    <w:rsid w:val="005A1261"/>
    <w:rsid w:val="005A1DB5"/>
    <w:rsid w:val="005A31CD"/>
    <w:rsid w:val="005A4587"/>
    <w:rsid w:val="005A4A58"/>
    <w:rsid w:val="005A4C07"/>
    <w:rsid w:val="005A5F3A"/>
    <w:rsid w:val="005A7422"/>
    <w:rsid w:val="005A76AD"/>
    <w:rsid w:val="005A79D6"/>
    <w:rsid w:val="005B1353"/>
    <w:rsid w:val="005B1372"/>
    <w:rsid w:val="005B1ECD"/>
    <w:rsid w:val="005B3807"/>
    <w:rsid w:val="005B3AE2"/>
    <w:rsid w:val="005B43D5"/>
    <w:rsid w:val="005B4F87"/>
    <w:rsid w:val="005B542D"/>
    <w:rsid w:val="005B55CE"/>
    <w:rsid w:val="005B5D9A"/>
    <w:rsid w:val="005B677B"/>
    <w:rsid w:val="005B6DFF"/>
    <w:rsid w:val="005C01EE"/>
    <w:rsid w:val="005C2504"/>
    <w:rsid w:val="005C351D"/>
    <w:rsid w:val="005C41C5"/>
    <w:rsid w:val="005C5B5C"/>
    <w:rsid w:val="005C67BF"/>
    <w:rsid w:val="005C7004"/>
    <w:rsid w:val="005C77D9"/>
    <w:rsid w:val="005C7A2A"/>
    <w:rsid w:val="005D05E6"/>
    <w:rsid w:val="005D1A4D"/>
    <w:rsid w:val="005D213D"/>
    <w:rsid w:val="005D22BA"/>
    <w:rsid w:val="005D2E9B"/>
    <w:rsid w:val="005D3541"/>
    <w:rsid w:val="005D35F9"/>
    <w:rsid w:val="005D46FC"/>
    <w:rsid w:val="005D4D8B"/>
    <w:rsid w:val="005D5BBA"/>
    <w:rsid w:val="005D629A"/>
    <w:rsid w:val="005D6EFA"/>
    <w:rsid w:val="005D7183"/>
    <w:rsid w:val="005E0730"/>
    <w:rsid w:val="005E0759"/>
    <w:rsid w:val="005E0A8E"/>
    <w:rsid w:val="005E1D48"/>
    <w:rsid w:val="005E1FF0"/>
    <w:rsid w:val="005E26FB"/>
    <w:rsid w:val="005E2B27"/>
    <w:rsid w:val="005E2F31"/>
    <w:rsid w:val="005E4400"/>
    <w:rsid w:val="005E6648"/>
    <w:rsid w:val="005E681E"/>
    <w:rsid w:val="005E776F"/>
    <w:rsid w:val="005E7E70"/>
    <w:rsid w:val="005F023F"/>
    <w:rsid w:val="005F0A40"/>
    <w:rsid w:val="005F0A77"/>
    <w:rsid w:val="005F0C3A"/>
    <w:rsid w:val="005F133C"/>
    <w:rsid w:val="005F2C7A"/>
    <w:rsid w:val="005F30C1"/>
    <w:rsid w:val="005F3260"/>
    <w:rsid w:val="005F33F5"/>
    <w:rsid w:val="005F3C8C"/>
    <w:rsid w:val="005F4C89"/>
    <w:rsid w:val="005F4D7C"/>
    <w:rsid w:val="005F621E"/>
    <w:rsid w:val="005F647D"/>
    <w:rsid w:val="005F6CCC"/>
    <w:rsid w:val="006002F0"/>
    <w:rsid w:val="0060077C"/>
    <w:rsid w:val="00601949"/>
    <w:rsid w:val="00602468"/>
    <w:rsid w:val="006028D2"/>
    <w:rsid w:val="00605D03"/>
    <w:rsid w:val="00605DDB"/>
    <w:rsid w:val="006061FB"/>
    <w:rsid w:val="006063C8"/>
    <w:rsid w:val="00606EC0"/>
    <w:rsid w:val="00607AE9"/>
    <w:rsid w:val="006100D9"/>
    <w:rsid w:val="00610ED1"/>
    <w:rsid w:val="00612E06"/>
    <w:rsid w:val="006132AB"/>
    <w:rsid w:val="00613EE3"/>
    <w:rsid w:val="00613FE1"/>
    <w:rsid w:val="006140DF"/>
    <w:rsid w:val="00614799"/>
    <w:rsid w:val="00615DDA"/>
    <w:rsid w:val="00616CC2"/>
    <w:rsid w:val="00616DC1"/>
    <w:rsid w:val="0061706A"/>
    <w:rsid w:val="00617C28"/>
    <w:rsid w:val="00621192"/>
    <w:rsid w:val="00621549"/>
    <w:rsid w:val="00621B25"/>
    <w:rsid w:val="00621F6E"/>
    <w:rsid w:val="0062287B"/>
    <w:rsid w:val="00623C2F"/>
    <w:rsid w:val="00623C9A"/>
    <w:rsid w:val="006241EC"/>
    <w:rsid w:val="006242A7"/>
    <w:rsid w:val="0062464B"/>
    <w:rsid w:val="006247D3"/>
    <w:rsid w:val="00624C04"/>
    <w:rsid w:val="00624DAE"/>
    <w:rsid w:val="006250F6"/>
    <w:rsid w:val="00625243"/>
    <w:rsid w:val="006262A7"/>
    <w:rsid w:val="00626A94"/>
    <w:rsid w:val="0062770E"/>
    <w:rsid w:val="0062773D"/>
    <w:rsid w:val="00627740"/>
    <w:rsid w:val="0062794E"/>
    <w:rsid w:val="00627EF5"/>
    <w:rsid w:val="006303C8"/>
    <w:rsid w:val="00630B5A"/>
    <w:rsid w:val="0063110A"/>
    <w:rsid w:val="006317AC"/>
    <w:rsid w:val="006318B8"/>
    <w:rsid w:val="0063296E"/>
    <w:rsid w:val="0063297F"/>
    <w:rsid w:val="00635F91"/>
    <w:rsid w:val="0063688A"/>
    <w:rsid w:val="00637C91"/>
    <w:rsid w:val="00640A23"/>
    <w:rsid w:val="00640C66"/>
    <w:rsid w:val="00642829"/>
    <w:rsid w:val="00642835"/>
    <w:rsid w:val="00642CD5"/>
    <w:rsid w:val="00643351"/>
    <w:rsid w:val="00643B9A"/>
    <w:rsid w:val="006443D9"/>
    <w:rsid w:val="006455B1"/>
    <w:rsid w:val="0064565A"/>
    <w:rsid w:val="00645DD1"/>
    <w:rsid w:val="006467D5"/>
    <w:rsid w:val="00646A04"/>
    <w:rsid w:val="00646E99"/>
    <w:rsid w:val="0064702D"/>
    <w:rsid w:val="006474D1"/>
    <w:rsid w:val="006474F8"/>
    <w:rsid w:val="006501F8"/>
    <w:rsid w:val="0065141B"/>
    <w:rsid w:val="00651CC5"/>
    <w:rsid w:val="00651DFD"/>
    <w:rsid w:val="00652561"/>
    <w:rsid w:val="006527CC"/>
    <w:rsid w:val="00653B6F"/>
    <w:rsid w:val="006540E6"/>
    <w:rsid w:val="006549EA"/>
    <w:rsid w:val="00654A45"/>
    <w:rsid w:val="0065537B"/>
    <w:rsid w:val="006555FB"/>
    <w:rsid w:val="00655A41"/>
    <w:rsid w:val="0065672C"/>
    <w:rsid w:val="00657A08"/>
    <w:rsid w:val="00657E9C"/>
    <w:rsid w:val="0066042B"/>
    <w:rsid w:val="0066127A"/>
    <w:rsid w:val="00661519"/>
    <w:rsid w:val="006627C2"/>
    <w:rsid w:val="0066358C"/>
    <w:rsid w:val="00664100"/>
    <w:rsid w:val="0066484B"/>
    <w:rsid w:val="00664FB9"/>
    <w:rsid w:val="006650EA"/>
    <w:rsid w:val="0066661E"/>
    <w:rsid w:val="00666821"/>
    <w:rsid w:val="00667925"/>
    <w:rsid w:val="00670441"/>
    <w:rsid w:val="006718E5"/>
    <w:rsid w:val="00671A10"/>
    <w:rsid w:val="00672CE5"/>
    <w:rsid w:val="006739A4"/>
    <w:rsid w:val="00674103"/>
    <w:rsid w:val="00674F36"/>
    <w:rsid w:val="00674FDB"/>
    <w:rsid w:val="00675DD9"/>
    <w:rsid w:val="006760D5"/>
    <w:rsid w:val="00676C1D"/>
    <w:rsid w:val="00677D27"/>
    <w:rsid w:val="0068077A"/>
    <w:rsid w:val="006809C2"/>
    <w:rsid w:val="006809F0"/>
    <w:rsid w:val="006811ED"/>
    <w:rsid w:val="00682E75"/>
    <w:rsid w:val="006839A4"/>
    <w:rsid w:val="00683D0B"/>
    <w:rsid w:val="00683F5A"/>
    <w:rsid w:val="00684794"/>
    <w:rsid w:val="00684C37"/>
    <w:rsid w:val="00685501"/>
    <w:rsid w:val="0068602B"/>
    <w:rsid w:val="0068641B"/>
    <w:rsid w:val="006869E5"/>
    <w:rsid w:val="0068752F"/>
    <w:rsid w:val="00690EEA"/>
    <w:rsid w:val="00691169"/>
    <w:rsid w:val="00691E55"/>
    <w:rsid w:val="00691F93"/>
    <w:rsid w:val="006926BE"/>
    <w:rsid w:val="006940C2"/>
    <w:rsid w:val="00694876"/>
    <w:rsid w:val="006948A6"/>
    <w:rsid w:val="00694976"/>
    <w:rsid w:val="00695AB4"/>
    <w:rsid w:val="00696FBE"/>
    <w:rsid w:val="00697E19"/>
    <w:rsid w:val="006A00F4"/>
    <w:rsid w:val="006A06AA"/>
    <w:rsid w:val="006A096B"/>
    <w:rsid w:val="006A0E29"/>
    <w:rsid w:val="006A0EBD"/>
    <w:rsid w:val="006A138A"/>
    <w:rsid w:val="006A17EA"/>
    <w:rsid w:val="006A1A5D"/>
    <w:rsid w:val="006A221F"/>
    <w:rsid w:val="006A2A92"/>
    <w:rsid w:val="006A3519"/>
    <w:rsid w:val="006A3DB7"/>
    <w:rsid w:val="006A47CB"/>
    <w:rsid w:val="006A604C"/>
    <w:rsid w:val="006A635E"/>
    <w:rsid w:val="006A6616"/>
    <w:rsid w:val="006A731A"/>
    <w:rsid w:val="006A74B2"/>
    <w:rsid w:val="006A7A44"/>
    <w:rsid w:val="006B0C7E"/>
    <w:rsid w:val="006B107F"/>
    <w:rsid w:val="006B1EE4"/>
    <w:rsid w:val="006B228B"/>
    <w:rsid w:val="006B324C"/>
    <w:rsid w:val="006B33D4"/>
    <w:rsid w:val="006B348A"/>
    <w:rsid w:val="006B3D38"/>
    <w:rsid w:val="006B4003"/>
    <w:rsid w:val="006B4F96"/>
    <w:rsid w:val="006B55F4"/>
    <w:rsid w:val="006B5B27"/>
    <w:rsid w:val="006B5BD6"/>
    <w:rsid w:val="006B5EB2"/>
    <w:rsid w:val="006B6EB1"/>
    <w:rsid w:val="006B6FB8"/>
    <w:rsid w:val="006B7632"/>
    <w:rsid w:val="006B7FDF"/>
    <w:rsid w:val="006C0D70"/>
    <w:rsid w:val="006C19F2"/>
    <w:rsid w:val="006C358C"/>
    <w:rsid w:val="006C4A35"/>
    <w:rsid w:val="006C6A2A"/>
    <w:rsid w:val="006C7369"/>
    <w:rsid w:val="006C7791"/>
    <w:rsid w:val="006D09F4"/>
    <w:rsid w:val="006D0F43"/>
    <w:rsid w:val="006D134D"/>
    <w:rsid w:val="006D1589"/>
    <w:rsid w:val="006D1729"/>
    <w:rsid w:val="006D18B0"/>
    <w:rsid w:val="006D1920"/>
    <w:rsid w:val="006D1E11"/>
    <w:rsid w:val="006D2EFA"/>
    <w:rsid w:val="006D4276"/>
    <w:rsid w:val="006D4538"/>
    <w:rsid w:val="006D4E89"/>
    <w:rsid w:val="006D56C0"/>
    <w:rsid w:val="006D5950"/>
    <w:rsid w:val="006D6198"/>
    <w:rsid w:val="006D63F3"/>
    <w:rsid w:val="006D65DB"/>
    <w:rsid w:val="006D6652"/>
    <w:rsid w:val="006D69E1"/>
    <w:rsid w:val="006D7EEB"/>
    <w:rsid w:val="006E1320"/>
    <w:rsid w:val="006E1D53"/>
    <w:rsid w:val="006E3AB9"/>
    <w:rsid w:val="006E4199"/>
    <w:rsid w:val="006E42D0"/>
    <w:rsid w:val="006E437C"/>
    <w:rsid w:val="006E471D"/>
    <w:rsid w:val="006E4760"/>
    <w:rsid w:val="006E4B23"/>
    <w:rsid w:val="006E511B"/>
    <w:rsid w:val="006E5324"/>
    <w:rsid w:val="006E5E47"/>
    <w:rsid w:val="006E6CD5"/>
    <w:rsid w:val="006E74AF"/>
    <w:rsid w:val="006E7915"/>
    <w:rsid w:val="006F10E1"/>
    <w:rsid w:val="006F1CA3"/>
    <w:rsid w:val="006F21DF"/>
    <w:rsid w:val="006F22B4"/>
    <w:rsid w:val="006F2C03"/>
    <w:rsid w:val="006F2DD4"/>
    <w:rsid w:val="006F2E79"/>
    <w:rsid w:val="006F37F6"/>
    <w:rsid w:val="006F453E"/>
    <w:rsid w:val="006F54C6"/>
    <w:rsid w:val="006F56FB"/>
    <w:rsid w:val="006F5759"/>
    <w:rsid w:val="006F5A07"/>
    <w:rsid w:val="006F5B3E"/>
    <w:rsid w:val="006F6BA4"/>
    <w:rsid w:val="006F7FC3"/>
    <w:rsid w:val="0070125B"/>
    <w:rsid w:val="0070154F"/>
    <w:rsid w:val="00701BA5"/>
    <w:rsid w:val="007057C6"/>
    <w:rsid w:val="00705B58"/>
    <w:rsid w:val="0071018D"/>
    <w:rsid w:val="00711643"/>
    <w:rsid w:val="00711D58"/>
    <w:rsid w:val="00712C56"/>
    <w:rsid w:val="00713334"/>
    <w:rsid w:val="00713B15"/>
    <w:rsid w:val="00713B1F"/>
    <w:rsid w:val="0071455E"/>
    <w:rsid w:val="0071475A"/>
    <w:rsid w:val="007147D2"/>
    <w:rsid w:val="00714A05"/>
    <w:rsid w:val="00714A35"/>
    <w:rsid w:val="007154CF"/>
    <w:rsid w:val="00715E70"/>
    <w:rsid w:val="007165C0"/>
    <w:rsid w:val="0071695D"/>
    <w:rsid w:val="00716CC1"/>
    <w:rsid w:val="00717029"/>
    <w:rsid w:val="00720F38"/>
    <w:rsid w:val="00721ECB"/>
    <w:rsid w:val="007229DE"/>
    <w:rsid w:val="00722D39"/>
    <w:rsid w:val="00724BD6"/>
    <w:rsid w:val="007251B2"/>
    <w:rsid w:val="007271B4"/>
    <w:rsid w:val="007273C5"/>
    <w:rsid w:val="00727695"/>
    <w:rsid w:val="00727D4F"/>
    <w:rsid w:val="007323BE"/>
    <w:rsid w:val="0073255F"/>
    <w:rsid w:val="007335DB"/>
    <w:rsid w:val="0073384E"/>
    <w:rsid w:val="00733CDB"/>
    <w:rsid w:val="00733EF0"/>
    <w:rsid w:val="00733FDD"/>
    <w:rsid w:val="0073499B"/>
    <w:rsid w:val="00736977"/>
    <w:rsid w:val="00736E06"/>
    <w:rsid w:val="00737307"/>
    <w:rsid w:val="00737360"/>
    <w:rsid w:val="00737FAF"/>
    <w:rsid w:val="0074049E"/>
    <w:rsid w:val="00741AF0"/>
    <w:rsid w:val="00742860"/>
    <w:rsid w:val="007428AB"/>
    <w:rsid w:val="00743ADC"/>
    <w:rsid w:val="0074408D"/>
    <w:rsid w:val="007447A5"/>
    <w:rsid w:val="007455C8"/>
    <w:rsid w:val="00745C76"/>
    <w:rsid w:val="00745D85"/>
    <w:rsid w:val="00745DEE"/>
    <w:rsid w:val="0074667D"/>
    <w:rsid w:val="0074697F"/>
    <w:rsid w:val="0074794F"/>
    <w:rsid w:val="00747DC1"/>
    <w:rsid w:val="00747E7D"/>
    <w:rsid w:val="00750788"/>
    <w:rsid w:val="007507CF"/>
    <w:rsid w:val="00751C2C"/>
    <w:rsid w:val="00751DDE"/>
    <w:rsid w:val="007523B9"/>
    <w:rsid w:val="00752749"/>
    <w:rsid w:val="0075336C"/>
    <w:rsid w:val="00753FD3"/>
    <w:rsid w:val="007542C5"/>
    <w:rsid w:val="0075437C"/>
    <w:rsid w:val="00754686"/>
    <w:rsid w:val="007546CD"/>
    <w:rsid w:val="00754F5E"/>
    <w:rsid w:val="007555F1"/>
    <w:rsid w:val="00755721"/>
    <w:rsid w:val="00756C7E"/>
    <w:rsid w:val="007604FB"/>
    <w:rsid w:val="007615EF"/>
    <w:rsid w:val="00761B67"/>
    <w:rsid w:val="00761BA5"/>
    <w:rsid w:val="00761FCF"/>
    <w:rsid w:val="00762375"/>
    <w:rsid w:val="00763440"/>
    <w:rsid w:val="0076352C"/>
    <w:rsid w:val="00763A24"/>
    <w:rsid w:val="00763A72"/>
    <w:rsid w:val="00764085"/>
    <w:rsid w:val="0076426C"/>
    <w:rsid w:val="00764707"/>
    <w:rsid w:val="00767B35"/>
    <w:rsid w:val="007709C0"/>
    <w:rsid w:val="00770CBC"/>
    <w:rsid w:val="00770D17"/>
    <w:rsid w:val="007719FC"/>
    <w:rsid w:val="00771A5F"/>
    <w:rsid w:val="00771BA2"/>
    <w:rsid w:val="00771EA2"/>
    <w:rsid w:val="00772D14"/>
    <w:rsid w:val="0077354E"/>
    <w:rsid w:val="00773BCE"/>
    <w:rsid w:val="00773F60"/>
    <w:rsid w:val="0077524C"/>
    <w:rsid w:val="00775BE2"/>
    <w:rsid w:val="007769F4"/>
    <w:rsid w:val="00776C88"/>
    <w:rsid w:val="0077768C"/>
    <w:rsid w:val="00780869"/>
    <w:rsid w:val="007808CE"/>
    <w:rsid w:val="00780CCE"/>
    <w:rsid w:val="00780E30"/>
    <w:rsid w:val="007811CC"/>
    <w:rsid w:val="0078152D"/>
    <w:rsid w:val="007818DB"/>
    <w:rsid w:val="00781B0F"/>
    <w:rsid w:val="00781EF3"/>
    <w:rsid w:val="00781F85"/>
    <w:rsid w:val="007838FC"/>
    <w:rsid w:val="00784124"/>
    <w:rsid w:val="00784656"/>
    <w:rsid w:val="00785BF3"/>
    <w:rsid w:val="0078684A"/>
    <w:rsid w:val="00786EE8"/>
    <w:rsid w:val="007900FE"/>
    <w:rsid w:val="00790FBE"/>
    <w:rsid w:val="00791F42"/>
    <w:rsid w:val="00792302"/>
    <w:rsid w:val="007927E7"/>
    <w:rsid w:val="00792830"/>
    <w:rsid w:val="00793DC4"/>
    <w:rsid w:val="00793EF6"/>
    <w:rsid w:val="00794924"/>
    <w:rsid w:val="00794CA6"/>
    <w:rsid w:val="0079645E"/>
    <w:rsid w:val="007971B7"/>
    <w:rsid w:val="007976FB"/>
    <w:rsid w:val="00797CA0"/>
    <w:rsid w:val="007A0946"/>
    <w:rsid w:val="007A11B0"/>
    <w:rsid w:val="007A127B"/>
    <w:rsid w:val="007A1D72"/>
    <w:rsid w:val="007A26FC"/>
    <w:rsid w:val="007A33B4"/>
    <w:rsid w:val="007A4182"/>
    <w:rsid w:val="007A4635"/>
    <w:rsid w:val="007A5158"/>
    <w:rsid w:val="007A5774"/>
    <w:rsid w:val="007A6735"/>
    <w:rsid w:val="007A68F1"/>
    <w:rsid w:val="007A6CE4"/>
    <w:rsid w:val="007A6F40"/>
    <w:rsid w:val="007A7185"/>
    <w:rsid w:val="007A7788"/>
    <w:rsid w:val="007A7C4D"/>
    <w:rsid w:val="007B0214"/>
    <w:rsid w:val="007B0864"/>
    <w:rsid w:val="007B130C"/>
    <w:rsid w:val="007B1B5B"/>
    <w:rsid w:val="007B1BAB"/>
    <w:rsid w:val="007B1CD2"/>
    <w:rsid w:val="007B2C45"/>
    <w:rsid w:val="007B2F45"/>
    <w:rsid w:val="007B361F"/>
    <w:rsid w:val="007B3698"/>
    <w:rsid w:val="007B3A2C"/>
    <w:rsid w:val="007B3BD0"/>
    <w:rsid w:val="007B4029"/>
    <w:rsid w:val="007B438F"/>
    <w:rsid w:val="007B4788"/>
    <w:rsid w:val="007B4EDE"/>
    <w:rsid w:val="007B5BE3"/>
    <w:rsid w:val="007B70C3"/>
    <w:rsid w:val="007B75D5"/>
    <w:rsid w:val="007B773F"/>
    <w:rsid w:val="007B7A45"/>
    <w:rsid w:val="007B7C3C"/>
    <w:rsid w:val="007B7D6F"/>
    <w:rsid w:val="007C0459"/>
    <w:rsid w:val="007C04BC"/>
    <w:rsid w:val="007C1D62"/>
    <w:rsid w:val="007C1F31"/>
    <w:rsid w:val="007C206A"/>
    <w:rsid w:val="007C2463"/>
    <w:rsid w:val="007C285A"/>
    <w:rsid w:val="007C3562"/>
    <w:rsid w:val="007C359F"/>
    <w:rsid w:val="007C3F2A"/>
    <w:rsid w:val="007C3F4B"/>
    <w:rsid w:val="007C4164"/>
    <w:rsid w:val="007C4426"/>
    <w:rsid w:val="007C47FC"/>
    <w:rsid w:val="007C52EA"/>
    <w:rsid w:val="007C589F"/>
    <w:rsid w:val="007C6505"/>
    <w:rsid w:val="007C6F61"/>
    <w:rsid w:val="007C798B"/>
    <w:rsid w:val="007C7E5E"/>
    <w:rsid w:val="007D05E5"/>
    <w:rsid w:val="007D1168"/>
    <w:rsid w:val="007D1AC1"/>
    <w:rsid w:val="007D1CD7"/>
    <w:rsid w:val="007D20DA"/>
    <w:rsid w:val="007D2FD3"/>
    <w:rsid w:val="007D338A"/>
    <w:rsid w:val="007D4C7D"/>
    <w:rsid w:val="007D5D25"/>
    <w:rsid w:val="007D61D8"/>
    <w:rsid w:val="007D642C"/>
    <w:rsid w:val="007D7333"/>
    <w:rsid w:val="007D7C6D"/>
    <w:rsid w:val="007E05AE"/>
    <w:rsid w:val="007E0641"/>
    <w:rsid w:val="007E06CE"/>
    <w:rsid w:val="007E07F2"/>
    <w:rsid w:val="007E0D3F"/>
    <w:rsid w:val="007E167D"/>
    <w:rsid w:val="007E1889"/>
    <w:rsid w:val="007E1A47"/>
    <w:rsid w:val="007E2F35"/>
    <w:rsid w:val="007E376B"/>
    <w:rsid w:val="007E37A5"/>
    <w:rsid w:val="007E39CD"/>
    <w:rsid w:val="007E4F78"/>
    <w:rsid w:val="007E543C"/>
    <w:rsid w:val="007E5E39"/>
    <w:rsid w:val="007E5E79"/>
    <w:rsid w:val="007E5F69"/>
    <w:rsid w:val="007E5FFE"/>
    <w:rsid w:val="007E6952"/>
    <w:rsid w:val="007E6EA8"/>
    <w:rsid w:val="007E7EB0"/>
    <w:rsid w:val="007F0040"/>
    <w:rsid w:val="007F03F4"/>
    <w:rsid w:val="007F0C1B"/>
    <w:rsid w:val="007F1C08"/>
    <w:rsid w:val="007F2E3D"/>
    <w:rsid w:val="007F3E3E"/>
    <w:rsid w:val="007F40B6"/>
    <w:rsid w:val="007F452E"/>
    <w:rsid w:val="007F4693"/>
    <w:rsid w:val="007F4DE0"/>
    <w:rsid w:val="007F5766"/>
    <w:rsid w:val="007F6734"/>
    <w:rsid w:val="007F67A4"/>
    <w:rsid w:val="008002AC"/>
    <w:rsid w:val="00800878"/>
    <w:rsid w:val="0080116C"/>
    <w:rsid w:val="00801C83"/>
    <w:rsid w:val="00802911"/>
    <w:rsid w:val="00802A8E"/>
    <w:rsid w:val="008051E8"/>
    <w:rsid w:val="0080580C"/>
    <w:rsid w:val="00805A06"/>
    <w:rsid w:val="00805FEB"/>
    <w:rsid w:val="00806358"/>
    <w:rsid w:val="00806654"/>
    <w:rsid w:val="008066D8"/>
    <w:rsid w:val="00806F52"/>
    <w:rsid w:val="00806FDE"/>
    <w:rsid w:val="008073AD"/>
    <w:rsid w:val="00807A31"/>
    <w:rsid w:val="00807F1F"/>
    <w:rsid w:val="0081099F"/>
    <w:rsid w:val="008109CE"/>
    <w:rsid w:val="00810D11"/>
    <w:rsid w:val="008115E4"/>
    <w:rsid w:val="00812040"/>
    <w:rsid w:val="008124E6"/>
    <w:rsid w:val="00813374"/>
    <w:rsid w:val="008136A3"/>
    <w:rsid w:val="008140D1"/>
    <w:rsid w:val="00814A2E"/>
    <w:rsid w:val="00814B26"/>
    <w:rsid w:val="00815897"/>
    <w:rsid w:val="00815A51"/>
    <w:rsid w:val="00815F0A"/>
    <w:rsid w:val="00816752"/>
    <w:rsid w:val="00817191"/>
    <w:rsid w:val="00817D58"/>
    <w:rsid w:val="008201A2"/>
    <w:rsid w:val="0082072D"/>
    <w:rsid w:val="00820F5A"/>
    <w:rsid w:val="008217AF"/>
    <w:rsid w:val="00821C3E"/>
    <w:rsid w:val="0082233B"/>
    <w:rsid w:val="00822D67"/>
    <w:rsid w:val="00824092"/>
    <w:rsid w:val="00824229"/>
    <w:rsid w:val="00824966"/>
    <w:rsid w:val="00824E00"/>
    <w:rsid w:val="00825206"/>
    <w:rsid w:val="008254D6"/>
    <w:rsid w:val="00826537"/>
    <w:rsid w:val="00826C9F"/>
    <w:rsid w:val="008275BB"/>
    <w:rsid w:val="00827796"/>
    <w:rsid w:val="00827CA0"/>
    <w:rsid w:val="00827D13"/>
    <w:rsid w:val="00830143"/>
    <w:rsid w:val="00830720"/>
    <w:rsid w:val="008311E8"/>
    <w:rsid w:val="0083198D"/>
    <w:rsid w:val="00831DA7"/>
    <w:rsid w:val="00833CAA"/>
    <w:rsid w:val="0083432A"/>
    <w:rsid w:val="00835326"/>
    <w:rsid w:val="008353C5"/>
    <w:rsid w:val="008363DB"/>
    <w:rsid w:val="008367B9"/>
    <w:rsid w:val="00836A85"/>
    <w:rsid w:val="00836AC6"/>
    <w:rsid w:val="008407CE"/>
    <w:rsid w:val="008424BD"/>
    <w:rsid w:val="00842F85"/>
    <w:rsid w:val="008431C6"/>
    <w:rsid w:val="0084589D"/>
    <w:rsid w:val="00845BB4"/>
    <w:rsid w:val="00845EAF"/>
    <w:rsid w:val="00846FD1"/>
    <w:rsid w:val="00847C0F"/>
    <w:rsid w:val="00847F2D"/>
    <w:rsid w:val="008508B0"/>
    <w:rsid w:val="00850CDE"/>
    <w:rsid w:val="00851DA3"/>
    <w:rsid w:val="00851EC3"/>
    <w:rsid w:val="00851EFD"/>
    <w:rsid w:val="00851F41"/>
    <w:rsid w:val="00852749"/>
    <w:rsid w:val="00852BE2"/>
    <w:rsid w:val="00854127"/>
    <w:rsid w:val="008541BD"/>
    <w:rsid w:val="00854CE0"/>
    <w:rsid w:val="00855467"/>
    <w:rsid w:val="008558F4"/>
    <w:rsid w:val="00855C82"/>
    <w:rsid w:val="008569D1"/>
    <w:rsid w:val="00857105"/>
    <w:rsid w:val="00857D66"/>
    <w:rsid w:val="008604B3"/>
    <w:rsid w:val="0086050D"/>
    <w:rsid w:val="0086065E"/>
    <w:rsid w:val="00860D44"/>
    <w:rsid w:val="00861777"/>
    <w:rsid w:val="008618BC"/>
    <w:rsid w:val="0086248C"/>
    <w:rsid w:val="008625CF"/>
    <w:rsid w:val="008631A9"/>
    <w:rsid w:val="008631D6"/>
    <w:rsid w:val="00863905"/>
    <w:rsid w:val="00863F63"/>
    <w:rsid w:val="008644AA"/>
    <w:rsid w:val="00864D56"/>
    <w:rsid w:val="00866D2C"/>
    <w:rsid w:val="00870412"/>
    <w:rsid w:val="00871286"/>
    <w:rsid w:val="0087150C"/>
    <w:rsid w:val="00872977"/>
    <w:rsid w:val="00872E1D"/>
    <w:rsid w:val="0087317F"/>
    <w:rsid w:val="008731C0"/>
    <w:rsid w:val="00873488"/>
    <w:rsid w:val="00873586"/>
    <w:rsid w:val="00873600"/>
    <w:rsid w:val="008739C9"/>
    <w:rsid w:val="00873B3D"/>
    <w:rsid w:val="0087465E"/>
    <w:rsid w:val="008746CF"/>
    <w:rsid w:val="008747AD"/>
    <w:rsid w:val="00874861"/>
    <w:rsid w:val="00874E4B"/>
    <w:rsid w:val="00876F79"/>
    <w:rsid w:val="008771F7"/>
    <w:rsid w:val="00877736"/>
    <w:rsid w:val="0088114A"/>
    <w:rsid w:val="00881758"/>
    <w:rsid w:val="0088237B"/>
    <w:rsid w:val="00882863"/>
    <w:rsid w:val="00882DFA"/>
    <w:rsid w:val="00882E7A"/>
    <w:rsid w:val="00883F43"/>
    <w:rsid w:val="008841F3"/>
    <w:rsid w:val="0088455D"/>
    <w:rsid w:val="008854F6"/>
    <w:rsid w:val="0088566E"/>
    <w:rsid w:val="008861FC"/>
    <w:rsid w:val="00886DF7"/>
    <w:rsid w:val="00887916"/>
    <w:rsid w:val="00890576"/>
    <w:rsid w:val="00890A11"/>
    <w:rsid w:val="008919D8"/>
    <w:rsid w:val="00891D81"/>
    <w:rsid w:val="008923A6"/>
    <w:rsid w:val="00892F7A"/>
    <w:rsid w:val="0089332E"/>
    <w:rsid w:val="00893463"/>
    <w:rsid w:val="00893902"/>
    <w:rsid w:val="00893B3A"/>
    <w:rsid w:val="0089423F"/>
    <w:rsid w:val="0089431F"/>
    <w:rsid w:val="00894DCB"/>
    <w:rsid w:val="00895B32"/>
    <w:rsid w:val="00896169"/>
    <w:rsid w:val="00896671"/>
    <w:rsid w:val="00896A47"/>
    <w:rsid w:val="00897794"/>
    <w:rsid w:val="008A040A"/>
    <w:rsid w:val="008A08FF"/>
    <w:rsid w:val="008A0B95"/>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C29"/>
    <w:rsid w:val="008B0DE7"/>
    <w:rsid w:val="008B1D38"/>
    <w:rsid w:val="008B1DC3"/>
    <w:rsid w:val="008B280C"/>
    <w:rsid w:val="008B304A"/>
    <w:rsid w:val="008B32A3"/>
    <w:rsid w:val="008B358B"/>
    <w:rsid w:val="008B3ADC"/>
    <w:rsid w:val="008B4D28"/>
    <w:rsid w:val="008B5083"/>
    <w:rsid w:val="008B5D25"/>
    <w:rsid w:val="008B659D"/>
    <w:rsid w:val="008B6D7A"/>
    <w:rsid w:val="008B7A6C"/>
    <w:rsid w:val="008B7BEA"/>
    <w:rsid w:val="008C0197"/>
    <w:rsid w:val="008C03A0"/>
    <w:rsid w:val="008C0642"/>
    <w:rsid w:val="008C07D0"/>
    <w:rsid w:val="008C0BCA"/>
    <w:rsid w:val="008C1FAE"/>
    <w:rsid w:val="008C2336"/>
    <w:rsid w:val="008C290D"/>
    <w:rsid w:val="008C69AD"/>
    <w:rsid w:val="008C69BC"/>
    <w:rsid w:val="008C741E"/>
    <w:rsid w:val="008D08A4"/>
    <w:rsid w:val="008D0F5E"/>
    <w:rsid w:val="008D1530"/>
    <w:rsid w:val="008D323A"/>
    <w:rsid w:val="008D3488"/>
    <w:rsid w:val="008D4621"/>
    <w:rsid w:val="008D4D05"/>
    <w:rsid w:val="008D556A"/>
    <w:rsid w:val="008D5696"/>
    <w:rsid w:val="008D619E"/>
    <w:rsid w:val="008D65F2"/>
    <w:rsid w:val="008D6BAE"/>
    <w:rsid w:val="008E0D8F"/>
    <w:rsid w:val="008E1011"/>
    <w:rsid w:val="008E128C"/>
    <w:rsid w:val="008E2A8E"/>
    <w:rsid w:val="008E3B40"/>
    <w:rsid w:val="008E4381"/>
    <w:rsid w:val="008E4D7B"/>
    <w:rsid w:val="008E601C"/>
    <w:rsid w:val="008E626D"/>
    <w:rsid w:val="008E7BE4"/>
    <w:rsid w:val="008E7CA7"/>
    <w:rsid w:val="008F0E19"/>
    <w:rsid w:val="008F156B"/>
    <w:rsid w:val="008F191F"/>
    <w:rsid w:val="008F2F0A"/>
    <w:rsid w:val="008F449A"/>
    <w:rsid w:val="008F55C0"/>
    <w:rsid w:val="008F5751"/>
    <w:rsid w:val="008F594D"/>
    <w:rsid w:val="008F5EA9"/>
    <w:rsid w:val="008F7C2F"/>
    <w:rsid w:val="008F7D49"/>
    <w:rsid w:val="00900109"/>
    <w:rsid w:val="00900130"/>
    <w:rsid w:val="00901034"/>
    <w:rsid w:val="009024D7"/>
    <w:rsid w:val="0090254C"/>
    <w:rsid w:val="00902D20"/>
    <w:rsid w:val="0090353E"/>
    <w:rsid w:val="0090392D"/>
    <w:rsid w:val="00904D25"/>
    <w:rsid w:val="00904E04"/>
    <w:rsid w:val="00905541"/>
    <w:rsid w:val="00906450"/>
    <w:rsid w:val="0090683B"/>
    <w:rsid w:val="00906E6B"/>
    <w:rsid w:val="00907B80"/>
    <w:rsid w:val="00910CA5"/>
    <w:rsid w:val="00911600"/>
    <w:rsid w:val="009118C9"/>
    <w:rsid w:val="00911DB3"/>
    <w:rsid w:val="00912427"/>
    <w:rsid w:val="00912854"/>
    <w:rsid w:val="009128E3"/>
    <w:rsid w:val="0091461A"/>
    <w:rsid w:val="00914E8B"/>
    <w:rsid w:val="009152C8"/>
    <w:rsid w:val="00915CAD"/>
    <w:rsid w:val="00915CE8"/>
    <w:rsid w:val="00916F91"/>
    <w:rsid w:val="009172B6"/>
    <w:rsid w:val="00917CA5"/>
    <w:rsid w:val="009207CD"/>
    <w:rsid w:val="00920A83"/>
    <w:rsid w:val="00921949"/>
    <w:rsid w:val="0092206D"/>
    <w:rsid w:val="00922889"/>
    <w:rsid w:val="0092319C"/>
    <w:rsid w:val="00923573"/>
    <w:rsid w:val="00923DBC"/>
    <w:rsid w:val="00924580"/>
    <w:rsid w:val="00924D5F"/>
    <w:rsid w:val="009254E1"/>
    <w:rsid w:val="00925B41"/>
    <w:rsid w:val="00925F6E"/>
    <w:rsid w:val="00926535"/>
    <w:rsid w:val="00926FCA"/>
    <w:rsid w:val="00927160"/>
    <w:rsid w:val="0092766E"/>
    <w:rsid w:val="00927A54"/>
    <w:rsid w:val="00930568"/>
    <w:rsid w:val="00931E5C"/>
    <w:rsid w:val="00932284"/>
    <w:rsid w:val="00932A83"/>
    <w:rsid w:val="009331AF"/>
    <w:rsid w:val="00933AF5"/>
    <w:rsid w:val="00933E4D"/>
    <w:rsid w:val="009340F4"/>
    <w:rsid w:val="00934291"/>
    <w:rsid w:val="009345DF"/>
    <w:rsid w:val="009354DB"/>
    <w:rsid w:val="00935AF5"/>
    <w:rsid w:val="00936833"/>
    <w:rsid w:val="00940C05"/>
    <w:rsid w:val="00942618"/>
    <w:rsid w:val="00943851"/>
    <w:rsid w:val="00943C7C"/>
    <w:rsid w:val="00944510"/>
    <w:rsid w:val="00944CB1"/>
    <w:rsid w:val="00944D93"/>
    <w:rsid w:val="00945B2A"/>
    <w:rsid w:val="00945B4F"/>
    <w:rsid w:val="00947CCD"/>
    <w:rsid w:val="0095136E"/>
    <w:rsid w:val="00951737"/>
    <w:rsid w:val="009518B9"/>
    <w:rsid w:val="00953021"/>
    <w:rsid w:val="009534C0"/>
    <w:rsid w:val="009539D5"/>
    <w:rsid w:val="009540A6"/>
    <w:rsid w:val="009541BF"/>
    <w:rsid w:val="00954802"/>
    <w:rsid w:val="00954D23"/>
    <w:rsid w:val="00955131"/>
    <w:rsid w:val="0095513A"/>
    <w:rsid w:val="00956967"/>
    <w:rsid w:val="00956987"/>
    <w:rsid w:val="00956C0F"/>
    <w:rsid w:val="00956D25"/>
    <w:rsid w:val="00957A42"/>
    <w:rsid w:val="00957CE3"/>
    <w:rsid w:val="009615C0"/>
    <w:rsid w:val="00961EB4"/>
    <w:rsid w:val="009623DB"/>
    <w:rsid w:val="00963200"/>
    <w:rsid w:val="009634A8"/>
    <w:rsid w:val="00963865"/>
    <w:rsid w:val="009647DE"/>
    <w:rsid w:val="00964CFD"/>
    <w:rsid w:val="009650E8"/>
    <w:rsid w:val="00965BE5"/>
    <w:rsid w:val="00965D6D"/>
    <w:rsid w:val="0096721E"/>
    <w:rsid w:val="009678CB"/>
    <w:rsid w:val="00967A83"/>
    <w:rsid w:val="009700F7"/>
    <w:rsid w:val="00970D15"/>
    <w:rsid w:val="009717E4"/>
    <w:rsid w:val="00971861"/>
    <w:rsid w:val="00972C4F"/>
    <w:rsid w:val="00972D60"/>
    <w:rsid w:val="00972FF8"/>
    <w:rsid w:val="009739A5"/>
    <w:rsid w:val="00973B22"/>
    <w:rsid w:val="00974CB3"/>
    <w:rsid w:val="00974CC9"/>
    <w:rsid w:val="00975460"/>
    <w:rsid w:val="009765F9"/>
    <w:rsid w:val="009768B0"/>
    <w:rsid w:val="00980447"/>
    <w:rsid w:val="00980C1A"/>
    <w:rsid w:val="0098119B"/>
    <w:rsid w:val="00981DFA"/>
    <w:rsid w:val="009831ED"/>
    <w:rsid w:val="00983939"/>
    <w:rsid w:val="00983D97"/>
    <w:rsid w:val="0098535F"/>
    <w:rsid w:val="00985369"/>
    <w:rsid w:val="0098570A"/>
    <w:rsid w:val="00985785"/>
    <w:rsid w:val="0098653C"/>
    <w:rsid w:val="009865D9"/>
    <w:rsid w:val="00986B40"/>
    <w:rsid w:val="00986D20"/>
    <w:rsid w:val="00986D76"/>
    <w:rsid w:val="0099002E"/>
    <w:rsid w:val="0099074D"/>
    <w:rsid w:val="009917E4"/>
    <w:rsid w:val="0099233F"/>
    <w:rsid w:val="00992ADB"/>
    <w:rsid w:val="009937FC"/>
    <w:rsid w:val="00995784"/>
    <w:rsid w:val="00995E79"/>
    <w:rsid w:val="0099634D"/>
    <w:rsid w:val="00997714"/>
    <w:rsid w:val="00997E1E"/>
    <w:rsid w:val="009A0F2E"/>
    <w:rsid w:val="009A1363"/>
    <w:rsid w:val="009A13FE"/>
    <w:rsid w:val="009A1BFF"/>
    <w:rsid w:val="009A1F70"/>
    <w:rsid w:val="009A23D1"/>
    <w:rsid w:val="009A2623"/>
    <w:rsid w:val="009A26B4"/>
    <w:rsid w:val="009A351E"/>
    <w:rsid w:val="009A36C9"/>
    <w:rsid w:val="009A3F4F"/>
    <w:rsid w:val="009A41E9"/>
    <w:rsid w:val="009A474F"/>
    <w:rsid w:val="009A58D9"/>
    <w:rsid w:val="009A5CF4"/>
    <w:rsid w:val="009A6F18"/>
    <w:rsid w:val="009A74C6"/>
    <w:rsid w:val="009B0A5F"/>
    <w:rsid w:val="009B0EBD"/>
    <w:rsid w:val="009B24A4"/>
    <w:rsid w:val="009B2621"/>
    <w:rsid w:val="009B34E3"/>
    <w:rsid w:val="009B38A3"/>
    <w:rsid w:val="009B5081"/>
    <w:rsid w:val="009B5AA2"/>
    <w:rsid w:val="009B699D"/>
    <w:rsid w:val="009B6D2B"/>
    <w:rsid w:val="009B7701"/>
    <w:rsid w:val="009C0924"/>
    <w:rsid w:val="009C10EE"/>
    <w:rsid w:val="009C2A4C"/>
    <w:rsid w:val="009C2CB0"/>
    <w:rsid w:val="009C397E"/>
    <w:rsid w:val="009C3B75"/>
    <w:rsid w:val="009C3E28"/>
    <w:rsid w:val="009C4064"/>
    <w:rsid w:val="009C434F"/>
    <w:rsid w:val="009C43F3"/>
    <w:rsid w:val="009C4AC7"/>
    <w:rsid w:val="009C4CDC"/>
    <w:rsid w:val="009C4CE2"/>
    <w:rsid w:val="009C4FC4"/>
    <w:rsid w:val="009C5C24"/>
    <w:rsid w:val="009C7251"/>
    <w:rsid w:val="009C7B27"/>
    <w:rsid w:val="009D037F"/>
    <w:rsid w:val="009D076A"/>
    <w:rsid w:val="009D0B09"/>
    <w:rsid w:val="009D15E2"/>
    <w:rsid w:val="009D194F"/>
    <w:rsid w:val="009D1F58"/>
    <w:rsid w:val="009D2930"/>
    <w:rsid w:val="009D2AE5"/>
    <w:rsid w:val="009D2CF3"/>
    <w:rsid w:val="009D3705"/>
    <w:rsid w:val="009D37F9"/>
    <w:rsid w:val="009D3921"/>
    <w:rsid w:val="009D3CBC"/>
    <w:rsid w:val="009D47EF"/>
    <w:rsid w:val="009D4AD8"/>
    <w:rsid w:val="009D4B56"/>
    <w:rsid w:val="009D4C64"/>
    <w:rsid w:val="009D6C33"/>
    <w:rsid w:val="009D7273"/>
    <w:rsid w:val="009D7C39"/>
    <w:rsid w:val="009E0981"/>
    <w:rsid w:val="009E0D5C"/>
    <w:rsid w:val="009E114C"/>
    <w:rsid w:val="009E181C"/>
    <w:rsid w:val="009E230A"/>
    <w:rsid w:val="009E34EE"/>
    <w:rsid w:val="009E3AE6"/>
    <w:rsid w:val="009E3C16"/>
    <w:rsid w:val="009E4DD0"/>
    <w:rsid w:val="009E7AE3"/>
    <w:rsid w:val="009E7B97"/>
    <w:rsid w:val="009E7C57"/>
    <w:rsid w:val="009F00F6"/>
    <w:rsid w:val="009F09F3"/>
    <w:rsid w:val="009F130C"/>
    <w:rsid w:val="009F2214"/>
    <w:rsid w:val="009F22FC"/>
    <w:rsid w:val="009F2D54"/>
    <w:rsid w:val="009F2F92"/>
    <w:rsid w:val="009F3395"/>
    <w:rsid w:val="009F4163"/>
    <w:rsid w:val="009F50DD"/>
    <w:rsid w:val="009F5B7A"/>
    <w:rsid w:val="009F64C4"/>
    <w:rsid w:val="009F70B8"/>
    <w:rsid w:val="00A009B3"/>
    <w:rsid w:val="00A00C92"/>
    <w:rsid w:val="00A02691"/>
    <w:rsid w:val="00A03272"/>
    <w:rsid w:val="00A03790"/>
    <w:rsid w:val="00A049E5"/>
    <w:rsid w:val="00A056AF"/>
    <w:rsid w:val="00A05C30"/>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1065"/>
    <w:rsid w:val="00A2144C"/>
    <w:rsid w:val="00A218E5"/>
    <w:rsid w:val="00A2227D"/>
    <w:rsid w:val="00A22431"/>
    <w:rsid w:val="00A2266B"/>
    <w:rsid w:val="00A2279E"/>
    <w:rsid w:val="00A23769"/>
    <w:rsid w:val="00A24EAE"/>
    <w:rsid w:val="00A25699"/>
    <w:rsid w:val="00A25A39"/>
    <w:rsid w:val="00A26754"/>
    <w:rsid w:val="00A26989"/>
    <w:rsid w:val="00A27BCB"/>
    <w:rsid w:val="00A304D0"/>
    <w:rsid w:val="00A309F9"/>
    <w:rsid w:val="00A30ED2"/>
    <w:rsid w:val="00A343EB"/>
    <w:rsid w:val="00A345A7"/>
    <w:rsid w:val="00A3690C"/>
    <w:rsid w:val="00A36D11"/>
    <w:rsid w:val="00A371EB"/>
    <w:rsid w:val="00A379BD"/>
    <w:rsid w:val="00A37D42"/>
    <w:rsid w:val="00A41E6F"/>
    <w:rsid w:val="00A425C1"/>
    <w:rsid w:val="00A4289D"/>
    <w:rsid w:val="00A431C0"/>
    <w:rsid w:val="00A43902"/>
    <w:rsid w:val="00A4426D"/>
    <w:rsid w:val="00A442AC"/>
    <w:rsid w:val="00A44901"/>
    <w:rsid w:val="00A44B7E"/>
    <w:rsid w:val="00A44FDF"/>
    <w:rsid w:val="00A450A8"/>
    <w:rsid w:val="00A4568A"/>
    <w:rsid w:val="00A477C8"/>
    <w:rsid w:val="00A50BCE"/>
    <w:rsid w:val="00A51227"/>
    <w:rsid w:val="00A517BD"/>
    <w:rsid w:val="00A52410"/>
    <w:rsid w:val="00A5330A"/>
    <w:rsid w:val="00A533C0"/>
    <w:rsid w:val="00A53BE0"/>
    <w:rsid w:val="00A55075"/>
    <w:rsid w:val="00A55120"/>
    <w:rsid w:val="00A553A4"/>
    <w:rsid w:val="00A56520"/>
    <w:rsid w:val="00A6017F"/>
    <w:rsid w:val="00A60A88"/>
    <w:rsid w:val="00A60C9C"/>
    <w:rsid w:val="00A6117A"/>
    <w:rsid w:val="00A61C04"/>
    <w:rsid w:val="00A61DC9"/>
    <w:rsid w:val="00A6310C"/>
    <w:rsid w:val="00A63A13"/>
    <w:rsid w:val="00A6423D"/>
    <w:rsid w:val="00A643F8"/>
    <w:rsid w:val="00A65A4A"/>
    <w:rsid w:val="00A65DD1"/>
    <w:rsid w:val="00A66754"/>
    <w:rsid w:val="00A6760C"/>
    <w:rsid w:val="00A67BC9"/>
    <w:rsid w:val="00A70557"/>
    <w:rsid w:val="00A70C31"/>
    <w:rsid w:val="00A712CE"/>
    <w:rsid w:val="00A71DB5"/>
    <w:rsid w:val="00A729A6"/>
    <w:rsid w:val="00A7346F"/>
    <w:rsid w:val="00A73ABA"/>
    <w:rsid w:val="00A74C39"/>
    <w:rsid w:val="00A75916"/>
    <w:rsid w:val="00A75C0F"/>
    <w:rsid w:val="00A760F3"/>
    <w:rsid w:val="00A776C2"/>
    <w:rsid w:val="00A776D1"/>
    <w:rsid w:val="00A77E09"/>
    <w:rsid w:val="00A77E3F"/>
    <w:rsid w:val="00A8106D"/>
    <w:rsid w:val="00A816AF"/>
    <w:rsid w:val="00A81720"/>
    <w:rsid w:val="00A818E4"/>
    <w:rsid w:val="00A82B19"/>
    <w:rsid w:val="00A83ED1"/>
    <w:rsid w:val="00A84DE6"/>
    <w:rsid w:val="00A8686B"/>
    <w:rsid w:val="00A86B63"/>
    <w:rsid w:val="00A87111"/>
    <w:rsid w:val="00A90D15"/>
    <w:rsid w:val="00A90F3D"/>
    <w:rsid w:val="00A92878"/>
    <w:rsid w:val="00A929A2"/>
    <w:rsid w:val="00A92FE9"/>
    <w:rsid w:val="00A9340A"/>
    <w:rsid w:val="00A934BA"/>
    <w:rsid w:val="00A93AAD"/>
    <w:rsid w:val="00A93DF7"/>
    <w:rsid w:val="00A94383"/>
    <w:rsid w:val="00A94545"/>
    <w:rsid w:val="00A95A20"/>
    <w:rsid w:val="00A96F32"/>
    <w:rsid w:val="00A970B2"/>
    <w:rsid w:val="00A9721B"/>
    <w:rsid w:val="00AA0050"/>
    <w:rsid w:val="00AA04B8"/>
    <w:rsid w:val="00AA0635"/>
    <w:rsid w:val="00AA1412"/>
    <w:rsid w:val="00AA162D"/>
    <w:rsid w:val="00AA1804"/>
    <w:rsid w:val="00AA187F"/>
    <w:rsid w:val="00AA21C4"/>
    <w:rsid w:val="00AA26CD"/>
    <w:rsid w:val="00AA2A40"/>
    <w:rsid w:val="00AA36ED"/>
    <w:rsid w:val="00AA3715"/>
    <w:rsid w:val="00AA37B5"/>
    <w:rsid w:val="00AA4860"/>
    <w:rsid w:val="00AA4899"/>
    <w:rsid w:val="00AA48B5"/>
    <w:rsid w:val="00AA4C07"/>
    <w:rsid w:val="00AA5046"/>
    <w:rsid w:val="00AA5262"/>
    <w:rsid w:val="00AA5AB7"/>
    <w:rsid w:val="00AA5BE3"/>
    <w:rsid w:val="00AA77EF"/>
    <w:rsid w:val="00AB019A"/>
    <w:rsid w:val="00AB11CB"/>
    <w:rsid w:val="00AB19E1"/>
    <w:rsid w:val="00AB22B2"/>
    <w:rsid w:val="00AB2877"/>
    <w:rsid w:val="00AB2F06"/>
    <w:rsid w:val="00AB315D"/>
    <w:rsid w:val="00AB3E95"/>
    <w:rsid w:val="00AB7491"/>
    <w:rsid w:val="00AB7519"/>
    <w:rsid w:val="00AB7A7D"/>
    <w:rsid w:val="00AC032B"/>
    <w:rsid w:val="00AC0487"/>
    <w:rsid w:val="00AC0561"/>
    <w:rsid w:val="00AC1320"/>
    <w:rsid w:val="00AC1E7A"/>
    <w:rsid w:val="00AC2E6C"/>
    <w:rsid w:val="00AC4379"/>
    <w:rsid w:val="00AC4892"/>
    <w:rsid w:val="00AC52EE"/>
    <w:rsid w:val="00AC5372"/>
    <w:rsid w:val="00AC656E"/>
    <w:rsid w:val="00AC6B32"/>
    <w:rsid w:val="00AC6CEC"/>
    <w:rsid w:val="00AC6EAD"/>
    <w:rsid w:val="00AC7C73"/>
    <w:rsid w:val="00AD099A"/>
    <w:rsid w:val="00AD18C9"/>
    <w:rsid w:val="00AD1F52"/>
    <w:rsid w:val="00AD2106"/>
    <w:rsid w:val="00AD26BD"/>
    <w:rsid w:val="00AD285B"/>
    <w:rsid w:val="00AD3A05"/>
    <w:rsid w:val="00AD3AEF"/>
    <w:rsid w:val="00AD4AC1"/>
    <w:rsid w:val="00AD554D"/>
    <w:rsid w:val="00AD6676"/>
    <w:rsid w:val="00AD67B3"/>
    <w:rsid w:val="00AD68C8"/>
    <w:rsid w:val="00AD6C4D"/>
    <w:rsid w:val="00AD70D1"/>
    <w:rsid w:val="00AD785D"/>
    <w:rsid w:val="00AE0021"/>
    <w:rsid w:val="00AE0AF7"/>
    <w:rsid w:val="00AE0E2E"/>
    <w:rsid w:val="00AE1841"/>
    <w:rsid w:val="00AE2231"/>
    <w:rsid w:val="00AE2348"/>
    <w:rsid w:val="00AE24DA"/>
    <w:rsid w:val="00AE25A2"/>
    <w:rsid w:val="00AE283B"/>
    <w:rsid w:val="00AE4C8C"/>
    <w:rsid w:val="00AE519C"/>
    <w:rsid w:val="00AE5231"/>
    <w:rsid w:val="00AE549F"/>
    <w:rsid w:val="00AE588D"/>
    <w:rsid w:val="00AE5D50"/>
    <w:rsid w:val="00AE624F"/>
    <w:rsid w:val="00AE63E4"/>
    <w:rsid w:val="00AE73B3"/>
    <w:rsid w:val="00AE7A44"/>
    <w:rsid w:val="00AE7B48"/>
    <w:rsid w:val="00AF007F"/>
    <w:rsid w:val="00AF0173"/>
    <w:rsid w:val="00AF1536"/>
    <w:rsid w:val="00AF15D7"/>
    <w:rsid w:val="00AF1A4C"/>
    <w:rsid w:val="00AF2B90"/>
    <w:rsid w:val="00AF343C"/>
    <w:rsid w:val="00AF3AB9"/>
    <w:rsid w:val="00AF3FA5"/>
    <w:rsid w:val="00AF4827"/>
    <w:rsid w:val="00AF4BC0"/>
    <w:rsid w:val="00AF4CF2"/>
    <w:rsid w:val="00AF4F99"/>
    <w:rsid w:val="00AF501B"/>
    <w:rsid w:val="00AF5898"/>
    <w:rsid w:val="00AF62F4"/>
    <w:rsid w:val="00AF6473"/>
    <w:rsid w:val="00AF7CBB"/>
    <w:rsid w:val="00AF7F4D"/>
    <w:rsid w:val="00B00065"/>
    <w:rsid w:val="00B00E7F"/>
    <w:rsid w:val="00B01DF9"/>
    <w:rsid w:val="00B01EDB"/>
    <w:rsid w:val="00B028FA"/>
    <w:rsid w:val="00B03566"/>
    <w:rsid w:val="00B036E0"/>
    <w:rsid w:val="00B03C25"/>
    <w:rsid w:val="00B04490"/>
    <w:rsid w:val="00B0491A"/>
    <w:rsid w:val="00B04D39"/>
    <w:rsid w:val="00B04FAE"/>
    <w:rsid w:val="00B0534B"/>
    <w:rsid w:val="00B0584C"/>
    <w:rsid w:val="00B05ECB"/>
    <w:rsid w:val="00B067AF"/>
    <w:rsid w:val="00B06B93"/>
    <w:rsid w:val="00B073DA"/>
    <w:rsid w:val="00B10129"/>
    <w:rsid w:val="00B101B1"/>
    <w:rsid w:val="00B1026B"/>
    <w:rsid w:val="00B10713"/>
    <w:rsid w:val="00B10F2A"/>
    <w:rsid w:val="00B11B90"/>
    <w:rsid w:val="00B11D89"/>
    <w:rsid w:val="00B121C0"/>
    <w:rsid w:val="00B12FBB"/>
    <w:rsid w:val="00B14147"/>
    <w:rsid w:val="00B145C4"/>
    <w:rsid w:val="00B14699"/>
    <w:rsid w:val="00B14DB1"/>
    <w:rsid w:val="00B156B7"/>
    <w:rsid w:val="00B1585A"/>
    <w:rsid w:val="00B15A0B"/>
    <w:rsid w:val="00B15F1B"/>
    <w:rsid w:val="00B16181"/>
    <w:rsid w:val="00B16537"/>
    <w:rsid w:val="00B16D68"/>
    <w:rsid w:val="00B16D73"/>
    <w:rsid w:val="00B17BE7"/>
    <w:rsid w:val="00B17D56"/>
    <w:rsid w:val="00B204F6"/>
    <w:rsid w:val="00B21F71"/>
    <w:rsid w:val="00B22D1D"/>
    <w:rsid w:val="00B22D45"/>
    <w:rsid w:val="00B238C9"/>
    <w:rsid w:val="00B23917"/>
    <w:rsid w:val="00B2415B"/>
    <w:rsid w:val="00B248C2"/>
    <w:rsid w:val="00B27178"/>
    <w:rsid w:val="00B2717C"/>
    <w:rsid w:val="00B3092D"/>
    <w:rsid w:val="00B30A4B"/>
    <w:rsid w:val="00B30B15"/>
    <w:rsid w:val="00B31853"/>
    <w:rsid w:val="00B3191E"/>
    <w:rsid w:val="00B31E1E"/>
    <w:rsid w:val="00B32204"/>
    <w:rsid w:val="00B3236F"/>
    <w:rsid w:val="00B32CE7"/>
    <w:rsid w:val="00B333E1"/>
    <w:rsid w:val="00B33DB2"/>
    <w:rsid w:val="00B33F8E"/>
    <w:rsid w:val="00B3407F"/>
    <w:rsid w:val="00B345D2"/>
    <w:rsid w:val="00B35148"/>
    <w:rsid w:val="00B35C3C"/>
    <w:rsid w:val="00B36740"/>
    <w:rsid w:val="00B3716B"/>
    <w:rsid w:val="00B3768B"/>
    <w:rsid w:val="00B37DE4"/>
    <w:rsid w:val="00B40845"/>
    <w:rsid w:val="00B40FE7"/>
    <w:rsid w:val="00B41906"/>
    <w:rsid w:val="00B42D55"/>
    <w:rsid w:val="00B460AB"/>
    <w:rsid w:val="00B473B8"/>
    <w:rsid w:val="00B506E4"/>
    <w:rsid w:val="00B5187F"/>
    <w:rsid w:val="00B52F0B"/>
    <w:rsid w:val="00B53D03"/>
    <w:rsid w:val="00B55722"/>
    <w:rsid w:val="00B557E1"/>
    <w:rsid w:val="00B558D1"/>
    <w:rsid w:val="00B56207"/>
    <w:rsid w:val="00B56D7A"/>
    <w:rsid w:val="00B61369"/>
    <w:rsid w:val="00B63DBC"/>
    <w:rsid w:val="00B64716"/>
    <w:rsid w:val="00B649ED"/>
    <w:rsid w:val="00B64E56"/>
    <w:rsid w:val="00B64FA6"/>
    <w:rsid w:val="00B66C2B"/>
    <w:rsid w:val="00B712BB"/>
    <w:rsid w:val="00B7175B"/>
    <w:rsid w:val="00B718C5"/>
    <w:rsid w:val="00B730D5"/>
    <w:rsid w:val="00B73405"/>
    <w:rsid w:val="00B73D09"/>
    <w:rsid w:val="00B73EE4"/>
    <w:rsid w:val="00B740D7"/>
    <w:rsid w:val="00B7416C"/>
    <w:rsid w:val="00B74604"/>
    <w:rsid w:val="00B74BA0"/>
    <w:rsid w:val="00B75904"/>
    <w:rsid w:val="00B760E3"/>
    <w:rsid w:val="00B80280"/>
    <w:rsid w:val="00B80847"/>
    <w:rsid w:val="00B80B44"/>
    <w:rsid w:val="00B81F41"/>
    <w:rsid w:val="00B82263"/>
    <w:rsid w:val="00B829A2"/>
    <w:rsid w:val="00B82BD0"/>
    <w:rsid w:val="00B82C93"/>
    <w:rsid w:val="00B82F8E"/>
    <w:rsid w:val="00B84396"/>
    <w:rsid w:val="00B845A2"/>
    <w:rsid w:val="00B84611"/>
    <w:rsid w:val="00B84806"/>
    <w:rsid w:val="00B84E0E"/>
    <w:rsid w:val="00B84FB9"/>
    <w:rsid w:val="00B85493"/>
    <w:rsid w:val="00B85D6B"/>
    <w:rsid w:val="00B8726C"/>
    <w:rsid w:val="00B87793"/>
    <w:rsid w:val="00B879AD"/>
    <w:rsid w:val="00B90A19"/>
    <w:rsid w:val="00B90FBC"/>
    <w:rsid w:val="00B915B7"/>
    <w:rsid w:val="00B91C34"/>
    <w:rsid w:val="00B9224A"/>
    <w:rsid w:val="00B9228D"/>
    <w:rsid w:val="00B9249D"/>
    <w:rsid w:val="00B928A6"/>
    <w:rsid w:val="00B92B28"/>
    <w:rsid w:val="00B94C5B"/>
    <w:rsid w:val="00B94C69"/>
    <w:rsid w:val="00B9516C"/>
    <w:rsid w:val="00B96229"/>
    <w:rsid w:val="00B96240"/>
    <w:rsid w:val="00B964E7"/>
    <w:rsid w:val="00B9798A"/>
    <w:rsid w:val="00B97E0C"/>
    <w:rsid w:val="00BA00FE"/>
    <w:rsid w:val="00BA03D4"/>
    <w:rsid w:val="00BA1766"/>
    <w:rsid w:val="00BA29C7"/>
    <w:rsid w:val="00BA2CE6"/>
    <w:rsid w:val="00BA2FCE"/>
    <w:rsid w:val="00BA341A"/>
    <w:rsid w:val="00BA3BF9"/>
    <w:rsid w:val="00BA3F9C"/>
    <w:rsid w:val="00BA5C2F"/>
    <w:rsid w:val="00BA6488"/>
    <w:rsid w:val="00BA6CA3"/>
    <w:rsid w:val="00BA74AB"/>
    <w:rsid w:val="00BA789B"/>
    <w:rsid w:val="00BA7F0D"/>
    <w:rsid w:val="00BB0786"/>
    <w:rsid w:val="00BB1C58"/>
    <w:rsid w:val="00BB2296"/>
    <w:rsid w:val="00BB43C3"/>
    <w:rsid w:val="00BB4412"/>
    <w:rsid w:val="00BB5B76"/>
    <w:rsid w:val="00BB639A"/>
    <w:rsid w:val="00BB65C9"/>
    <w:rsid w:val="00BB6CDC"/>
    <w:rsid w:val="00BB6F16"/>
    <w:rsid w:val="00BB7408"/>
    <w:rsid w:val="00BB76E2"/>
    <w:rsid w:val="00BC03DE"/>
    <w:rsid w:val="00BC0E24"/>
    <w:rsid w:val="00BC124D"/>
    <w:rsid w:val="00BC1495"/>
    <w:rsid w:val="00BC2790"/>
    <w:rsid w:val="00BC348C"/>
    <w:rsid w:val="00BC3892"/>
    <w:rsid w:val="00BC43B5"/>
    <w:rsid w:val="00BC475A"/>
    <w:rsid w:val="00BC4BD9"/>
    <w:rsid w:val="00BC4E9C"/>
    <w:rsid w:val="00BC4FDC"/>
    <w:rsid w:val="00BC58C9"/>
    <w:rsid w:val="00BC5BCB"/>
    <w:rsid w:val="00BC5F7D"/>
    <w:rsid w:val="00BC6062"/>
    <w:rsid w:val="00BC65EF"/>
    <w:rsid w:val="00BC67CE"/>
    <w:rsid w:val="00BC699E"/>
    <w:rsid w:val="00BC69CF"/>
    <w:rsid w:val="00BC7D20"/>
    <w:rsid w:val="00BD0221"/>
    <w:rsid w:val="00BD089C"/>
    <w:rsid w:val="00BD0B37"/>
    <w:rsid w:val="00BD0CE9"/>
    <w:rsid w:val="00BD0E48"/>
    <w:rsid w:val="00BD12C0"/>
    <w:rsid w:val="00BD1CD8"/>
    <w:rsid w:val="00BD2F8E"/>
    <w:rsid w:val="00BD30D5"/>
    <w:rsid w:val="00BD3281"/>
    <w:rsid w:val="00BD538C"/>
    <w:rsid w:val="00BD59D4"/>
    <w:rsid w:val="00BD60D9"/>
    <w:rsid w:val="00BD6CF4"/>
    <w:rsid w:val="00BD76C5"/>
    <w:rsid w:val="00BD79ED"/>
    <w:rsid w:val="00BD7E91"/>
    <w:rsid w:val="00BE04D0"/>
    <w:rsid w:val="00BE0664"/>
    <w:rsid w:val="00BE0DE5"/>
    <w:rsid w:val="00BE0F85"/>
    <w:rsid w:val="00BE0FAE"/>
    <w:rsid w:val="00BE1904"/>
    <w:rsid w:val="00BE1D2C"/>
    <w:rsid w:val="00BE1F84"/>
    <w:rsid w:val="00BE270B"/>
    <w:rsid w:val="00BE4419"/>
    <w:rsid w:val="00BE5B39"/>
    <w:rsid w:val="00BE6456"/>
    <w:rsid w:val="00BE6784"/>
    <w:rsid w:val="00BE73DB"/>
    <w:rsid w:val="00BE7CF6"/>
    <w:rsid w:val="00BF1EE3"/>
    <w:rsid w:val="00BF26D7"/>
    <w:rsid w:val="00BF2C34"/>
    <w:rsid w:val="00BF2E40"/>
    <w:rsid w:val="00BF31DB"/>
    <w:rsid w:val="00BF3228"/>
    <w:rsid w:val="00BF3260"/>
    <w:rsid w:val="00BF343E"/>
    <w:rsid w:val="00BF3B1C"/>
    <w:rsid w:val="00BF4BDF"/>
    <w:rsid w:val="00BF4F49"/>
    <w:rsid w:val="00C00816"/>
    <w:rsid w:val="00C00AE3"/>
    <w:rsid w:val="00C014BE"/>
    <w:rsid w:val="00C01702"/>
    <w:rsid w:val="00C0190A"/>
    <w:rsid w:val="00C01ABD"/>
    <w:rsid w:val="00C021A4"/>
    <w:rsid w:val="00C0335F"/>
    <w:rsid w:val="00C03999"/>
    <w:rsid w:val="00C04E1F"/>
    <w:rsid w:val="00C05505"/>
    <w:rsid w:val="00C05E35"/>
    <w:rsid w:val="00C06187"/>
    <w:rsid w:val="00C06A89"/>
    <w:rsid w:val="00C06CFB"/>
    <w:rsid w:val="00C112EE"/>
    <w:rsid w:val="00C11313"/>
    <w:rsid w:val="00C11FA6"/>
    <w:rsid w:val="00C121EC"/>
    <w:rsid w:val="00C126AC"/>
    <w:rsid w:val="00C129A2"/>
    <w:rsid w:val="00C13966"/>
    <w:rsid w:val="00C14070"/>
    <w:rsid w:val="00C147DD"/>
    <w:rsid w:val="00C149B9"/>
    <w:rsid w:val="00C1548D"/>
    <w:rsid w:val="00C167EF"/>
    <w:rsid w:val="00C16869"/>
    <w:rsid w:val="00C16A2C"/>
    <w:rsid w:val="00C16F23"/>
    <w:rsid w:val="00C1718E"/>
    <w:rsid w:val="00C17337"/>
    <w:rsid w:val="00C20EBB"/>
    <w:rsid w:val="00C21065"/>
    <w:rsid w:val="00C21185"/>
    <w:rsid w:val="00C2206E"/>
    <w:rsid w:val="00C22477"/>
    <w:rsid w:val="00C22C1A"/>
    <w:rsid w:val="00C22C27"/>
    <w:rsid w:val="00C23077"/>
    <w:rsid w:val="00C24157"/>
    <w:rsid w:val="00C241C7"/>
    <w:rsid w:val="00C2526D"/>
    <w:rsid w:val="00C25332"/>
    <w:rsid w:val="00C2543D"/>
    <w:rsid w:val="00C26316"/>
    <w:rsid w:val="00C27DC1"/>
    <w:rsid w:val="00C3250C"/>
    <w:rsid w:val="00C32834"/>
    <w:rsid w:val="00C328BC"/>
    <w:rsid w:val="00C32BB7"/>
    <w:rsid w:val="00C33006"/>
    <w:rsid w:val="00C33DCC"/>
    <w:rsid w:val="00C34195"/>
    <w:rsid w:val="00C3487F"/>
    <w:rsid w:val="00C34A96"/>
    <w:rsid w:val="00C34FAA"/>
    <w:rsid w:val="00C35655"/>
    <w:rsid w:val="00C357DB"/>
    <w:rsid w:val="00C3649E"/>
    <w:rsid w:val="00C369BD"/>
    <w:rsid w:val="00C37A26"/>
    <w:rsid w:val="00C40BF2"/>
    <w:rsid w:val="00C41C76"/>
    <w:rsid w:val="00C41D75"/>
    <w:rsid w:val="00C42213"/>
    <w:rsid w:val="00C4221D"/>
    <w:rsid w:val="00C426EF"/>
    <w:rsid w:val="00C427EA"/>
    <w:rsid w:val="00C4297A"/>
    <w:rsid w:val="00C42DB6"/>
    <w:rsid w:val="00C432D2"/>
    <w:rsid w:val="00C43980"/>
    <w:rsid w:val="00C43A62"/>
    <w:rsid w:val="00C44A54"/>
    <w:rsid w:val="00C44B2A"/>
    <w:rsid w:val="00C4526C"/>
    <w:rsid w:val="00C45869"/>
    <w:rsid w:val="00C4647C"/>
    <w:rsid w:val="00C46FB0"/>
    <w:rsid w:val="00C47DE7"/>
    <w:rsid w:val="00C5095B"/>
    <w:rsid w:val="00C50AF2"/>
    <w:rsid w:val="00C51006"/>
    <w:rsid w:val="00C51D76"/>
    <w:rsid w:val="00C520E6"/>
    <w:rsid w:val="00C521ED"/>
    <w:rsid w:val="00C522F3"/>
    <w:rsid w:val="00C528F2"/>
    <w:rsid w:val="00C52D7A"/>
    <w:rsid w:val="00C536ED"/>
    <w:rsid w:val="00C538D4"/>
    <w:rsid w:val="00C539DD"/>
    <w:rsid w:val="00C541F9"/>
    <w:rsid w:val="00C543EE"/>
    <w:rsid w:val="00C543F3"/>
    <w:rsid w:val="00C549A7"/>
    <w:rsid w:val="00C55784"/>
    <w:rsid w:val="00C55D19"/>
    <w:rsid w:val="00C55E13"/>
    <w:rsid w:val="00C56429"/>
    <w:rsid w:val="00C5693C"/>
    <w:rsid w:val="00C571DC"/>
    <w:rsid w:val="00C5783C"/>
    <w:rsid w:val="00C57CBA"/>
    <w:rsid w:val="00C6078B"/>
    <w:rsid w:val="00C60855"/>
    <w:rsid w:val="00C60D06"/>
    <w:rsid w:val="00C6428B"/>
    <w:rsid w:val="00C647A6"/>
    <w:rsid w:val="00C64C37"/>
    <w:rsid w:val="00C655BE"/>
    <w:rsid w:val="00C666CD"/>
    <w:rsid w:val="00C679A1"/>
    <w:rsid w:val="00C701B9"/>
    <w:rsid w:val="00C7080B"/>
    <w:rsid w:val="00C70F8D"/>
    <w:rsid w:val="00C716CE"/>
    <w:rsid w:val="00C72031"/>
    <w:rsid w:val="00C725A3"/>
    <w:rsid w:val="00C725BC"/>
    <w:rsid w:val="00C7270D"/>
    <w:rsid w:val="00C72963"/>
    <w:rsid w:val="00C72C20"/>
    <w:rsid w:val="00C730F9"/>
    <w:rsid w:val="00C74557"/>
    <w:rsid w:val="00C75B0A"/>
    <w:rsid w:val="00C76E1F"/>
    <w:rsid w:val="00C8000E"/>
    <w:rsid w:val="00C8093C"/>
    <w:rsid w:val="00C8118D"/>
    <w:rsid w:val="00C82108"/>
    <w:rsid w:val="00C8256D"/>
    <w:rsid w:val="00C8281E"/>
    <w:rsid w:val="00C8287D"/>
    <w:rsid w:val="00C82C1B"/>
    <w:rsid w:val="00C8314F"/>
    <w:rsid w:val="00C8376F"/>
    <w:rsid w:val="00C83C87"/>
    <w:rsid w:val="00C8449B"/>
    <w:rsid w:val="00C855D7"/>
    <w:rsid w:val="00C8642F"/>
    <w:rsid w:val="00C86596"/>
    <w:rsid w:val="00C868F1"/>
    <w:rsid w:val="00C876AC"/>
    <w:rsid w:val="00C876E4"/>
    <w:rsid w:val="00C87CDF"/>
    <w:rsid w:val="00C90B07"/>
    <w:rsid w:val="00C9124D"/>
    <w:rsid w:val="00C917B3"/>
    <w:rsid w:val="00C922F1"/>
    <w:rsid w:val="00C92A40"/>
    <w:rsid w:val="00C92A53"/>
    <w:rsid w:val="00C92B48"/>
    <w:rsid w:val="00C93242"/>
    <w:rsid w:val="00C93D8E"/>
    <w:rsid w:val="00C9491E"/>
    <w:rsid w:val="00C94E43"/>
    <w:rsid w:val="00C960EB"/>
    <w:rsid w:val="00C964D5"/>
    <w:rsid w:val="00CA07B5"/>
    <w:rsid w:val="00CA0A8B"/>
    <w:rsid w:val="00CA2D27"/>
    <w:rsid w:val="00CA42C9"/>
    <w:rsid w:val="00CA4458"/>
    <w:rsid w:val="00CA4800"/>
    <w:rsid w:val="00CA51B9"/>
    <w:rsid w:val="00CA5B85"/>
    <w:rsid w:val="00CB0BC4"/>
    <w:rsid w:val="00CB1E9C"/>
    <w:rsid w:val="00CB22F9"/>
    <w:rsid w:val="00CB3118"/>
    <w:rsid w:val="00CB3617"/>
    <w:rsid w:val="00CB3A12"/>
    <w:rsid w:val="00CB3E20"/>
    <w:rsid w:val="00CB41A7"/>
    <w:rsid w:val="00CB495D"/>
    <w:rsid w:val="00CB4FE1"/>
    <w:rsid w:val="00CB5035"/>
    <w:rsid w:val="00CB512B"/>
    <w:rsid w:val="00CB52B2"/>
    <w:rsid w:val="00CB68D8"/>
    <w:rsid w:val="00CB7B20"/>
    <w:rsid w:val="00CB7DD3"/>
    <w:rsid w:val="00CC00C2"/>
    <w:rsid w:val="00CC052E"/>
    <w:rsid w:val="00CC0967"/>
    <w:rsid w:val="00CC0ACB"/>
    <w:rsid w:val="00CC0CDD"/>
    <w:rsid w:val="00CC19BE"/>
    <w:rsid w:val="00CC1FF4"/>
    <w:rsid w:val="00CC2777"/>
    <w:rsid w:val="00CC30B6"/>
    <w:rsid w:val="00CC39A2"/>
    <w:rsid w:val="00CC3A01"/>
    <w:rsid w:val="00CC552B"/>
    <w:rsid w:val="00CC57A3"/>
    <w:rsid w:val="00CC5CF6"/>
    <w:rsid w:val="00CC642C"/>
    <w:rsid w:val="00CC7063"/>
    <w:rsid w:val="00CC71B4"/>
    <w:rsid w:val="00CD00EF"/>
    <w:rsid w:val="00CD1331"/>
    <w:rsid w:val="00CD16A3"/>
    <w:rsid w:val="00CD22F2"/>
    <w:rsid w:val="00CD2B0C"/>
    <w:rsid w:val="00CD2D67"/>
    <w:rsid w:val="00CD2D7F"/>
    <w:rsid w:val="00CD31D8"/>
    <w:rsid w:val="00CD3DBB"/>
    <w:rsid w:val="00CD455C"/>
    <w:rsid w:val="00CD4E3E"/>
    <w:rsid w:val="00CD6005"/>
    <w:rsid w:val="00CD603B"/>
    <w:rsid w:val="00CD6131"/>
    <w:rsid w:val="00CD65CC"/>
    <w:rsid w:val="00CD686F"/>
    <w:rsid w:val="00CD6B27"/>
    <w:rsid w:val="00CD6B44"/>
    <w:rsid w:val="00CD6C7A"/>
    <w:rsid w:val="00CD728A"/>
    <w:rsid w:val="00CD7323"/>
    <w:rsid w:val="00CD75FB"/>
    <w:rsid w:val="00CE02DE"/>
    <w:rsid w:val="00CE1295"/>
    <w:rsid w:val="00CE1A55"/>
    <w:rsid w:val="00CE1F85"/>
    <w:rsid w:val="00CE2410"/>
    <w:rsid w:val="00CE2C02"/>
    <w:rsid w:val="00CE33C6"/>
    <w:rsid w:val="00CE3862"/>
    <w:rsid w:val="00CE393F"/>
    <w:rsid w:val="00CE41E1"/>
    <w:rsid w:val="00CE476D"/>
    <w:rsid w:val="00CE4D4C"/>
    <w:rsid w:val="00CE5294"/>
    <w:rsid w:val="00CE5598"/>
    <w:rsid w:val="00CE6071"/>
    <w:rsid w:val="00CE7C45"/>
    <w:rsid w:val="00CE7D13"/>
    <w:rsid w:val="00CF0D9C"/>
    <w:rsid w:val="00CF2621"/>
    <w:rsid w:val="00CF2ED6"/>
    <w:rsid w:val="00CF3926"/>
    <w:rsid w:val="00CF4BBD"/>
    <w:rsid w:val="00CF5170"/>
    <w:rsid w:val="00CF555E"/>
    <w:rsid w:val="00CF5A08"/>
    <w:rsid w:val="00CF65DE"/>
    <w:rsid w:val="00CF7883"/>
    <w:rsid w:val="00CF7E55"/>
    <w:rsid w:val="00D0139A"/>
    <w:rsid w:val="00D013BA"/>
    <w:rsid w:val="00D02201"/>
    <w:rsid w:val="00D02345"/>
    <w:rsid w:val="00D02643"/>
    <w:rsid w:val="00D02B1B"/>
    <w:rsid w:val="00D02D7F"/>
    <w:rsid w:val="00D03CB6"/>
    <w:rsid w:val="00D049CC"/>
    <w:rsid w:val="00D05B8C"/>
    <w:rsid w:val="00D06EA9"/>
    <w:rsid w:val="00D071F2"/>
    <w:rsid w:val="00D073F9"/>
    <w:rsid w:val="00D07A60"/>
    <w:rsid w:val="00D10337"/>
    <w:rsid w:val="00D10EC5"/>
    <w:rsid w:val="00D11707"/>
    <w:rsid w:val="00D11E7E"/>
    <w:rsid w:val="00D1221F"/>
    <w:rsid w:val="00D1259B"/>
    <w:rsid w:val="00D126B1"/>
    <w:rsid w:val="00D12741"/>
    <w:rsid w:val="00D13F0D"/>
    <w:rsid w:val="00D160D4"/>
    <w:rsid w:val="00D1657E"/>
    <w:rsid w:val="00D17145"/>
    <w:rsid w:val="00D207F5"/>
    <w:rsid w:val="00D20DE3"/>
    <w:rsid w:val="00D20F22"/>
    <w:rsid w:val="00D21526"/>
    <w:rsid w:val="00D2187E"/>
    <w:rsid w:val="00D21B23"/>
    <w:rsid w:val="00D21F51"/>
    <w:rsid w:val="00D226A5"/>
    <w:rsid w:val="00D22BCC"/>
    <w:rsid w:val="00D22C24"/>
    <w:rsid w:val="00D22F7D"/>
    <w:rsid w:val="00D24678"/>
    <w:rsid w:val="00D2487C"/>
    <w:rsid w:val="00D258A4"/>
    <w:rsid w:val="00D25CCD"/>
    <w:rsid w:val="00D26BE3"/>
    <w:rsid w:val="00D26FC1"/>
    <w:rsid w:val="00D27A2D"/>
    <w:rsid w:val="00D301CF"/>
    <w:rsid w:val="00D30DEF"/>
    <w:rsid w:val="00D31956"/>
    <w:rsid w:val="00D32B06"/>
    <w:rsid w:val="00D32D41"/>
    <w:rsid w:val="00D330A5"/>
    <w:rsid w:val="00D333CB"/>
    <w:rsid w:val="00D335DA"/>
    <w:rsid w:val="00D33677"/>
    <w:rsid w:val="00D336DB"/>
    <w:rsid w:val="00D33996"/>
    <w:rsid w:val="00D34711"/>
    <w:rsid w:val="00D34779"/>
    <w:rsid w:val="00D35050"/>
    <w:rsid w:val="00D352DB"/>
    <w:rsid w:val="00D3534A"/>
    <w:rsid w:val="00D35B32"/>
    <w:rsid w:val="00D35F76"/>
    <w:rsid w:val="00D36C82"/>
    <w:rsid w:val="00D372E1"/>
    <w:rsid w:val="00D40100"/>
    <w:rsid w:val="00D40788"/>
    <w:rsid w:val="00D40980"/>
    <w:rsid w:val="00D40C39"/>
    <w:rsid w:val="00D41F92"/>
    <w:rsid w:val="00D4246B"/>
    <w:rsid w:val="00D429F0"/>
    <w:rsid w:val="00D42C8C"/>
    <w:rsid w:val="00D448C6"/>
    <w:rsid w:val="00D45057"/>
    <w:rsid w:val="00D45EFC"/>
    <w:rsid w:val="00D4654F"/>
    <w:rsid w:val="00D467F0"/>
    <w:rsid w:val="00D506E4"/>
    <w:rsid w:val="00D50EBF"/>
    <w:rsid w:val="00D51B97"/>
    <w:rsid w:val="00D52DA8"/>
    <w:rsid w:val="00D5309F"/>
    <w:rsid w:val="00D535F2"/>
    <w:rsid w:val="00D53B97"/>
    <w:rsid w:val="00D54578"/>
    <w:rsid w:val="00D54942"/>
    <w:rsid w:val="00D54F7E"/>
    <w:rsid w:val="00D56336"/>
    <w:rsid w:val="00D56FAE"/>
    <w:rsid w:val="00D5718E"/>
    <w:rsid w:val="00D5771F"/>
    <w:rsid w:val="00D5792B"/>
    <w:rsid w:val="00D60F10"/>
    <w:rsid w:val="00D614DF"/>
    <w:rsid w:val="00D61FAB"/>
    <w:rsid w:val="00D62BF4"/>
    <w:rsid w:val="00D634FD"/>
    <w:rsid w:val="00D6376D"/>
    <w:rsid w:val="00D64314"/>
    <w:rsid w:val="00D646D8"/>
    <w:rsid w:val="00D648D8"/>
    <w:rsid w:val="00D659FA"/>
    <w:rsid w:val="00D65D3B"/>
    <w:rsid w:val="00D6617F"/>
    <w:rsid w:val="00D66372"/>
    <w:rsid w:val="00D667DA"/>
    <w:rsid w:val="00D67994"/>
    <w:rsid w:val="00D67E0C"/>
    <w:rsid w:val="00D70019"/>
    <w:rsid w:val="00D704B0"/>
    <w:rsid w:val="00D7078A"/>
    <w:rsid w:val="00D70E3A"/>
    <w:rsid w:val="00D7100F"/>
    <w:rsid w:val="00D7161A"/>
    <w:rsid w:val="00D71BBA"/>
    <w:rsid w:val="00D73215"/>
    <w:rsid w:val="00D744BC"/>
    <w:rsid w:val="00D7452B"/>
    <w:rsid w:val="00D76B29"/>
    <w:rsid w:val="00D76D98"/>
    <w:rsid w:val="00D77153"/>
    <w:rsid w:val="00D77AFA"/>
    <w:rsid w:val="00D8046D"/>
    <w:rsid w:val="00D81ADE"/>
    <w:rsid w:val="00D81D7C"/>
    <w:rsid w:val="00D8208E"/>
    <w:rsid w:val="00D833F4"/>
    <w:rsid w:val="00D83CCD"/>
    <w:rsid w:val="00D83E8F"/>
    <w:rsid w:val="00D83FF1"/>
    <w:rsid w:val="00D85EF8"/>
    <w:rsid w:val="00D87136"/>
    <w:rsid w:val="00D907F5"/>
    <w:rsid w:val="00D90A1A"/>
    <w:rsid w:val="00D917FD"/>
    <w:rsid w:val="00D9264F"/>
    <w:rsid w:val="00D92C46"/>
    <w:rsid w:val="00D92F8A"/>
    <w:rsid w:val="00D93379"/>
    <w:rsid w:val="00D935BC"/>
    <w:rsid w:val="00D951A2"/>
    <w:rsid w:val="00D951BB"/>
    <w:rsid w:val="00D969D1"/>
    <w:rsid w:val="00DA0302"/>
    <w:rsid w:val="00DA0369"/>
    <w:rsid w:val="00DA0496"/>
    <w:rsid w:val="00DA05C6"/>
    <w:rsid w:val="00DA07DE"/>
    <w:rsid w:val="00DA0BED"/>
    <w:rsid w:val="00DA0DF1"/>
    <w:rsid w:val="00DA2047"/>
    <w:rsid w:val="00DA26AA"/>
    <w:rsid w:val="00DA326C"/>
    <w:rsid w:val="00DA3EC7"/>
    <w:rsid w:val="00DA4A48"/>
    <w:rsid w:val="00DA5430"/>
    <w:rsid w:val="00DA5854"/>
    <w:rsid w:val="00DA5FF2"/>
    <w:rsid w:val="00DA62D6"/>
    <w:rsid w:val="00DA64AB"/>
    <w:rsid w:val="00DA675A"/>
    <w:rsid w:val="00DA6853"/>
    <w:rsid w:val="00DA6C90"/>
    <w:rsid w:val="00DA73A2"/>
    <w:rsid w:val="00DB01B5"/>
    <w:rsid w:val="00DB06D4"/>
    <w:rsid w:val="00DB0865"/>
    <w:rsid w:val="00DB10FD"/>
    <w:rsid w:val="00DB119D"/>
    <w:rsid w:val="00DB1B65"/>
    <w:rsid w:val="00DB2DF4"/>
    <w:rsid w:val="00DB4D7C"/>
    <w:rsid w:val="00DB5213"/>
    <w:rsid w:val="00DB5749"/>
    <w:rsid w:val="00DB5BB9"/>
    <w:rsid w:val="00DB5C2E"/>
    <w:rsid w:val="00DB6038"/>
    <w:rsid w:val="00DB60AF"/>
    <w:rsid w:val="00DB64AD"/>
    <w:rsid w:val="00DB6C9F"/>
    <w:rsid w:val="00DB6E4B"/>
    <w:rsid w:val="00DB7AD6"/>
    <w:rsid w:val="00DB7B8B"/>
    <w:rsid w:val="00DC0D4F"/>
    <w:rsid w:val="00DC0DF1"/>
    <w:rsid w:val="00DC0ECC"/>
    <w:rsid w:val="00DC157B"/>
    <w:rsid w:val="00DC287C"/>
    <w:rsid w:val="00DC2B68"/>
    <w:rsid w:val="00DC34D4"/>
    <w:rsid w:val="00DC4326"/>
    <w:rsid w:val="00DC5581"/>
    <w:rsid w:val="00DC6325"/>
    <w:rsid w:val="00DC674C"/>
    <w:rsid w:val="00DC6BC7"/>
    <w:rsid w:val="00DD05FF"/>
    <w:rsid w:val="00DD06EF"/>
    <w:rsid w:val="00DD0B9D"/>
    <w:rsid w:val="00DD0DCA"/>
    <w:rsid w:val="00DD2CAD"/>
    <w:rsid w:val="00DD2CE7"/>
    <w:rsid w:val="00DD3370"/>
    <w:rsid w:val="00DD3413"/>
    <w:rsid w:val="00DD4286"/>
    <w:rsid w:val="00DD4383"/>
    <w:rsid w:val="00DD43B9"/>
    <w:rsid w:val="00DD4F6F"/>
    <w:rsid w:val="00DD5EDD"/>
    <w:rsid w:val="00DD6D5D"/>
    <w:rsid w:val="00DE1567"/>
    <w:rsid w:val="00DE15A1"/>
    <w:rsid w:val="00DE1CDF"/>
    <w:rsid w:val="00DE1FAC"/>
    <w:rsid w:val="00DE2052"/>
    <w:rsid w:val="00DE27E0"/>
    <w:rsid w:val="00DE2F78"/>
    <w:rsid w:val="00DE2FA9"/>
    <w:rsid w:val="00DE35EE"/>
    <w:rsid w:val="00DE3C25"/>
    <w:rsid w:val="00DE3CF2"/>
    <w:rsid w:val="00DE44F7"/>
    <w:rsid w:val="00DE462E"/>
    <w:rsid w:val="00DE5652"/>
    <w:rsid w:val="00DE6604"/>
    <w:rsid w:val="00DE66F2"/>
    <w:rsid w:val="00DF08B8"/>
    <w:rsid w:val="00DF0D48"/>
    <w:rsid w:val="00DF2C55"/>
    <w:rsid w:val="00DF4A02"/>
    <w:rsid w:val="00DF4C1E"/>
    <w:rsid w:val="00DF5373"/>
    <w:rsid w:val="00DF5831"/>
    <w:rsid w:val="00DF62C3"/>
    <w:rsid w:val="00DF64FF"/>
    <w:rsid w:val="00E01129"/>
    <w:rsid w:val="00E01201"/>
    <w:rsid w:val="00E01309"/>
    <w:rsid w:val="00E01C52"/>
    <w:rsid w:val="00E03709"/>
    <w:rsid w:val="00E04CA1"/>
    <w:rsid w:val="00E0605F"/>
    <w:rsid w:val="00E06358"/>
    <w:rsid w:val="00E06D35"/>
    <w:rsid w:val="00E07F5E"/>
    <w:rsid w:val="00E1018C"/>
    <w:rsid w:val="00E118CC"/>
    <w:rsid w:val="00E11D6E"/>
    <w:rsid w:val="00E12BB8"/>
    <w:rsid w:val="00E12DEC"/>
    <w:rsid w:val="00E132AD"/>
    <w:rsid w:val="00E13809"/>
    <w:rsid w:val="00E1431C"/>
    <w:rsid w:val="00E171E9"/>
    <w:rsid w:val="00E20897"/>
    <w:rsid w:val="00E20C2A"/>
    <w:rsid w:val="00E20F38"/>
    <w:rsid w:val="00E2104A"/>
    <w:rsid w:val="00E228A1"/>
    <w:rsid w:val="00E22CE6"/>
    <w:rsid w:val="00E233DE"/>
    <w:rsid w:val="00E2443B"/>
    <w:rsid w:val="00E24D36"/>
    <w:rsid w:val="00E252B2"/>
    <w:rsid w:val="00E25481"/>
    <w:rsid w:val="00E25483"/>
    <w:rsid w:val="00E256F5"/>
    <w:rsid w:val="00E261EE"/>
    <w:rsid w:val="00E27141"/>
    <w:rsid w:val="00E27F67"/>
    <w:rsid w:val="00E3088D"/>
    <w:rsid w:val="00E30A28"/>
    <w:rsid w:val="00E32289"/>
    <w:rsid w:val="00E33424"/>
    <w:rsid w:val="00E34B66"/>
    <w:rsid w:val="00E36974"/>
    <w:rsid w:val="00E371A6"/>
    <w:rsid w:val="00E37CC3"/>
    <w:rsid w:val="00E404D3"/>
    <w:rsid w:val="00E40B39"/>
    <w:rsid w:val="00E410BA"/>
    <w:rsid w:val="00E41762"/>
    <w:rsid w:val="00E41A8B"/>
    <w:rsid w:val="00E42601"/>
    <w:rsid w:val="00E45359"/>
    <w:rsid w:val="00E45626"/>
    <w:rsid w:val="00E45EEA"/>
    <w:rsid w:val="00E46C04"/>
    <w:rsid w:val="00E4769F"/>
    <w:rsid w:val="00E47A93"/>
    <w:rsid w:val="00E50C5D"/>
    <w:rsid w:val="00E50EBA"/>
    <w:rsid w:val="00E51114"/>
    <w:rsid w:val="00E512ED"/>
    <w:rsid w:val="00E51595"/>
    <w:rsid w:val="00E51E74"/>
    <w:rsid w:val="00E534C8"/>
    <w:rsid w:val="00E5434F"/>
    <w:rsid w:val="00E557DF"/>
    <w:rsid w:val="00E56602"/>
    <w:rsid w:val="00E56D48"/>
    <w:rsid w:val="00E5799C"/>
    <w:rsid w:val="00E604E8"/>
    <w:rsid w:val="00E60F41"/>
    <w:rsid w:val="00E61F35"/>
    <w:rsid w:val="00E61FB6"/>
    <w:rsid w:val="00E629E4"/>
    <w:rsid w:val="00E62B88"/>
    <w:rsid w:val="00E63861"/>
    <w:rsid w:val="00E63881"/>
    <w:rsid w:val="00E6434D"/>
    <w:rsid w:val="00E6464E"/>
    <w:rsid w:val="00E6512C"/>
    <w:rsid w:val="00E66E63"/>
    <w:rsid w:val="00E66EE1"/>
    <w:rsid w:val="00E675A2"/>
    <w:rsid w:val="00E67755"/>
    <w:rsid w:val="00E67E41"/>
    <w:rsid w:val="00E67EBB"/>
    <w:rsid w:val="00E70007"/>
    <w:rsid w:val="00E70552"/>
    <w:rsid w:val="00E70838"/>
    <w:rsid w:val="00E7161A"/>
    <w:rsid w:val="00E71681"/>
    <w:rsid w:val="00E72586"/>
    <w:rsid w:val="00E72F22"/>
    <w:rsid w:val="00E73FD9"/>
    <w:rsid w:val="00E74F19"/>
    <w:rsid w:val="00E75750"/>
    <w:rsid w:val="00E801B6"/>
    <w:rsid w:val="00E80CF8"/>
    <w:rsid w:val="00E816C9"/>
    <w:rsid w:val="00E817DA"/>
    <w:rsid w:val="00E81894"/>
    <w:rsid w:val="00E81D4B"/>
    <w:rsid w:val="00E81EC7"/>
    <w:rsid w:val="00E821F4"/>
    <w:rsid w:val="00E83271"/>
    <w:rsid w:val="00E837A4"/>
    <w:rsid w:val="00E83AEE"/>
    <w:rsid w:val="00E83D86"/>
    <w:rsid w:val="00E849E3"/>
    <w:rsid w:val="00E84D64"/>
    <w:rsid w:val="00E851B3"/>
    <w:rsid w:val="00E86053"/>
    <w:rsid w:val="00E8627A"/>
    <w:rsid w:val="00E86566"/>
    <w:rsid w:val="00E867CC"/>
    <w:rsid w:val="00E86E65"/>
    <w:rsid w:val="00E87129"/>
    <w:rsid w:val="00E87130"/>
    <w:rsid w:val="00E91EBC"/>
    <w:rsid w:val="00E93AA4"/>
    <w:rsid w:val="00E94F81"/>
    <w:rsid w:val="00E952CB"/>
    <w:rsid w:val="00E952F3"/>
    <w:rsid w:val="00E95A72"/>
    <w:rsid w:val="00E95A93"/>
    <w:rsid w:val="00E95CD9"/>
    <w:rsid w:val="00E95DA7"/>
    <w:rsid w:val="00E965B8"/>
    <w:rsid w:val="00E96746"/>
    <w:rsid w:val="00E96B1A"/>
    <w:rsid w:val="00E975FC"/>
    <w:rsid w:val="00E97CAF"/>
    <w:rsid w:val="00EA02C5"/>
    <w:rsid w:val="00EA0800"/>
    <w:rsid w:val="00EA0B57"/>
    <w:rsid w:val="00EA1072"/>
    <w:rsid w:val="00EA10D6"/>
    <w:rsid w:val="00EA18F2"/>
    <w:rsid w:val="00EA297A"/>
    <w:rsid w:val="00EA2AE8"/>
    <w:rsid w:val="00EA415F"/>
    <w:rsid w:val="00EA46E3"/>
    <w:rsid w:val="00EA513C"/>
    <w:rsid w:val="00EA576B"/>
    <w:rsid w:val="00EA5D05"/>
    <w:rsid w:val="00EA7670"/>
    <w:rsid w:val="00EA79B2"/>
    <w:rsid w:val="00EB083C"/>
    <w:rsid w:val="00EB1230"/>
    <w:rsid w:val="00EB156D"/>
    <w:rsid w:val="00EB1DF3"/>
    <w:rsid w:val="00EB20D2"/>
    <w:rsid w:val="00EB2305"/>
    <w:rsid w:val="00EB3DE4"/>
    <w:rsid w:val="00EB443A"/>
    <w:rsid w:val="00EB47F8"/>
    <w:rsid w:val="00EB4DDB"/>
    <w:rsid w:val="00EB4E1E"/>
    <w:rsid w:val="00EB5C7B"/>
    <w:rsid w:val="00EB6F62"/>
    <w:rsid w:val="00EB7E92"/>
    <w:rsid w:val="00EC0A46"/>
    <w:rsid w:val="00EC220B"/>
    <w:rsid w:val="00EC27C1"/>
    <w:rsid w:val="00EC36C5"/>
    <w:rsid w:val="00EC3BF9"/>
    <w:rsid w:val="00EC3D5D"/>
    <w:rsid w:val="00EC4755"/>
    <w:rsid w:val="00EC5A99"/>
    <w:rsid w:val="00EC5D20"/>
    <w:rsid w:val="00EC5DFE"/>
    <w:rsid w:val="00EC66C4"/>
    <w:rsid w:val="00EC72AE"/>
    <w:rsid w:val="00EC7ACD"/>
    <w:rsid w:val="00EC7BA5"/>
    <w:rsid w:val="00EC7EB4"/>
    <w:rsid w:val="00ED0C88"/>
    <w:rsid w:val="00ED11CC"/>
    <w:rsid w:val="00ED1EB8"/>
    <w:rsid w:val="00ED2D76"/>
    <w:rsid w:val="00ED3050"/>
    <w:rsid w:val="00ED3919"/>
    <w:rsid w:val="00ED3D87"/>
    <w:rsid w:val="00ED438A"/>
    <w:rsid w:val="00ED43AC"/>
    <w:rsid w:val="00ED4A2E"/>
    <w:rsid w:val="00ED4C1F"/>
    <w:rsid w:val="00ED6A3B"/>
    <w:rsid w:val="00ED7A70"/>
    <w:rsid w:val="00ED7EA2"/>
    <w:rsid w:val="00EE0A05"/>
    <w:rsid w:val="00EE0E28"/>
    <w:rsid w:val="00EE1E08"/>
    <w:rsid w:val="00EE46AB"/>
    <w:rsid w:val="00EE50D0"/>
    <w:rsid w:val="00EE59A7"/>
    <w:rsid w:val="00EE5A84"/>
    <w:rsid w:val="00EE646B"/>
    <w:rsid w:val="00EE6962"/>
    <w:rsid w:val="00EE6D18"/>
    <w:rsid w:val="00EE78F6"/>
    <w:rsid w:val="00EE7E16"/>
    <w:rsid w:val="00EE7E52"/>
    <w:rsid w:val="00EF0D9F"/>
    <w:rsid w:val="00EF1ECC"/>
    <w:rsid w:val="00EF2B3F"/>
    <w:rsid w:val="00EF3E73"/>
    <w:rsid w:val="00EF4E4F"/>
    <w:rsid w:val="00EF5757"/>
    <w:rsid w:val="00EF5801"/>
    <w:rsid w:val="00EF6309"/>
    <w:rsid w:val="00EF6DB2"/>
    <w:rsid w:val="00EF6F37"/>
    <w:rsid w:val="00F02DBA"/>
    <w:rsid w:val="00F02DF9"/>
    <w:rsid w:val="00F0315C"/>
    <w:rsid w:val="00F0358C"/>
    <w:rsid w:val="00F0389C"/>
    <w:rsid w:val="00F04313"/>
    <w:rsid w:val="00F04B57"/>
    <w:rsid w:val="00F06086"/>
    <w:rsid w:val="00F06F0F"/>
    <w:rsid w:val="00F0726F"/>
    <w:rsid w:val="00F07B12"/>
    <w:rsid w:val="00F07D69"/>
    <w:rsid w:val="00F1034D"/>
    <w:rsid w:val="00F1079F"/>
    <w:rsid w:val="00F117ED"/>
    <w:rsid w:val="00F11876"/>
    <w:rsid w:val="00F1193D"/>
    <w:rsid w:val="00F12A31"/>
    <w:rsid w:val="00F132B1"/>
    <w:rsid w:val="00F15411"/>
    <w:rsid w:val="00F15A83"/>
    <w:rsid w:val="00F15DEB"/>
    <w:rsid w:val="00F17FD4"/>
    <w:rsid w:val="00F204CA"/>
    <w:rsid w:val="00F20FEE"/>
    <w:rsid w:val="00F21D22"/>
    <w:rsid w:val="00F223DB"/>
    <w:rsid w:val="00F229E1"/>
    <w:rsid w:val="00F22D3B"/>
    <w:rsid w:val="00F24BC9"/>
    <w:rsid w:val="00F25A5C"/>
    <w:rsid w:val="00F25B28"/>
    <w:rsid w:val="00F271EA"/>
    <w:rsid w:val="00F27375"/>
    <w:rsid w:val="00F27CA2"/>
    <w:rsid w:val="00F27CDB"/>
    <w:rsid w:val="00F30B77"/>
    <w:rsid w:val="00F31036"/>
    <w:rsid w:val="00F311E3"/>
    <w:rsid w:val="00F327A5"/>
    <w:rsid w:val="00F33D9D"/>
    <w:rsid w:val="00F34B11"/>
    <w:rsid w:val="00F34EBC"/>
    <w:rsid w:val="00F35399"/>
    <w:rsid w:val="00F35AAE"/>
    <w:rsid w:val="00F35C42"/>
    <w:rsid w:val="00F362A9"/>
    <w:rsid w:val="00F37298"/>
    <w:rsid w:val="00F37BD3"/>
    <w:rsid w:val="00F4040B"/>
    <w:rsid w:val="00F41150"/>
    <w:rsid w:val="00F4354F"/>
    <w:rsid w:val="00F43713"/>
    <w:rsid w:val="00F43732"/>
    <w:rsid w:val="00F43E2A"/>
    <w:rsid w:val="00F441C1"/>
    <w:rsid w:val="00F44F31"/>
    <w:rsid w:val="00F45152"/>
    <w:rsid w:val="00F45668"/>
    <w:rsid w:val="00F45BAE"/>
    <w:rsid w:val="00F460E0"/>
    <w:rsid w:val="00F47378"/>
    <w:rsid w:val="00F47BD1"/>
    <w:rsid w:val="00F50CDA"/>
    <w:rsid w:val="00F50D4E"/>
    <w:rsid w:val="00F50E87"/>
    <w:rsid w:val="00F51D87"/>
    <w:rsid w:val="00F523CD"/>
    <w:rsid w:val="00F52584"/>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02F3"/>
    <w:rsid w:val="00F605A7"/>
    <w:rsid w:val="00F61461"/>
    <w:rsid w:val="00F61966"/>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246"/>
    <w:rsid w:val="00F735A7"/>
    <w:rsid w:val="00F73C5E"/>
    <w:rsid w:val="00F74441"/>
    <w:rsid w:val="00F745D9"/>
    <w:rsid w:val="00F748EB"/>
    <w:rsid w:val="00F75707"/>
    <w:rsid w:val="00F76BB3"/>
    <w:rsid w:val="00F76D4E"/>
    <w:rsid w:val="00F772DA"/>
    <w:rsid w:val="00F7781E"/>
    <w:rsid w:val="00F80F55"/>
    <w:rsid w:val="00F81708"/>
    <w:rsid w:val="00F82691"/>
    <w:rsid w:val="00F82CAC"/>
    <w:rsid w:val="00F82D68"/>
    <w:rsid w:val="00F8304F"/>
    <w:rsid w:val="00F847B5"/>
    <w:rsid w:val="00F8559C"/>
    <w:rsid w:val="00F85DFD"/>
    <w:rsid w:val="00F8679A"/>
    <w:rsid w:val="00F868BC"/>
    <w:rsid w:val="00F87144"/>
    <w:rsid w:val="00F875DE"/>
    <w:rsid w:val="00F879B1"/>
    <w:rsid w:val="00F90857"/>
    <w:rsid w:val="00F90D95"/>
    <w:rsid w:val="00F90EA6"/>
    <w:rsid w:val="00F90F9D"/>
    <w:rsid w:val="00F91054"/>
    <w:rsid w:val="00F92653"/>
    <w:rsid w:val="00F92C69"/>
    <w:rsid w:val="00F92CC0"/>
    <w:rsid w:val="00F9332E"/>
    <w:rsid w:val="00F937E7"/>
    <w:rsid w:val="00F9521E"/>
    <w:rsid w:val="00F95E15"/>
    <w:rsid w:val="00F961DD"/>
    <w:rsid w:val="00F96F01"/>
    <w:rsid w:val="00F97015"/>
    <w:rsid w:val="00F972CE"/>
    <w:rsid w:val="00F9746E"/>
    <w:rsid w:val="00FA03B6"/>
    <w:rsid w:val="00FA1144"/>
    <w:rsid w:val="00FA201C"/>
    <w:rsid w:val="00FA2244"/>
    <w:rsid w:val="00FA226B"/>
    <w:rsid w:val="00FA28E1"/>
    <w:rsid w:val="00FA2DC5"/>
    <w:rsid w:val="00FA36DB"/>
    <w:rsid w:val="00FA42AA"/>
    <w:rsid w:val="00FA4572"/>
    <w:rsid w:val="00FA4D82"/>
    <w:rsid w:val="00FA528E"/>
    <w:rsid w:val="00FA52E7"/>
    <w:rsid w:val="00FA5DD2"/>
    <w:rsid w:val="00FA63FC"/>
    <w:rsid w:val="00FA6B35"/>
    <w:rsid w:val="00FA70D4"/>
    <w:rsid w:val="00FA7935"/>
    <w:rsid w:val="00FB072F"/>
    <w:rsid w:val="00FB092A"/>
    <w:rsid w:val="00FB0BC2"/>
    <w:rsid w:val="00FB0E57"/>
    <w:rsid w:val="00FB1D41"/>
    <w:rsid w:val="00FB2F90"/>
    <w:rsid w:val="00FB308E"/>
    <w:rsid w:val="00FB32D4"/>
    <w:rsid w:val="00FB3461"/>
    <w:rsid w:val="00FB4D7F"/>
    <w:rsid w:val="00FB4FB6"/>
    <w:rsid w:val="00FB555D"/>
    <w:rsid w:val="00FB5CA3"/>
    <w:rsid w:val="00FB652E"/>
    <w:rsid w:val="00FB7B91"/>
    <w:rsid w:val="00FC006A"/>
    <w:rsid w:val="00FC0934"/>
    <w:rsid w:val="00FC12B5"/>
    <w:rsid w:val="00FC1882"/>
    <w:rsid w:val="00FC1AD6"/>
    <w:rsid w:val="00FC1C2D"/>
    <w:rsid w:val="00FC272C"/>
    <w:rsid w:val="00FC2B2D"/>
    <w:rsid w:val="00FC2CDB"/>
    <w:rsid w:val="00FC3263"/>
    <w:rsid w:val="00FC3A48"/>
    <w:rsid w:val="00FC5058"/>
    <w:rsid w:val="00FC54B8"/>
    <w:rsid w:val="00FC558C"/>
    <w:rsid w:val="00FC616D"/>
    <w:rsid w:val="00FC7079"/>
    <w:rsid w:val="00FC735E"/>
    <w:rsid w:val="00FC7F42"/>
    <w:rsid w:val="00FD0883"/>
    <w:rsid w:val="00FD1263"/>
    <w:rsid w:val="00FD13D9"/>
    <w:rsid w:val="00FD1866"/>
    <w:rsid w:val="00FD1B58"/>
    <w:rsid w:val="00FD1EA4"/>
    <w:rsid w:val="00FD273B"/>
    <w:rsid w:val="00FD2998"/>
    <w:rsid w:val="00FD2B18"/>
    <w:rsid w:val="00FD34B2"/>
    <w:rsid w:val="00FD350C"/>
    <w:rsid w:val="00FD4A4B"/>
    <w:rsid w:val="00FD4B1F"/>
    <w:rsid w:val="00FD4ED0"/>
    <w:rsid w:val="00FD5D94"/>
    <w:rsid w:val="00FD65DE"/>
    <w:rsid w:val="00FD79E8"/>
    <w:rsid w:val="00FE0D70"/>
    <w:rsid w:val="00FE14E1"/>
    <w:rsid w:val="00FE1A06"/>
    <w:rsid w:val="00FE2E8D"/>
    <w:rsid w:val="00FE3738"/>
    <w:rsid w:val="00FE3ACE"/>
    <w:rsid w:val="00FE3DF9"/>
    <w:rsid w:val="00FE4008"/>
    <w:rsid w:val="00FE4F1F"/>
    <w:rsid w:val="00FE513E"/>
    <w:rsid w:val="00FE531F"/>
    <w:rsid w:val="00FE5B70"/>
    <w:rsid w:val="00FE5C4F"/>
    <w:rsid w:val="00FE5F67"/>
    <w:rsid w:val="00FE65F9"/>
    <w:rsid w:val="00FE7764"/>
    <w:rsid w:val="00FF1B51"/>
    <w:rsid w:val="00FF249C"/>
    <w:rsid w:val="00FF2EA1"/>
    <w:rsid w:val="00FF35F6"/>
    <w:rsid w:val="00FF5A7E"/>
    <w:rsid w:val="00FF5C39"/>
    <w:rsid w:val="00FF603C"/>
    <w:rsid w:val="00FF6321"/>
    <w:rsid w:val="00FF67D2"/>
    <w:rsid w:val="00FF693C"/>
    <w:rsid w:val="00FF7622"/>
    <w:rsid w:val="01023BE7"/>
    <w:rsid w:val="017F6064"/>
    <w:rsid w:val="01BB5050"/>
    <w:rsid w:val="0204623F"/>
    <w:rsid w:val="027C607D"/>
    <w:rsid w:val="028D3C73"/>
    <w:rsid w:val="02B642C1"/>
    <w:rsid w:val="02FA247A"/>
    <w:rsid w:val="02FB1AA4"/>
    <w:rsid w:val="031A30D5"/>
    <w:rsid w:val="031D18B0"/>
    <w:rsid w:val="033322F8"/>
    <w:rsid w:val="033407B2"/>
    <w:rsid w:val="03425A90"/>
    <w:rsid w:val="034923B3"/>
    <w:rsid w:val="03BE351A"/>
    <w:rsid w:val="03BF6AC6"/>
    <w:rsid w:val="03DA5E4F"/>
    <w:rsid w:val="043D405C"/>
    <w:rsid w:val="044B701A"/>
    <w:rsid w:val="04983953"/>
    <w:rsid w:val="053F55E1"/>
    <w:rsid w:val="05622410"/>
    <w:rsid w:val="05801846"/>
    <w:rsid w:val="05AC0953"/>
    <w:rsid w:val="05C71188"/>
    <w:rsid w:val="05E01FBD"/>
    <w:rsid w:val="05F93243"/>
    <w:rsid w:val="060129DF"/>
    <w:rsid w:val="06267623"/>
    <w:rsid w:val="064332D4"/>
    <w:rsid w:val="064B0623"/>
    <w:rsid w:val="066D6EAE"/>
    <w:rsid w:val="0671478E"/>
    <w:rsid w:val="06F03481"/>
    <w:rsid w:val="06FB113C"/>
    <w:rsid w:val="07216F89"/>
    <w:rsid w:val="0758020F"/>
    <w:rsid w:val="07627E95"/>
    <w:rsid w:val="076E7CDA"/>
    <w:rsid w:val="077305E3"/>
    <w:rsid w:val="077F5C64"/>
    <w:rsid w:val="07B821E3"/>
    <w:rsid w:val="07E023B4"/>
    <w:rsid w:val="080B0160"/>
    <w:rsid w:val="0826618F"/>
    <w:rsid w:val="08304B66"/>
    <w:rsid w:val="086B1DE6"/>
    <w:rsid w:val="086E6BB8"/>
    <w:rsid w:val="08717B20"/>
    <w:rsid w:val="08EE4666"/>
    <w:rsid w:val="0943783D"/>
    <w:rsid w:val="09437D81"/>
    <w:rsid w:val="095F0007"/>
    <w:rsid w:val="095F5995"/>
    <w:rsid w:val="09A501D2"/>
    <w:rsid w:val="09A51397"/>
    <w:rsid w:val="09A93068"/>
    <w:rsid w:val="09B23D76"/>
    <w:rsid w:val="09B27E8A"/>
    <w:rsid w:val="09C616C9"/>
    <w:rsid w:val="09E8751F"/>
    <w:rsid w:val="0A624ADE"/>
    <w:rsid w:val="0A8E14D1"/>
    <w:rsid w:val="0A9168FE"/>
    <w:rsid w:val="0AF139AF"/>
    <w:rsid w:val="0B0E1C93"/>
    <w:rsid w:val="0B553F74"/>
    <w:rsid w:val="0B6534F8"/>
    <w:rsid w:val="0B7E29A1"/>
    <w:rsid w:val="0B955890"/>
    <w:rsid w:val="0BD406EB"/>
    <w:rsid w:val="0BEE0D3D"/>
    <w:rsid w:val="0C672316"/>
    <w:rsid w:val="0C6D1B29"/>
    <w:rsid w:val="0C6D288D"/>
    <w:rsid w:val="0C7731EE"/>
    <w:rsid w:val="0C856C27"/>
    <w:rsid w:val="0CB03E0B"/>
    <w:rsid w:val="0D053836"/>
    <w:rsid w:val="0DF67EFC"/>
    <w:rsid w:val="0DFD0CA0"/>
    <w:rsid w:val="0E300308"/>
    <w:rsid w:val="0F151820"/>
    <w:rsid w:val="0F8B017D"/>
    <w:rsid w:val="10066C32"/>
    <w:rsid w:val="10386211"/>
    <w:rsid w:val="10721B53"/>
    <w:rsid w:val="109664F2"/>
    <w:rsid w:val="10C2496E"/>
    <w:rsid w:val="10C44E62"/>
    <w:rsid w:val="10C74348"/>
    <w:rsid w:val="113250A7"/>
    <w:rsid w:val="118438F2"/>
    <w:rsid w:val="11996F2C"/>
    <w:rsid w:val="11F63499"/>
    <w:rsid w:val="11F82ACD"/>
    <w:rsid w:val="125B07EF"/>
    <w:rsid w:val="12937EC0"/>
    <w:rsid w:val="12A6256A"/>
    <w:rsid w:val="132B1D0B"/>
    <w:rsid w:val="132B6975"/>
    <w:rsid w:val="137C440B"/>
    <w:rsid w:val="13B32239"/>
    <w:rsid w:val="1430661D"/>
    <w:rsid w:val="147E28E2"/>
    <w:rsid w:val="14F70A4B"/>
    <w:rsid w:val="14FA70BB"/>
    <w:rsid w:val="152F1D05"/>
    <w:rsid w:val="156570BF"/>
    <w:rsid w:val="157F49EE"/>
    <w:rsid w:val="1596012F"/>
    <w:rsid w:val="15BF4CC6"/>
    <w:rsid w:val="162A1AD1"/>
    <w:rsid w:val="16514A76"/>
    <w:rsid w:val="167352BC"/>
    <w:rsid w:val="16B16363"/>
    <w:rsid w:val="16D73670"/>
    <w:rsid w:val="16EB2AA0"/>
    <w:rsid w:val="174C3A1A"/>
    <w:rsid w:val="17585D87"/>
    <w:rsid w:val="17D61DBC"/>
    <w:rsid w:val="18147B1F"/>
    <w:rsid w:val="18166053"/>
    <w:rsid w:val="18475E96"/>
    <w:rsid w:val="184F4057"/>
    <w:rsid w:val="18887203"/>
    <w:rsid w:val="189621A7"/>
    <w:rsid w:val="18B654B4"/>
    <w:rsid w:val="18E67170"/>
    <w:rsid w:val="18F94D02"/>
    <w:rsid w:val="19043E25"/>
    <w:rsid w:val="19051CC0"/>
    <w:rsid w:val="19187280"/>
    <w:rsid w:val="193A4426"/>
    <w:rsid w:val="19471B74"/>
    <w:rsid w:val="194D0D42"/>
    <w:rsid w:val="19524B84"/>
    <w:rsid w:val="19E47938"/>
    <w:rsid w:val="1A177A69"/>
    <w:rsid w:val="1A3540D5"/>
    <w:rsid w:val="1A4013BD"/>
    <w:rsid w:val="1A5E3B71"/>
    <w:rsid w:val="1A6D7287"/>
    <w:rsid w:val="1A743870"/>
    <w:rsid w:val="1A7D526E"/>
    <w:rsid w:val="1AB0792C"/>
    <w:rsid w:val="1AC40D42"/>
    <w:rsid w:val="1AD00161"/>
    <w:rsid w:val="1B0C1A23"/>
    <w:rsid w:val="1B22602C"/>
    <w:rsid w:val="1B272658"/>
    <w:rsid w:val="1B29595C"/>
    <w:rsid w:val="1B54648F"/>
    <w:rsid w:val="1B667072"/>
    <w:rsid w:val="1B8C5194"/>
    <w:rsid w:val="1BAB01B5"/>
    <w:rsid w:val="1C0B61DD"/>
    <w:rsid w:val="1C410E61"/>
    <w:rsid w:val="1C611652"/>
    <w:rsid w:val="1C715CFE"/>
    <w:rsid w:val="1C8A3C44"/>
    <w:rsid w:val="1CAB4D16"/>
    <w:rsid w:val="1CE03694"/>
    <w:rsid w:val="1D142937"/>
    <w:rsid w:val="1D1E5B89"/>
    <w:rsid w:val="1D663538"/>
    <w:rsid w:val="1D735644"/>
    <w:rsid w:val="1DE7067B"/>
    <w:rsid w:val="1E3D34E5"/>
    <w:rsid w:val="1E5A5523"/>
    <w:rsid w:val="1F07397A"/>
    <w:rsid w:val="1F327398"/>
    <w:rsid w:val="1F391ED4"/>
    <w:rsid w:val="1F3A56DA"/>
    <w:rsid w:val="1FC72143"/>
    <w:rsid w:val="1FD47F02"/>
    <w:rsid w:val="1FD65504"/>
    <w:rsid w:val="20063C59"/>
    <w:rsid w:val="200E1DE2"/>
    <w:rsid w:val="20115175"/>
    <w:rsid w:val="20263921"/>
    <w:rsid w:val="2029107D"/>
    <w:rsid w:val="2058367D"/>
    <w:rsid w:val="207F647B"/>
    <w:rsid w:val="208E7AE5"/>
    <w:rsid w:val="2090661D"/>
    <w:rsid w:val="20ED612B"/>
    <w:rsid w:val="20F64292"/>
    <w:rsid w:val="2121494E"/>
    <w:rsid w:val="21A50673"/>
    <w:rsid w:val="21CA5F42"/>
    <w:rsid w:val="21CC5A23"/>
    <w:rsid w:val="21D247FB"/>
    <w:rsid w:val="21D35E95"/>
    <w:rsid w:val="22906B73"/>
    <w:rsid w:val="22B82DED"/>
    <w:rsid w:val="22BC5311"/>
    <w:rsid w:val="22C47F17"/>
    <w:rsid w:val="22D77C8F"/>
    <w:rsid w:val="234C7343"/>
    <w:rsid w:val="23706ACC"/>
    <w:rsid w:val="242641F1"/>
    <w:rsid w:val="242C5A37"/>
    <w:rsid w:val="24424BCC"/>
    <w:rsid w:val="24462D71"/>
    <w:rsid w:val="24AA0ED9"/>
    <w:rsid w:val="24B0100A"/>
    <w:rsid w:val="24BF227F"/>
    <w:rsid w:val="24C90061"/>
    <w:rsid w:val="24D70751"/>
    <w:rsid w:val="24E82DCC"/>
    <w:rsid w:val="24EB38B8"/>
    <w:rsid w:val="25327829"/>
    <w:rsid w:val="254F75B6"/>
    <w:rsid w:val="256609B2"/>
    <w:rsid w:val="25C27DEC"/>
    <w:rsid w:val="25E2734B"/>
    <w:rsid w:val="265A2EFF"/>
    <w:rsid w:val="26881E84"/>
    <w:rsid w:val="26A66D21"/>
    <w:rsid w:val="26BB3BBC"/>
    <w:rsid w:val="26E215A8"/>
    <w:rsid w:val="279252D1"/>
    <w:rsid w:val="27ED73AC"/>
    <w:rsid w:val="28431AD6"/>
    <w:rsid w:val="284D1B25"/>
    <w:rsid w:val="288B1C2F"/>
    <w:rsid w:val="28AC708E"/>
    <w:rsid w:val="28C0398E"/>
    <w:rsid w:val="28DE7ABA"/>
    <w:rsid w:val="29733406"/>
    <w:rsid w:val="2978275D"/>
    <w:rsid w:val="297A1D6A"/>
    <w:rsid w:val="29B03B4A"/>
    <w:rsid w:val="29B57B6B"/>
    <w:rsid w:val="29DC1E2E"/>
    <w:rsid w:val="29ED4B1F"/>
    <w:rsid w:val="29F8112E"/>
    <w:rsid w:val="2A00097F"/>
    <w:rsid w:val="2A563833"/>
    <w:rsid w:val="2ABC20B6"/>
    <w:rsid w:val="2ABF7943"/>
    <w:rsid w:val="2AFC1AEE"/>
    <w:rsid w:val="2B07745C"/>
    <w:rsid w:val="2B4B2C73"/>
    <w:rsid w:val="2B8375CA"/>
    <w:rsid w:val="2B9403B7"/>
    <w:rsid w:val="2BA517BD"/>
    <w:rsid w:val="2BFD0E83"/>
    <w:rsid w:val="2C0A00B8"/>
    <w:rsid w:val="2C1F6592"/>
    <w:rsid w:val="2C507067"/>
    <w:rsid w:val="2C685B3C"/>
    <w:rsid w:val="2CE222E9"/>
    <w:rsid w:val="2D1A1C83"/>
    <w:rsid w:val="2D802527"/>
    <w:rsid w:val="2DAE5215"/>
    <w:rsid w:val="2DD37C86"/>
    <w:rsid w:val="2DF03922"/>
    <w:rsid w:val="2DF117A9"/>
    <w:rsid w:val="2DF13C8E"/>
    <w:rsid w:val="2E6B74B7"/>
    <w:rsid w:val="2ECF475B"/>
    <w:rsid w:val="2EE1400D"/>
    <w:rsid w:val="2F200E5D"/>
    <w:rsid w:val="2F286BCD"/>
    <w:rsid w:val="2F3A163F"/>
    <w:rsid w:val="2F727357"/>
    <w:rsid w:val="2F797A24"/>
    <w:rsid w:val="2F8B5761"/>
    <w:rsid w:val="2F9853F7"/>
    <w:rsid w:val="2FD6175C"/>
    <w:rsid w:val="2FEC13E7"/>
    <w:rsid w:val="301343BD"/>
    <w:rsid w:val="3019686B"/>
    <w:rsid w:val="305F3886"/>
    <w:rsid w:val="30AE3848"/>
    <w:rsid w:val="30D667C1"/>
    <w:rsid w:val="30FD24C7"/>
    <w:rsid w:val="310F0CCE"/>
    <w:rsid w:val="314F2165"/>
    <w:rsid w:val="31756C5E"/>
    <w:rsid w:val="31972D74"/>
    <w:rsid w:val="31A52D70"/>
    <w:rsid w:val="32005991"/>
    <w:rsid w:val="321162A6"/>
    <w:rsid w:val="3294331F"/>
    <w:rsid w:val="32BD6ABE"/>
    <w:rsid w:val="33034F94"/>
    <w:rsid w:val="330D2DDD"/>
    <w:rsid w:val="33125CAA"/>
    <w:rsid w:val="3360153A"/>
    <w:rsid w:val="33E16185"/>
    <w:rsid w:val="33F67097"/>
    <w:rsid w:val="34032695"/>
    <w:rsid w:val="341D6B96"/>
    <w:rsid w:val="3446615A"/>
    <w:rsid w:val="34AC27E0"/>
    <w:rsid w:val="34BD7129"/>
    <w:rsid w:val="34EF0FCD"/>
    <w:rsid w:val="34F1693F"/>
    <w:rsid w:val="354424BA"/>
    <w:rsid w:val="357C548B"/>
    <w:rsid w:val="36462B59"/>
    <w:rsid w:val="367636C7"/>
    <w:rsid w:val="36A048CE"/>
    <w:rsid w:val="36DF28C1"/>
    <w:rsid w:val="37585A33"/>
    <w:rsid w:val="375F3CD9"/>
    <w:rsid w:val="3794681F"/>
    <w:rsid w:val="37A25784"/>
    <w:rsid w:val="37C02FF1"/>
    <w:rsid w:val="37C82812"/>
    <w:rsid w:val="37DF7A37"/>
    <w:rsid w:val="37E075C4"/>
    <w:rsid w:val="3844343E"/>
    <w:rsid w:val="38514759"/>
    <w:rsid w:val="385F72F4"/>
    <w:rsid w:val="389432FF"/>
    <w:rsid w:val="38AD3E6B"/>
    <w:rsid w:val="38F119B2"/>
    <w:rsid w:val="38F140BB"/>
    <w:rsid w:val="38FD60DA"/>
    <w:rsid w:val="39380FA4"/>
    <w:rsid w:val="393861A7"/>
    <w:rsid w:val="396169A7"/>
    <w:rsid w:val="398C4265"/>
    <w:rsid w:val="39BC73D2"/>
    <w:rsid w:val="39EA05F1"/>
    <w:rsid w:val="3A056306"/>
    <w:rsid w:val="3A0F32F1"/>
    <w:rsid w:val="3A281E31"/>
    <w:rsid w:val="3AAE76EF"/>
    <w:rsid w:val="3ACC21E7"/>
    <w:rsid w:val="3B2E1BA4"/>
    <w:rsid w:val="3B43485D"/>
    <w:rsid w:val="3B7655D1"/>
    <w:rsid w:val="3B7A07E4"/>
    <w:rsid w:val="3BA85CBE"/>
    <w:rsid w:val="3BBB4CCD"/>
    <w:rsid w:val="3C877176"/>
    <w:rsid w:val="3C884AD7"/>
    <w:rsid w:val="3CAF6472"/>
    <w:rsid w:val="3CC04D06"/>
    <w:rsid w:val="3CED7AC2"/>
    <w:rsid w:val="3CFA53F6"/>
    <w:rsid w:val="3CFF2558"/>
    <w:rsid w:val="3D0F5447"/>
    <w:rsid w:val="3D4000FD"/>
    <w:rsid w:val="3D600C55"/>
    <w:rsid w:val="3DAE212E"/>
    <w:rsid w:val="3DBE49D4"/>
    <w:rsid w:val="3DDF3A20"/>
    <w:rsid w:val="3E5A66B5"/>
    <w:rsid w:val="3E6F14FE"/>
    <w:rsid w:val="3E7449AA"/>
    <w:rsid w:val="3EA16F0F"/>
    <w:rsid w:val="3EEB4F17"/>
    <w:rsid w:val="3EF83530"/>
    <w:rsid w:val="3F102A35"/>
    <w:rsid w:val="3F5B5D0E"/>
    <w:rsid w:val="3FAF2648"/>
    <w:rsid w:val="3FB305B0"/>
    <w:rsid w:val="3FBB12DF"/>
    <w:rsid w:val="3FD22FCB"/>
    <w:rsid w:val="3FE86928"/>
    <w:rsid w:val="3FF2693E"/>
    <w:rsid w:val="4038556B"/>
    <w:rsid w:val="40544B97"/>
    <w:rsid w:val="40BF6E1E"/>
    <w:rsid w:val="40CF018F"/>
    <w:rsid w:val="41170971"/>
    <w:rsid w:val="411F1E4A"/>
    <w:rsid w:val="412D269B"/>
    <w:rsid w:val="41387DF1"/>
    <w:rsid w:val="41A628D8"/>
    <w:rsid w:val="41BC0C39"/>
    <w:rsid w:val="41CE50F9"/>
    <w:rsid w:val="41D70B29"/>
    <w:rsid w:val="41D97789"/>
    <w:rsid w:val="420677C1"/>
    <w:rsid w:val="424A3E00"/>
    <w:rsid w:val="426067AB"/>
    <w:rsid w:val="428A0607"/>
    <w:rsid w:val="42B37D61"/>
    <w:rsid w:val="42B84D7A"/>
    <w:rsid w:val="42EA698C"/>
    <w:rsid w:val="431779C2"/>
    <w:rsid w:val="43417270"/>
    <w:rsid w:val="435A6FD3"/>
    <w:rsid w:val="43895BEF"/>
    <w:rsid w:val="439215D4"/>
    <w:rsid w:val="43942EE6"/>
    <w:rsid w:val="43B95991"/>
    <w:rsid w:val="43EA7AC9"/>
    <w:rsid w:val="43EF756E"/>
    <w:rsid w:val="44557C84"/>
    <w:rsid w:val="446954FA"/>
    <w:rsid w:val="44856949"/>
    <w:rsid w:val="44AE600B"/>
    <w:rsid w:val="44D86B61"/>
    <w:rsid w:val="452D3101"/>
    <w:rsid w:val="453F39D3"/>
    <w:rsid w:val="45434015"/>
    <w:rsid w:val="4550160D"/>
    <w:rsid w:val="455E0AFC"/>
    <w:rsid w:val="45760C5A"/>
    <w:rsid w:val="45776785"/>
    <w:rsid w:val="45B84A1B"/>
    <w:rsid w:val="45D47A38"/>
    <w:rsid w:val="45E47981"/>
    <w:rsid w:val="45ED691A"/>
    <w:rsid w:val="46160A05"/>
    <w:rsid w:val="46503E6B"/>
    <w:rsid w:val="4654773E"/>
    <w:rsid w:val="466848A0"/>
    <w:rsid w:val="46897C2E"/>
    <w:rsid w:val="46B061A8"/>
    <w:rsid w:val="46C4694C"/>
    <w:rsid w:val="46D52D7A"/>
    <w:rsid w:val="46EA66CE"/>
    <w:rsid w:val="46F513E7"/>
    <w:rsid w:val="473F5479"/>
    <w:rsid w:val="47775B1B"/>
    <w:rsid w:val="4780702C"/>
    <w:rsid w:val="48127078"/>
    <w:rsid w:val="48373588"/>
    <w:rsid w:val="48472D00"/>
    <w:rsid w:val="484948B1"/>
    <w:rsid w:val="486838FE"/>
    <w:rsid w:val="48820364"/>
    <w:rsid w:val="489D1FF2"/>
    <w:rsid w:val="48FF7E26"/>
    <w:rsid w:val="490C7F0D"/>
    <w:rsid w:val="4912157B"/>
    <w:rsid w:val="49383967"/>
    <w:rsid w:val="49595246"/>
    <w:rsid w:val="49773840"/>
    <w:rsid w:val="497A1E68"/>
    <w:rsid w:val="498C0C17"/>
    <w:rsid w:val="49CA15D4"/>
    <w:rsid w:val="49D22EE2"/>
    <w:rsid w:val="49F046E8"/>
    <w:rsid w:val="4A080967"/>
    <w:rsid w:val="4A76001B"/>
    <w:rsid w:val="4A817619"/>
    <w:rsid w:val="4AB625F5"/>
    <w:rsid w:val="4AE55EFA"/>
    <w:rsid w:val="4AE63525"/>
    <w:rsid w:val="4AED75ED"/>
    <w:rsid w:val="4B0F558B"/>
    <w:rsid w:val="4B3A4984"/>
    <w:rsid w:val="4B854124"/>
    <w:rsid w:val="4B9D4B86"/>
    <w:rsid w:val="4BB17805"/>
    <w:rsid w:val="4BC204A9"/>
    <w:rsid w:val="4C0A1033"/>
    <w:rsid w:val="4C1574AD"/>
    <w:rsid w:val="4C6F4372"/>
    <w:rsid w:val="4C6F641E"/>
    <w:rsid w:val="4C926EAB"/>
    <w:rsid w:val="4CD316EC"/>
    <w:rsid w:val="4D872DE2"/>
    <w:rsid w:val="4E157041"/>
    <w:rsid w:val="4E601CC6"/>
    <w:rsid w:val="4E6673D5"/>
    <w:rsid w:val="4E682305"/>
    <w:rsid w:val="4EE35053"/>
    <w:rsid w:val="4F087CEF"/>
    <w:rsid w:val="4F184E7B"/>
    <w:rsid w:val="4F2539BF"/>
    <w:rsid w:val="4F4176CC"/>
    <w:rsid w:val="4F534A2E"/>
    <w:rsid w:val="4FC149BC"/>
    <w:rsid w:val="4FD61E69"/>
    <w:rsid w:val="50362415"/>
    <w:rsid w:val="507C4052"/>
    <w:rsid w:val="50F161EA"/>
    <w:rsid w:val="50FD350E"/>
    <w:rsid w:val="510F25DA"/>
    <w:rsid w:val="511308B9"/>
    <w:rsid w:val="511407D9"/>
    <w:rsid w:val="513E6DD3"/>
    <w:rsid w:val="51894752"/>
    <w:rsid w:val="51A753B3"/>
    <w:rsid w:val="51D4547F"/>
    <w:rsid w:val="51E56579"/>
    <w:rsid w:val="521C2DB4"/>
    <w:rsid w:val="52343778"/>
    <w:rsid w:val="528E2823"/>
    <w:rsid w:val="528F0F2D"/>
    <w:rsid w:val="52981114"/>
    <w:rsid w:val="52A8181B"/>
    <w:rsid w:val="52CC6DA2"/>
    <w:rsid w:val="52FF0BCD"/>
    <w:rsid w:val="53141CD8"/>
    <w:rsid w:val="536537B0"/>
    <w:rsid w:val="541F2FFD"/>
    <w:rsid w:val="542F3B8E"/>
    <w:rsid w:val="54834FF1"/>
    <w:rsid w:val="54982D47"/>
    <w:rsid w:val="54A12F1D"/>
    <w:rsid w:val="54AD0FF7"/>
    <w:rsid w:val="54BC283A"/>
    <w:rsid w:val="54C04B6A"/>
    <w:rsid w:val="54C25F99"/>
    <w:rsid w:val="55185E3E"/>
    <w:rsid w:val="554904D6"/>
    <w:rsid w:val="555E56C3"/>
    <w:rsid w:val="559516EF"/>
    <w:rsid w:val="55EE461A"/>
    <w:rsid w:val="569856FA"/>
    <w:rsid w:val="56D343D0"/>
    <w:rsid w:val="56F6426B"/>
    <w:rsid w:val="57020F9D"/>
    <w:rsid w:val="570A1817"/>
    <w:rsid w:val="571C5A37"/>
    <w:rsid w:val="573B1F09"/>
    <w:rsid w:val="575622D7"/>
    <w:rsid w:val="575C08D6"/>
    <w:rsid w:val="57936ACC"/>
    <w:rsid w:val="57C6757B"/>
    <w:rsid w:val="57EA5116"/>
    <w:rsid w:val="581E084B"/>
    <w:rsid w:val="58266D66"/>
    <w:rsid w:val="584D7D93"/>
    <w:rsid w:val="589C4862"/>
    <w:rsid w:val="58FB0A9D"/>
    <w:rsid w:val="590723EA"/>
    <w:rsid w:val="593F4FFC"/>
    <w:rsid w:val="595A43FC"/>
    <w:rsid w:val="598B438A"/>
    <w:rsid w:val="59D21D3F"/>
    <w:rsid w:val="59D3597E"/>
    <w:rsid w:val="59F11BFB"/>
    <w:rsid w:val="5A5768FB"/>
    <w:rsid w:val="5A7E643E"/>
    <w:rsid w:val="5AB16BE0"/>
    <w:rsid w:val="5AC5409B"/>
    <w:rsid w:val="5AD91645"/>
    <w:rsid w:val="5AE66A7D"/>
    <w:rsid w:val="5B01038F"/>
    <w:rsid w:val="5B21154A"/>
    <w:rsid w:val="5B243ABA"/>
    <w:rsid w:val="5B251EB5"/>
    <w:rsid w:val="5B2C30D6"/>
    <w:rsid w:val="5B525DC9"/>
    <w:rsid w:val="5B77189C"/>
    <w:rsid w:val="5BA54F90"/>
    <w:rsid w:val="5BAC3968"/>
    <w:rsid w:val="5BB16805"/>
    <w:rsid w:val="5BCC02CE"/>
    <w:rsid w:val="5BF1147E"/>
    <w:rsid w:val="5C107898"/>
    <w:rsid w:val="5C333B13"/>
    <w:rsid w:val="5C5965FB"/>
    <w:rsid w:val="5C6C1330"/>
    <w:rsid w:val="5D2A2C3F"/>
    <w:rsid w:val="5D474F79"/>
    <w:rsid w:val="5D614C55"/>
    <w:rsid w:val="5E0E6C75"/>
    <w:rsid w:val="5E7B4A4B"/>
    <w:rsid w:val="5EBC35A1"/>
    <w:rsid w:val="5ED8202C"/>
    <w:rsid w:val="5F2D67CC"/>
    <w:rsid w:val="5F5D0687"/>
    <w:rsid w:val="5F9B50DE"/>
    <w:rsid w:val="5FB14106"/>
    <w:rsid w:val="5FD3713F"/>
    <w:rsid w:val="5FD55500"/>
    <w:rsid w:val="5FDC49F6"/>
    <w:rsid w:val="5FE46D35"/>
    <w:rsid w:val="6033197D"/>
    <w:rsid w:val="609A0014"/>
    <w:rsid w:val="60B676D7"/>
    <w:rsid w:val="60D44E5B"/>
    <w:rsid w:val="618E7B63"/>
    <w:rsid w:val="61B30511"/>
    <w:rsid w:val="61EB4707"/>
    <w:rsid w:val="622D72C1"/>
    <w:rsid w:val="625774D0"/>
    <w:rsid w:val="62655C64"/>
    <w:rsid w:val="627B59ED"/>
    <w:rsid w:val="638A2F4A"/>
    <w:rsid w:val="63ED43D6"/>
    <w:rsid w:val="6419542E"/>
    <w:rsid w:val="647327F6"/>
    <w:rsid w:val="647F4FBB"/>
    <w:rsid w:val="64932A3B"/>
    <w:rsid w:val="64B21073"/>
    <w:rsid w:val="64FE7625"/>
    <w:rsid w:val="654F0D6A"/>
    <w:rsid w:val="6564563E"/>
    <w:rsid w:val="65A73692"/>
    <w:rsid w:val="65BD5FB5"/>
    <w:rsid w:val="65F26AC6"/>
    <w:rsid w:val="65F4470B"/>
    <w:rsid w:val="66317834"/>
    <w:rsid w:val="666A6FDD"/>
    <w:rsid w:val="66A27276"/>
    <w:rsid w:val="66AC5AB6"/>
    <w:rsid w:val="66D54628"/>
    <w:rsid w:val="66D64109"/>
    <w:rsid w:val="671F2670"/>
    <w:rsid w:val="673555B0"/>
    <w:rsid w:val="674F0289"/>
    <w:rsid w:val="676D7E52"/>
    <w:rsid w:val="679E77C7"/>
    <w:rsid w:val="67A47755"/>
    <w:rsid w:val="67B8694F"/>
    <w:rsid w:val="67CA0894"/>
    <w:rsid w:val="67EE07E6"/>
    <w:rsid w:val="680152F4"/>
    <w:rsid w:val="68A05033"/>
    <w:rsid w:val="68A60F41"/>
    <w:rsid w:val="68E56FC0"/>
    <w:rsid w:val="69B77466"/>
    <w:rsid w:val="69BF408D"/>
    <w:rsid w:val="69DF0DFA"/>
    <w:rsid w:val="69F41CFD"/>
    <w:rsid w:val="6A1F207F"/>
    <w:rsid w:val="6A6C6F6A"/>
    <w:rsid w:val="6A7A6732"/>
    <w:rsid w:val="6A8D668F"/>
    <w:rsid w:val="6A8F1AFD"/>
    <w:rsid w:val="6A8F2A30"/>
    <w:rsid w:val="6ABB5C52"/>
    <w:rsid w:val="6B414112"/>
    <w:rsid w:val="6B514F90"/>
    <w:rsid w:val="6B59419D"/>
    <w:rsid w:val="6B6C24AC"/>
    <w:rsid w:val="6B8A3837"/>
    <w:rsid w:val="6BB6395C"/>
    <w:rsid w:val="6BB85B38"/>
    <w:rsid w:val="6BC869D6"/>
    <w:rsid w:val="6BE01E98"/>
    <w:rsid w:val="6BF67FAC"/>
    <w:rsid w:val="6C5F7A8D"/>
    <w:rsid w:val="6C7451F8"/>
    <w:rsid w:val="6CA27B35"/>
    <w:rsid w:val="6CC32B3E"/>
    <w:rsid w:val="6CEB1B36"/>
    <w:rsid w:val="6D0143FC"/>
    <w:rsid w:val="6D222B10"/>
    <w:rsid w:val="6D446FD6"/>
    <w:rsid w:val="6D4C28FF"/>
    <w:rsid w:val="6D5E2F68"/>
    <w:rsid w:val="6DD0702B"/>
    <w:rsid w:val="6DEC55AD"/>
    <w:rsid w:val="6DF36AD4"/>
    <w:rsid w:val="6E02573B"/>
    <w:rsid w:val="6E2C6EBF"/>
    <w:rsid w:val="6E38305B"/>
    <w:rsid w:val="6E7910FC"/>
    <w:rsid w:val="6E821B4F"/>
    <w:rsid w:val="6E9B0020"/>
    <w:rsid w:val="6F347A9D"/>
    <w:rsid w:val="6F4E23D2"/>
    <w:rsid w:val="6F5076FB"/>
    <w:rsid w:val="6F8E5B8D"/>
    <w:rsid w:val="6FB82A74"/>
    <w:rsid w:val="6FE85DF8"/>
    <w:rsid w:val="70580C2C"/>
    <w:rsid w:val="70873B8F"/>
    <w:rsid w:val="70B410A5"/>
    <w:rsid w:val="70D06363"/>
    <w:rsid w:val="7127281B"/>
    <w:rsid w:val="715C704C"/>
    <w:rsid w:val="71B016CE"/>
    <w:rsid w:val="7230411C"/>
    <w:rsid w:val="724A69C5"/>
    <w:rsid w:val="729C493E"/>
    <w:rsid w:val="72B44CB9"/>
    <w:rsid w:val="7310183A"/>
    <w:rsid w:val="73867658"/>
    <w:rsid w:val="744B493D"/>
    <w:rsid w:val="74716CA4"/>
    <w:rsid w:val="747C4E96"/>
    <w:rsid w:val="74D62C6C"/>
    <w:rsid w:val="75654D2A"/>
    <w:rsid w:val="756E2675"/>
    <w:rsid w:val="757610FE"/>
    <w:rsid w:val="75B259B9"/>
    <w:rsid w:val="75C8097E"/>
    <w:rsid w:val="76000A10"/>
    <w:rsid w:val="765832E9"/>
    <w:rsid w:val="76CE73B2"/>
    <w:rsid w:val="76EF4767"/>
    <w:rsid w:val="76EF495F"/>
    <w:rsid w:val="76FC3E73"/>
    <w:rsid w:val="770238B5"/>
    <w:rsid w:val="7718418B"/>
    <w:rsid w:val="772A73C6"/>
    <w:rsid w:val="773E4315"/>
    <w:rsid w:val="7775482E"/>
    <w:rsid w:val="77CC062E"/>
    <w:rsid w:val="781720DA"/>
    <w:rsid w:val="78497A33"/>
    <w:rsid w:val="78564E4B"/>
    <w:rsid w:val="78DF124A"/>
    <w:rsid w:val="78F86C91"/>
    <w:rsid w:val="79107C9F"/>
    <w:rsid w:val="795132CE"/>
    <w:rsid w:val="79A55906"/>
    <w:rsid w:val="7A4C57C8"/>
    <w:rsid w:val="7A6B5E16"/>
    <w:rsid w:val="7A7B14BD"/>
    <w:rsid w:val="7AB022E4"/>
    <w:rsid w:val="7AB67138"/>
    <w:rsid w:val="7ABE6CD1"/>
    <w:rsid w:val="7B2447B4"/>
    <w:rsid w:val="7B871C9E"/>
    <w:rsid w:val="7B953D49"/>
    <w:rsid w:val="7BE2630E"/>
    <w:rsid w:val="7BEB1C14"/>
    <w:rsid w:val="7C1F2ED8"/>
    <w:rsid w:val="7C3010A1"/>
    <w:rsid w:val="7C381308"/>
    <w:rsid w:val="7C4A49E9"/>
    <w:rsid w:val="7C670EF3"/>
    <w:rsid w:val="7C7965FD"/>
    <w:rsid w:val="7C817466"/>
    <w:rsid w:val="7CD14164"/>
    <w:rsid w:val="7CDF0A19"/>
    <w:rsid w:val="7CEF56E6"/>
    <w:rsid w:val="7CFB5AF3"/>
    <w:rsid w:val="7CFF4577"/>
    <w:rsid w:val="7D2F29D5"/>
    <w:rsid w:val="7D450D2A"/>
    <w:rsid w:val="7D533911"/>
    <w:rsid w:val="7D737A9A"/>
    <w:rsid w:val="7D7615A5"/>
    <w:rsid w:val="7D85007F"/>
    <w:rsid w:val="7DAC670D"/>
    <w:rsid w:val="7DB92A5A"/>
    <w:rsid w:val="7DDF5387"/>
    <w:rsid w:val="7E5E29B8"/>
    <w:rsid w:val="7EA4783B"/>
    <w:rsid w:val="7EAD67B9"/>
    <w:rsid w:val="7EB87481"/>
    <w:rsid w:val="7EC30207"/>
    <w:rsid w:val="7EC9438C"/>
    <w:rsid w:val="7F215260"/>
    <w:rsid w:val="7F955ED6"/>
    <w:rsid w:val="7FAA4D2F"/>
    <w:rsid w:val="7FD344CC"/>
    <w:rsid w:val="7FD57D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4"/>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251"/>
    <w:qFormat/>
    <w:uiPriority w:val="0"/>
    <w:pPr>
      <w:keepNext/>
      <w:keepLines/>
      <w:spacing w:before="260" w:beforeLines="0" w:after="260" w:afterLines="0" w:line="416" w:lineRule="auto"/>
      <w:outlineLvl w:val="1"/>
    </w:pPr>
    <w:rPr>
      <w:rFonts w:ascii="Cambria" w:hAnsi="Cambria"/>
      <w:b/>
      <w:bCs/>
      <w:sz w:val="32"/>
      <w:szCs w:val="32"/>
    </w:rPr>
  </w:style>
  <w:style w:type="paragraph" w:styleId="5">
    <w:name w:val="heading 3"/>
    <w:basedOn w:val="1"/>
    <w:next w:val="1"/>
    <w:link w:val="186"/>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link w:val="242"/>
    <w:qFormat/>
    <w:uiPriority w:val="0"/>
    <w:pPr>
      <w:widowControl/>
      <w:spacing w:before="100" w:beforeLines="0" w:beforeAutospacing="1" w:after="100" w:afterLines="0" w:afterAutospacing="1"/>
      <w:jc w:val="left"/>
      <w:outlineLvl w:val="3"/>
    </w:pPr>
    <w:rPr>
      <w:rFonts w:ascii="宋体" w:hAnsi="宋体" w:cs="宋体"/>
      <w:b/>
      <w:bCs/>
      <w:kern w:val="0"/>
      <w:sz w:val="24"/>
    </w:rPr>
  </w:style>
  <w:style w:type="paragraph" w:styleId="7">
    <w:name w:val="heading 5"/>
    <w:basedOn w:val="1"/>
    <w:next w:val="1"/>
    <w:link w:val="222"/>
    <w:qFormat/>
    <w:uiPriority w:val="0"/>
    <w:pPr>
      <w:widowControl/>
      <w:spacing w:before="100" w:beforeLines="0" w:beforeAutospacing="1" w:after="100" w:afterLines="0" w:afterAutospacing="1"/>
      <w:jc w:val="left"/>
      <w:outlineLvl w:val="4"/>
    </w:pPr>
    <w:rPr>
      <w:rFonts w:ascii="宋体" w:hAnsi="宋体" w:cs="宋体"/>
      <w:b/>
      <w:bCs/>
      <w:kern w:val="0"/>
      <w:sz w:val="20"/>
      <w:szCs w:val="20"/>
    </w:rPr>
  </w:style>
  <w:style w:type="paragraph" w:styleId="8">
    <w:name w:val="heading 6"/>
    <w:basedOn w:val="9"/>
    <w:next w:val="1"/>
    <w:link w:val="279"/>
    <w:qFormat/>
    <w:uiPriority w:val="0"/>
    <w:pPr>
      <w:keepNext/>
      <w:keepLines/>
      <w:ind w:firstLine="200" w:firstLineChars="200"/>
      <w:outlineLvl w:val="5"/>
    </w:pPr>
    <w:rPr>
      <w:rFonts w:hAnsi="Arial"/>
    </w:rPr>
  </w:style>
  <w:style w:type="paragraph" w:styleId="10">
    <w:name w:val="heading 7"/>
    <w:basedOn w:val="1"/>
    <w:next w:val="1"/>
    <w:link w:val="28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39"/>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34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qFormat/>
    <w:uiPriority w:val="0"/>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link w:val="243"/>
    <w:qFormat/>
    <w:uiPriority w:val="0"/>
    <w:pPr>
      <w:spacing w:after="120" w:afterLines="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90"/>
    <w:qFormat/>
    <w:uiPriority w:val="0"/>
    <w:pPr>
      <w:shd w:val="clear" w:color="auto" w:fill="000080"/>
    </w:pPr>
  </w:style>
  <w:style w:type="paragraph" w:styleId="16">
    <w:name w:val="annotation text"/>
    <w:basedOn w:val="1"/>
    <w:link w:val="189"/>
    <w:qFormat/>
    <w:uiPriority w:val="99"/>
    <w:pPr>
      <w:jc w:val="left"/>
    </w:pPr>
  </w:style>
  <w:style w:type="paragraph" w:styleId="17">
    <w:name w:val="Body Text 3"/>
    <w:basedOn w:val="1"/>
    <w:link w:val="311"/>
    <w:qFormat/>
    <w:uiPriority w:val="0"/>
    <w:pPr>
      <w:spacing w:after="120" w:afterLines="0"/>
    </w:pPr>
    <w:rPr>
      <w:sz w:val="16"/>
      <w:szCs w:val="16"/>
    </w:rPr>
  </w:style>
  <w:style w:type="paragraph" w:styleId="18">
    <w:name w:val="Body Text Indent"/>
    <w:basedOn w:val="1"/>
    <w:link w:val="221"/>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96"/>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288"/>
    <w:qFormat/>
    <w:uiPriority w:val="0"/>
    <w:pPr>
      <w:ind w:left="100" w:leftChars="2500"/>
    </w:pPr>
  </w:style>
  <w:style w:type="paragraph" w:styleId="26">
    <w:name w:val="Body Text Indent 2"/>
    <w:basedOn w:val="1"/>
    <w:link w:val="209"/>
    <w:qFormat/>
    <w:uiPriority w:val="0"/>
    <w:pPr>
      <w:widowControl/>
      <w:spacing w:line="480" w:lineRule="auto"/>
      <w:ind w:firstLine="560"/>
      <w:jc w:val="left"/>
    </w:pPr>
    <w:rPr>
      <w:kern w:val="0"/>
      <w:sz w:val="28"/>
    </w:rPr>
  </w:style>
  <w:style w:type="paragraph" w:styleId="27">
    <w:name w:val="endnote text"/>
    <w:basedOn w:val="1"/>
    <w:link w:val="319"/>
    <w:qFormat/>
    <w:uiPriority w:val="0"/>
    <w:pPr>
      <w:widowControl/>
      <w:snapToGrid w:val="0"/>
      <w:jc w:val="left"/>
    </w:pPr>
    <w:rPr>
      <w:rFonts w:ascii="Arial" w:hAnsi="Arial" w:cs="Arial"/>
      <w:kern w:val="0"/>
      <w:sz w:val="20"/>
      <w:lang w:eastAsia="en-US"/>
    </w:rPr>
  </w:style>
  <w:style w:type="paragraph" w:styleId="28">
    <w:name w:val="Balloon Text"/>
    <w:basedOn w:val="1"/>
    <w:link w:val="312"/>
    <w:qFormat/>
    <w:uiPriority w:val="0"/>
    <w:rPr>
      <w:sz w:val="18"/>
      <w:szCs w:val="18"/>
    </w:rPr>
  </w:style>
  <w:style w:type="paragraph" w:styleId="29">
    <w:name w:val="footer"/>
    <w:basedOn w:val="1"/>
    <w:link w:val="340"/>
    <w:qFormat/>
    <w:uiPriority w:val="0"/>
    <w:pPr>
      <w:tabs>
        <w:tab w:val="center" w:pos="4153"/>
        <w:tab w:val="right" w:pos="8306"/>
      </w:tabs>
      <w:snapToGrid w:val="0"/>
      <w:jc w:val="left"/>
    </w:pPr>
    <w:rPr>
      <w:sz w:val="18"/>
      <w:szCs w:val="18"/>
    </w:rPr>
  </w:style>
  <w:style w:type="paragraph" w:styleId="30">
    <w:name w:val="header"/>
    <w:basedOn w:val="1"/>
    <w:link w:val="28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277"/>
    <w:qFormat/>
    <w:uiPriority w:val="0"/>
    <w:pPr>
      <w:widowControl/>
      <w:jc w:val="center"/>
    </w:pPr>
    <w:rPr>
      <w:kern w:val="0"/>
      <w:sz w:val="20"/>
      <w:u w:val="single"/>
      <w:lang w:eastAsia="en-US"/>
    </w:rPr>
  </w:style>
  <w:style w:type="paragraph" w:styleId="34">
    <w:name w:val="footnote text"/>
    <w:basedOn w:val="1"/>
    <w:link w:val="324"/>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346"/>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44"/>
    <w:qFormat/>
    <w:uiPriority w:val="0"/>
    <w:rPr>
      <w:i/>
      <w:iCs/>
      <w:sz w:val="26"/>
    </w:rPr>
  </w:style>
  <w:style w:type="paragraph" w:styleId="40">
    <w:name w:val="HTML Preformatted"/>
    <w:basedOn w:val="1"/>
    <w:link w:val="25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2"/>
    <w:qFormat/>
    <w:uiPriority w:val="0"/>
    <w:pPr>
      <w:widowControl/>
      <w:jc w:val="center"/>
    </w:pPr>
    <w:rPr>
      <w:kern w:val="0"/>
      <w:sz w:val="20"/>
      <w:u w:val="single"/>
      <w:lang w:eastAsia="en-US"/>
    </w:rPr>
  </w:style>
  <w:style w:type="paragraph" w:styleId="44">
    <w:name w:val="annotation subject"/>
    <w:basedOn w:val="16"/>
    <w:next w:val="16"/>
    <w:link w:val="227"/>
    <w:qFormat/>
    <w:uiPriority w:val="0"/>
    <w:rPr>
      <w:b/>
      <w:bCs/>
    </w:rPr>
  </w:style>
  <w:style w:type="table" w:styleId="46">
    <w:name w:val="Table Grid"/>
    <w:basedOn w:val="45"/>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Normal_14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1"/>
    <w:basedOn w:val="1"/>
    <w:qFormat/>
    <w:uiPriority w:val="0"/>
    <w:pPr>
      <w:widowControl/>
      <w:spacing w:before="100" w:beforeLines="0" w:beforeAutospacing="1" w:after="100" w:afterLines="0" w:afterAutospacing="1"/>
      <w:jc w:val="left"/>
    </w:pPr>
    <w:rPr>
      <w:rFonts w:ascii="ˎ̥" w:hAnsi="ˎ̥" w:cs="宋体"/>
      <w:kern w:val="0"/>
      <w:sz w:val="24"/>
    </w:rPr>
  </w:style>
  <w:style w:type="paragraph" w:customStyle="1" w:styleId="58">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p15"/>
    <w:basedOn w:val="1"/>
    <w:qFormat/>
    <w:uiPriority w:val="0"/>
    <w:pPr>
      <w:widowControl/>
      <w:spacing w:after="120" w:afterLines="0"/>
    </w:pPr>
    <w:rPr>
      <w:kern w:val="0"/>
      <w:szCs w:val="21"/>
    </w:rPr>
  </w:style>
  <w:style w:type="paragraph" w:customStyle="1" w:styleId="61">
    <w:name w:val="Normal_12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Normal_14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表格内容"/>
    <w:basedOn w:val="1"/>
    <w:qFormat/>
    <w:uiPriority w:val="0"/>
    <w:pPr>
      <w:suppressLineNumbers/>
      <w:suppressAutoHyphens/>
    </w:pPr>
  </w:style>
  <w:style w:type="paragraph" w:styleId="66">
    <w:name w:val="Quote"/>
    <w:basedOn w:val="1"/>
    <w:next w:val="1"/>
    <w:link w:val="234"/>
    <w:qFormat/>
    <w:uiPriority w:val="0"/>
    <w:rPr>
      <w:i/>
      <w:iCs/>
      <w:color w:val="000000"/>
      <w:szCs w:val="22"/>
    </w:rPr>
  </w:style>
  <w:style w:type="paragraph" w:customStyle="1" w:styleId="67">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自定样式1"/>
    <w:basedOn w:val="1"/>
    <w:qFormat/>
    <w:uiPriority w:val="0"/>
    <w:pPr>
      <w:suppressAutoHyphens/>
      <w:jc w:val="center"/>
    </w:pPr>
    <w:rPr>
      <w:rFonts w:ascii="宋体" w:hAnsi="宋体"/>
      <w:color w:val="000000"/>
      <w:sz w:val="18"/>
    </w:rPr>
  </w:style>
  <w:style w:type="paragraph" w:customStyle="1" w:styleId="69">
    <w:name w:val="mtitle"/>
    <w:basedOn w:val="1"/>
    <w:qFormat/>
    <w:uiPriority w:val="0"/>
    <w:pPr>
      <w:widowControl/>
      <w:spacing w:before="30" w:beforeLines="0"/>
      <w:jc w:val="center"/>
    </w:pPr>
    <w:rPr>
      <w:rFonts w:ascii="方正小标宋简体" w:hAnsi="宋体" w:eastAsia="方正小标宋简体"/>
      <w:color w:val="000000"/>
      <w:kern w:val="0"/>
      <w:sz w:val="44"/>
      <w:szCs w:val="44"/>
    </w:rPr>
  </w:style>
  <w:style w:type="paragraph" w:customStyle="1" w:styleId="70">
    <w:name w:val="标题5"/>
    <w:basedOn w:val="5"/>
    <w:link w:val="240"/>
    <w:qFormat/>
    <w:uiPriority w:val="0"/>
    <w:pPr>
      <w:spacing w:line="413" w:lineRule="auto"/>
    </w:pPr>
    <w:rPr>
      <w:rFonts w:ascii="Arial" w:hAnsi="Arial"/>
      <w:kern w:val="0"/>
      <w:sz w:val="24"/>
    </w:rPr>
  </w:style>
  <w:style w:type="paragraph" w:customStyle="1" w:styleId="71">
    <w:name w:val="Char Char"/>
    <w:basedOn w:val="1"/>
    <w:qFormat/>
    <w:uiPriority w:val="0"/>
    <w:pPr>
      <w:widowControl/>
      <w:jc w:val="left"/>
    </w:pPr>
    <w:rPr>
      <w:rFonts w:ascii="Verdana" w:hAnsi="Verdana" w:eastAsia="Times New Roman"/>
      <w:kern w:val="0"/>
      <w:sz w:val="16"/>
      <w:szCs w:val="20"/>
      <w:lang w:eastAsia="en-US"/>
    </w:rPr>
  </w:style>
  <w:style w:type="paragraph" w:customStyle="1" w:styleId="72">
    <w:name w:val="zz"/>
    <w:basedOn w:val="1"/>
    <w:qFormat/>
    <w:uiPriority w:val="0"/>
    <w:pPr>
      <w:widowControl/>
      <w:spacing w:before="30" w:beforeLines="0"/>
      <w:jc w:val="right"/>
    </w:pPr>
    <w:rPr>
      <w:rFonts w:ascii="方正书宋简体" w:hAnsi="宋体" w:eastAsia="方正书宋简体"/>
      <w:color w:val="000000"/>
      <w:kern w:val="0"/>
      <w:szCs w:val="21"/>
    </w:rPr>
  </w:style>
  <w:style w:type="paragraph" w:customStyle="1" w:styleId="73">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74">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5">
    <w:name w:val="g2"/>
    <w:basedOn w:val="1"/>
    <w:qFormat/>
    <w:uiPriority w:val="0"/>
    <w:pPr>
      <w:widowControl/>
      <w:spacing w:before="100" w:beforeLines="0" w:beforeAutospacing="1" w:after="100" w:afterLines="0" w:afterAutospacing="1"/>
      <w:jc w:val="left"/>
    </w:pPr>
    <w:rPr>
      <w:rFonts w:ascii="仿宋_GB2312" w:hAnsi="宋体" w:eastAsia="仿宋_GB2312" w:cs="宋体"/>
      <w:kern w:val="0"/>
      <w:sz w:val="17"/>
      <w:szCs w:val="17"/>
    </w:rPr>
  </w:style>
  <w:style w:type="paragraph" w:styleId="76">
    <w:name w:val="List Paragraph"/>
    <w:basedOn w:val="1"/>
    <w:qFormat/>
    <w:uiPriority w:val="0"/>
    <w:pPr>
      <w:ind w:firstLine="420" w:firstLineChars="200"/>
    </w:pPr>
    <w:rPr>
      <w:sz w:val="28"/>
      <w:szCs w:val="28"/>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Normal_13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9">
    <w:name w:val="标准样式1"/>
    <w:basedOn w:val="1"/>
    <w:qFormat/>
    <w:uiPriority w:val="0"/>
    <w:pPr>
      <w:spacing w:line="600" w:lineRule="exact"/>
      <w:ind w:firstLine="567"/>
    </w:pPr>
    <w:rPr>
      <w:rFonts w:ascii="Calibri" w:hAnsi="Calibri"/>
      <w:sz w:val="28"/>
    </w:rPr>
  </w:style>
  <w:style w:type="paragraph" w:customStyle="1" w:styleId="80">
    <w:name w:val="引用2"/>
    <w:basedOn w:val="1"/>
    <w:next w:val="1"/>
    <w:link w:val="188"/>
    <w:qFormat/>
    <w:uiPriority w:val="0"/>
    <w:rPr>
      <w:rFonts w:ascii="Times New Roman" w:hAnsi="Times New Roman"/>
      <w:i/>
      <w:iCs/>
      <w:color w:val="000000"/>
    </w:rPr>
  </w:style>
  <w:style w:type="paragraph" w:customStyle="1" w:styleId="81">
    <w:name w:val="l-2"/>
    <w:basedOn w:val="1"/>
    <w:qFormat/>
    <w:uiPriority w:val="0"/>
    <w:pPr>
      <w:widowControl/>
      <w:spacing w:before="100" w:beforeLines="0" w:beforeAutospacing="1" w:after="100" w:afterLines="0" w:afterAutospacing="1"/>
      <w:jc w:val="left"/>
    </w:pPr>
    <w:rPr>
      <w:rFonts w:ascii="宋体" w:hAnsi="宋体" w:cs="宋体"/>
      <w:b/>
      <w:bCs/>
      <w:color w:val="000000"/>
      <w:kern w:val="0"/>
      <w:sz w:val="13"/>
      <w:szCs w:val="13"/>
    </w:rPr>
  </w:style>
  <w:style w:type="paragraph" w:customStyle="1" w:styleId="82">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83">
    <w:name w:val="列出段落11"/>
    <w:basedOn w:val="1"/>
    <w:qFormat/>
    <w:uiPriority w:val="0"/>
    <w:pPr>
      <w:ind w:firstLine="420" w:firstLineChars="200"/>
    </w:pPr>
    <w:rPr>
      <w:sz w:val="28"/>
      <w:szCs w:val="28"/>
    </w:rPr>
  </w:style>
  <w:style w:type="paragraph" w:customStyle="1" w:styleId="84">
    <w:name w:val="表格标题"/>
    <w:basedOn w:val="65"/>
    <w:qFormat/>
    <w:uiPriority w:val="0"/>
  </w:style>
  <w:style w:type="paragraph" w:customStyle="1" w:styleId="85">
    <w:name w:val="明显引用1"/>
    <w:basedOn w:val="1"/>
    <w:next w:val="1"/>
    <w:link w:val="352"/>
    <w:qFormat/>
    <w:uiPriority w:val="30"/>
    <w:pPr>
      <w:pBdr>
        <w:bottom w:val="single" w:color="4F81BD" w:sz="4" w:space="4"/>
      </w:pBdr>
      <w:spacing w:before="200" w:after="280"/>
      <w:ind w:left="936" w:right="936"/>
    </w:pPr>
    <w:rPr>
      <w:b/>
      <w:bCs/>
      <w:i/>
      <w:iCs/>
      <w:color w:val="4F81BD"/>
      <w:szCs w:val="20"/>
    </w:rPr>
  </w:style>
  <w:style w:type="paragraph" w:customStyle="1" w:styleId="86">
    <w:name w:val="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87">
    <w:name w:val="引用1"/>
    <w:basedOn w:val="1"/>
    <w:next w:val="1"/>
    <w:link w:val="224"/>
    <w:qFormat/>
    <w:uiPriority w:val="29"/>
    <w:rPr>
      <w:i/>
      <w:iCs/>
      <w:color w:val="000000"/>
      <w:szCs w:val="20"/>
    </w:rPr>
  </w:style>
  <w:style w:type="paragraph" w:customStyle="1" w:styleId="88">
    <w:name w:val="Char9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89">
    <w:name w:val="Normal_2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0">
    <w:name w:val="font5"/>
    <w:basedOn w:val="1"/>
    <w:link w:val="309"/>
    <w:qFormat/>
    <w:uiPriority w:val="0"/>
    <w:pPr>
      <w:widowControl/>
      <w:spacing w:before="100" w:beforeAutospacing="1" w:after="100" w:afterAutospacing="1"/>
      <w:jc w:val="left"/>
    </w:pPr>
    <w:rPr>
      <w:rFonts w:ascii="宋体" w:hAnsi="宋体"/>
      <w:kern w:val="0"/>
      <w:sz w:val="24"/>
    </w:rPr>
  </w:style>
  <w:style w:type="paragraph" w:customStyle="1" w:styleId="9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2">
    <w:name w:val="rw"/>
    <w:basedOn w:val="1"/>
    <w:qFormat/>
    <w:uiPriority w:val="0"/>
    <w:pPr>
      <w:widowControl/>
      <w:spacing w:before="30" w:beforeLines="0"/>
      <w:ind w:left="100" w:right="100"/>
      <w:jc w:val="right"/>
    </w:pPr>
    <w:rPr>
      <w:rFonts w:ascii="方正仿宋简体" w:hAnsi="宋体" w:eastAsia="方正仿宋简体"/>
      <w:color w:val="000000"/>
      <w:kern w:val="0"/>
      <w:szCs w:val="21"/>
    </w:rPr>
  </w:style>
  <w:style w:type="paragraph" w:customStyle="1" w:styleId="93">
    <w:name w:val="Normal_2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4">
    <w:name w:val="TOC 标题2"/>
    <w:basedOn w:val="3"/>
    <w:next w:val="1"/>
    <w:unhideWhenUsed/>
    <w:qFormat/>
    <w:uiPriority w:val="0"/>
    <w:pPr>
      <w:outlineLvl w:val="9"/>
    </w:pPr>
    <w:rPr>
      <w:rFonts w:ascii="Calibri" w:hAnsi="Calibri"/>
    </w:rPr>
  </w:style>
  <w:style w:type="paragraph" w:customStyle="1" w:styleId="95">
    <w:name w:val="默认段落字体 Para Char Char Char Char Char Char Char"/>
    <w:basedOn w:val="1"/>
    <w:qFormat/>
    <w:uiPriority w:val="0"/>
    <w:pPr>
      <w:adjustRightInd w:val="0"/>
      <w:spacing w:line="360" w:lineRule="auto"/>
      <w:ind w:left="200" w:hanging="200" w:hangingChars="200"/>
    </w:pPr>
    <w:rPr>
      <w:rFonts w:ascii="Times New Roman" w:hAnsi="Times New Roman"/>
      <w:kern w:val="0"/>
      <w:sz w:val="24"/>
      <w:szCs w:val="20"/>
    </w:rPr>
  </w:style>
  <w:style w:type="paragraph" w:customStyle="1" w:styleId="96">
    <w:name w:val="pa-27"/>
    <w:basedOn w:val="1"/>
    <w:qFormat/>
    <w:uiPriority w:val="0"/>
    <w:pPr>
      <w:widowControl/>
      <w:spacing w:line="360" w:lineRule="atLeast"/>
      <w:ind w:firstLine="420"/>
    </w:pPr>
    <w:rPr>
      <w:rFonts w:ascii="宋体" w:hAnsi="宋体" w:cs="宋体"/>
      <w:kern w:val="0"/>
      <w:sz w:val="24"/>
    </w:rPr>
  </w:style>
  <w:style w:type="paragraph" w:customStyle="1" w:styleId="97">
    <w:name w:val="Normal_1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8">
    <w:name w:val="标题4"/>
    <w:basedOn w:val="4"/>
    <w:next w:val="20"/>
    <w:link w:val="341"/>
    <w:qFormat/>
    <w:uiPriority w:val="0"/>
    <w:pPr>
      <w:spacing w:line="413" w:lineRule="auto"/>
    </w:pPr>
    <w:rPr>
      <w:rFonts w:ascii="Arial" w:hAnsi="Arial"/>
      <w:kern w:val="0"/>
      <w:sz w:val="24"/>
    </w:rPr>
  </w:style>
  <w:style w:type="paragraph" w:customStyle="1" w:styleId="9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02">
    <w:name w:val="标准样式（文件）"/>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103">
    <w:name w:val="_Style 102"/>
    <w:basedOn w:val="3"/>
    <w:next w:val="1"/>
    <w:qFormat/>
    <w:uiPriority w:val="39"/>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04">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Char Char Char Char Char Char Char Char Char Char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10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Char1"/>
    <w:basedOn w:val="1"/>
    <w:qFormat/>
    <w:uiPriority w:val="0"/>
  </w:style>
  <w:style w:type="paragraph" w:customStyle="1" w:styleId="108">
    <w:name w:val="_Style 96"/>
    <w:semiHidden/>
    <w:qFormat/>
    <w:uiPriority w:val="99"/>
    <w:rPr>
      <w:rFonts w:ascii="Times New Roman" w:hAnsi="Times New Roman" w:eastAsia="宋体" w:cs="Times New Roman"/>
      <w:kern w:val="2"/>
      <w:sz w:val="21"/>
      <w:szCs w:val="24"/>
      <w:lang w:val="en-US" w:eastAsia="zh-CN" w:bidi="ar-SA"/>
    </w:rPr>
  </w:style>
  <w:style w:type="paragraph" w:customStyle="1" w:styleId="109">
    <w:name w:val="p16"/>
    <w:basedOn w:val="1"/>
    <w:qFormat/>
    <w:uiPriority w:val="0"/>
    <w:pPr>
      <w:widowControl/>
    </w:pPr>
    <w:rPr>
      <w:rFonts w:ascii="Calibri" w:hAnsi="Calibri" w:cs="宋体"/>
      <w:kern w:val="0"/>
      <w:szCs w:val="21"/>
    </w:rPr>
  </w:style>
  <w:style w:type="paragraph" w:customStyle="1" w:styleId="11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11">
    <w:name w:val="Normal_12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 Char"/>
    <w:basedOn w:val="1"/>
    <w:qFormat/>
    <w:uiPriority w:val="0"/>
  </w:style>
  <w:style w:type="paragraph" w:customStyle="1" w:styleId="113">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114">
    <w:name w:val="style12"/>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5">
    <w:name w:val="pa-34"/>
    <w:basedOn w:val="1"/>
    <w:qFormat/>
    <w:uiPriority w:val="0"/>
    <w:pPr>
      <w:widowControl/>
      <w:spacing w:line="360" w:lineRule="atLeast"/>
      <w:ind w:firstLine="420"/>
      <w:jc w:val="left"/>
    </w:pPr>
    <w:rPr>
      <w:rFonts w:ascii="宋体" w:hAnsi="宋体" w:cs="宋体"/>
      <w:kern w:val="0"/>
      <w:sz w:val="24"/>
    </w:rPr>
  </w:style>
  <w:style w:type="paragraph" w:customStyle="1" w:styleId="116">
    <w:name w:val="招标章"/>
    <w:basedOn w:val="1"/>
    <w:link w:val="315"/>
    <w:qFormat/>
    <w:uiPriority w:val="0"/>
    <w:pPr>
      <w:spacing w:line="360" w:lineRule="auto"/>
      <w:jc w:val="center"/>
      <w:outlineLvl w:val="0"/>
    </w:pPr>
    <w:rPr>
      <w:rFonts w:eastAsia="黑体"/>
      <w:b/>
      <w:kern w:val="0"/>
      <w:sz w:val="32"/>
    </w:rPr>
  </w:style>
  <w:style w:type="paragraph" w:customStyle="1" w:styleId="117">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1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20">
    <w:name w:val="修订1"/>
    <w:qFormat/>
    <w:uiPriority w:val="0"/>
    <w:rPr>
      <w:rFonts w:ascii="Times New Roman" w:hAnsi="Times New Roman" w:eastAsia="宋体" w:cs="Times New Roman"/>
      <w:kern w:val="2"/>
      <w:sz w:val="21"/>
      <w:szCs w:val="24"/>
      <w:lang w:val="en-US" w:eastAsia="zh-CN" w:bidi="ar-SA"/>
    </w:rPr>
  </w:style>
  <w:style w:type="paragraph" w:customStyle="1" w:styleId="121">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22">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23">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列出段落1"/>
    <w:basedOn w:val="1"/>
    <w:qFormat/>
    <w:uiPriority w:val="0"/>
    <w:pPr>
      <w:ind w:firstLine="420" w:firstLineChars="200"/>
    </w:pPr>
    <w:rPr>
      <w:sz w:val="28"/>
      <w:szCs w:val="28"/>
    </w:rPr>
  </w:style>
  <w:style w:type="paragraph" w:customStyle="1" w:styleId="127">
    <w:name w:val="Normal_1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9">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0">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1">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3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样式 标题 3 + (中文) 黑体 小四 非加粗 段前: 7.8 磅 段后: 0 磅 行距: 固定值 20 磅"/>
    <w:basedOn w:val="5"/>
    <w:next w:val="1"/>
    <w:qFormat/>
    <w:uiPriority w:val="0"/>
    <w:pPr>
      <w:spacing w:before="0" w:beforeLines="0" w:after="0" w:afterLines="0" w:line="400" w:lineRule="exact"/>
    </w:pPr>
    <w:rPr>
      <w:rFonts w:eastAsia="黑体" w:cs="宋体"/>
      <w:b w:val="0"/>
      <w:bCs w:val="0"/>
      <w:sz w:val="24"/>
      <w:szCs w:val="20"/>
    </w:rPr>
  </w:style>
  <w:style w:type="paragraph" w:customStyle="1" w:styleId="134">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135">
    <w:name w:val="样式1"/>
    <w:basedOn w:val="1"/>
    <w:next w:val="6"/>
    <w:qFormat/>
    <w:uiPriority w:val="0"/>
    <w:pPr>
      <w:spacing w:line="360" w:lineRule="auto"/>
      <w:ind w:firstLine="420" w:firstLineChars="200"/>
    </w:pPr>
    <w:rPr>
      <w:rFonts w:ascii="宋体" w:hAnsi="宋体"/>
      <w:szCs w:val="21"/>
    </w:rPr>
  </w:style>
  <w:style w:type="paragraph" w:customStyle="1" w:styleId="136">
    <w:name w:val="ly"/>
    <w:basedOn w:val="1"/>
    <w:qFormat/>
    <w:uiPriority w:val="0"/>
    <w:pPr>
      <w:widowControl/>
      <w:spacing w:before="30" w:beforeLines="0"/>
      <w:jc w:val="right"/>
    </w:pPr>
    <w:rPr>
      <w:rFonts w:ascii="方正书宋简体" w:hAnsi="宋体" w:eastAsia="方正书宋简体"/>
      <w:color w:val="000000"/>
      <w:kern w:val="0"/>
      <w:szCs w:val="21"/>
    </w:rPr>
  </w:style>
  <w:style w:type="paragraph" w:customStyle="1" w:styleId="137">
    <w:name w:val="明显引用11"/>
    <w:basedOn w:val="1"/>
    <w:next w:val="1"/>
    <w:qFormat/>
    <w:uiPriority w:val="30"/>
    <w:pPr>
      <w:pBdr>
        <w:bottom w:val="single" w:color="4F81BD" w:sz="4" w:space="4"/>
      </w:pBdr>
      <w:spacing w:before="200" w:after="280"/>
      <w:ind w:left="936" w:right="936"/>
    </w:pPr>
    <w:rPr>
      <w:rFonts w:ascii="Calibri" w:hAnsi="Calibri" w:eastAsia="宋体" w:cs="Times New Roman"/>
      <w:b/>
      <w:bCs/>
      <w:i/>
      <w:iCs/>
      <w:color w:val="4F81BD"/>
      <w:szCs w:val="22"/>
    </w:rPr>
  </w:style>
  <w:style w:type="paragraph" w:styleId="138">
    <w:name w:val="Intense Quote"/>
    <w:basedOn w:val="1"/>
    <w:next w:val="1"/>
    <w:link w:val="318"/>
    <w:qFormat/>
    <w:uiPriority w:val="0"/>
    <w:pPr>
      <w:pBdr>
        <w:bottom w:val="single" w:color="4F81BD" w:sz="4" w:space="4"/>
      </w:pBdr>
      <w:spacing w:before="200" w:beforeLines="0" w:after="280" w:afterLines="0"/>
      <w:ind w:left="936" w:right="936"/>
    </w:pPr>
    <w:rPr>
      <w:b/>
      <w:bCs/>
      <w:i/>
      <w:iCs/>
      <w:color w:val="4F81BD"/>
      <w:szCs w:val="22"/>
    </w:rPr>
  </w:style>
  <w:style w:type="paragraph" w:customStyle="1" w:styleId="139">
    <w:name w:val="Normal_13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g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41">
    <w:name w:val="1 Char"/>
    <w:basedOn w:val="1"/>
    <w:qFormat/>
    <w:uiPriority w:val="0"/>
    <w:pPr>
      <w:widowControl/>
      <w:spacing w:after="160" w:line="240" w:lineRule="exact"/>
      <w:jc w:val="left"/>
    </w:pPr>
    <w:rPr>
      <w:rFonts w:ascii="Calibri" w:hAnsi="Calibri"/>
      <w:szCs w:val="20"/>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_Style 9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Char"/>
    <w:basedOn w:val="1"/>
    <w:qFormat/>
    <w:uiPriority w:val="0"/>
  </w:style>
  <w:style w:type="paragraph" w:customStyle="1" w:styleId="1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cs="Times New Roman"/>
      <w:sz w:val="18"/>
      <w:szCs w:val="20"/>
    </w:rPr>
  </w:style>
  <w:style w:type="paragraph" w:customStyle="1" w:styleId="147">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8">
    <w:name w:val="Normal_1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9">
    <w:name w:val="Normal_14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0">
    <w:name w:val="正  文"/>
    <w:basedOn w:val="1"/>
    <w:qFormat/>
    <w:uiPriority w:val="0"/>
    <w:pPr>
      <w:spacing w:line="360" w:lineRule="auto"/>
      <w:ind w:firstLine="200" w:firstLineChars="200"/>
    </w:pPr>
    <w:rPr>
      <w:rFonts w:ascii="宋体" w:hAnsi="Calibri"/>
      <w:sz w:val="24"/>
    </w:rPr>
  </w:style>
  <w:style w:type="paragraph" w:customStyle="1" w:styleId="151">
    <w:name w:val="Char Char Char Char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152">
    <w:name w:val="Normal_2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3">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intel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5">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招标节"/>
    <w:basedOn w:val="1"/>
    <w:next w:val="1"/>
    <w:link w:val="276"/>
    <w:qFormat/>
    <w:uiPriority w:val="0"/>
    <w:pPr>
      <w:spacing w:beforeLines="50" w:afterLines="50"/>
      <w:outlineLvl w:val="1"/>
    </w:pPr>
    <w:rPr>
      <w:b/>
      <w:kern w:val="0"/>
      <w:sz w:val="24"/>
    </w:rPr>
  </w:style>
  <w:style w:type="paragraph" w:customStyle="1" w:styleId="157">
    <w:name w:val="Normal_1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8">
    <w:name w:val="WW-表格标题"/>
    <w:basedOn w:val="159"/>
    <w:qFormat/>
    <w:uiPriority w:val="0"/>
  </w:style>
  <w:style w:type="paragraph" w:customStyle="1" w:styleId="159">
    <w:name w:val="WW-表格内容"/>
    <w:basedOn w:val="1"/>
    <w:qFormat/>
    <w:uiPriority w:val="0"/>
    <w:pPr>
      <w:suppressLineNumbers/>
      <w:suppressAutoHyphens/>
    </w:pPr>
  </w:style>
  <w:style w:type="paragraph" w:customStyle="1" w:styleId="160">
    <w:name w:val="zw"/>
    <w:basedOn w:val="1"/>
    <w:qFormat/>
    <w:uiPriority w:val="0"/>
    <w:pPr>
      <w:widowControl/>
      <w:spacing w:before="30" w:beforeLines="0"/>
      <w:ind w:left="100" w:right="100"/>
    </w:pPr>
    <w:rPr>
      <w:rFonts w:ascii="方正书宋简体" w:hAnsi="宋体" w:eastAsia="方正书宋简体"/>
      <w:color w:val="000000"/>
      <w:kern w:val="0"/>
      <w:szCs w:val="21"/>
    </w:rPr>
  </w:style>
  <w:style w:type="paragraph" w:customStyle="1" w:styleId="161">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2">
    <w:name w:val="rr"/>
    <w:basedOn w:val="1"/>
    <w:qFormat/>
    <w:uiPriority w:val="0"/>
    <w:pPr>
      <w:widowControl/>
      <w:spacing w:before="100" w:beforeLines="0" w:beforeAutospacing="1" w:after="100" w:afterLines="0" w:afterAutospacing="1"/>
      <w:jc w:val="left"/>
    </w:pPr>
    <w:rPr>
      <w:rFonts w:hint="eastAsia" w:ascii="宋体" w:hAnsi="宋体"/>
      <w:kern w:val="0"/>
      <w:szCs w:val="21"/>
    </w:rPr>
  </w:style>
  <w:style w:type="paragraph" w:customStyle="1" w:styleId="163">
    <w:name w:val="_Style 162"/>
    <w:qFormat/>
    <w:uiPriority w:val="0"/>
    <w:rPr>
      <w:rFonts w:ascii="Times New Roman" w:hAnsi="Times New Roman" w:eastAsia="宋体" w:cs="Times New Roman"/>
      <w:kern w:val="2"/>
      <w:sz w:val="21"/>
      <w:szCs w:val="24"/>
      <w:lang w:val="en-US" w:eastAsia="zh-CN" w:bidi="ar-SA"/>
    </w:rPr>
  </w:style>
  <w:style w:type="paragraph" w:customStyle="1" w:styleId="164">
    <w:name w:val="招标正文"/>
    <w:basedOn w:val="1"/>
    <w:link w:val="337"/>
    <w:qFormat/>
    <w:uiPriority w:val="0"/>
    <w:pPr>
      <w:spacing w:line="300" w:lineRule="auto"/>
      <w:ind w:firstLine="420" w:firstLineChars="200"/>
    </w:pPr>
    <w:rPr>
      <w:rFonts w:ascii="宋体" w:hAnsi="宋体"/>
      <w:color w:val="0070C0"/>
      <w:kern w:val="0"/>
      <w:sz w:val="20"/>
      <w:szCs w:val="21"/>
    </w:rPr>
  </w:style>
  <w:style w:type="paragraph" w:customStyle="1" w:styleId="165">
    <w:name w:val="Normal_12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7">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8">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9">
    <w:name w:val="Char2"/>
    <w:basedOn w:val="1"/>
    <w:qFormat/>
    <w:uiPriority w:val="0"/>
    <w:rPr>
      <w:rFonts w:ascii="Calibri" w:hAnsi="Calibri"/>
    </w:rPr>
  </w:style>
  <w:style w:type="paragraph" w:customStyle="1" w:styleId="170">
    <w:name w:val="Normal_1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1">
    <w:name w:val="title"/>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72">
    <w:name w:val="表体"/>
    <w:basedOn w:val="1"/>
    <w:next w:val="1"/>
    <w:qFormat/>
    <w:uiPriority w:val="0"/>
    <w:pPr>
      <w:spacing w:line="0" w:lineRule="atLeast"/>
    </w:pPr>
    <w:rPr>
      <w:rFonts w:ascii="Calibri" w:hAnsi="Calibri"/>
      <w:b/>
      <w:snapToGrid w:val="0"/>
      <w:szCs w:val="20"/>
    </w:rPr>
  </w:style>
  <w:style w:type="paragraph" w:customStyle="1" w:styleId="173">
    <w:name w:val="标题2"/>
    <w:basedOn w:val="4"/>
    <w:next w:val="1"/>
    <w:qFormat/>
    <w:uiPriority w:val="0"/>
    <w:pPr>
      <w:numPr>
        <w:ilvl w:val="1"/>
        <w:numId w:val="0"/>
      </w:numPr>
      <w:snapToGrid w:val="0"/>
      <w:spacing w:before="120" w:after="120" w:line="240" w:lineRule="auto"/>
      <w:jc w:val="left"/>
    </w:pPr>
    <w:rPr>
      <w:rFonts w:ascii="Arial" w:hAnsi="Arial" w:eastAsia="黑体"/>
      <w:bCs w:val="0"/>
      <w:sz w:val="21"/>
      <w:szCs w:val="21"/>
    </w:rPr>
  </w:style>
  <w:style w:type="paragraph" w:customStyle="1" w:styleId="174">
    <w:name w:val="Normal_13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5">
    <w:name w:val="_Style 87"/>
    <w:basedOn w:val="1"/>
    <w:qFormat/>
    <w:uiPriority w:val="99"/>
    <w:pPr>
      <w:ind w:firstLine="420" w:firstLineChars="200"/>
    </w:pPr>
    <w:rPr>
      <w:rFonts w:ascii="Calibri" w:hAnsi="Calibri"/>
      <w:sz w:val="28"/>
      <w:szCs w:val="28"/>
    </w:rPr>
  </w:style>
  <w:style w:type="paragraph" w:customStyle="1" w:styleId="176">
    <w:name w:val="g11"/>
    <w:basedOn w:val="1"/>
    <w:qFormat/>
    <w:uiPriority w:val="0"/>
    <w:pPr>
      <w:widowControl/>
      <w:spacing w:before="100" w:beforeLines="0" w:beforeAutospacing="1" w:after="100" w:afterLines="0" w:afterAutospacing="1" w:line="465" w:lineRule="atLeast"/>
      <w:jc w:val="left"/>
    </w:pPr>
    <w:rPr>
      <w:rFonts w:ascii="华文中宋" w:hAnsi="华文中宋" w:eastAsia="华文中宋" w:cs="宋体"/>
      <w:b/>
      <w:bCs/>
      <w:color w:val="FF0000"/>
      <w:kern w:val="0"/>
      <w:sz w:val="31"/>
      <w:szCs w:val="31"/>
    </w:rPr>
  </w:style>
  <w:style w:type="paragraph" w:customStyle="1" w:styleId="177">
    <w:name w:val="_Style 3"/>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178">
    <w:name w:val="Normal_12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8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1">
    <w:name w:val="标题 3 Char"/>
    <w:qFormat/>
    <w:uiPriority w:val="0"/>
    <w:rPr>
      <w:rFonts w:ascii="仿宋_GB2312" w:hAnsi="Calibri" w:eastAsia="仿宋_GB2312" w:cs="Times New Roman"/>
      <w:b/>
      <w:kern w:val="0"/>
      <w:sz w:val="24"/>
      <w:szCs w:val="28"/>
    </w:rPr>
  </w:style>
  <w:style w:type="character" w:customStyle="1" w:styleId="182">
    <w:name w:val="标题 9 Char"/>
    <w:qFormat/>
    <w:uiPriority w:val="0"/>
    <w:rPr>
      <w:rFonts w:ascii="Arial" w:hAnsi="Arial" w:eastAsia="黑体" w:cs="Times New Roman"/>
      <w:szCs w:val="21"/>
    </w:rPr>
  </w:style>
  <w:style w:type="character" w:customStyle="1" w:styleId="183">
    <w:name w:val="纯文本 Char1"/>
    <w:qFormat/>
    <w:uiPriority w:val="0"/>
    <w:rPr>
      <w:rFonts w:ascii="宋体" w:hAnsi="Courier New" w:cs="Courier New"/>
      <w:kern w:val="2"/>
      <w:sz w:val="21"/>
      <w:szCs w:val="21"/>
    </w:rPr>
  </w:style>
  <w:style w:type="character" w:customStyle="1" w:styleId="184">
    <w:name w:val="docpro"/>
    <w:basedOn w:val="47"/>
    <w:qFormat/>
    <w:uiPriority w:val="0"/>
  </w:style>
  <w:style w:type="character" w:customStyle="1" w:styleId="185">
    <w:name w:val="unnamed1"/>
    <w:basedOn w:val="47"/>
    <w:qFormat/>
    <w:uiPriority w:val="0"/>
  </w:style>
  <w:style w:type="character" w:customStyle="1" w:styleId="186">
    <w:name w:val="标题 3 字符"/>
    <w:link w:val="5"/>
    <w:qFormat/>
    <w:uiPriority w:val="0"/>
    <w:rPr>
      <w:rFonts w:eastAsia="宋体"/>
      <w:b/>
      <w:bCs/>
      <w:kern w:val="2"/>
      <w:sz w:val="32"/>
      <w:szCs w:val="32"/>
      <w:lang w:val="en-US" w:eastAsia="zh-CN" w:bidi="ar-SA"/>
    </w:rPr>
  </w:style>
  <w:style w:type="character" w:customStyle="1" w:styleId="187">
    <w:name w:val="正文文本缩进 2 Char2"/>
    <w:semiHidden/>
    <w:qFormat/>
    <w:uiPriority w:val="99"/>
    <w:rPr>
      <w:rFonts w:ascii="Calibri" w:hAnsi="Calibri" w:eastAsia="宋体" w:cs="Times New Roman"/>
      <w:szCs w:val="24"/>
    </w:rPr>
  </w:style>
  <w:style w:type="character" w:customStyle="1" w:styleId="188">
    <w:name w:val="引用 Char"/>
    <w:link w:val="80"/>
    <w:qFormat/>
    <w:uiPriority w:val="0"/>
    <w:rPr>
      <w:rFonts w:ascii="Times New Roman" w:hAnsi="Times New Roman" w:eastAsia="宋体" w:cs="Times New Roman"/>
      <w:i/>
      <w:iCs/>
      <w:color w:val="000000"/>
      <w:kern w:val="2"/>
      <w:sz w:val="21"/>
      <w:szCs w:val="24"/>
    </w:rPr>
  </w:style>
  <w:style w:type="character" w:customStyle="1" w:styleId="189">
    <w:name w:val="批注文字 字符1"/>
    <w:link w:val="16"/>
    <w:qFormat/>
    <w:uiPriority w:val="99"/>
    <w:rPr>
      <w:rFonts w:eastAsia="宋体"/>
      <w:kern w:val="2"/>
      <w:sz w:val="21"/>
      <w:szCs w:val="24"/>
      <w:lang w:val="en-US" w:eastAsia="zh-CN" w:bidi="ar-SA"/>
    </w:rPr>
  </w:style>
  <w:style w:type="character" w:customStyle="1" w:styleId="190">
    <w:name w:val="文档结构图 字符"/>
    <w:link w:val="15"/>
    <w:qFormat/>
    <w:uiPriority w:val="0"/>
    <w:rPr>
      <w:rFonts w:eastAsia="宋体"/>
      <w:kern w:val="2"/>
      <w:sz w:val="21"/>
      <w:szCs w:val="24"/>
      <w:lang w:val="en-US" w:eastAsia="zh-CN" w:bidi="ar-SA"/>
    </w:rPr>
  </w:style>
  <w:style w:type="character" w:customStyle="1" w:styleId="191">
    <w:name w:val="color_red1"/>
    <w:qFormat/>
    <w:uiPriority w:val="0"/>
    <w:rPr>
      <w:color w:val="FA0004"/>
    </w:rPr>
  </w:style>
  <w:style w:type="character" w:customStyle="1" w:styleId="192">
    <w:name w:val="Char Char23"/>
    <w:qFormat/>
    <w:uiPriority w:val="0"/>
    <w:rPr>
      <w:rFonts w:ascii="Cambria" w:hAnsi="Cambria" w:eastAsia="宋体" w:cs="Times New Roman"/>
      <w:b/>
      <w:bCs/>
      <w:kern w:val="2"/>
      <w:sz w:val="32"/>
      <w:szCs w:val="32"/>
    </w:rPr>
  </w:style>
  <w:style w:type="character" w:customStyle="1" w:styleId="193">
    <w:name w:val="页眉 Char"/>
    <w:qFormat/>
    <w:uiPriority w:val="0"/>
    <w:rPr>
      <w:sz w:val="18"/>
      <w:szCs w:val="18"/>
    </w:rPr>
  </w:style>
  <w:style w:type="character" w:customStyle="1" w:styleId="194">
    <w:name w:val="尾注文本 Char1"/>
    <w:qFormat/>
    <w:uiPriority w:val="0"/>
    <w:rPr>
      <w:rFonts w:ascii="Arial" w:hAnsi="Arial" w:cs="Arial"/>
      <w:szCs w:val="24"/>
      <w:lang w:eastAsia="en-US"/>
    </w:rPr>
  </w:style>
  <w:style w:type="character" w:customStyle="1" w:styleId="195">
    <w:name w:val="不明显强调1"/>
    <w:qFormat/>
    <w:uiPriority w:val="0"/>
    <w:rPr>
      <w:i/>
      <w:iCs/>
      <w:color w:val="808080"/>
    </w:rPr>
  </w:style>
  <w:style w:type="character" w:customStyle="1" w:styleId="196">
    <w:name w:val="Char Char24"/>
    <w:qFormat/>
    <w:uiPriority w:val="0"/>
    <w:rPr>
      <w:b/>
      <w:bCs/>
      <w:kern w:val="44"/>
      <w:sz w:val="44"/>
      <w:szCs w:val="44"/>
    </w:rPr>
  </w:style>
  <w:style w:type="character" w:customStyle="1" w:styleId="197">
    <w:name w:val="标题 7 Char"/>
    <w:qFormat/>
    <w:uiPriority w:val="0"/>
    <w:rPr>
      <w:rFonts w:ascii="Calibri" w:hAnsi="Calibri" w:eastAsia="宋体" w:cs="Times New Roman"/>
      <w:b/>
      <w:bCs/>
      <w:sz w:val="24"/>
      <w:szCs w:val="24"/>
    </w:rPr>
  </w:style>
  <w:style w:type="character" w:customStyle="1" w:styleId="198">
    <w:name w:val="副标题 Char1"/>
    <w:qFormat/>
    <w:uiPriority w:val="11"/>
    <w:rPr>
      <w:szCs w:val="24"/>
      <w:u w:val="single"/>
      <w:lang w:eastAsia="en-US"/>
    </w:rPr>
  </w:style>
  <w:style w:type="character" w:customStyle="1" w:styleId="199">
    <w:name w:val="明显引用 Char"/>
    <w:qFormat/>
    <w:uiPriority w:val="0"/>
    <w:rPr>
      <w:rFonts w:ascii="Times New Roman" w:hAnsi="Times New Roman" w:eastAsia="宋体" w:cs="Times New Roman"/>
      <w:b/>
      <w:bCs/>
      <w:i/>
      <w:iCs/>
      <w:color w:val="4F81BD"/>
      <w:kern w:val="2"/>
      <w:sz w:val="21"/>
      <w:szCs w:val="24"/>
    </w:rPr>
  </w:style>
  <w:style w:type="character" w:customStyle="1" w:styleId="200">
    <w:name w:val="标题 2 Char1"/>
    <w:qFormat/>
    <w:uiPriority w:val="0"/>
    <w:rPr>
      <w:rFonts w:ascii="Cambria" w:hAnsi="Cambria" w:eastAsia="宋体" w:cs="Times New Roman"/>
      <w:b/>
      <w:bCs/>
      <w:kern w:val="2"/>
      <w:sz w:val="32"/>
      <w:szCs w:val="32"/>
    </w:rPr>
  </w:style>
  <w:style w:type="character" w:customStyle="1" w:styleId="201">
    <w:name w:val="正文文本缩进 Char2"/>
    <w:semiHidden/>
    <w:qFormat/>
    <w:uiPriority w:val="99"/>
    <w:rPr>
      <w:rFonts w:ascii="Calibri" w:hAnsi="Calibri" w:eastAsia="宋体" w:cs="Times New Roman"/>
      <w:szCs w:val="24"/>
    </w:rPr>
  </w:style>
  <w:style w:type="character" w:customStyle="1" w:styleId="202">
    <w:name w:val="副标题 Char"/>
    <w:qFormat/>
    <w:uiPriority w:val="0"/>
    <w:rPr>
      <w:rFonts w:ascii="Cambria" w:hAnsi="Cambria" w:eastAsia="宋体" w:cs="Times New Roman"/>
      <w:b/>
      <w:bCs/>
      <w:kern w:val="28"/>
      <w:sz w:val="32"/>
      <w:szCs w:val="32"/>
    </w:rPr>
  </w:style>
  <w:style w:type="character" w:customStyle="1" w:styleId="203">
    <w:name w:val="_Style 202"/>
    <w:qFormat/>
    <w:uiPriority w:val="0"/>
    <w:rPr>
      <w:smallCaps/>
      <w:color w:val="C0504D"/>
      <w:u w:val="single"/>
    </w:rPr>
  </w:style>
  <w:style w:type="character" w:customStyle="1" w:styleId="204">
    <w:name w:val="标题 1 字符"/>
    <w:link w:val="3"/>
    <w:qFormat/>
    <w:uiPriority w:val="0"/>
    <w:rPr>
      <w:rFonts w:eastAsia="宋体"/>
      <w:b/>
      <w:bCs/>
      <w:kern w:val="44"/>
      <w:sz w:val="44"/>
      <w:szCs w:val="44"/>
      <w:lang w:val="en-US" w:eastAsia="zh-CN" w:bidi="ar-SA"/>
    </w:rPr>
  </w:style>
  <w:style w:type="character" w:customStyle="1" w:styleId="205">
    <w:name w:val="页眉 Char1"/>
    <w:semiHidden/>
    <w:qFormat/>
    <w:uiPriority w:val="99"/>
    <w:rPr>
      <w:kern w:val="2"/>
      <w:sz w:val="18"/>
      <w:szCs w:val="18"/>
    </w:rPr>
  </w:style>
  <w:style w:type="character" w:customStyle="1" w:styleId="206">
    <w:name w:val="Char Char32"/>
    <w:qFormat/>
    <w:uiPriority w:val="0"/>
    <w:rPr>
      <w:rFonts w:ascii="仿宋_GB2312" w:eastAsia="仿宋_GB2312" w:cs="MingLiU"/>
      <w:b/>
      <w:spacing w:val="1"/>
      <w:w w:val="99"/>
      <w:sz w:val="28"/>
      <w:szCs w:val="32"/>
    </w:rPr>
  </w:style>
  <w:style w:type="character" w:customStyle="1" w:styleId="207">
    <w:name w:val="标题 2 Char"/>
    <w:qFormat/>
    <w:uiPriority w:val="0"/>
    <w:rPr>
      <w:rFonts w:ascii="仿宋_GB2312" w:hAnsi="Calibri" w:eastAsia="仿宋_GB2312" w:cs="Times New Roman"/>
      <w:b/>
      <w:spacing w:val="1"/>
      <w:w w:val="99"/>
      <w:kern w:val="0"/>
      <w:sz w:val="28"/>
      <w:szCs w:val="32"/>
    </w:rPr>
  </w:style>
  <w:style w:type="character" w:customStyle="1" w:styleId="208">
    <w:name w:val="文档结构图 Char1"/>
    <w:qFormat/>
    <w:uiPriority w:val="0"/>
    <w:rPr>
      <w:rFonts w:ascii="宋体"/>
      <w:kern w:val="2"/>
      <w:sz w:val="18"/>
      <w:szCs w:val="18"/>
    </w:rPr>
  </w:style>
  <w:style w:type="character" w:customStyle="1" w:styleId="209">
    <w:name w:val="正文文本缩进 2 字符"/>
    <w:link w:val="26"/>
    <w:qFormat/>
    <w:uiPriority w:val="0"/>
    <w:rPr>
      <w:rFonts w:eastAsia="宋体"/>
      <w:sz w:val="28"/>
      <w:szCs w:val="24"/>
      <w:lang w:val="en-US" w:eastAsia="zh-CN" w:bidi="ar-SA"/>
    </w:rPr>
  </w:style>
  <w:style w:type="character" w:customStyle="1" w:styleId="210">
    <w:name w:val="Section Char"/>
    <w:qFormat/>
    <w:uiPriority w:val="0"/>
    <w:rPr>
      <w:rFonts w:ascii="仿宋_GB2312" w:eastAsia="仿宋_GB2312" w:cs="MingLiU"/>
      <w:b/>
      <w:sz w:val="24"/>
      <w:szCs w:val="28"/>
      <w:lang w:val="en-US" w:eastAsia="zh-CN" w:bidi="ar-SA"/>
    </w:rPr>
  </w:style>
  <w:style w:type="character" w:customStyle="1" w:styleId="211">
    <w:name w:val="脚注文本 Char2"/>
    <w:semiHidden/>
    <w:qFormat/>
    <w:uiPriority w:val="99"/>
    <w:rPr>
      <w:rFonts w:ascii="Calibri" w:hAnsi="Calibri" w:eastAsia="宋体" w:cs="Times New Roman"/>
      <w:sz w:val="18"/>
      <w:szCs w:val="18"/>
    </w:rPr>
  </w:style>
  <w:style w:type="character" w:customStyle="1" w:styleId="212">
    <w:name w:val="HTML 预设格式 Char"/>
    <w:qFormat/>
    <w:uiPriority w:val="0"/>
    <w:rPr>
      <w:rFonts w:ascii="宋体" w:hAnsi="宋体" w:eastAsia="宋体" w:cs="宋体"/>
      <w:color w:val="000000"/>
      <w:sz w:val="24"/>
      <w:szCs w:val="24"/>
    </w:rPr>
  </w:style>
  <w:style w:type="character" w:customStyle="1" w:styleId="213">
    <w:name w:val="_Style 212"/>
    <w:qFormat/>
    <w:uiPriority w:val="0"/>
    <w:rPr>
      <w:b/>
      <w:bCs/>
      <w:smallCaps/>
      <w:color w:val="C0504D"/>
      <w:spacing w:val="5"/>
      <w:u w:val="single"/>
    </w:rPr>
  </w:style>
  <w:style w:type="character" w:customStyle="1" w:styleId="214">
    <w:name w:val="尾注文本 Char2"/>
    <w:semiHidden/>
    <w:qFormat/>
    <w:uiPriority w:val="99"/>
    <w:rPr>
      <w:rFonts w:ascii="Calibri" w:hAnsi="Calibri" w:eastAsia="宋体" w:cs="Times New Roman"/>
      <w:szCs w:val="24"/>
    </w:rPr>
  </w:style>
  <w:style w:type="character" w:customStyle="1" w:styleId="215">
    <w:name w:val="文档结构图 Char2"/>
    <w:qFormat/>
    <w:uiPriority w:val="99"/>
    <w:rPr>
      <w:kern w:val="2"/>
      <w:sz w:val="21"/>
      <w:szCs w:val="24"/>
      <w:shd w:val="clear" w:color="auto" w:fill="000080"/>
    </w:rPr>
  </w:style>
  <w:style w:type="character" w:customStyle="1" w:styleId="216">
    <w:name w:val="正文文本缩进 3 Char"/>
    <w:qFormat/>
    <w:uiPriority w:val="0"/>
    <w:rPr>
      <w:kern w:val="2"/>
      <w:sz w:val="16"/>
      <w:szCs w:val="16"/>
    </w:rPr>
  </w:style>
  <w:style w:type="character" w:customStyle="1" w:styleId="217">
    <w:name w:val="日期 Char3"/>
    <w:semiHidden/>
    <w:qFormat/>
    <w:uiPriority w:val="99"/>
    <w:rPr>
      <w:rFonts w:ascii="Calibri" w:hAnsi="Calibri" w:eastAsia="宋体" w:cs="Times New Roman"/>
      <w:szCs w:val="24"/>
    </w:rPr>
  </w:style>
  <w:style w:type="character" w:customStyle="1" w:styleId="218">
    <w:name w:val="批注框文本 Char1"/>
    <w:qFormat/>
    <w:uiPriority w:val="0"/>
    <w:rPr>
      <w:kern w:val="2"/>
      <w:sz w:val="18"/>
      <w:szCs w:val="18"/>
    </w:rPr>
  </w:style>
  <w:style w:type="character" w:customStyle="1" w:styleId="219">
    <w:name w:val="标题 7 Char1"/>
    <w:qFormat/>
    <w:uiPriority w:val="0"/>
    <w:rPr>
      <w:rFonts w:ascii="Times New Roman" w:hAnsi="Times New Roman" w:eastAsia="仿宋_GB2312" w:cs="Times New Roman"/>
      <w:sz w:val="30"/>
      <w:szCs w:val="20"/>
    </w:rPr>
  </w:style>
  <w:style w:type="character" w:customStyle="1" w:styleId="220">
    <w:name w:val="尾注文本 Char"/>
    <w:qFormat/>
    <w:uiPriority w:val="0"/>
    <w:rPr>
      <w:kern w:val="2"/>
      <w:sz w:val="21"/>
      <w:szCs w:val="24"/>
    </w:rPr>
  </w:style>
  <w:style w:type="character" w:customStyle="1" w:styleId="221">
    <w:name w:val="正文文本缩进 字符"/>
    <w:link w:val="18"/>
    <w:qFormat/>
    <w:uiPriority w:val="0"/>
    <w:rPr>
      <w:rFonts w:eastAsia="宋体"/>
      <w:kern w:val="2"/>
      <w:sz w:val="21"/>
      <w:szCs w:val="24"/>
      <w:lang w:val="en-US" w:eastAsia="zh-CN" w:bidi="ar-SA"/>
    </w:rPr>
  </w:style>
  <w:style w:type="character" w:customStyle="1" w:styleId="222">
    <w:name w:val="标题 5 字符"/>
    <w:link w:val="7"/>
    <w:qFormat/>
    <w:uiPriority w:val="0"/>
    <w:rPr>
      <w:rFonts w:ascii="宋体" w:hAnsi="宋体" w:eastAsia="宋体" w:cs="宋体"/>
      <w:b/>
      <w:bCs/>
      <w:lang w:val="en-US" w:eastAsia="zh-CN" w:bidi="ar-SA"/>
    </w:rPr>
  </w:style>
  <w:style w:type="character" w:customStyle="1" w:styleId="223">
    <w:name w:val="批注文字 Char1"/>
    <w:qFormat/>
    <w:uiPriority w:val="99"/>
    <w:rPr>
      <w:rFonts w:ascii="Times New Roman" w:hAnsi="Times New Roman" w:eastAsia="宋体" w:cs="Times New Roman"/>
      <w:szCs w:val="24"/>
    </w:rPr>
  </w:style>
  <w:style w:type="character" w:customStyle="1" w:styleId="224">
    <w:name w:val="引用 Char1"/>
    <w:link w:val="87"/>
    <w:qFormat/>
    <w:uiPriority w:val="29"/>
    <w:rPr>
      <w:i/>
      <w:iCs/>
      <w:color w:val="000000"/>
      <w:kern w:val="2"/>
      <w:sz w:val="21"/>
    </w:rPr>
  </w:style>
  <w:style w:type="character" w:customStyle="1" w:styleId="225">
    <w:name w:val="标题 Char"/>
    <w:qFormat/>
    <w:uiPriority w:val="0"/>
    <w:rPr>
      <w:rFonts w:ascii="Cambria" w:hAnsi="Cambria" w:eastAsia="宋体" w:cs="Times New Roman"/>
      <w:b/>
      <w:bCs/>
      <w:kern w:val="2"/>
      <w:sz w:val="32"/>
      <w:szCs w:val="32"/>
    </w:rPr>
  </w:style>
  <w:style w:type="character" w:customStyle="1" w:styleId="226">
    <w:name w:val="页脚 Char1"/>
    <w:semiHidden/>
    <w:qFormat/>
    <w:uiPriority w:val="99"/>
    <w:rPr>
      <w:kern w:val="2"/>
      <w:sz w:val="18"/>
      <w:szCs w:val="18"/>
    </w:rPr>
  </w:style>
  <w:style w:type="character" w:customStyle="1" w:styleId="227">
    <w:name w:val="批注主题 字符"/>
    <w:link w:val="44"/>
    <w:qFormat/>
    <w:uiPriority w:val="0"/>
    <w:rPr>
      <w:rFonts w:eastAsia="宋体"/>
      <w:b/>
      <w:bCs/>
      <w:kern w:val="2"/>
      <w:sz w:val="21"/>
      <w:szCs w:val="24"/>
      <w:lang w:val="en-US" w:eastAsia="zh-CN" w:bidi="ar-SA"/>
    </w:rPr>
  </w:style>
  <w:style w:type="character" w:customStyle="1" w:styleId="228">
    <w:name w:val="正文文本缩进 3 Char1"/>
    <w:qFormat/>
    <w:uiPriority w:val="0"/>
    <w:rPr>
      <w:rFonts w:ascii="宋体" w:hAnsi="宋体"/>
      <w:kern w:val="2"/>
      <w:sz w:val="28"/>
      <w:szCs w:val="28"/>
    </w:rPr>
  </w:style>
  <w:style w:type="character" w:customStyle="1" w:styleId="229">
    <w:name w:val="style121"/>
    <w:qFormat/>
    <w:uiPriority w:val="0"/>
    <w:rPr>
      <w:rFonts w:hint="eastAsia" w:ascii="宋体" w:hAnsi="宋体" w:eastAsia="宋体"/>
      <w:sz w:val="18"/>
      <w:szCs w:val="18"/>
    </w:rPr>
  </w:style>
  <w:style w:type="character" w:customStyle="1" w:styleId="230">
    <w:name w:val="标题 Char1"/>
    <w:qFormat/>
    <w:uiPriority w:val="10"/>
    <w:rPr>
      <w:szCs w:val="24"/>
      <w:u w:val="single"/>
      <w:lang w:eastAsia="en-US"/>
    </w:rPr>
  </w:style>
  <w:style w:type="character" w:customStyle="1" w:styleId="231">
    <w:name w:val="批注主题 Char"/>
    <w:qFormat/>
    <w:uiPriority w:val="0"/>
    <w:rPr>
      <w:rFonts w:ascii="宋体" w:hAnsi="宋体" w:eastAsia="宋体"/>
      <w:kern w:val="2"/>
      <w:sz w:val="24"/>
      <w:szCs w:val="28"/>
      <w:lang w:val="en-US" w:eastAsia="zh-CN" w:bidi="ar-SA"/>
    </w:rPr>
  </w:style>
  <w:style w:type="character" w:customStyle="1" w:styleId="232">
    <w:name w:val="标题 字符"/>
    <w:link w:val="43"/>
    <w:qFormat/>
    <w:uiPriority w:val="0"/>
    <w:rPr>
      <w:rFonts w:eastAsia="宋体"/>
      <w:szCs w:val="24"/>
      <w:u w:val="single"/>
      <w:lang w:val="en-US" w:eastAsia="en-US" w:bidi="ar-SA"/>
    </w:rPr>
  </w:style>
  <w:style w:type="character" w:customStyle="1" w:styleId="233">
    <w:name w:val="正文文本缩进 3 Char2"/>
    <w:semiHidden/>
    <w:qFormat/>
    <w:uiPriority w:val="99"/>
    <w:rPr>
      <w:rFonts w:ascii="Calibri" w:hAnsi="Calibri" w:eastAsia="宋体" w:cs="Times New Roman"/>
      <w:sz w:val="16"/>
      <w:szCs w:val="16"/>
    </w:rPr>
  </w:style>
  <w:style w:type="character" w:customStyle="1" w:styleId="234">
    <w:name w:val="引用 字符"/>
    <w:link w:val="66"/>
    <w:qFormat/>
    <w:uiPriority w:val="0"/>
    <w:rPr>
      <w:i/>
      <w:iCs/>
      <w:color w:val="000000"/>
      <w:kern w:val="2"/>
      <w:sz w:val="21"/>
      <w:szCs w:val="22"/>
      <w:lang w:bidi="ar-SA"/>
    </w:rPr>
  </w:style>
  <w:style w:type="character" w:customStyle="1" w:styleId="235">
    <w:name w:val="ht1"/>
    <w:qFormat/>
    <w:uiPriority w:val="0"/>
    <w:rPr>
      <w:rFonts w:ascii="黑体" w:eastAsia="黑体"/>
      <w:b/>
      <w:bCs/>
    </w:rPr>
  </w:style>
  <w:style w:type="character" w:customStyle="1" w:styleId="236">
    <w:name w:val="Char Char13"/>
    <w:qFormat/>
    <w:uiPriority w:val="0"/>
    <w:rPr>
      <w:kern w:val="2"/>
      <w:sz w:val="18"/>
      <w:szCs w:val="18"/>
    </w:rPr>
  </w:style>
  <w:style w:type="character" w:customStyle="1" w:styleId="237">
    <w:name w:val="普通文字 Char Char1"/>
    <w:qFormat/>
    <w:uiPriority w:val="0"/>
    <w:rPr>
      <w:rFonts w:ascii="宋体" w:hAnsi="Courier New"/>
      <w:kern w:val="2"/>
      <w:sz w:val="28"/>
      <w:szCs w:val="28"/>
    </w:rPr>
  </w:style>
  <w:style w:type="character" w:customStyle="1" w:styleId="238">
    <w:name w:val="批注文字 Char"/>
    <w:qFormat/>
    <w:uiPriority w:val="99"/>
    <w:rPr>
      <w:rFonts w:ascii="Times New Roman" w:hAnsi="Times New Roman" w:eastAsia="宋体" w:cs="Times New Roman"/>
      <w:kern w:val="2"/>
      <w:sz w:val="21"/>
      <w:szCs w:val="24"/>
    </w:rPr>
  </w:style>
  <w:style w:type="character" w:customStyle="1" w:styleId="239">
    <w:name w:val="标题 8 字符"/>
    <w:link w:val="11"/>
    <w:qFormat/>
    <w:uiPriority w:val="0"/>
    <w:rPr>
      <w:rFonts w:hAnsi="Arial" w:eastAsia="仿宋_GB2312"/>
      <w:sz w:val="30"/>
      <w:lang w:val="en-US" w:eastAsia="zh-CN" w:bidi="ar-SA"/>
    </w:rPr>
  </w:style>
  <w:style w:type="character" w:customStyle="1" w:styleId="240">
    <w:name w:val="标题5 Char Char"/>
    <w:link w:val="70"/>
    <w:qFormat/>
    <w:uiPriority w:val="0"/>
    <w:rPr>
      <w:rFonts w:ascii="Arial" w:hAnsi="Arial"/>
      <w:b/>
      <w:bCs/>
      <w:sz w:val="24"/>
      <w:szCs w:val="32"/>
      <w:lang w:bidi="ar-SA"/>
    </w:rPr>
  </w:style>
  <w:style w:type="character" w:customStyle="1" w:styleId="241">
    <w:name w:val="日期 Char2"/>
    <w:qFormat/>
    <w:uiPriority w:val="99"/>
    <w:rPr>
      <w:kern w:val="2"/>
      <w:sz w:val="21"/>
      <w:szCs w:val="24"/>
    </w:rPr>
  </w:style>
  <w:style w:type="character" w:customStyle="1" w:styleId="242">
    <w:name w:val="标题 4 字符"/>
    <w:link w:val="6"/>
    <w:qFormat/>
    <w:uiPriority w:val="0"/>
    <w:rPr>
      <w:rFonts w:ascii="宋体" w:hAnsi="宋体" w:eastAsia="宋体" w:cs="宋体"/>
      <w:b/>
      <w:bCs/>
      <w:sz w:val="24"/>
      <w:szCs w:val="24"/>
      <w:lang w:val="en-US" w:eastAsia="zh-CN" w:bidi="ar-SA"/>
    </w:rPr>
  </w:style>
  <w:style w:type="character" w:customStyle="1" w:styleId="243">
    <w:name w:val="正文文本 字符"/>
    <w:link w:val="2"/>
    <w:qFormat/>
    <w:uiPriority w:val="0"/>
    <w:rPr>
      <w:rFonts w:eastAsia="宋体"/>
      <w:kern w:val="2"/>
      <w:sz w:val="21"/>
      <w:szCs w:val="24"/>
      <w:lang w:val="en-US" w:eastAsia="zh-CN" w:bidi="ar-SA"/>
    </w:rPr>
  </w:style>
  <w:style w:type="character" w:customStyle="1" w:styleId="244">
    <w:name w:val="正文文本 2 字符"/>
    <w:link w:val="39"/>
    <w:qFormat/>
    <w:uiPriority w:val="0"/>
    <w:rPr>
      <w:i/>
      <w:iCs/>
      <w:kern w:val="2"/>
      <w:sz w:val="26"/>
      <w:szCs w:val="24"/>
    </w:rPr>
  </w:style>
  <w:style w:type="character" w:customStyle="1" w:styleId="245">
    <w:name w:val="批注框文本 Char3"/>
    <w:semiHidden/>
    <w:qFormat/>
    <w:uiPriority w:val="99"/>
    <w:rPr>
      <w:rFonts w:ascii="Calibri" w:hAnsi="Calibri" w:eastAsia="宋体" w:cs="Times New Roman"/>
      <w:sz w:val="18"/>
      <w:szCs w:val="18"/>
    </w:rPr>
  </w:style>
  <w:style w:type="character" w:customStyle="1" w:styleId="246">
    <w:name w:val="正文文本 3 Char2"/>
    <w:semiHidden/>
    <w:qFormat/>
    <w:uiPriority w:val="99"/>
    <w:rPr>
      <w:rFonts w:ascii="Calibri" w:hAnsi="Calibri" w:eastAsia="宋体" w:cs="Times New Roman"/>
      <w:sz w:val="16"/>
      <w:szCs w:val="16"/>
    </w:rPr>
  </w:style>
  <w:style w:type="character" w:customStyle="1" w:styleId="247">
    <w:name w:val="Char Char22"/>
    <w:qFormat/>
    <w:uiPriority w:val="0"/>
    <w:rPr>
      <w:b/>
      <w:bCs/>
      <w:kern w:val="2"/>
      <w:sz w:val="32"/>
      <w:szCs w:val="32"/>
    </w:rPr>
  </w:style>
  <w:style w:type="character" w:customStyle="1" w:styleId="248">
    <w:name w:val="Char Char35"/>
    <w:qFormat/>
    <w:uiPriority w:val="0"/>
    <w:rPr>
      <w:rFonts w:ascii="仿宋_GB2312" w:eastAsia="仿宋_GB2312" w:cs="MingLiU"/>
      <w:b/>
      <w:sz w:val="24"/>
      <w:szCs w:val="28"/>
    </w:rPr>
  </w:style>
  <w:style w:type="character" w:customStyle="1" w:styleId="249">
    <w:name w:val="正文文本 3 Char"/>
    <w:qFormat/>
    <w:uiPriority w:val="0"/>
    <w:rPr>
      <w:kern w:val="2"/>
      <w:sz w:val="16"/>
      <w:szCs w:val="16"/>
    </w:rPr>
  </w:style>
  <w:style w:type="character" w:customStyle="1" w:styleId="250">
    <w:name w:val="纯文本 Char"/>
    <w:qFormat/>
    <w:uiPriority w:val="0"/>
    <w:rPr>
      <w:rFonts w:ascii="宋体" w:hAnsi="Courier New"/>
      <w:sz w:val="28"/>
      <w:szCs w:val="28"/>
    </w:rPr>
  </w:style>
  <w:style w:type="character" w:customStyle="1" w:styleId="251">
    <w:name w:val="标题 2 字符"/>
    <w:link w:val="4"/>
    <w:qFormat/>
    <w:uiPriority w:val="0"/>
    <w:rPr>
      <w:rFonts w:ascii="Cambria" w:hAnsi="Cambria" w:eastAsia="宋体"/>
      <w:b/>
      <w:bCs/>
      <w:kern w:val="2"/>
      <w:sz w:val="32"/>
      <w:szCs w:val="32"/>
      <w:lang w:val="en-US" w:eastAsia="zh-CN" w:bidi="ar-SA"/>
    </w:rPr>
  </w:style>
  <w:style w:type="character" w:customStyle="1" w:styleId="252">
    <w:name w:val="文档结构图 Char3"/>
    <w:semiHidden/>
    <w:qFormat/>
    <w:uiPriority w:val="99"/>
    <w:rPr>
      <w:rFonts w:ascii="宋体" w:hAnsi="Calibri" w:eastAsia="宋体" w:cs="Times New Roman"/>
      <w:sz w:val="18"/>
      <w:szCs w:val="18"/>
    </w:rPr>
  </w:style>
  <w:style w:type="character" w:customStyle="1" w:styleId="253">
    <w:name w:val="标题 4 Char"/>
    <w:qFormat/>
    <w:uiPriority w:val="0"/>
    <w:rPr>
      <w:rFonts w:ascii="仿宋_GB2312" w:hAnsi="Calibri" w:eastAsia="仿宋_GB2312" w:cs="Times New Roman"/>
      <w:b/>
      <w:kern w:val="0"/>
      <w:sz w:val="24"/>
      <w:szCs w:val="28"/>
    </w:rPr>
  </w:style>
  <w:style w:type="character" w:customStyle="1" w:styleId="254">
    <w:name w:val="日期 Char"/>
    <w:qFormat/>
    <w:uiPriority w:val="0"/>
    <w:rPr>
      <w:rFonts w:eastAsia="宋体"/>
      <w:szCs w:val="24"/>
    </w:rPr>
  </w:style>
  <w:style w:type="character" w:customStyle="1" w:styleId="255">
    <w:name w:val="style21"/>
    <w:qFormat/>
    <w:uiPriority w:val="0"/>
    <w:rPr>
      <w:b/>
      <w:bCs/>
      <w:sz w:val="28"/>
      <w:szCs w:val="28"/>
    </w:rPr>
  </w:style>
  <w:style w:type="character" w:customStyle="1" w:styleId="256">
    <w:name w:val="普通文字 Char Char2"/>
    <w:qFormat/>
    <w:uiPriority w:val="0"/>
    <w:rPr>
      <w:rFonts w:ascii="宋体" w:hAnsi="Courier New"/>
      <w:kern w:val="2"/>
      <w:sz w:val="28"/>
      <w:szCs w:val="28"/>
    </w:rPr>
  </w:style>
  <w:style w:type="character" w:customStyle="1" w:styleId="257">
    <w:name w:val="title11"/>
    <w:qFormat/>
    <w:uiPriority w:val="0"/>
    <w:rPr>
      <w:b/>
      <w:bCs/>
      <w:color w:val="FFFFFF"/>
      <w:sz w:val="11"/>
      <w:szCs w:val="11"/>
    </w:rPr>
  </w:style>
  <w:style w:type="character" w:customStyle="1" w:styleId="258">
    <w:name w:val="标题 3 Char1"/>
    <w:qFormat/>
    <w:uiPriority w:val="0"/>
    <w:rPr>
      <w:rFonts w:ascii="Times New Roman" w:hAnsi="Times New Roman" w:eastAsia="宋体" w:cs="Times New Roman"/>
      <w:b/>
      <w:bCs/>
      <w:kern w:val="2"/>
      <w:sz w:val="32"/>
      <w:szCs w:val="32"/>
    </w:rPr>
  </w:style>
  <w:style w:type="character" w:customStyle="1" w:styleId="259">
    <w:name w:val="HTML 预设格式 字符"/>
    <w:link w:val="40"/>
    <w:qFormat/>
    <w:uiPriority w:val="0"/>
    <w:rPr>
      <w:rFonts w:ascii="宋体" w:hAnsi="宋体" w:eastAsia="宋体" w:cs="宋体"/>
      <w:color w:val="000000"/>
      <w:sz w:val="24"/>
      <w:szCs w:val="24"/>
      <w:lang w:val="en-US" w:eastAsia="zh-CN" w:bidi="ar-SA"/>
    </w:rPr>
  </w:style>
  <w:style w:type="character" w:customStyle="1" w:styleId="260">
    <w:name w:val="正文文本缩进 2 Char1"/>
    <w:qFormat/>
    <w:uiPriority w:val="0"/>
    <w:rPr>
      <w:sz w:val="28"/>
      <w:szCs w:val="24"/>
    </w:rPr>
  </w:style>
  <w:style w:type="character" w:customStyle="1" w:styleId="261">
    <w:name w:val="标题 8 Char"/>
    <w:qFormat/>
    <w:uiPriority w:val="0"/>
    <w:rPr>
      <w:rFonts w:ascii="Arial" w:hAnsi="Arial" w:eastAsia="黑体" w:cs="Times New Roman"/>
      <w:sz w:val="24"/>
      <w:szCs w:val="24"/>
    </w:rPr>
  </w:style>
  <w:style w:type="character" w:customStyle="1" w:styleId="262">
    <w:name w:val="_Style 261"/>
    <w:qFormat/>
    <w:uiPriority w:val="0"/>
    <w:rPr>
      <w:b/>
      <w:bCs/>
      <w:smallCaps/>
      <w:spacing w:val="5"/>
    </w:rPr>
  </w:style>
  <w:style w:type="character" w:customStyle="1" w:styleId="263">
    <w:name w:val="14t1"/>
    <w:qFormat/>
    <w:uiPriority w:val="0"/>
    <w:rPr>
      <w:rFonts w:hint="eastAsia" w:ascii="宋体" w:hAnsi="宋体" w:eastAsia="宋体"/>
      <w:sz w:val="11"/>
      <w:szCs w:val="11"/>
    </w:rPr>
  </w:style>
  <w:style w:type="character" w:customStyle="1" w:styleId="264">
    <w:name w:val="_Style 263"/>
    <w:qFormat/>
    <w:uiPriority w:val="0"/>
    <w:rPr>
      <w:i/>
      <w:iCs/>
      <w:color w:val="808080"/>
    </w:rPr>
  </w:style>
  <w:style w:type="character" w:customStyle="1" w:styleId="265">
    <w:name w:val="ss16"/>
    <w:qFormat/>
    <w:uiPriority w:val="0"/>
    <w:rPr>
      <w:rFonts w:hint="eastAsia" w:ascii="宋体" w:hAnsi="宋体" w:eastAsia="宋体"/>
      <w:color w:val="000000"/>
      <w:sz w:val="9"/>
      <w:szCs w:val="9"/>
    </w:rPr>
  </w:style>
  <w:style w:type="character" w:customStyle="1" w:styleId="266">
    <w:name w:val="批注文字 Char2"/>
    <w:qFormat/>
    <w:uiPriority w:val="0"/>
    <w:rPr>
      <w:rFonts w:ascii="Calibri" w:hAnsi="Calibri" w:eastAsia="宋体" w:cs="Times New Roman"/>
      <w:szCs w:val="24"/>
    </w:rPr>
  </w:style>
  <w:style w:type="character" w:customStyle="1" w:styleId="267">
    <w:name w:val="正文文本缩进 Char1"/>
    <w:qFormat/>
    <w:uiPriority w:val="0"/>
    <w:rPr>
      <w:kern w:val="2"/>
      <w:sz w:val="21"/>
      <w:szCs w:val="24"/>
    </w:rPr>
  </w:style>
  <w:style w:type="character" w:customStyle="1" w:styleId="268">
    <w:name w:val="Char Char21"/>
    <w:qFormat/>
    <w:uiPriority w:val="0"/>
    <w:rPr>
      <w:rFonts w:ascii="宋体" w:hAnsi="宋体" w:cs="宋体"/>
      <w:b/>
      <w:bCs/>
      <w:sz w:val="24"/>
      <w:szCs w:val="24"/>
    </w:rPr>
  </w:style>
  <w:style w:type="character" w:customStyle="1" w:styleId="269">
    <w:name w:val="批注框文本 Char"/>
    <w:qFormat/>
    <w:uiPriority w:val="0"/>
    <w:rPr>
      <w:sz w:val="18"/>
      <w:szCs w:val="18"/>
    </w:rPr>
  </w:style>
  <w:style w:type="character" w:customStyle="1" w:styleId="270">
    <w:name w:val="Char Char33"/>
    <w:qFormat/>
    <w:uiPriority w:val="0"/>
    <w:rPr>
      <w:rFonts w:ascii="仿宋_GB2312" w:eastAsia="仿宋_GB2312" w:cs="MingLiU"/>
      <w:b/>
      <w:sz w:val="24"/>
      <w:szCs w:val="28"/>
    </w:rPr>
  </w:style>
  <w:style w:type="character" w:customStyle="1" w:styleId="271">
    <w:name w:val="明显引用 Char3"/>
    <w:qFormat/>
    <w:uiPriority w:val="30"/>
    <w:rPr>
      <w:rFonts w:ascii="Calibri" w:hAnsi="Calibri" w:eastAsia="宋体" w:cs="Times New Roman"/>
      <w:b/>
      <w:bCs/>
      <w:i/>
      <w:iCs/>
      <w:color w:val="4F81BD"/>
      <w:szCs w:val="24"/>
    </w:rPr>
  </w:style>
  <w:style w:type="character" w:customStyle="1" w:styleId="272">
    <w:name w:val="l1"/>
    <w:basedOn w:val="47"/>
    <w:qFormat/>
    <w:uiPriority w:val="0"/>
  </w:style>
  <w:style w:type="character" w:customStyle="1" w:styleId="273">
    <w:name w:val="书籍标题1"/>
    <w:qFormat/>
    <w:uiPriority w:val="0"/>
    <w:rPr>
      <w:b/>
      <w:bCs/>
      <w:smallCaps/>
      <w:spacing w:val="5"/>
    </w:rPr>
  </w:style>
  <w:style w:type="character" w:customStyle="1" w:styleId="274">
    <w:name w:val="textcontents"/>
    <w:qFormat/>
    <w:uiPriority w:val="0"/>
    <w:rPr>
      <w:rFonts w:cs="Times New Roman"/>
    </w:rPr>
  </w:style>
  <w:style w:type="character" w:customStyle="1" w:styleId="275">
    <w:name w:val="标题 Char2"/>
    <w:qFormat/>
    <w:uiPriority w:val="10"/>
    <w:rPr>
      <w:rFonts w:ascii="Cambria" w:hAnsi="Cambria" w:eastAsia="宋体" w:cs="Times New Roman"/>
      <w:b/>
      <w:bCs/>
      <w:sz w:val="32"/>
      <w:szCs w:val="32"/>
    </w:rPr>
  </w:style>
  <w:style w:type="character" w:customStyle="1" w:styleId="276">
    <w:name w:val="招标节 Char"/>
    <w:link w:val="156"/>
    <w:qFormat/>
    <w:uiPriority w:val="0"/>
    <w:rPr>
      <w:b/>
      <w:sz w:val="24"/>
      <w:szCs w:val="24"/>
    </w:rPr>
  </w:style>
  <w:style w:type="character" w:customStyle="1" w:styleId="277">
    <w:name w:val="副标题 字符"/>
    <w:link w:val="33"/>
    <w:qFormat/>
    <w:uiPriority w:val="0"/>
    <w:rPr>
      <w:rFonts w:eastAsia="宋体"/>
      <w:szCs w:val="24"/>
      <w:u w:val="single"/>
      <w:lang w:val="en-US" w:eastAsia="en-US" w:bidi="ar-SA"/>
    </w:rPr>
  </w:style>
  <w:style w:type="character" w:customStyle="1" w:styleId="278">
    <w:name w:val="页脚 Char"/>
    <w:qFormat/>
    <w:uiPriority w:val="0"/>
    <w:rPr>
      <w:sz w:val="18"/>
      <w:szCs w:val="18"/>
    </w:rPr>
  </w:style>
  <w:style w:type="character" w:customStyle="1" w:styleId="279">
    <w:name w:val="标题 6 字符"/>
    <w:link w:val="8"/>
    <w:qFormat/>
    <w:uiPriority w:val="0"/>
    <w:rPr>
      <w:rFonts w:hAnsi="Arial" w:eastAsia="仿宋_GB2312"/>
      <w:sz w:val="30"/>
      <w:lang w:val="en-US" w:eastAsia="zh-CN" w:bidi="ar-SA"/>
    </w:rPr>
  </w:style>
  <w:style w:type="character" w:customStyle="1" w:styleId="280">
    <w:name w:val="HTML 预设格式 Char2"/>
    <w:semiHidden/>
    <w:qFormat/>
    <w:uiPriority w:val="99"/>
    <w:rPr>
      <w:rFonts w:ascii="Courier New" w:hAnsi="Courier New" w:eastAsia="宋体" w:cs="Courier New"/>
      <w:sz w:val="20"/>
      <w:szCs w:val="20"/>
    </w:rPr>
  </w:style>
  <w:style w:type="character" w:customStyle="1" w:styleId="281">
    <w:name w:val="明显引用 Char2"/>
    <w:qFormat/>
    <w:uiPriority w:val="99"/>
    <w:rPr>
      <w:b/>
      <w:bCs/>
      <w:i/>
      <w:iCs/>
      <w:color w:val="4F81BD"/>
      <w:kern w:val="2"/>
      <w:sz w:val="21"/>
      <w:szCs w:val="24"/>
    </w:rPr>
  </w:style>
  <w:style w:type="character" w:customStyle="1" w:styleId="282">
    <w:name w:val="页眉 字符"/>
    <w:link w:val="30"/>
    <w:qFormat/>
    <w:uiPriority w:val="0"/>
    <w:rPr>
      <w:rFonts w:eastAsia="宋体"/>
      <w:kern w:val="2"/>
      <w:sz w:val="18"/>
      <w:szCs w:val="18"/>
      <w:lang w:val="en-US" w:eastAsia="zh-CN" w:bidi="ar-SA"/>
    </w:rPr>
  </w:style>
  <w:style w:type="character" w:customStyle="1" w:styleId="283">
    <w:name w:val="正文文本 2 Char1"/>
    <w:semiHidden/>
    <w:qFormat/>
    <w:uiPriority w:val="99"/>
    <w:rPr>
      <w:rFonts w:ascii="Calibri" w:hAnsi="Calibri" w:eastAsia="宋体" w:cs="Times New Roman"/>
      <w:szCs w:val="24"/>
    </w:rPr>
  </w:style>
  <w:style w:type="character" w:customStyle="1" w:styleId="284">
    <w:name w:val="引用 Char3"/>
    <w:qFormat/>
    <w:uiPriority w:val="29"/>
    <w:rPr>
      <w:rFonts w:ascii="Calibri" w:hAnsi="Calibri" w:eastAsia="宋体" w:cs="Times New Roman"/>
      <w:i/>
      <w:iCs/>
      <w:color w:val="000000"/>
      <w:szCs w:val="24"/>
    </w:rPr>
  </w:style>
  <w:style w:type="character" w:customStyle="1" w:styleId="285">
    <w:name w:val="引用 Char2"/>
    <w:qFormat/>
    <w:uiPriority w:val="99"/>
    <w:rPr>
      <w:i/>
      <w:iCs/>
      <w:color w:val="000000"/>
      <w:kern w:val="2"/>
      <w:sz w:val="21"/>
      <w:szCs w:val="24"/>
    </w:rPr>
  </w:style>
  <w:style w:type="character" w:customStyle="1" w:styleId="286">
    <w:name w:val="标题 7 字符"/>
    <w:link w:val="10"/>
    <w:qFormat/>
    <w:uiPriority w:val="0"/>
    <w:rPr>
      <w:rFonts w:eastAsia="仿宋_GB2312"/>
      <w:sz w:val="30"/>
      <w:lang w:val="en-US" w:eastAsia="zh-CN" w:bidi="ar-SA"/>
    </w:rPr>
  </w:style>
  <w:style w:type="character" w:customStyle="1" w:styleId="287">
    <w:name w:val="标题 6 Char1"/>
    <w:qFormat/>
    <w:uiPriority w:val="0"/>
    <w:rPr>
      <w:rFonts w:ascii="Times New Roman" w:hAnsi="Arial" w:eastAsia="仿宋_GB2312" w:cs="Times New Roman"/>
      <w:sz w:val="30"/>
      <w:szCs w:val="20"/>
    </w:rPr>
  </w:style>
  <w:style w:type="character" w:customStyle="1" w:styleId="288">
    <w:name w:val="日期 字符"/>
    <w:link w:val="25"/>
    <w:qFormat/>
    <w:uiPriority w:val="0"/>
    <w:rPr>
      <w:rFonts w:eastAsia="宋体"/>
      <w:kern w:val="2"/>
      <w:sz w:val="21"/>
      <w:szCs w:val="24"/>
      <w:lang w:val="en-US" w:eastAsia="zh-CN" w:bidi="ar-SA"/>
    </w:rPr>
  </w:style>
  <w:style w:type="character" w:customStyle="1" w:styleId="289">
    <w:name w:val="intel3"/>
    <w:basedOn w:val="47"/>
    <w:qFormat/>
    <w:uiPriority w:val="0"/>
  </w:style>
  <w:style w:type="character" w:customStyle="1" w:styleId="290">
    <w:name w:val="批注框文本 Char2"/>
    <w:qFormat/>
    <w:uiPriority w:val="99"/>
    <w:rPr>
      <w:kern w:val="2"/>
      <w:sz w:val="18"/>
      <w:szCs w:val="18"/>
    </w:rPr>
  </w:style>
  <w:style w:type="character" w:customStyle="1" w:styleId="291">
    <w:name w:val="正文文本 Char3"/>
    <w:semiHidden/>
    <w:qFormat/>
    <w:uiPriority w:val="99"/>
    <w:rPr>
      <w:rFonts w:ascii="Calibri" w:hAnsi="Calibri" w:eastAsia="宋体" w:cs="Times New Roman"/>
      <w:szCs w:val="24"/>
    </w:rPr>
  </w:style>
  <w:style w:type="character" w:customStyle="1" w:styleId="292">
    <w:name w:val="subhead1"/>
    <w:qFormat/>
    <w:uiPriority w:val="0"/>
    <w:rPr>
      <w:rFonts w:hint="default" w:ascii="Tahoma" w:hAnsi="Tahoma" w:cs="Tahoma"/>
      <w:color w:val="000000"/>
      <w:sz w:val="18"/>
      <w:szCs w:val="18"/>
      <w:u w:val="none"/>
      <w:shd w:val="clear" w:color="auto" w:fill="FFFFFF"/>
    </w:rPr>
  </w:style>
  <w:style w:type="character" w:customStyle="1" w:styleId="293">
    <w:name w:val="批注主题 Char2"/>
    <w:qFormat/>
    <w:uiPriority w:val="99"/>
    <w:rPr>
      <w:b/>
      <w:bCs/>
      <w:kern w:val="2"/>
      <w:sz w:val="21"/>
      <w:szCs w:val="24"/>
    </w:rPr>
  </w:style>
  <w:style w:type="character" w:customStyle="1" w:styleId="294">
    <w:name w:val="ITTHEADER1 Char"/>
    <w:qFormat/>
    <w:uiPriority w:val="0"/>
    <w:rPr>
      <w:rFonts w:eastAsia="黑体"/>
      <w:kern w:val="2"/>
      <w:sz w:val="44"/>
      <w:szCs w:val="44"/>
      <w:lang w:val="en-US" w:eastAsia="zh-CN" w:bidi="ar-SA"/>
    </w:rPr>
  </w:style>
  <w:style w:type="character" w:customStyle="1" w:styleId="295">
    <w:name w:val="批注主题 Char1"/>
    <w:qFormat/>
    <w:uiPriority w:val="0"/>
    <w:rPr>
      <w:b/>
      <w:bCs/>
      <w:kern w:val="2"/>
      <w:sz w:val="21"/>
      <w:szCs w:val="22"/>
    </w:rPr>
  </w:style>
  <w:style w:type="character" w:customStyle="1" w:styleId="296">
    <w:name w:val="纯文本 字符"/>
    <w:link w:val="23"/>
    <w:qFormat/>
    <w:uiPriority w:val="0"/>
    <w:rPr>
      <w:rFonts w:ascii="宋体" w:hAnsi="Courier New" w:eastAsia="宋体" w:cs="Courier New"/>
      <w:kern w:val="2"/>
      <w:sz w:val="21"/>
      <w:szCs w:val="21"/>
      <w:lang w:val="en-US" w:eastAsia="zh-CN" w:bidi="ar-SA"/>
    </w:rPr>
  </w:style>
  <w:style w:type="character" w:customStyle="1" w:styleId="297">
    <w:name w:val="_Style 296"/>
    <w:qFormat/>
    <w:uiPriority w:val="0"/>
    <w:rPr>
      <w:b/>
      <w:bCs/>
      <w:i/>
      <w:iCs/>
      <w:color w:val="4F81BD"/>
    </w:rPr>
  </w:style>
  <w:style w:type="character" w:customStyle="1" w:styleId="298">
    <w:name w:val="s3"/>
    <w:qFormat/>
    <w:uiPriority w:val="0"/>
  </w:style>
  <w:style w:type="character" w:customStyle="1" w:styleId="299">
    <w:name w:val="明显参考1"/>
    <w:qFormat/>
    <w:uiPriority w:val="0"/>
    <w:rPr>
      <w:b/>
      <w:bCs/>
      <w:smallCaps/>
      <w:color w:val="C0504D"/>
      <w:spacing w:val="5"/>
      <w:u w:val="single"/>
    </w:rPr>
  </w:style>
  <w:style w:type="character" w:customStyle="1" w:styleId="300">
    <w:name w:val="批注文字 Char Char"/>
    <w:qFormat/>
    <w:uiPriority w:val="0"/>
    <w:rPr>
      <w:rFonts w:ascii="宋体" w:hAnsi="Times New Roman" w:eastAsia="宋体" w:cs="Times New Roman"/>
      <w:sz w:val="28"/>
      <w:szCs w:val="20"/>
    </w:rPr>
  </w:style>
  <w:style w:type="character" w:customStyle="1" w:styleId="301">
    <w:name w:val="ca-141"/>
    <w:qFormat/>
    <w:uiPriority w:val="0"/>
    <w:rPr>
      <w:rFonts w:hint="eastAsia" w:ascii="仿宋_GB2312" w:eastAsia="仿宋_GB2312"/>
      <w:sz w:val="21"/>
      <w:szCs w:val="21"/>
    </w:rPr>
  </w:style>
  <w:style w:type="character" w:customStyle="1" w:styleId="302">
    <w:name w:val="normaltext1"/>
    <w:qFormat/>
    <w:uiPriority w:val="0"/>
    <w:rPr>
      <w:rFonts w:hint="default" w:ascii="ˎ̥" w:hAnsi="ˎ̥"/>
      <w:sz w:val="9"/>
      <w:szCs w:val="9"/>
    </w:rPr>
  </w:style>
  <w:style w:type="character" w:customStyle="1" w:styleId="303">
    <w:name w:val="手改 Char Char"/>
    <w:qFormat/>
    <w:uiPriority w:val="0"/>
    <w:rPr>
      <w:kern w:val="2"/>
      <w:sz w:val="21"/>
      <w:szCs w:val="24"/>
    </w:rPr>
  </w:style>
  <w:style w:type="character" w:customStyle="1" w:styleId="304">
    <w:name w:val="Char Char11"/>
    <w:qFormat/>
    <w:locked/>
    <w:uiPriority w:val="0"/>
    <w:rPr>
      <w:rFonts w:eastAsia="黑体"/>
      <w:kern w:val="2"/>
      <w:sz w:val="44"/>
      <w:szCs w:val="44"/>
      <w:lang w:val="en-US" w:eastAsia="zh-CN" w:bidi="ar-SA"/>
    </w:rPr>
  </w:style>
  <w:style w:type="character" w:customStyle="1" w:styleId="305">
    <w:name w:val="HTML 预设格式 Char1"/>
    <w:qFormat/>
    <w:uiPriority w:val="0"/>
    <w:rPr>
      <w:rFonts w:ascii="宋体" w:hAnsi="宋体" w:cs="宋体"/>
      <w:color w:val="000000"/>
      <w:sz w:val="24"/>
      <w:szCs w:val="24"/>
    </w:rPr>
  </w:style>
  <w:style w:type="character" w:customStyle="1" w:styleId="306">
    <w:name w:val="不明显参考1"/>
    <w:qFormat/>
    <w:uiPriority w:val="0"/>
    <w:rPr>
      <w:smallCaps/>
      <w:color w:val="C0504D"/>
      <w:u w:val="single"/>
    </w:rPr>
  </w:style>
  <w:style w:type="character" w:customStyle="1" w:styleId="307">
    <w:name w:val="Char Char34"/>
    <w:qFormat/>
    <w:uiPriority w:val="0"/>
    <w:rPr>
      <w:rFonts w:ascii="仿宋_GB2312" w:eastAsia="仿宋_GB2312" w:cs="MingLiU"/>
      <w:b/>
      <w:spacing w:val="1"/>
      <w:w w:val="99"/>
      <w:sz w:val="28"/>
      <w:szCs w:val="32"/>
    </w:rPr>
  </w:style>
  <w:style w:type="character" w:customStyle="1" w:styleId="308">
    <w:name w:val="标题 9 Char1"/>
    <w:qFormat/>
    <w:uiPriority w:val="0"/>
    <w:rPr>
      <w:rFonts w:ascii="Times New Roman" w:hAnsi="Times New Roman" w:eastAsia="仿宋_GB2312" w:cs="Times New Roman"/>
      <w:sz w:val="30"/>
      <w:szCs w:val="20"/>
    </w:rPr>
  </w:style>
  <w:style w:type="character" w:customStyle="1" w:styleId="309">
    <w:name w:val="font5 Char"/>
    <w:link w:val="90"/>
    <w:qFormat/>
    <w:uiPriority w:val="0"/>
    <w:rPr>
      <w:rFonts w:ascii="宋体" w:hAnsi="宋体"/>
      <w:sz w:val="24"/>
      <w:szCs w:val="24"/>
    </w:rPr>
  </w:style>
  <w:style w:type="character" w:customStyle="1" w:styleId="310">
    <w:name w:val="标题 6 Char"/>
    <w:qFormat/>
    <w:uiPriority w:val="0"/>
    <w:rPr>
      <w:rFonts w:ascii="Arial" w:hAnsi="Arial" w:eastAsia="黑体" w:cs="Times New Roman"/>
      <w:b/>
      <w:bCs/>
      <w:sz w:val="24"/>
      <w:szCs w:val="24"/>
    </w:rPr>
  </w:style>
  <w:style w:type="character" w:customStyle="1" w:styleId="311">
    <w:name w:val="正文文本 3 字符"/>
    <w:link w:val="17"/>
    <w:qFormat/>
    <w:uiPriority w:val="0"/>
    <w:rPr>
      <w:rFonts w:eastAsia="宋体"/>
      <w:kern w:val="2"/>
      <w:sz w:val="16"/>
      <w:szCs w:val="16"/>
      <w:lang w:val="en-US" w:eastAsia="zh-CN" w:bidi="ar-SA"/>
    </w:rPr>
  </w:style>
  <w:style w:type="character" w:customStyle="1" w:styleId="312">
    <w:name w:val="批注框文本 字符"/>
    <w:link w:val="28"/>
    <w:qFormat/>
    <w:uiPriority w:val="0"/>
    <w:rPr>
      <w:rFonts w:eastAsia="宋体"/>
      <w:kern w:val="2"/>
      <w:sz w:val="18"/>
      <w:szCs w:val="18"/>
      <w:lang w:val="en-US" w:eastAsia="zh-CN" w:bidi="ar-SA"/>
    </w:rPr>
  </w:style>
  <w:style w:type="character" w:customStyle="1" w:styleId="313">
    <w:name w:val="main_tdbg_7601"/>
    <w:qFormat/>
    <w:uiPriority w:val="0"/>
    <w:rPr>
      <w:sz w:val="14"/>
      <w:szCs w:val="14"/>
    </w:rPr>
  </w:style>
  <w:style w:type="character" w:customStyle="1" w:styleId="314">
    <w:name w:val="Char Char17"/>
    <w:qFormat/>
    <w:uiPriority w:val="0"/>
    <w:rPr>
      <w:kern w:val="2"/>
      <w:sz w:val="26"/>
      <w:szCs w:val="24"/>
    </w:rPr>
  </w:style>
  <w:style w:type="character" w:customStyle="1" w:styleId="315">
    <w:name w:val="招标章 Char"/>
    <w:link w:val="116"/>
    <w:qFormat/>
    <w:uiPriority w:val="0"/>
    <w:rPr>
      <w:rFonts w:eastAsia="黑体"/>
      <w:b/>
      <w:sz w:val="32"/>
      <w:szCs w:val="24"/>
    </w:rPr>
  </w:style>
  <w:style w:type="character" w:customStyle="1" w:styleId="316">
    <w:name w:val="批注主题 Char3"/>
    <w:semiHidden/>
    <w:qFormat/>
    <w:uiPriority w:val="99"/>
    <w:rPr>
      <w:rFonts w:ascii="Calibri" w:hAnsi="Calibri" w:eastAsia="宋体" w:cs="Times New Roman"/>
      <w:b/>
      <w:bCs/>
      <w:szCs w:val="24"/>
    </w:rPr>
  </w:style>
  <w:style w:type="character" w:customStyle="1" w:styleId="317">
    <w:name w:val="标题 8 Char1"/>
    <w:qFormat/>
    <w:uiPriority w:val="0"/>
    <w:rPr>
      <w:rFonts w:ascii="Times New Roman" w:hAnsi="Arial" w:eastAsia="仿宋_GB2312" w:cs="Times New Roman"/>
      <w:sz w:val="30"/>
      <w:szCs w:val="20"/>
    </w:rPr>
  </w:style>
  <w:style w:type="character" w:customStyle="1" w:styleId="318">
    <w:name w:val="明显引用 字符"/>
    <w:link w:val="138"/>
    <w:qFormat/>
    <w:uiPriority w:val="0"/>
    <w:rPr>
      <w:b/>
      <w:bCs/>
      <w:i/>
      <w:iCs/>
      <w:color w:val="4F81BD"/>
      <w:kern w:val="2"/>
      <w:sz w:val="21"/>
      <w:szCs w:val="22"/>
      <w:lang w:bidi="ar-SA"/>
    </w:rPr>
  </w:style>
  <w:style w:type="character" w:customStyle="1" w:styleId="319">
    <w:name w:val="尾注文本 字符"/>
    <w:link w:val="27"/>
    <w:qFormat/>
    <w:uiPriority w:val="0"/>
    <w:rPr>
      <w:rFonts w:ascii="Arial" w:hAnsi="Arial" w:eastAsia="宋体" w:cs="Arial"/>
      <w:szCs w:val="24"/>
      <w:lang w:val="en-US" w:eastAsia="en-US" w:bidi="ar-SA"/>
    </w:rPr>
  </w:style>
  <w:style w:type="character" w:customStyle="1" w:styleId="320">
    <w:name w:val="Char Char9"/>
    <w:qFormat/>
    <w:locked/>
    <w:uiPriority w:val="0"/>
    <w:rPr>
      <w:rFonts w:ascii="仿宋_GB2312" w:eastAsia="仿宋_GB2312" w:cs="MingLiU"/>
      <w:b/>
      <w:sz w:val="24"/>
      <w:szCs w:val="28"/>
      <w:lang w:val="en-US" w:eastAsia="zh-CN" w:bidi="ar-SA"/>
    </w:rPr>
  </w:style>
  <w:style w:type="character" w:customStyle="1" w:styleId="321">
    <w:name w:val="正文文本缩进 2 Char"/>
    <w:qFormat/>
    <w:uiPriority w:val="0"/>
    <w:rPr>
      <w:kern w:val="2"/>
      <w:sz w:val="21"/>
      <w:szCs w:val="24"/>
    </w:rPr>
  </w:style>
  <w:style w:type="character" w:customStyle="1" w:styleId="322">
    <w:name w:val="font161"/>
    <w:qFormat/>
    <w:uiPriority w:val="0"/>
    <w:rPr>
      <w:b/>
      <w:bCs/>
      <w:sz w:val="32"/>
      <w:szCs w:val="32"/>
    </w:rPr>
  </w:style>
  <w:style w:type="character" w:customStyle="1" w:styleId="323">
    <w:name w:val="批注文字 字符"/>
    <w:semiHidden/>
    <w:qFormat/>
    <w:uiPriority w:val="99"/>
  </w:style>
  <w:style w:type="character" w:customStyle="1" w:styleId="324">
    <w:name w:val="脚注文本 字符"/>
    <w:link w:val="34"/>
    <w:qFormat/>
    <w:uiPriority w:val="0"/>
    <w:rPr>
      <w:rFonts w:ascii="Arial" w:hAnsi="Arial" w:eastAsia="宋体" w:cs="Arial"/>
      <w:sz w:val="18"/>
      <w:szCs w:val="18"/>
      <w:lang w:val="en-US" w:eastAsia="en-US" w:bidi="ar-SA"/>
    </w:rPr>
  </w:style>
  <w:style w:type="character" w:customStyle="1" w:styleId="325">
    <w:name w:val="标题 4 Char1"/>
    <w:qFormat/>
    <w:uiPriority w:val="0"/>
    <w:rPr>
      <w:rFonts w:ascii="宋体" w:hAnsi="宋体" w:eastAsia="宋体" w:cs="宋体"/>
      <w:b/>
      <w:bCs/>
      <w:sz w:val="24"/>
      <w:szCs w:val="24"/>
    </w:rPr>
  </w:style>
  <w:style w:type="character" w:customStyle="1" w:styleId="326">
    <w:name w:val="Char Char14"/>
    <w:qFormat/>
    <w:uiPriority w:val="0"/>
    <w:rPr>
      <w:kern w:val="2"/>
      <w:sz w:val="18"/>
      <w:szCs w:val="18"/>
    </w:rPr>
  </w:style>
  <w:style w:type="character" w:customStyle="1" w:styleId="327">
    <w:name w:val="明显强调1"/>
    <w:qFormat/>
    <w:uiPriority w:val="0"/>
    <w:rPr>
      <w:b/>
      <w:bCs/>
      <w:i/>
      <w:iCs/>
      <w:color w:val="4F81BD"/>
    </w:rPr>
  </w:style>
  <w:style w:type="character" w:customStyle="1" w:styleId="328">
    <w:name w:val="脚注文本 Char"/>
    <w:qFormat/>
    <w:uiPriority w:val="0"/>
    <w:rPr>
      <w:rFonts w:ascii="Arial" w:hAnsi="Arial" w:eastAsia="宋体" w:cs="Arial"/>
      <w:sz w:val="18"/>
      <w:szCs w:val="18"/>
      <w:lang w:eastAsia="en-US"/>
    </w:rPr>
  </w:style>
  <w:style w:type="character" w:customStyle="1" w:styleId="329">
    <w:name w:val="正文文本 Char"/>
    <w:qFormat/>
    <w:uiPriority w:val="0"/>
    <w:rPr>
      <w:sz w:val="26"/>
      <w:szCs w:val="24"/>
    </w:rPr>
  </w:style>
  <w:style w:type="character" w:customStyle="1" w:styleId="330">
    <w:name w:val="日期 Char1"/>
    <w:qFormat/>
    <w:uiPriority w:val="0"/>
    <w:rPr>
      <w:kern w:val="2"/>
      <w:sz w:val="21"/>
      <w:szCs w:val="22"/>
    </w:rPr>
  </w:style>
  <w:style w:type="character" w:customStyle="1" w:styleId="331">
    <w:name w:val="style31"/>
    <w:qFormat/>
    <w:uiPriority w:val="0"/>
    <w:rPr>
      <w:sz w:val="10"/>
      <w:szCs w:val="10"/>
    </w:rPr>
  </w:style>
  <w:style w:type="character" w:customStyle="1" w:styleId="332">
    <w:name w:val="未处理的提及"/>
    <w:unhideWhenUsed/>
    <w:qFormat/>
    <w:uiPriority w:val="99"/>
    <w:rPr>
      <w:color w:val="808080"/>
      <w:shd w:val="clear" w:color="auto" w:fill="E6E6E6"/>
    </w:rPr>
  </w:style>
  <w:style w:type="character" w:customStyle="1" w:styleId="333">
    <w:name w:val="正文文本 Char2"/>
    <w:qFormat/>
    <w:uiPriority w:val="99"/>
    <w:rPr>
      <w:kern w:val="2"/>
      <w:sz w:val="21"/>
      <w:szCs w:val="24"/>
    </w:rPr>
  </w:style>
  <w:style w:type="character" w:customStyle="1" w:styleId="334">
    <w:name w:val="标题 5 Char"/>
    <w:qFormat/>
    <w:uiPriority w:val="0"/>
    <w:rPr>
      <w:rFonts w:ascii="Calibri" w:hAnsi="Calibri" w:eastAsia="宋体" w:cs="Times New Roman"/>
      <w:b/>
      <w:bCs/>
      <w:sz w:val="28"/>
      <w:szCs w:val="28"/>
    </w:rPr>
  </w:style>
  <w:style w:type="character" w:customStyle="1" w:styleId="335">
    <w:name w:val="文档结构图 Char"/>
    <w:qFormat/>
    <w:uiPriority w:val="0"/>
    <w:rPr>
      <w:rFonts w:ascii="宋体"/>
      <w:kern w:val="2"/>
      <w:sz w:val="18"/>
      <w:szCs w:val="18"/>
    </w:rPr>
  </w:style>
  <w:style w:type="character" w:customStyle="1" w:styleId="336">
    <w:name w:val="正文文本 3 Char1"/>
    <w:qFormat/>
    <w:uiPriority w:val="0"/>
    <w:rPr>
      <w:kern w:val="2"/>
      <w:sz w:val="16"/>
      <w:szCs w:val="16"/>
    </w:rPr>
  </w:style>
  <w:style w:type="character" w:customStyle="1" w:styleId="337">
    <w:name w:val="招标正文 Char"/>
    <w:link w:val="164"/>
    <w:qFormat/>
    <w:locked/>
    <w:uiPriority w:val="0"/>
    <w:rPr>
      <w:rFonts w:ascii="宋体" w:hAnsi="宋体"/>
      <w:color w:val="0070C0"/>
      <w:szCs w:val="21"/>
    </w:rPr>
  </w:style>
  <w:style w:type="character" w:customStyle="1" w:styleId="338">
    <w:name w:val="纯文本 Char2"/>
    <w:semiHidden/>
    <w:qFormat/>
    <w:uiPriority w:val="99"/>
    <w:rPr>
      <w:rFonts w:ascii="宋体" w:hAnsi="Courier New" w:eastAsia="宋体" w:cs="Courier New"/>
      <w:szCs w:val="21"/>
    </w:rPr>
  </w:style>
  <w:style w:type="character" w:customStyle="1" w:styleId="339">
    <w:name w:val="脚注文本 Char1"/>
    <w:qFormat/>
    <w:uiPriority w:val="0"/>
    <w:rPr>
      <w:rFonts w:ascii="Arial" w:hAnsi="Arial" w:cs="Arial"/>
      <w:sz w:val="18"/>
      <w:szCs w:val="18"/>
      <w:lang w:eastAsia="en-US"/>
    </w:rPr>
  </w:style>
  <w:style w:type="character" w:customStyle="1" w:styleId="340">
    <w:name w:val="页脚 字符"/>
    <w:link w:val="29"/>
    <w:qFormat/>
    <w:uiPriority w:val="0"/>
    <w:rPr>
      <w:rFonts w:eastAsia="宋体"/>
      <w:kern w:val="2"/>
      <w:sz w:val="18"/>
      <w:szCs w:val="18"/>
      <w:lang w:val="en-US" w:eastAsia="zh-CN" w:bidi="ar-SA"/>
    </w:rPr>
  </w:style>
  <w:style w:type="character" w:customStyle="1" w:styleId="341">
    <w:name w:val="标题4 Char Char"/>
    <w:link w:val="98"/>
    <w:qFormat/>
    <w:uiPriority w:val="0"/>
    <w:rPr>
      <w:rFonts w:ascii="Arial" w:hAnsi="Arial"/>
      <w:b/>
      <w:bCs/>
      <w:sz w:val="24"/>
      <w:szCs w:val="32"/>
      <w:lang w:bidi="ar-SA"/>
    </w:rPr>
  </w:style>
  <w:style w:type="character" w:customStyle="1" w:styleId="342">
    <w:name w:val="标题 9 字符"/>
    <w:link w:val="12"/>
    <w:qFormat/>
    <w:uiPriority w:val="0"/>
    <w:rPr>
      <w:rFonts w:eastAsia="仿宋_GB2312"/>
      <w:sz w:val="30"/>
      <w:lang w:val="en-US" w:eastAsia="zh-CN" w:bidi="ar-SA"/>
    </w:rPr>
  </w:style>
  <w:style w:type="character" w:customStyle="1" w:styleId="343">
    <w:name w:val="正文文本 Char1"/>
    <w:qFormat/>
    <w:uiPriority w:val="0"/>
    <w:rPr>
      <w:kern w:val="2"/>
      <w:sz w:val="21"/>
      <w:szCs w:val="22"/>
    </w:rPr>
  </w:style>
  <w:style w:type="character" w:customStyle="1" w:styleId="344">
    <w:name w:val="副标题 Char2"/>
    <w:qFormat/>
    <w:uiPriority w:val="11"/>
    <w:rPr>
      <w:rFonts w:ascii="Cambria" w:hAnsi="Cambria" w:eastAsia="宋体" w:cs="Times New Roman"/>
      <w:b/>
      <w:bCs/>
      <w:kern w:val="28"/>
      <w:sz w:val="32"/>
      <w:szCs w:val="32"/>
    </w:rPr>
  </w:style>
  <w:style w:type="character" w:customStyle="1" w:styleId="345">
    <w:name w:val="标题 1 Char1"/>
    <w:qFormat/>
    <w:uiPriority w:val="0"/>
    <w:rPr>
      <w:rFonts w:ascii="Times New Roman" w:hAnsi="Times New Roman" w:eastAsia="宋体" w:cs="Times New Roman"/>
      <w:b/>
      <w:bCs/>
      <w:kern w:val="44"/>
      <w:sz w:val="44"/>
      <w:szCs w:val="44"/>
    </w:rPr>
  </w:style>
  <w:style w:type="character" w:customStyle="1" w:styleId="346">
    <w:name w:val="正文文本缩进 3 字符"/>
    <w:link w:val="36"/>
    <w:qFormat/>
    <w:uiPriority w:val="0"/>
    <w:rPr>
      <w:rFonts w:ascii="宋体" w:hAnsi="宋体" w:eastAsia="宋体"/>
      <w:kern w:val="2"/>
      <w:sz w:val="28"/>
      <w:szCs w:val="28"/>
      <w:lang w:val="en-US" w:eastAsia="zh-CN" w:bidi="ar-SA"/>
    </w:rPr>
  </w:style>
  <w:style w:type="character" w:customStyle="1" w:styleId="347">
    <w:name w:val="标题 5 Char1"/>
    <w:qFormat/>
    <w:uiPriority w:val="0"/>
    <w:rPr>
      <w:rFonts w:ascii="宋体" w:hAnsi="宋体" w:eastAsia="宋体" w:cs="宋体"/>
      <w:b/>
      <w:bCs/>
      <w:sz w:val="20"/>
      <w:szCs w:val="20"/>
    </w:rPr>
  </w:style>
  <w:style w:type="character" w:customStyle="1" w:styleId="348">
    <w:name w:val="正文文本缩进 Char"/>
    <w:qFormat/>
    <w:uiPriority w:val="0"/>
    <w:rPr>
      <w:rFonts w:ascii="黑体" w:hAnsi="宋体" w:eastAsia="黑体"/>
      <w:color w:val="000000"/>
      <w:sz w:val="28"/>
      <w:szCs w:val="32"/>
    </w:rPr>
  </w:style>
  <w:style w:type="character" w:customStyle="1" w:styleId="349">
    <w:name w:val="Char Char12"/>
    <w:qFormat/>
    <w:uiPriority w:val="0"/>
    <w:rPr>
      <w:rFonts w:eastAsia="黑体"/>
      <w:kern w:val="2"/>
      <w:sz w:val="44"/>
      <w:szCs w:val="44"/>
      <w:lang w:val="en-US" w:eastAsia="zh-CN" w:bidi="ar-SA"/>
    </w:rPr>
  </w:style>
  <w:style w:type="character" w:customStyle="1" w:styleId="350">
    <w:name w:val="标题 1 Char"/>
    <w:qFormat/>
    <w:uiPriority w:val="0"/>
    <w:rPr>
      <w:rFonts w:ascii="Times New Roman" w:hAnsi="Times New Roman" w:eastAsia="宋体" w:cs="Times New Roman"/>
      <w:b/>
      <w:bCs/>
      <w:kern w:val="44"/>
      <w:sz w:val="44"/>
      <w:szCs w:val="44"/>
    </w:rPr>
  </w:style>
  <w:style w:type="character" w:customStyle="1" w:styleId="351">
    <w:name w:val="style161"/>
    <w:qFormat/>
    <w:uiPriority w:val="0"/>
    <w:rPr>
      <w:b/>
      <w:bCs/>
      <w:color w:val="333333"/>
    </w:rPr>
  </w:style>
  <w:style w:type="character" w:customStyle="1" w:styleId="352">
    <w:name w:val="明显引用 Char1"/>
    <w:link w:val="85"/>
    <w:qFormat/>
    <w:uiPriority w:val="30"/>
    <w:rPr>
      <w:b/>
      <w:bCs/>
      <w:i/>
      <w:iCs/>
      <w:color w:val="4F81BD"/>
      <w:kern w:val="2"/>
      <w:sz w:val="21"/>
    </w:rPr>
  </w:style>
  <w:style w:type="character" w:customStyle="1" w:styleId="353">
    <w:name w:val="Char Char36"/>
    <w:qFormat/>
    <w:uiPriority w:val="0"/>
    <w:rPr>
      <w:rFonts w:ascii="仿宋_GB2312" w:eastAsia="仿宋_GB2312" w:cs="MingLiU"/>
      <w:b/>
      <w:sz w:val="24"/>
      <w:szCs w:val="28"/>
    </w:rPr>
  </w:style>
  <w:style w:type="character" w:customStyle="1" w:styleId="354">
    <w:name w:val="ITTHEADER2 Char"/>
    <w:qFormat/>
    <w:uiPriority w:val="0"/>
    <w:rPr>
      <w:rFonts w:ascii="仿宋_GB2312" w:eastAsia="仿宋_GB2312" w:cs="MingLiU"/>
      <w:b/>
      <w:spacing w:val="1"/>
      <w:w w:val="99"/>
      <w:sz w:val="28"/>
      <w:szCs w:val="32"/>
      <w:lang w:val="en-US" w:eastAsia="zh-CN" w:bidi="ar-SA"/>
    </w:rPr>
  </w:style>
  <w:style w:type="character" w:customStyle="1" w:styleId="355">
    <w:name w:val="0d1471"/>
    <w:qFormat/>
    <w:uiPriority w:val="0"/>
    <w:rPr>
      <w:color w:val="000000"/>
      <w:sz w:val="11"/>
      <w:szCs w:val="1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70</Pages>
  <Words>22181</Words>
  <Characters>23270</Characters>
  <Lines>1387</Lines>
  <Paragraphs>390</Paragraphs>
  <TotalTime>5</TotalTime>
  <ScaleCrop>false</ScaleCrop>
  <LinksUpToDate>false</LinksUpToDate>
  <CharactersWithSpaces>26841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2020-12-28T08:57:00Z</dcterms:created>
  <dc:creator>USER</dc:creator>
  <cp:lastModifiedBy>樊先森灬</cp:lastModifiedBy>
  <cp:lastPrinted>2020-12-30T06:28:00Z</cp:lastPrinted>
  <dcterms:modified xsi:type="dcterms:W3CDTF">2026-06-11T06:40:09Z</dcterms:modified>
  <dc:title>第一卷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1EFFF21D2EB14FD8A711B092166E5E9A_13</vt:lpwstr>
  </property>
  <property fmtid="{D5CDD505-2E9C-101B-9397-08002B2CF9AE}" pid="4" name="KSOTemplateDocerSaveRecord">
    <vt:lpwstr>eyJoZGlkIjoiOTk5MDVjOGE0YjYxMTM1OGU0MzMwZjMzZjMzZjI0ODAiLCJ1c2VySWQiOiIyNTcyOTQ2MzQifQ==</vt:lpwstr>
  </property>
</Properties>
</file>