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C19B">
      <w:pPr>
        <w:pStyle w:val="5"/>
        <w:spacing w:before="0" w:beforeAutospacing="0"/>
        <w:jc w:val="center"/>
        <w:rPr>
          <w:rFonts w:hint="default" w:ascii="Times New Roman" w:hAnsi="Times New Roman" w:eastAsia="方正小标宋_GBK"/>
          <w:sz w:val="36"/>
          <w:szCs w:val="36"/>
        </w:rPr>
      </w:pPr>
      <w:r>
        <w:rPr>
          <w:rFonts w:hint="default" w:ascii="Times New Roman" w:hAnsi="Times New Roman" w:eastAsia="方正小标宋_GBK"/>
          <w:sz w:val="36"/>
          <w:szCs w:val="36"/>
        </w:rPr>
        <w:t>重庆市铜梁区围龙镇人民政府（本级）</w:t>
      </w:r>
    </w:p>
    <w:p w14:paraId="5CFF8145">
      <w:pPr>
        <w:pStyle w:val="5"/>
        <w:spacing w:before="0" w:beforeAutospacing="0"/>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36"/>
          <w:szCs w:val="36"/>
          <w:shd w:val="clear" w:color="auto" w:fill="FFFFFF"/>
        </w:rPr>
        <w:t>2023年度决算公开说明</w:t>
      </w:r>
    </w:p>
    <w:p w14:paraId="62924EA7">
      <w:pPr>
        <w:pStyle w:val="5"/>
        <w:shd w:val="clear" w:color="auto" w:fill="FFFFFF"/>
        <w:rPr>
          <w:rFonts w:hint="default" w:ascii="方正黑体_GBK" w:hAnsi="Times New Roman" w:eastAsia="方正黑体_GBK"/>
          <w:b/>
          <w:sz w:val="32"/>
          <w:szCs w:val="32"/>
        </w:rPr>
      </w:pPr>
      <w:r>
        <w:rPr>
          <w:rStyle w:val="8"/>
          <w:rFonts w:ascii="方正黑体_GBK" w:hAnsi="Times New Roman" w:eastAsia="方正黑体_GBK"/>
          <w:b w:val="0"/>
          <w:sz w:val="32"/>
          <w:szCs w:val="32"/>
          <w:shd w:val="clear" w:color="auto" w:fill="FFFFFF"/>
        </w:rPr>
        <w:t>一、部门基本情况</w:t>
      </w:r>
    </w:p>
    <w:p w14:paraId="5AE3EA92">
      <w:pPr>
        <w:pStyle w:val="5"/>
        <w:shd w:val="clear" w:color="auto" w:fill="FFFFFF"/>
        <w:ind w:firstLine="420"/>
        <w:rPr>
          <w:rFonts w:hint="default" w:ascii="方正楷体_GBK" w:hAnsi="Times New Roman" w:eastAsia="方正楷体_GBK"/>
          <w:b/>
          <w:sz w:val="32"/>
          <w:szCs w:val="32"/>
        </w:rPr>
      </w:pPr>
      <w:r>
        <w:rPr>
          <w:rStyle w:val="8"/>
          <w:rFonts w:ascii="方正楷体_GBK" w:hAnsi="Times New Roman" w:eastAsia="方正楷体_GBK"/>
          <w:b w:val="0"/>
          <w:sz w:val="32"/>
          <w:szCs w:val="32"/>
          <w:shd w:val="clear" w:color="auto" w:fill="FFFFFF"/>
        </w:rPr>
        <w:t>（一）职能职责</w:t>
      </w:r>
    </w:p>
    <w:p w14:paraId="63D85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42" w:firstLineChars="200"/>
        <w:rPr>
          <w:rFonts w:hint="default" w:ascii="Times New Roman" w:hAnsi="Times New Roman" w:eastAsia="方正仿宋_GBK"/>
          <w:color w:val="000000"/>
          <w:sz w:val="32"/>
          <w:szCs w:val="32"/>
        </w:rPr>
      </w:pPr>
      <w:r>
        <w:rPr>
          <w:rStyle w:val="8"/>
          <w:rFonts w:hint="default" w:ascii="Times New Roman" w:hAnsi="Times New Roman"/>
          <w:sz w:val="27"/>
          <w:szCs w:val="27"/>
        </w:rPr>
        <w:t> </w:t>
      </w:r>
      <w:r>
        <w:rPr>
          <w:rFonts w:hint="default" w:ascii="Times New Roman" w:hAnsi="Times New Roman" w:eastAsia="方正仿宋_GBK"/>
          <w:color w:val="00000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3A1EC46A">
      <w:pPr>
        <w:pStyle w:val="5"/>
        <w:shd w:val="clear" w:color="auto" w:fill="FFFFFF"/>
        <w:ind w:firstLine="420"/>
        <w:rPr>
          <w:rFonts w:hint="default" w:ascii="方正楷体_GBK" w:hAnsi="Times New Roman" w:eastAsia="方正楷体_GBK"/>
          <w:b/>
          <w:sz w:val="32"/>
          <w:szCs w:val="32"/>
        </w:rPr>
      </w:pPr>
      <w:r>
        <w:rPr>
          <w:rStyle w:val="8"/>
          <w:rFonts w:ascii="方正楷体_GBK" w:hAnsi="Times New Roman" w:eastAsia="方正楷体_GBK"/>
          <w:b w:val="0"/>
          <w:sz w:val="32"/>
          <w:szCs w:val="32"/>
          <w:shd w:val="clear" w:color="auto" w:fill="FFFFFF"/>
        </w:rPr>
        <w:t>（二）机构设置</w:t>
      </w:r>
    </w:p>
    <w:p w14:paraId="4D58A3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根据编制情况，我镇共设置17个内部机构，其中事业编制机构7个，行政编制机构10个。我镇7个事业编制机构分别是退役军人服务站、社会保障所、文化活动中心、乡村产业培育中心、乡村生态治理中心、农业服务中心、综合行政执法大队；行政编制机构10个，分别是党政办、党群办（负责群团、组织工作）、人大办、</w:t>
      </w:r>
      <w:r>
        <w:rPr>
          <w:rFonts w:hint="default" w:ascii="Times New Roman" w:hAnsi="Times New Roman" w:eastAsia="方正仿宋_GBK"/>
          <w:sz w:val="32"/>
          <w:szCs w:val="32"/>
        </w:rPr>
        <w:t>应急管理办公室（统筹负责安全生产综合监管、应急管理职责</w:t>
      </w:r>
      <w:r>
        <w:rPr>
          <w:rFonts w:hint="default" w:ascii="Times New Roman" w:hAnsi="Times New Roman" w:eastAsia="方正仿宋_GBK"/>
          <w:color w:val="000000"/>
          <w:sz w:val="32"/>
          <w:szCs w:val="32"/>
        </w:rPr>
        <w:t>）、规划建设管理环保办（负责规划、村镇管理、国土、环保等工作）、经发办、</w:t>
      </w:r>
      <w:r>
        <w:rPr>
          <w:rFonts w:hint="default" w:ascii="Times New Roman" w:hAnsi="Times New Roman" w:eastAsia="方正仿宋_GBK"/>
          <w:sz w:val="32"/>
          <w:szCs w:val="32"/>
        </w:rPr>
        <w:t>民政和社会事务办公室(挂卫生健康办公室)、</w:t>
      </w:r>
      <w:r>
        <w:rPr>
          <w:rFonts w:hint="default" w:ascii="Times New Roman" w:hAnsi="Times New Roman" w:eastAsia="方正仿宋_GBK"/>
          <w:color w:val="000000"/>
          <w:sz w:val="32"/>
          <w:szCs w:val="32"/>
        </w:rPr>
        <w:t>财政办、</w:t>
      </w:r>
      <w:r>
        <w:rPr>
          <w:rFonts w:hint="default" w:ascii="Times New Roman" w:hAnsi="Times New Roman" w:eastAsia="方正仿宋_GBK"/>
          <w:sz w:val="32"/>
          <w:szCs w:val="32"/>
        </w:rPr>
        <w:t>平安建设办公室（统筹负责信访、社会治安综合治理、防范和处理邪教等职责）、综合行政执法办公室（与综合行政执法大队统筹运行，主要负责集中行使依法授权或委托的行政执法权）</w:t>
      </w:r>
      <w:r>
        <w:rPr>
          <w:rFonts w:hint="default" w:ascii="Times New Roman" w:hAnsi="Times New Roman" w:eastAsia="方正仿宋_GBK"/>
          <w:color w:val="000000"/>
          <w:sz w:val="32"/>
          <w:szCs w:val="32"/>
        </w:rPr>
        <w:t>。</w:t>
      </w:r>
    </w:p>
    <w:p w14:paraId="717E4A26">
      <w:pPr>
        <w:pStyle w:val="5"/>
        <w:shd w:val="clear" w:color="auto" w:fill="FFFFFF"/>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二、部门决算情况说明</w:t>
      </w:r>
    </w:p>
    <w:p w14:paraId="6E0C03D9">
      <w:pPr>
        <w:pStyle w:val="5"/>
        <w:shd w:val="clear" w:color="auto" w:fill="FFFFFF"/>
        <w:ind w:firstLine="420"/>
        <w:rPr>
          <w:rFonts w:hint="default" w:ascii="Times New Roman" w:hAnsi="Times New Roman" w:eastAsia="楷体"/>
          <w:b/>
          <w:bCs/>
          <w:sz w:val="32"/>
          <w:szCs w:val="32"/>
          <w:shd w:val="clear" w:color="auto" w:fill="FFFFFF"/>
          <w:lang w:bidi="ar"/>
        </w:rPr>
      </w:pPr>
      <w:r>
        <w:rPr>
          <w:rStyle w:val="8"/>
          <w:rFonts w:ascii="方正楷体_GBK" w:eastAsia="方正楷体_GBK"/>
          <w:b w:val="0"/>
          <w:sz w:val="32"/>
          <w:szCs w:val="32"/>
        </w:rPr>
        <w:t>（一）收入支出决算总体情况说明</w:t>
      </w:r>
    </w:p>
    <w:p w14:paraId="5D238C37">
      <w:pPr>
        <w:pStyle w:val="5"/>
        <w:shd w:val="clear" w:color="auto" w:fill="FFFFFF"/>
        <w:ind w:firstLine="643" w:firstLineChars="200"/>
        <w:rPr>
          <w:rFonts w:hint="default" w:ascii="Times New Roman" w:hAnsi="Times New Roman" w:eastAsia="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hint="default" w:ascii="Times New Roman" w:hAnsi="Times New Roman" w:eastAsia="方正仿宋_GBK"/>
          <w:b w:val="0"/>
          <w:sz w:val="32"/>
          <w:szCs w:val="32"/>
          <w:shd w:val="clear" w:color="auto" w:fill="FFFFFF"/>
        </w:rPr>
        <w:t>总体情况。</w:t>
      </w:r>
      <w:r>
        <w:rPr>
          <w:rFonts w:hint="default" w:ascii="Times New Roman" w:hAnsi="Times New Roman" w:eastAsia="方正仿宋_GBK"/>
          <w:sz w:val="32"/>
          <w:szCs w:val="32"/>
          <w:shd w:val="clear" w:color="auto" w:fill="FFFFFF"/>
        </w:rPr>
        <w:t>2023年度收入总计4976.47万元，支出总计</w:t>
      </w:r>
      <w:r>
        <w:rPr>
          <w:rFonts w:hint="default" w:ascii="Times New Roman" w:hAnsi="Times New Roman" w:eastAsia="方正仿宋_GBK"/>
          <w:sz w:val="32"/>
          <w:szCs w:val="32"/>
        </w:rPr>
        <w:t>4976.47</w:t>
      </w:r>
      <w:r>
        <w:rPr>
          <w:rFonts w:hint="default" w:ascii="Times New Roman" w:hAnsi="Times New Roman" w:eastAsia="方正仿宋_GBK"/>
          <w:sz w:val="32"/>
          <w:szCs w:val="32"/>
          <w:shd w:val="clear" w:color="auto" w:fill="FFFFFF"/>
        </w:rPr>
        <w:t>万元。收支较上年决算数增加2042.47万元，增长69.61%，主要原因是2023年增加了政府性基金预算收入上级补助收入1500万元, 用于支付2022-2023年巴蜀美丽庭院示范片项目建设工程款,以及一般公共预算收入上级收入专项补助480万元,用于支付2020-2022年拖欠农村公路硬化项目工程款。</w:t>
      </w:r>
    </w:p>
    <w:p w14:paraId="4B3D5530">
      <w:pPr>
        <w:pStyle w:val="5"/>
        <w:shd w:val="clear" w:color="auto" w:fill="FFFFFF"/>
        <w:ind w:firstLine="643" w:firstLineChars="200"/>
        <w:rPr>
          <w:rFonts w:hint="default" w:ascii="Times New Roman" w:hAnsi="Times New Roman" w:eastAsia="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Times New Roman" w:eastAsia="方正仿宋_GBK"/>
          <w:b w:val="0"/>
          <w:sz w:val="32"/>
          <w:szCs w:val="32"/>
          <w:shd w:val="clear" w:color="auto" w:fill="FFFFFF"/>
        </w:rPr>
        <w:t>.收入情况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2023年度收入合计4976.47万元，较上年决算数增加2042.47万元，增长69.61%，主要原因是2023年增加了政府性基金预算收入上级补助收入1500万元, 用于支付2022-2023年巴蜀美丽庭院示范片项目建设工程款,以及一般公共预算收入上级收入专项补助480万元,用于支付2020-2022年拖欠农村公路硬化项目工程款。其中：财政拨款收入</w:t>
      </w:r>
      <w:r>
        <w:rPr>
          <w:rFonts w:hint="default" w:ascii="Times New Roman" w:hAnsi="Times New Roman" w:eastAsia="方正仿宋_GBK"/>
          <w:sz w:val="32"/>
          <w:szCs w:val="32"/>
        </w:rPr>
        <w:t>4976.47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万元，占0%；经营收入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万元，占0%；其他收入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万元，占0%。此外，使用非财政拨款结余和专用结余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201E77FE">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hint="default" w:ascii="Times New Roman" w:hAnsi="Times New Roman" w:eastAsia="方正仿宋_GBK"/>
          <w:b w:val="0"/>
          <w:sz w:val="32"/>
          <w:szCs w:val="32"/>
          <w:shd w:val="clear" w:color="auto" w:fill="FFFFFF"/>
        </w:rPr>
        <w:t>支出情况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4976.47</w:t>
      </w:r>
      <w:r>
        <w:rPr>
          <w:rFonts w:hint="default" w:ascii="Times New Roman" w:hAnsi="Times New Roman" w:eastAsia="方正仿宋_GBK"/>
          <w:sz w:val="32"/>
          <w:szCs w:val="32"/>
          <w:shd w:val="clear" w:color="auto" w:fill="FFFFFF"/>
        </w:rPr>
        <w:t>万元，较上年决算数增加2042.47万元，增长69.61%，主要原因是2023年增加了政府性基金预算收入上级补助收入1500万元, 用于支付2022-2023年巴蜀美丽庭院示范片项目建设工程款,以及一般公共预算收入上级收入专项补助480万元,用于支付2020-2022年拖欠农村公路硬化项目工程款。其中：基本支出</w:t>
      </w:r>
      <w:r>
        <w:rPr>
          <w:rFonts w:hint="default" w:ascii="Times New Roman" w:hAnsi="Times New Roman" w:eastAsia="方正仿宋_GBK"/>
          <w:sz w:val="32"/>
          <w:szCs w:val="32"/>
        </w:rPr>
        <w:t>1601.35</w:t>
      </w:r>
      <w:r>
        <w:rPr>
          <w:rFonts w:hint="default" w:ascii="Times New Roman" w:hAnsi="Times New Roman" w:eastAsia="方正仿宋_GBK"/>
          <w:sz w:val="32"/>
          <w:szCs w:val="32"/>
          <w:shd w:val="clear" w:color="auto" w:fill="FFFFFF"/>
        </w:rPr>
        <w:t>万元，占32.18%；项目支出</w:t>
      </w:r>
      <w:r>
        <w:rPr>
          <w:rFonts w:hint="default" w:ascii="Times New Roman" w:hAnsi="Times New Roman" w:eastAsia="方正仿宋_GBK"/>
          <w:sz w:val="32"/>
          <w:szCs w:val="32"/>
        </w:rPr>
        <w:t>3375.12</w:t>
      </w:r>
      <w:r>
        <w:rPr>
          <w:rFonts w:hint="default" w:ascii="Times New Roman" w:hAnsi="Times New Roman" w:eastAsia="方正仿宋_GBK"/>
          <w:sz w:val="32"/>
          <w:szCs w:val="32"/>
          <w:shd w:val="clear" w:color="auto" w:fill="FFFFFF"/>
        </w:rPr>
        <w:t>万元，占67.82%；经营支出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万元，占0%。此外，结余分配</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0988E2C1">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4.</w:t>
      </w:r>
      <w:r>
        <w:rPr>
          <w:rStyle w:val="8"/>
          <w:rFonts w:hint="default" w:ascii="Times New Roman" w:hAnsi="Times New Roman" w:eastAsia="方正仿宋_GBK"/>
          <w:b w:val="0"/>
          <w:sz w:val="32"/>
          <w:szCs w:val="32"/>
          <w:shd w:val="clear" w:color="auto" w:fill="FFFFFF"/>
        </w:rPr>
        <w:t>结转结余情况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2023年度无年末结转和结余</w:t>
      </w:r>
      <w:r>
        <w:rPr>
          <w:rFonts w:hint="default" w:ascii="Times New Roman" w:hAnsi="Times New Roman" w:eastAsia="方正仿宋_GBK"/>
          <w:sz w:val="32"/>
          <w:szCs w:val="32"/>
        </w:rPr>
        <w:t>，</w:t>
      </w:r>
      <w:r>
        <w:rPr>
          <w:rFonts w:hint="default" w:ascii="Times New Roman" w:hAnsi="Times New Roman" w:eastAsia="方正仿宋_GBK"/>
          <w:sz w:val="32"/>
          <w:szCs w:val="32"/>
          <w:shd w:val="clear" w:color="auto" w:fill="FFFFFF"/>
        </w:rPr>
        <w:t>实现收支平衡。</w:t>
      </w:r>
    </w:p>
    <w:p w14:paraId="3D6B5A56">
      <w:pPr>
        <w:pStyle w:val="9"/>
        <w:autoSpaceDE w:val="0"/>
        <w:ind w:firstLine="640"/>
        <w:rPr>
          <w:rFonts w:ascii="方正楷体_GBK" w:hAnsi="Times New Roman" w:eastAsia="方正楷体_GBK"/>
          <w:bCs/>
          <w:sz w:val="32"/>
          <w:szCs w:val="32"/>
          <w:shd w:val="clear" w:color="auto" w:fill="FFFFFF"/>
          <w:lang w:bidi="ar"/>
        </w:rPr>
      </w:pPr>
      <w:r>
        <w:rPr>
          <w:rFonts w:hint="eastAsia" w:ascii="方正楷体_GBK" w:hAnsi="Times New Roman" w:eastAsia="方正楷体_GBK"/>
          <w:bCs/>
          <w:sz w:val="32"/>
          <w:szCs w:val="32"/>
          <w:shd w:val="clear" w:color="auto" w:fill="FFFFFF"/>
          <w:lang w:bidi="ar"/>
        </w:rPr>
        <w:t>（二）财政拨款收入支出决算总体情况说明</w:t>
      </w:r>
    </w:p>
    <w:p w14:paraId="74EC7C6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2023年度财政拨款收、支总计4976.47万元。与2022年相比，财政拨款收、支总计各增加2042.47万元，增长69.61%。主要原因是2023年增加了政府性基金预算收入上级补助收入1500万元, 用于支付2022-2023年巴蜀美丽庭院示范片项目建设工程款,以及一般公共预算收入上级收入专项补助480万元,用于支付2020-2022年拖欠农村公路硬化项目工程款</w:t>
      </w:r>
      <w:r>
        <w:rPr>
          <w:rFonts w:hint="default" w:ascii="Times New Roman" w:hAnsi="Times New Roman" w:eastAsia="方正仿宋_GBK"/>
          <w:color w:val="FF0000"/>
          <w:sz w:val="32"/>
          <w:szCs w:val="32"/>
          <w:shd w:val="clear" w:color="auto" w:fill="FFFFFF"/>
        </w:rPr>
        <w:t>。</w:t>
      </w:r>
    </w:p>
    <w:p w14:paraId="791AC638">
      <w:pPr>
        <w:pStyle w:val="9"/>
        <w:autoSpaceDE w:val="0"/>
        <w:ind w:firstLine="640"/>
        <w:rPr>
          <w:rFonts w:ascii="方正楷体_GBK" w:hAnsi="Times New Roman" w:eastAsia="方正楷体_GBK"/>
          <w:bCs/>
          <w:sz w:val="32"/>
          <w:szCs w:val="32"/>
          <w:shd w:val="clear" w:color="auto" w:fill="FFFFFF"/>
          <w:lang w:bidi="ar"/>
        </w:rPr>
      </w:pPr>
      <w:r>
        <w:rPr>
          <w:rFonts w:hint="eastAsia" w:ascii="方正楷体_GBK" w:hAnsi="Times New Roman" w:eastAsia="方正楷体_GBK"/>
          <w:bCs/>
          <w:sz w:val="32"/>
          <w:szCs w:val="32"/>
          <w:shd w:val="clear" w:color="auto" w:fill="FFFFFF"/>
          <w:lang w:bidi="ar"/>
        </w:rPr>
        <w:t>（三）一般公共预算财政拨款收入支出决算情况说明</w:t>
      </w:r>
    </w:p>
    <w:p w14:paraId="65B33537">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w:t>
      </w:r>
      <w:r>
        <w:rPr>
          <w:rStyle w:val="8"/>
          <w:rFonts w:hint="default" w:ascii="Times New Roman" w:hAnsi="Times New Roman" w:eastAsia="方正仿宋_GBK"/>
          <w:b w:val="0"/>
          <w:sz w:val="32"/>
          <w:szCs w:val="32"/>
          <w:shd w:val="clear" w:color="auto" w:fill="FFFFFF"/>
        </w:rPr>
        <w:t>收入情况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3476.47</w:t>
      </w:r>
      <w:r>
        <w:rPr>
          <w:rFonts w:hint="default" w:ascii="Times New Roman" w:hAnsi="Times New Roman" w:eastAsia="方正仿宋_GBK"/>
          <w:sz w:val="32"/>
          <w:szCs w:val="32"/>
          <w:shd w:val="clear" w:color="auto" w:fill="FFFFFF"/>
        </w:rPr>
        <w:t>万元，较上年决算数增加542.47万元，增长18.49%。主要原因是增加一般公共预算收入上级收入专项补助540万元,用于支付2020-2022年拖欠农村公路硬化项目工程款480万元。较年初预算数增加253.82万元，增长7.88%。主要原因是预算调整增加场镇提质补短板项目工程款专项补助246万元。此外，年初财政拨款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20A7D4D1">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2.</w:t>
      </w:r>
      <w:r>
        <w:rPr>
          <w:rStyle w:val="8"/>
          <w:rFonts w:hint="default" w:ascii="Times New Roman" w:hAnsi="Times New Roman" w:eastAsia="方正仿宋_GBK"/>
          <w:b w:val="0"/>
          <w:sz w:val="32"/>
          <w:szCs w:val="32"/>
          <w:shd w:val="clear" w:color="auto" w:fill="FFFFFF"/>
        </w:rPr>
        <w:t>支出情况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3476.47</w:t>
      </w:r>
      <w:r>
        <w:rPr>
          <w:rFonts w:hint="default" w:ascii="Times New Roman" w:hAnsi="Times New Roman" w:eastAsia="方正仿宋_GBK"/>
          <w:sz w:val="32"/>
          <w:szCs w:val="32"/>
          <w:shd w:val="clear" w:color="auto" w:fill="FFFFFF"/>
        </w:rPr>
        <w:t>万元，较上年决算数增加542.47万元，增长18.49%。主要原因是增加一般公共预算收入上级收入专项补助540万元,用于支付2020-2022年拖欠农村公路硬化项目工程款480万元。较年初预算数增加253.82万元，增长7.88%。主要原因是预算调整增加场镇提质补短板项目工程款专项补助246万元。</w:t>
      </w:r>
    </w:p>
    <w:p w14:paraId="08379044">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3</w:t>
      </w:r>
      <w:r>
        <w:rPr>
          <w:rStyle w:val="8"/>
          <w:rFonts w:ascii="方正仿宋_GBK" w:hAnsi="Times New Roman" w:eastAsia="方正仿宋_GBK"/>
          <w:b w:val="0"/>
          <w:sz w:val="32"/>
          <w:szCs w:val="32"/>
          <w:shd w:val="clear" w:color="auto" w:fill="FFFFFF"/>
        </w:rPr>
        <w:t>.结转结余情况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2023年度年末无一般公共预算财政拨款结转和结余。</w:t>
      </w:r>
    </w:p>
    <w:p w14:paraId="369B3EBC">
      <w:pPr>
        <w:pStyle w:val="5"/>
        <w:snapToGrid w:val="0"/>
        <w:spacing w:before="0" w:beforeAutospacing="0" w:after="0" w:afterAutospacing="0" w:line="600"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sz w:val="32"/>
          <w:szCs w:val="32"/>
          <w:shd w:val="clear" w:color="auto" w:fill="FFFFFF"/>
        </w:rPr>
        <w:t>4.</w:t>
      </w:r>
      <w:r>
        <w:rPr>
          <w:rStyle w:val="8"/>
          <w:rFonts w:hint="default" w:ascii="Times New Roman" w:hAnsi="Times New Roman" w:eastAsia="方正仿宋_GBK"/>
          <w:b w:val="0"/>
          <w:sz w:val="32"/>
          <w:szCs w:val="32"/>
          <w:shd w:val="clear" w:color="auto" w:fill="FFFFFF"/>
        </w:rPr>
        <w:t>比较情况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本部门2023年度一般公共预算财政拨款支出主要用于以下几个方面：</w:t>
      </w:r>
    </w:p>
    <w:p w14:paraId="00BFB05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765.01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22.01</w:t>
      </w:r>
      <w:r>
        <w:rPr>
          <w:rFonts w:hint="default" w:ascii="Times New Roman" w:hAnsi="Times New Roman" w:eastAsia="方正仿宋_GBK"/>
          <w:sz w:val="32"/>
          <w:szCs w:val="32"/>
          <w:shd w:val="clear" w:color="auto" w:fill="FFFFFF"/>
        </w:rPr>
        <w:t>%，较年初预算数增加25.06万元，增长3.39%，主要原因是2023年新增公益性岗位人员经费增加。</w:t>
      </w:r>
    </w:p>
    <w:p w14:paraId="0B72001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4.99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0.14</w:t>
      </w:r>
      <w:r>
        <w:rPr>
          <w:rFonts w:hint="default" w:ascii="Times New Roman" w:hAnsi="Times New Roman" w:eastAsia="方正仿宋_GBK"/>
          <w:sz w:val="32"/>
          <w:szCs w:val="32"/>
          <w:shd w:val="clear" w:color="auto" w:fill="FFFFFF"/>
        </w:rPr>
        <w:t>%，较年初预算数增加4.99万元，增长100%，主要原因是增加社区阳光图书馆项目，建图书馆支出4.99万元。</w:t>
      </w:r>
    </w:p>
    <w:p w14:paraId="02A4A264">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45.26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w:t>
      </w:r>
      <w:r>
        <w:rPr>
          <w:rFonts w:hint="default" w:ascii="Times New Roman" w:hAnsi="Times New Roman" w:eastAsia="方正仿宋_GBK"/>
          <w:sz w:val="32"/>
          <w:szCs w:val="32"/>
          <w:shd w:val="clear" w:color="auto" w:fill="FFFFFF"/>
        </w:rPr>
        <w:t>%，较年初预算数增加36.65万元，增长425.67%，主要原因是镇长晒主题宣传片、文化下乡、龙湖村旅游宣传片等文化项目支出增加。</w:t>
      </w:r>
    </w:p>
    <w:p w14:paraId="07AEDEFF">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371.31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10.68</w:t>
      </w:r>
      <w:r>
        <w:rPr>
          <w:rFonts w:hint="default" w:ascii="Times New Roman" w:hAnsi="Times New Roman" w:eastAsia="方正仿宋_GBK"/>
          <w:sz w:val="32"/>
          <w:szCs w:val="32"/>
          <w:shd w:val="clear" w:color="auto" w:fill="FFFFFF"/>
        </w:rPr>
        <w:t>%，较年初预算数增加118.3万元，增长46.76%，主要原因是退役军人优抚、临时救助、困难群众帮扶资金等增加支出</w:t>
      </w:r>
    </w:p>
    <w:p w14:paraId="6E4BD533">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73.61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2.12</w:t>
      </w:r>
      <w:r>
        <w:rPr>
          <w:rFonts w:hint="default" w:ascii="Times New Roman" w:hAnsi="Times New Roman" w:eastAsia="方正仿宋_GBK"/>
          <w:sz w:val="32"/>
          <w:szCs w:val="32"/>
          <w:shd w:val="clear" w:color="auto" w:fill="FFFFFF"/>
        </w:rPr>
        <w:t>%，较年初预算数减少19.5万元，下降20.94%，主要原因是2023年疫情防控经费减少。</w:t>
      </w:r>
    </w:p>
    <w:p w14:paraId="3ABB1F5F">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41.5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1.19</w:t>
      </w:r>
      <w:r>
        <w:rPr>
          <w:rFonts w:hint="default" w:ascii="Times New Roman" w:hAnsi="Times New Roman" w:eastAsia="方正仿宋_GBK"/>
          <w:sz w:val="32"/>
          <w:szCs w:val="32"/>
          <w:shd w:val="clear" w:color="auto" w:fill="FFFFFF"/>
        </w:rPr>
        <w:t>%，较年初预算数减少10.2万元，下降19.73%，主要原因是2023年河流清漂费用支出减少。</w:t>
      </w:r>
    </w:p>
    <w:p w14:paraId="0567DDA3">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430.42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12.38</w:t>
      </w:r>
      <w:r>
        <w:rPr>
          <w:rFonts w:hint="default" w:ascii="Times New Roman" w:hAnsi="Times New Roman" w:eastAsia="方正仿宋_GBK"/>
          <w:sz w:val="32"/>
          <w:szCs w:val="32"/>
          <w:shd w:val="clear" w:color="auto" w:fill="FFFFFF"/>
        </w:rPr>
        <w:t>%，较年初预算数增加273.61万元，增长174.49%，主要原因是预算调整增加场镇提质补短板项目工程款专项补助246万元。</w:t>
      </w:r>
    </w:p>
    <w:p w14:paraId="3F7EA7F5">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1076.91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30.98</w:t>
      </w:r>
      <w:r>
        <w:rPr>
          <w:rFonts w:hint="default" w:ascii="Times New Roman" w:hAnsi="Times New Roman" w:eastAsia="方正仿宋_GBK"/>
          <w:sz w:val="32"/>
          <w:szCs w:val="32"/>
          <w:shd w:val="clear" w:color="auto" w:fill="FFFFFF"/>
        </w:rPr>
        <w:t>%，较年初预算数减少690.59万元，下降39.07%，主要原因是年初7个事业单位经费预算功能科目全都使用农林水支出，后经预算调整变更6个事业单位人员及公用经费功能科目。</w:t>
      </w:r>
    </w:p>
    <w:p w14:paraId="36D52D75">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504.83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14.52</w:t>
      </w:r>
      <w:r>
        <w:rPr>
          <w:rFonts w:hint="default" w:ascii="Times New Roman" w:hAnsi="Times New Roman" w:eastAsia="方正仿宋_GBK"/>
          <w:sz w:val="32"/>
          <w:szCs w:val="32"/>
          <w:shd w:val="clear" w:color="auto" w:fill="FFFFFF"/>
        </w:rPr>
        <w:t>%，较年初预算数增加444.18万元，增长732.37%，主要原因是支付2020-2022年拖欠农村公路硬化项目工程款480万元。</w:t>
      </w:r>
    </w:p>
    <w:p w14:paraId="387580DB">
      <w:pPr>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（10）</w:t>
      </w:r>
      <w:r>
        <w:rPr>
          <w:rFonts w:hint="default" w:ascii="Times New Roman" w:hAnsi="Times New Roman" w:eastAsia="方正仿宋_GBK"/>
          <w:sz w:val="32"/>
          <w:szCs w:val="32"/>
        </w:rPr>
        <w:t>住房保障支出81.31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2.34</w:t>
      </w:r>
      <w:r>
        <w:rPr>
          <w:rFonts w:hint="default" w:ascii="Times New Roman" w:hAnsi="Times New Roman" w:eastAsia="方正仿宋_GBK"/>
          <w:sz w:val="32"/>
          <w:szCs w:val="32"/>
          <w:shd w:val="clear" w:color="auto" w:fill="FFFFFF"/>
        </w:rPr>
        <w:t>%，较年初预算数无增减。</w:t>
      </w:r>
    </w:p>
    <w:p w14:paraId="6EFFD005">
      <w:pPr>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（22）</w:t>
      </w:r>
      <w:r>
        <w:rPr>
          <w:rFonts w:hint="default" w:ascii="Times New Roman" w:hAnsi="Times New Roman" w:eastAsia="方正仿宋_GBK"/>
          <w:sz w:val="32"/>
          <w:szCs w:val="32"/>
        </w:rPr>
        <w:t>灾害防治及应急管理支出81.31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2.34</w:t>
      </w:r>
      <w:r>
        <w:rPr>
          <w:rFonts w:hint="default" w:ascii="Times New Roman" w:hAnsi="Times New Roman" w:eastAsia="方正仿宋_GBK"/>
          <w:sz w:val="32"/>
          <w:szCs w:val="32"/>
          <w:shd w:val="clear" w:color="auto" w:fill="FFFFFF"/>
        </w:rPr>
        <w:t>%，较年初预算数增加71.31万元，增长713.1%，主要原因是预算调整支付龙韵森林防火通道工程款33.5万元、水毁公路维修工程款34.67万元.</w:t>
      </w:r>
    </w:p>
    <w:p w14:paraId="54524FE6">
      <w:pPr>
        <w:pStyle w:val="9"/>
        <w:autoSpaceDE w:val="0"/>
        <w:ind w:firstLine="640"/>
        <w:rPr>
          <w:rFonts w:ascii="方正楷体_GBK" w:hAnsi="Times New Roman" w:eastAsia="方正楷体_GBK"/>
          <w:bCs/>
          <w:sz w:val="32"/>
          <w:szCs w:val="32"/>
          <w:shd w:val="clear" w:color="auto" w:fill="FFFFFF"/>
          <w:lang w:bidi="ar"/>
        </w:rPr>
      </w:pPr>
      <w:r>
        <w:rPr>
          <w:rFonts w:hint="eastAsia" w:ascii="方正楷体_GBK" w:hAnsi="Times New Roman" w:eastAsia="方正楷体_GBK"/>
          <w:bCs/>
          <w:sz w:val="32"/>
          <w:szCs w:val="32"/>
          <w:shd w:val="clear" w:color="auto" w:fill="FFFFFF"/>
          <w:lang w:bidi="ar"/>
        </w:rPr>
        <w:t>（四）一般公共预算财政拨款基本支出决算情况说明</w:t>
      </w:r>
    </w:p>
    <w:p w14:paraId="0D97048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sz w:val="32"/>
          <w:szCs w:val="32"/>
          <w:shd w:val="clear" w:color="auto" w:fill="FFFFFF"/>
        </w:rPr>
        <w:t> </w:t>
      </w:r>
      <w:r>
        <w:rPr>
          <w:rFonts w:hint="default" w:ascii="Times New Roman" w:hAnsi="Times New Roman" w:eastAsia="方正仿宋_GBK"/>
          <w:sz w:val="32"/>
          <w:szCs w:val="32"/>
          <w:shd w:val="clear" w:color="auto" w:fill="FFFFFF"/>
        </w:rPr>
        <w:t>2023年度一般公共财政拨款基本支出</w:t>
      </w:r>
      <w:r>
        <w:rPr>
          <w:rFonts w:hint="default" w:ascii="Times New Roman" w:hAnsi="Times New Roman" w:eastAsia="方正仿宋_GBK"/>
          <w:sz w:val="32"/>
          <w:szCs w:val="32"/>
        </w:rPr>
        <w:t>1601.35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1335.21</w:t>
      </w:r>
      <w:r>
        <w:rPr>
          <w:rFonts w:hint="default" w:ascii="Times New Roman" w:hAnsi="Times New Roman" w:eastAsia="方正仿宋_GBK"/>
          <w:sz w:val="32"/>
          <w:szCs w:val="32"/>
          <w:shd w:val="clear" w:color="auto" w:fill="FFFFFF"/>
        </w:rPr>
        <w:t>万元，较上年决算数增加7.2万元，增长0.54%，主要原因是2023年人员工资及保险基数调整、退休干部丧葬费增加人员经费支出。人员经费用途主要包括基本工资、津贴补贴、奖金、社会保障缴费、绩效奖励、退休干部健康休养费等。公用经费</w:t>
      </w:r>
      <w:r>
        <w:rPr>
          <w:rFonts w:hint="default" w:ascii="Times New Roman" w:hAnsi="Times New Roman" w:eastAsia="方正仿宋_GBK"/>
          <w:sz w:val="32"/>
          <w:szCs w:val="32"/>
        </w:rPr>
        <w:t>266.14</w:t>
      </w:r>
      <w:r>
        <w:rPr>
          <w:rFonts w:hint="default" w:ascii="Times New Roman" w:hAnsi="Times New Roman" w:eastAsia="方正仿宋_GBK"/>
          <w:sz w:val="32"/>
          <w:szCs w:val="32"/>
          <w:shd w:val="clear" w:color="auto" w:fill="FFFFFF"/>
        </w:rPr>
        <w:t>万元，较上年决算数减少53.43万元，下降16.72%，主要原因是严格落实过紧日子，年初预算减少公用经费28.5万元、党政网线租赁费用15万元。公用经费用途主要包括办公费、印刷费、咨询费、水费、电费、邮电费、差旅费、维修（护）费、公务接待费、劳务费、工会经费、其他交通费等</w:t>
      </w:r>
    </w:p>
    <w:p w14:paraId="03082C76">
      <w:pPr>
        <w:pStyle w:val="9"/>
        <w:autoSpaceDE w:val="0"/>
        <w:ind w:firstLine="640"/>
        <w:rPr>
          <w:rFonts w:ascii="方正楷体_GBK" w:hAnsi="Times New Roman" w:eastAsia="方正楷体_GBK"/>
          <w:bCs/>
          <w:sz w:val="32"/>
          <w:szCs w:val="32"/>
          <w:shd w:val="clear" w:color="auto" w:fill="FFFFFF"/>
          <w:lang w:bidi="ar"/>
        </w:rPr>
      </w:pPr>
      <w:r>
        <w:rPr>
          <w:rFonts w:hint="eastAsia" w:ascii="方正楷体_GBK" w:hAnsi="Times New Roman" w:eastAsia="方正楷体_GBK"/>
          <w:bCs/>
          <w:sz w:val="32"/>
          <w:szCs w:val="32"/>
          <w:shd w:val="clear" w:color="auto" w:fill="FFFFFF"/>
          <w:lang w:bidi="ar"/>
        </w:rPr>
        <w:t>（五）政府性基金预算收支决算情况说明</w:t>
      </w:r>
    </w:p>
    <w:p w14:paraId="414F834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2023年度政府性基金预算财政拨款年初结转结余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1500</w:t>
      </w:r>
      <w:r>
        <w:rPr>
          <w:rFonts w:hint="default" w:ascii="Times New Roman" w:hAnsi="Times New Roman" w:eastAsia="方正仿宋_GBK"/>
          <w:sz w:val="32"/>
          <w:szCs w:val="32"/>
          <w:shd w:val="clear" w:color="auto" w:fill="FFFFFF"/>
        </w:rPr>
        <w:t>万元，较上年决算数增加1500万元，增长100%，主要原因是2023年增加了政府性基金预算收入上级补助收入1500万元, 用于支付2022-2023年巴蜀美丽庭院示范片项目建设工程款。本年支出</w:t>
      </w:r>
      <w:r>
        <w:rPr>
          <w:rFonts w:hint="default" w:ascii="Times New Roman" w:hAnsi="Times New Roman" w:eastAsia="方正仿宋_GBK"/>
          <w:sz w:val="32"/>
          <w:szCs w:val="32"/>
        </w:rPr>
        <w:t>1500</w:t>
      </w:r>
      <w:r>
        <w:rPr>
          <w:rFonts w:hint="default" w:ascii="Times New Roman" w:hAnsi="Times New Roman" w:eastAsia="方正仿宋_GBK"/>
          <w:sz w:val="32"/>
          <w:szCs w:val="32"/>
          <w:shd w:val="clear" w:color="auto" w:fill="FFFFFF"/>
        </w:rPr>
        <w:t>万元，较上年决算数增加1500万元，增长100%，主要原因是支付2022-2023年巴蜀美丽庭院示范片项目建设工程款1500万元。</w:t>
      </w:r>
    </w:p>
    <w:p w14:paraId="324772C2">
      <w:pPr>
        <w:pStyle w:val="9"/>
        <w:autoSpaceDE w:val="0"/>
        <w:ind w:firstLine="640"/>
        <w:rPr>
          <w:rFonts w:ascii="方正楷体_GBK" w:hAnsi="Times New Roman" w:eastAsia="方正楷体_GBK"/>
          <w:bCs/>
          <w:sz w:val="32"/>
          <w:szCs w:val="32"/>
          <w:shd w:val="clear" w:color="auto" w:fill="FFFFFF"/>
          <w:lang w:bidi="ar"/>
        </w:rPr>
      </w:pPr>
      <w:r>
        <w:rPr>
          <w:rFonts w:hint="eastAsia" w:ascii="方正楷体_GBK" w:hAnsi="Times New Roman" w:eastAsia="方正楷体_GBK"/>
          <w:bCs/>
          <w:sz w:val="32"/>
          <w:szCs w:val="32"/>
          <w:shd w:val="clear" w:color="auto" w:fill="FFFFFF"/>
          <w:lang w:bidi="ar"/>
        </w:rPr>
        <w:t>（六）国有资本经营预算财政拨款支出决算情况说明</w:t>
      </w:r>
    </w:p>
    <w:p w14:paraId="1146BECE">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本部门2023年度无国有资本经营预算财政拨款支出。</w:t>
      </w:r>
    </w:p>
    <w:p w14:paraId="1D35A68E">
      <w:pPr>
        <w:pStyle w:val="5"/>
        <w:snapToGrid w:val="0"/>
        <w:spacing w:before="0" w:beforeAutospacing="0" w:after="0" w:afterAutospacing="0" w:line="600" w:lineRule="exact"/>
        <w:ind w:firstLine="640" w:firstLineChars="200"/>
        <w:jc w:val="both"/>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三、“三公”经费情况说明</w:t>
      </w:r>
    </w:p>
    <w:p w14:paraId="16FABBE3">
      <w:pPr>
        <w:pStyle w:val="9"/>
        <w:autoSpaceDE w:val="0"/>
        <w:ind w:firstLine="640"/>
        <w:rPr>
          <w:rFonts w:ascii="Times New Roman" w:hAnsi="Times New Roman" w:eastAsia="楷体"/>
          <w:b/>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w:t>
      </w:r>
      <w:r>
        <w:rPr>
          <w:rFonts w:ascii="方正楷体_GBK" w:hAnsi="Times New Roman" w:eastAsia="方正楷体_GBK"/>
          <w:bCs/>
          <w:sz w:val="32"/>
          <w:szCs w:val="32"/>
          <w:shd w:val="clear" w:color="auto" w:fill="FFFFFF"/>
        </w:rPr>
        <w:t>明</w:t>
      </w:r>
    </w:p>
    <w:p w14:paraId="5566166A">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2023年度“三公”经费支出共计</w:t>
      </w:r>
      <w:r>
        <w:rPr>
          <w:rFonts w:hint="default" w:ascii="Times New Roman" w:hAnsi="Times New Roman" w:eastAsia="方正仿宋_GBK"/>
          <w:sz w:val="32"/>
          <w:szCs w:val="32"/>
        </w:rPr>
        <w:t>10.8</w:t>
      </w:r>
      <w:r>
        <w:rPr>
          <w:rFonts w:hint="default" w:ascii="Times New Roman" w:hAnsi="Times New Roman" w:eastAsia="方正仿宋_GBK"/>
          <w:sz w:val="32"/>
          <w:szCs w:val="32"/>
          <w:shd w:val="clear" w:color="auto" w:fill="FFFFFF"/>
        </w:rPr>
        <w:t>万元，较年初预算数无增减，与年初预算数持平。较上年支出数无增减，与上年持平。</w:t>
      </w:r>
    </w:p>
    <w:p w14:paraId="2D789ED2">
      <w:pPr>
        <w:pStyle w:val="9"/>
        <w:autoSpaceDE w:val="0"/>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w:t>
      </w:r>
      <w:r>
        <w:rPr>
          <w:rFonts w:hint="eastAsia" w:ascii="方正楷体_GBK" w:hAnsi="Times New Roman" w:eastAsia="方正楷体_GBK"/>
          <w:bCs/>
          <w:sz w:val="32"/>
          <w:szCs w:val="32"/>
          <w:shd w:val="clear" w:color="auto" w:fill="FFFFFF"/>
        </w:rPr>
        <w:t>“三公”经费分项支出情况</w:t>
      </w:r>
    </w:p>
    <w:p w14:paraId="7DAEB068">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2023年度本单位因公出国（境）费用0万元，费用支出较年初预算数无增减，较上年支出数无增减，主要原因是本单位2023年度未发生因公出国（境）支出。</w:t>
      </w:r>
    </w:p>
    <w:p w14:paraId="374533A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万元，费用支出较年初预算数无增减，较上年支出数无增减，主要原因是本单位2023年度未发生公务车购置支出。</w:t>
      </w:r>
    </w:p>
    <w:p w14:paraId="711E14CD">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10.8</w:t>
      </w:r>
      <w:r>
        <w:rPr>
          <w:rFonts w:hint="default" w:ascii="Times New Roman" w:hAnsi="Times New Roman" w:eastAsia="方正仿宋_GBK"/>
          <w:sz w:val="32"/>
          <w:szCs w:val="32"/>
          <w:shd w:val="clear" w:color="auto" w:fill="FFFFFF"/>
        </w:rPr>
        <w:t>万元，主要用于单位公务车保险费、维修费、油费、过路费等。费用支出较年初预算数无增减，与年初预算数持平。较上年支出数无增减，与上年持平。</w:t>
      </w:r>
    </w:p>
    <w:p w14:paraId="4F4EDFEA">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sz w:val="32"/>
          <w:szCs w:val="32"/>
          <w:shd w:val="clear" w:color="auto" w:fill="FFFFFF"/>
        </w:rPr>
        <w:t> </w:t>
      </w: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万元，费用支出较年初预算数无增减，较上年支出数无增减，主要原因是本单位2023年度未发生公务接待支出。</w:t>
      </w:r>
    </w:p>
    <w:p w14:paraId="1B4EC757">
      <w:pPr>
        <w:pStyle w:val="5"/>
        <w:snapToGrid w:val="0"/>
        <w:spacing w:before="0" w:beforeAutospacing="0" w:after="0" w:afterAutospacing="0" w:line="600" w:lineRule="exact"/>
        <w:ind w:firstLine="640" w:firstLineChars="200"/>
        <w:jc w:val="both"/>
        <w:rPr>
          <w:rFonts w:ascii="方正楷体_GBK" w:hAnsi="Times New Roman" w:eastAsia="方正楷体_GBK"/>
          <w:b/>
          <w:bCs/>
          <w:sz w:val="32"/>
          <w:szCs w:val="32"/>
          <w:shd w:val="clear" w:color="auto" w:fill="FFFFFF"/>
        </w:rPr>
      </w:pPr>
      <w:r>
        <w:rPr>
          <w:rFonts w:hint="default" w:ascii="方正楷体_GBK" w:hAnsi="Times New Roman" w:eastAsia="方正楷体_GBK"/>
          <w:bCs/>
          <w:sz w:val="32"/>
          <w:szCs w:val="32"/>
          <w:shd w:val="clear" w:color="auto" w:fill="FFFFFF"/>
        </w:rPr>
        <w:t>（三）</w:t>
      </w:r>
      <w:r>
        <w:rPr>
          <w:rFonts w:ascii="方正楷体_GBK" w:hAnsi="Times New Roman" w:eastAsia="方正楷体_GBK"/>
          <w:bCs/>
          <w:sz w:val="32"/>
          <w:szCs w:val="32"/>
          <w:shd w:val="clear" w:color="auto" w:fill="FFFFFF"/>
        </w:rPr>
        <w:t>“三公”经费实物量情况</w:t>
      </w:r>
    </w:p>
    <w:p w14:paraId="165CEC2C">
      <w:pPr>
        <w:pStyle w:val="5"/>
        <w:snapToGrid w:val="0"/>
        <w:spacing w:before="0" w:beforeAutospacing="0" w:after="0" w:afterAutospacing="0" w:line="600"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sz w:val="32"/>
          <w:szCs w:val="32"/>
          <w:shd w:val="clear" w:color="auto" w:fill="FFFFFF"/>
        </w:rPr>
        <w:t>  2023年度本单位因公出国（境）共计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4</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2.7</w:t>
      </w:r>
      <w:r>
        <w:rPr>
          <w:rFonts w:hint="default" w:ascii="Times New Roman" w:hAnsi="Times New Roman" w:eastAsia="方正仿宋_GBK"/>
          <w:sz w:val="32"/>
          <w:szCs w:val="32"/>
          <w:shd w:val="clear" w:color="auto" w:fill="FFFFFF"/>
        </w:rPr>
        <w:t>万元。</w:t>
      </w:r>
    </w:p>
    <w:p w14:paraId="4389A54C">
      <w:pPr>
        <w:pStyle w:val="5"/>
        <w:shd w:val="clear" w:color="auto" w:fill="FFFFFF"/>
        <w:rPr>
          <w:rStyle w:val="8"/>
          <w:rFonts w:hint="default" w:ascii="方正楷体_GBK" w:hAnsi="Times New Roman" w:eastAsia="方正楷体_GBK"/>
          <w:b w:val="0"/>
          <w:sz w:val="32"/>
          <w:szCs w:val="32"/>
          <w:shd w:val="clear" w:color="auto" w:fill="FFFFFF"/>
        </w:rPr>
      </w:pPr>
      <w:r>
        <w:rPr>
          <w:rStyle w:val="8"/>
          <w:rFonts w:ascii="方正楷体_GBK" w:hAnsi="Times New Roman" w:eastAsia="方正楷体_GBK"/>
          <w:b w:val="0"/>
          <w:sz w:val="32"/>
          <w:szCs w:val="32"/>
          <w:shd w:val="clear" w:color="auto" w:fill="FFFFFF"/>
        </w:rPr>
        <w:t>四、其他需要说明的事项</w:t>
      </w:r>
    </w:p>
    <w:p w14:paraId="61E7EEF0">
      <w:pPr>
        <w:pStyle w:val="9"/>
        <w:autoSpaceDE w:val="0"/>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  （一）财政拨款会议费和培训费情况说明</w:t>
      </w:r>
    </w:p>
    <w:p w14:paraId="36A6E8F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本年度会议费支出</w:t>
      </w:r>
      <w:r>
        <w:rPr>
          <w:rFonts w:hint="default" w:ascii="Times New Roman" w:hAnsi="Times New Roman" w:eastAsia="方正仿宋_GBK"/>
          <w:sz w:val="32"/>
          <w:szCs w:val="32"/>
        </w:rPr>
        <w:t>1.06</w:t>
      </w:r>
      <w:r>
        <w:rPr>
          <w:rFonts w:hint="default" w:ascii="Times New Roman" w:hAnsi="Times New Roman" w:eastAsia="方正仿宋_GBK"/>
          <w:sz w:val="32"/>
          <w:szCs w:val="32"/>
          <w:shd w:val="clear" w:color="auto" w:fill="FFFFFF"/>
        </w:rPr>
        <w:t>万元，较上年决算数增加1.01万元，增长2020%，主要原因是2023年召开两次人大会议，会议费用支出增加。本年度培训费支出</w:t>
      </w:r>
      <w:r>
        <w:rPr>
          <w:rFonts w:hint="default" w:ascii="Times New Roman" w:hAnsi="Times New Roman" w:eastAsia="方正仿宋_GBK"/>
          <w:sz w:val="32"/>
          <w:szCs w:val="32"/>
        </w:rPr>
        <w:t>4.85</w:t>
      </w:r>
      <w:r>
        <w:rPr>
          <w:rFonts w:hint="default" w:ascii="Times New Roman" w:hAnsi="Times New Roman" w:eastAsia="方正仿宋_GBK"/>
          <w:sz w:val="32"/>
          <w:szCs w:val="32"/>
          <w:shd w:val="clear" w:color="auto" w:fill="FFFFFF"/>
        </w:rPr>
        <w:t>万元，较上年决算数减少2.52万元，下降34.19%，主要原因是2023年单位人员外出培训次数减少。</w:t>
      </w:r>
    </w:p>
    <w:p w14:paraId="6DEE212B">
      <w:pPr>
        <w:pStyle w:val="9"/>
        <w:autoSpaceDE w:val="0"/>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14:paraId="1233597E">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2023年度本部门机关运行经费支出</w:t>
      </w:r>
      <w:r>
        <w:rPr>
          <w:rFonts w:hint="default" w:ascii="Times New Roman" w:hAnsi="Times New Roman" w:eastAsia="方正仿宋_GBK"/>
          <w:sz w:val="32"/>
          <w:szCs w:val="32"/>
        </w:rPr>
        <w:t>138.31</w:t>
      </w:r>
      <w:r>
        <w:rPr>
          <w:rFonts w:hint="default" w:ascii="Times New Roman" w:hAnsi="Times New Roman" w:eastAsia="方正仿宋_GBK"/>
          <w:sz w:val="32"/>
          <w:szCs w:val="32"/>
          <w:shd w:val="clear" w:color="auto" w:fill="FFFFFF"/>
        </w:rPr>
        <w:t>万元，机关运行经费主要用于开支办公费、印刷费、咨询费、水费、电费、邮电费、差旅费、维修（护）费、公务接待费、劳务费、工会经费、其他交通费、其他商品和服务费等。机关运行经费较上年支出数减少116.3万元，下降45.68%，主要原因是2023年严格落实过紧日子其中差旅费、邮电费、办公经费等支出减少。</w:t>
      </w:r>
    </w:p>
    <w:p w14:paraId="67AAC246">
      <w:pPr>
        <w:pStyle w:val="9"/>
        <w:autoSpaceDE w:val="0"/>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（三）国有资产占用情况说明</w:t>
      </w:r>
    </w:p>
    <w:p w14:paraId="4977D56F">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截至2023年12月31日，本部门共有车辆</w:t>
      </w:r>
      <w:r>
        <w:rPr>
          <w:rFonts w:hint="default" w:ascii="Times New Roman" w:hAnsi="Times New Roman" w:eastAsia="方正仿宋_GBK"/>
          <w:sz w:val="32"/>
          <w:szCs w:val="32"/>
        </w:rPr>
        <w:t>4</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4F130804">
      <w:pPr>
        <w:pStyle w:val="9"/>
        <w:autoSpaceDE w:val="0"/>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（四）政府采购支出情况说明</w:t>
      </w:r>
    </w:p>
    <w:p w14:paraId="7BA3DEDE">
      <w:pPr>
        <w:pStyle w:val="9"/>
        <w:autoSpaceDE w:val="0"/>
        <w:ind w:firstLine="640"/>
        <w:rPr>
          <w:rFonts w:ascii="Times New Roman" w:hAnsi="Times New Roman" w:eastAsia="方正仿宋_GBK"/>
          <w:shd w:val="clear" w:color="auto" w:fill="FFFFFF"/>
        </w:rPr>
      </w:pPr>
      <w:r>
        <w:rPr>
          <w:rFonts w:ascii="方正楷体_GBK" w:hAnsi="Times New Roman" w:eastAsia="方正楷体_GBK"/>
          <w:bCs/>
          <w:sz w:val="32"/>
          <w:szCs w:val="32"/>
          <w:shd w:val="clear" w:color="auto" w:fill="FFFFFF"/>
        </w:rPr>
        <w:t> </w:t>
      </w:r>
      <w:r>
        <w:rPr>
          <w:rFonts w:ascii="Times New Roman" w:hAnsi="Times New Roman" w:eastAsia="方正仿宋_GBK"/>
          <w:sz w:val="32"/>
          <w:szCs w:val="32"/>
          <w:shd w:val="clear" w:color="auto" w:fill="FFFFFF"/>
        </w:rPr>
        <w:t>2023年度本部门政府采购支出总额631.07万元，其中：政府采购货物支出</w:t>
      </w:r>
      <w:r>
        <w:rPr>
          <w:rFonts w:ascii="Times New Roman" w:hAnsi="Times New Roman" w:eastAsia="方正仿宋_GBK"/>
          <w:sz w:val="32"/>
          <w:szCs w:val="32"/>
        </w:rPr>
        <w:t>2.43</w:t>
      </w:r>
      <w:r>
        <w:rPr>
          <w:rFonts w:ascii="Times New Roman" w:hAnsi="Times New Roman" w:eastAsia="方正仿宋_GBK"/>
          <w:sz w:val="32"/>
          <w:szCs w:val="32"/>
          <w:shd w:val="clear" w:color="auto" w:fill="FFFFFF"/>
        </w:rPr>
        <w:t>万元、政府采购工程支出</w:t>
      </w:r>
      <w:r>
        <w:rPr>
          <w:rFonts w:ascii="Times New Roman" w:hAnsi="Times New Roman" w:eastAsia="方正仿宋_GBK"/>
          <w:sz w:val="32"/>
          <w:szCs w:val="32"/>
        </w:rPr>
        <w:t>546.19</w:t>
      </w:r>
      <w:r>
        <w:rPr>
          <w:rFonts w:ascii="Times New Roman" w:hAnsi="Times New Roman" w:eastAsia="方正仿宋_GBK"/>
          <w:sz w:val="32"/>
          <w:szCs w:val="32"/>
          <w:shd w:val="clear" w:color="auto" w:fill="FFFFFF"/>
        </w:rPr>
        <w:t>万元、政府采购服务支出</w:t>
      </w:r>
      <w:r>
        <w:rPr>
          <w:rFonts w:ascii="Times New Roman" w:hAnsi="Times New Roman" w:eastAsia="方正仿宋_GBK"/>
          <w:sz w:val="32"/>
          <w:szCs w:val="32"/>
        </w:rPr>
        <w:t>82.45</w:t>
      </w:r>
      <w:r>
        <w:rPr>
          <w:rFonts w:ascii="Times New Roman" w:hAnsi="Times New Roman" w:eastAsia="方正仿宋_GBK"/>
          <w:sz w:val="32"/>
          <w:szCs w:val="32"/>
          <w:shd w:val="clear" w:color="auto" w:fill="FFFFFF"/>
        </w:rPr>
        <w:t>万元。授予中小企业合同金额</w:t>
      </w:r>
      <w:r>
        <w:rPr>
          <w:rFonts w:ascii="Times New Roman" w:hAnsi="Times New Roman" w:eastAsia="方正仿宋_GBK"/>
          <w:sz w:val="32"/>
          <w:szCs w:val="32"/>
        </w:rPr>
        <w:t>631.07万</w:t>
      </w:r>
      <w:r>
        <w:rPr>
          <w:rFonts w:ascii="Times New Roman" w:hAnsi="Times New Roman" w:eastAsia="方正仿宋_GBK"/>
          <w:sz w:val="32"/>
          <w:szCs w:val="32"/>
          <w:shd w:val="clear" w:color="auto" w:fill="FFFFFF"/>
        </w:rPr>
        <w:t>元，占政府采购支出总额的</w:t>
      </w:r>
      <w:r>
        <w:rPr>
          <w:rFonts w:ascii="Times New Roman" w:hAnsi="Times New Roman" w:eastAsia="方正仿宋_GBK"/>
          <w:sz w:val="32"/>
          <w:szCs w:val="32"/>
        </w:rPr>
        <w:t>100</w:t>
      </w:r>
      <w:r>
        <w:rPr>
          <w:rFonts w:ascii="Times New Roman" w:hAnsi="Times New Roman" w:eastAsia="方正仿宋_GBK"/>
          <w:sz w:val="32"/>
          <w:szCs w:val="32"/>
          <w:shd w:val="clear" w:color="auto" w:fill="FFFFFF"/>
        </w:rPr>
        <w:t>%，其中：授予小微企业合同金额</w:t>
      </w:r>
      <w:r>
        <w:rPr>
          <w:rFonts w:ascii="Times New Roman" w:hAnsi="Times New Roman" w:eastAsia="方正仿宋_GBK"/>
          <w:sz w:val="32"/>
          <w:szCs w:val="32"/>
        </w:rPr>
        <w:t>631.07</w:t>
      </w:r>
      <w:r>
        <w:rPr>
          <w:rFonts w:ascii="Times New Roman" w:hAnsi="Times New Roman" w:eastAsia="方正仿宋_GBK"/>
          <w:sz w:val="32"/>
          <w:szCs w:val="32"/>
          <w:shd w:val="clear" w:color="auto" w:fill="FFFFFF"/>
        </w:rPr>
        <w:t>万元，占政府采购支出总额的</w:t>
      </w:r>
      <w:r>
        <w:rPr>
          <w:rFonts w:ascii="Times New Roman" w:hAnsi="Times New Roman" w:eastAsia="方正仿宋_GBK"/>
          <w:sz w:val="32"/>
          <w:szCs w:val="32"/>
        </w:rPr>
        <w:t>100</w:t>
      </w:r>
      <w:r>
        <w:rPr>
          <w:rFonts w:ascii="Times New Roman" w:hAnsi="Times New Roman" w:eastAsia="方正仿宋_GBK"/>
          <w:sz w:val="32"/>
          <w:szCs w:val="32"/>
          <w:shd w:val="clear" w:color="auto" w:fill="FFFFFF"/>
        </w:rPr>
        <w:t>%。主要用于采购办公电脑、桌椅、打印机以及场镇提质补短板项目、巴蜀美丽庭院农房改造部分工程。</w:t>
      </w:r>
    </w:p>
    <w:p w14:paraId="5FA358C3">
      <w:pPr>
        <w:pStyle w:val="5"/>
        <w:numPr>
          <w:ilvl w:val="0"/>
          <w:numId w:val="1"/>
        </w:numPr>
        <w:shd w:val="clear" w:color="auto" w:fill="FFFFFF"/>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预算绩效管理情况说明</w:t>
      </w:r>
    </w:p>
    <w:p w14:paraId="3CD246A4">
      <w:pPr>
        <w:ind w:firstLine="640" w:firstLineChars="200"/>
        <w:rPr>
          <w:rFonts w:hint="default" w:ascii="方正楷体_GBK" w:hAnsi="Times New Roman" w:eastAsia="方正楷体_GBK"/>
          <w:bCs/>
          <w:sz w:val="32"/>
          <w:szCs w:val="32"/>
          <w:shd w:val="clear" w:color="auto" w:fill="FFFFFF"/>
        </w:rPr>
      </w:pPr>
      <w:r>
        <w:rPr>
          <w:rFonts w:hint="default" w:ascii="方正楷体_GBK" w:hAnsi="Times New Roman" w:eastAsia="方正楷体_GBK"/>
          <w:bCs/>
          <w:sz w:val="32"/>
          <w:szCs w:val="32"/>
          <w:shd w:val="clear" w:color="auto" w:fill="FFFFFF"/>
        </w:rPr>
        <w:t>（一）预算绩效管理工作开展情况</w:t>
      </w:r>
    </w:p>
    <w:p w14:paraId="6592F7DC">
      <w:pPr>
        <w:rPr>
          <w:rFonts w:hint="default" w:ascii="Times New Roman" w:hAnsi="Times New Roman"/>
        </w:rPr>
      </w:pPr>
      <w:r>
        <w:rPr>
          <w:rFonts w:hint="default" w:ascii="Times New Roman" w:hAnsi="Times New Roman"/>
        </w:rPr>
        <w:t xml:space="preserve"> </w:t>
      </w:r>
      <w:r>
        <w:rPr>
          <w:rFonts w:hint="default"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default" w:ascii="Times New Roman" w:hAnsi="Times New Roman" w:eastAsia="方正仿宋_GBK"/>
          <w:sz w:val="32"/>
          <w:szCs w:val="32"/>
        </w:rPr>
        <w:t>根据预算绩效管理要求，我单位对45个项目开展了绩效自评，其中，以填报自评表形式开展自评45项，涉及资金2658.66万元。</w:t>
      </w:r>
    </w:p>
    <w:p w14:paraId="42F41D60">
      <w:pPr>
        <w:rPr>
          <w:rFonts w:hint="default" w:ascii="方正楷体_GBK" w:hAnsi="Times New Roman" w:eastAsia="方正楷体_GBK"/>
          <w:bCs/>
          <w:sz w:val="32"/>
          <w:szCs w:val="32"/>
          <w:shd w:val="clear" w:color="auto" w:fill="FFFFFF"/>
        </w:rPr>
      </w:pPr>
      <w:r>
        <w:rPr>
          <w:rFonts w:hint="default" w:ascii="方正楷体_GBK" w:hAnsi="Times New Roman" w:eastAsia="方正楷体_GBK"/>
          <w:bCs/>
          <w:sz w:val="32"/>
          <w:szCs w:val="32"/>
          <w:shd w:val="clear" w:color="auto" w:fill="FFFFFF"/>
        </w:rPr>
        <w:t xml:space="preserve"> </w:t>
      </w:r>
      <w:r>
        <w:rPr>
          <w:rFonts w:hint="eastAsia" w:ascii="方正楷体_GBK" w:hAnsi="Times New Roman" w:eastAsia="方正楷体_GBK"/>
          <w:bCs/>
          <w:sz w:val="32"/>
          <w:szCs w:val="32"/>
          <w:shd w:val="clear" w:color="auto" w:fill="FFFFFF"/>
          <w:lang w:val="en-US" w:eastAsia="zh-CN"/>
        </w:rPr>
        <w:t xml:space="preserve">  </w:t>
      </w:r>
      <w:r>
        <w:rPr>
          <w:rFonts w:hint="default" w:ascii="方正楷体_GBK" w:hAnsi="Times New Roman" w:eastAsia="方正楷体_GBK"/>
          <w:bCs/>
          <w:sz w:val="32"/>
          <w:szCs w:val="32"/>
          <w:shd w:val="clear" w:color="auto" w:fill="FFFFFF"/>
        </w:rPr>
        <w:t>（二）绩效自评结果</w:t>
      </w:r>
    </w:p>
    <w:p w14:paraId="721A9124">
      <w:pPr>
        <w:rPr>
          <w:rFonts w:hint="default" w:ascii="Times New Roman" w:hAnsi="Times New Roman" w:eastAsia="方正仿宋_GBK"/>
          <w:sz w:val="32"/>
          <w:szCs w:val="32"/>
        </w:rPr>
      </w:pPr>
      <w:r>
        <w:rPr>
          <w:rFonts w:hint="default" w:ascii="Times New Roman" w:hAnsi="Times New Roman"/>
        </w:rPr>
        <w:t xml:space="preserve"> </w:t>
      </w:r>
      <w:r>
        <w:rPr>
          <w:rFonts w:hint="default"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1.绩效目标自评表。</w:t>
      </w:r>
    </w:p>
    <w:p w14:paraId="7EF81B54">
      <w:pPr>
        <w:ind w:firstLine="645"/>
        <w:rPr>
          <w:rFonts w:hint="default" w:ascii="Times New Roman" w:hAnsi="Times New Roman" w:eastAsia="方正仿宋_GBK"/>
          <w:sz w:val="32"/>
          <w:szCs w:val="32"/>
        </w:rPr>
      </w:pPr>
      <w:r>
        <w:rPr>
          <w:rFonts w:hint="default" w:ascii="Times New Roman" w:hAnsi="Times New Roman" w:eastAsia="方正仿宋_GBK"/>
          <w:sz w:val="32"/>
          <w:szCs w:val="32"/>
        </w:rPr>
        <w:t>（1）部门整体绩效自评表。</w:t>
      </w:r>
    </w:p>
    <w:p w14:paraId="39043042">
      <w:pPr>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详见附件。</w:t>
      </w:r>
    </w:p>
    <w:p w14:paraId="39E71B00">
      <w:pPr>
        <w:rPr>
          <w:rFonts w:hint="default" w:ascii="Times New Roman" w:hAnsi="Times New Roman" w:eastAsia="方正仿宋_GBK"/>
          <w:sz w:val="32"/>
          <w:szCs w:val="32"/>
        </w:rPr>
      </w:pPr>
      <w:r>
        <w:rPr>
          <w:rFonts w:hint="default" w:ascii="Times New Roman" w:hAnsi="Times New Roman" w:eastAsia="方正仿宋_GBK"/>
          <w:sz w:val="32"/>
          <w:szCs w:val="32"/>
        </w:rPr>
        <w:t>　　（2）项目绩效自评表。</w:t>
      </w:r>
    </w:p>
    <w:p w14:paraId="6DEF7BA0">
      <w:pPr>
        <w:rPr>
          <w:rFonts w:hint="default" w:ascii="Times New Roman" w:hAnsi="Times New Roman" w:eastAsia="方正仿宋_GBK"/>
          <w:sz w:val="32"/>
          <w:szCs w:val="32"/>
        </w:rPr>
      </w:pPr>
      <w:r>
        <w:rPr>
          <w:rFonts w:hint="default" w:ascii="Times New Roman" w:hAnsi="Times New Roman" w:eastAsia="方正仿宋_GBK"/>
          <w:sz w:val="32"/>
          <w:szCs w:val="32"/>
        </w:rPr>
        <w:t>　　详见附件。</w:t>
      </w:r>
    </w:p>
    <w:p w14:paraId="4DC06D11">
      <w:pPr>
        <w:rPr>
          <w:rFonts w:hint="default" w:ascii="Times New Roman" w:hAnsi="Times New Roman" w:eastAsia="方正仿宋_GBK"/>
          <w:sz w:val="32"/>
          <w:szCs w:val="32"/>
        </w:rPr>
      </w:pPr>
      <w:r>
        <w:rPr>
          <w:rFonts w:hint="default" w:ascii="Times New Roman" w:hAnsi="Times New Roman" w:eastAsia="方正仿宋_GBK"/>
          <w:sz w:val="32"/>
          <w:szCs w:val="32"/>
        </w:rPr>
        <w:t xml:space="preserve">     2.绩效自评报告或案例</w:t>
      </w:r>
      <w:r>
        <w:rPr>
          <w:rFonts w:hint="default" w:ascii="Times New Roman" w:hAnsi="Times New Roman" w:eastAsia="方正仿宋_GBK"/>
          <w:sz w:val="32"/>
          <w:szCs w:val="32"/>
          <w:lang w:val="en-US" w:eastAsia="zh-CN"/>
        </w:rPr>
        <w:t>。</w:t>
      </w:r>
    </w:p>
    <w:p w14:paraId="32A003A4">
      <w:pPr>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我单位未委托第三方开展绩效评价。</w:t>
      </w:r>
    </w:p>
    <w:p w14:paraId="1DE83A71">
      <w:pPr>
        <w:rPr>
          <w:rFonts w:hint="default" w:ascii="Times New Roman" w:hAnsi="Times New Roman" w:eastAsia="方正仿宋_GBK"/>
          <w:sz w:val="32"/>
          <w:szCs w:val="32"/>
        </w:rPr>
      </w:pPr>
      <w:r>
        <w:rPr>
          <w:rFonts w:hint="default" w:ascii="Times New Roman" w:hAnsi="Times New Roman" w:eastAsia="方正仿宋_GBK"/>
          <w:sz w:val="32"/>
          <w:szCs w:val="32"/>
        </w:rPr>
        <w:t xml:space="preserve">     3.关于绩效自评结果的说明。</w:t>
      </w:r>
    </w:p>
    <w:p w14:paraId="5956E1EF">
      <w:pPr>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我单位对45</w:t>
      </w:r>
      <w:r>
        <w:rPr>
          <w:rFonts w:hint="eastAsia" w:ascii="Times New Roman" w:hAnsi="Times New Roman" w:eastAsia="方正仿宋_GBK"/>
          <w:sz w:val="32"/>
          <w:szCs w:val="32"/>
          <w:lang w:eastAsia="zh-CN"/>
        </w:rPr>
        <w:t>个</w:t>
      </w:r>
      <w:r>
        <w:rPr>
          <w:rFonts w:hint="default" w:ascii="Times New Roman" w:hAnsi="Times New Roman" w:eastAsia="方正仿宋_GBK"/>
          <w:sz w:val="32"/>
          <w:szCs w:val="32"/>
        </w:rPr>
        <w:t>项目进行绩效自评，其中45个已完成年度绩效目标，0个未完成年度绩效目标。</w:t>
      </w:r>
    </w:p>
    <w:p w14:paraId="4DFC3DD3">
      <w:pPr>
        <w:rPr>
          <w:rFonts w:hint="default" w:ascii="Times New Roman" w:hAnsi="Times New Roman" w:eastAsia="方正楷体_GBK"/>
          <w:sz w:val="32"/>
          <w:szCs w:val="32"/>
        </w:rPr>
      </w:pPr>
      <w:r>
        <w:rPr>
          <w:rFonts w:hint="default" w:ascii="Times New Roman" w:hAnsi="Times New Roman"/>
        </w:rPr>
        <w:t xml:space="preserve">    </w:t>
      </w:r>
      <w:r>
        <w:rPr>
          <w:rFonts w:hint="default" w:ascii="Times New Roman" w:hAnsi="Times New Roman" w:eastAsia="方正楷体_GBK"/>
          <w:sz w:val="32"/>
          <w:szCs w:val="32"/>
        </w:rPr>
        <w:t>（三）重点绩效评价结果</w:t>
      </w:r>
    </w:p>
    <w:p w14:paraId="0CA99438">
      <w:pPr>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我单位未开展重点绩效评价。</w:t>
      </w:r>
    </w:p>
    <w:p w14:paraId="3651DF4A">
      <w:pPr>
        <w:pStyle w:val="5"/>
        <w:shd w:val="clear" w:color="auto" w:fill="FFFFFF"/>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  六、专业名词解释</w:t>
      </w:r>
    </w:p>
    <w:p w14:paraId="2C540685">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楷体_GBK" w:hAnsi="Times New Roman" w:eastAsia="方正楷体_GBK"/>
          <w:bCs/>
          <w:sz w:val="32"/>
          <w:szCs w:val="32"/>
          <w:shd w:val="clear" w:color="auto" w:fill="FFFFFF"/>
          <w:lang w:bidi="ar"/>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22CDED3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（二）事业收入</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4AC110F2">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（三）经营收入</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758A55DF">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方正楷体_GBK" w:hAnsi="Times New Roman" w:eastAsia="方正楷体_GBK"/>
          <w:b w:val="0"/>
          <w:sz w:val="32"/>
          <w:szCs w:val="32"/>
          <w:shd w:val="clear" w:color="auto" w:fill="FFFFFF"/>
        </w:rPr>
        <w:t> （四）其他收入</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381302">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方正楷体_GBK" w:hAnsi="Times New Roman" w:eastAsia="方正楷体_GBK"/>
          <w:b w:val="0"/>
          <w:sz w:val="32"/>
          <w:szCs w:val="32"/>
          <w:shd w:val="clear" w:color="auto" w:fill="FFFFFF"/>
        </w:rPr>
        <w:t>（五）使用非财政拨款结余</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24E22F3">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方正楷体_GBK" w:hAnsi="Times New Roman" w:eastAsia="方正楷体_GBK"/>
          <w:b w:val="0"/>
          <w:sz w:val="32"/>
          <w:szCs w:val="32"/>
          <w:shd w:val="clear" w:color="auto" w:fill="FFFFFF"/>
        </w:rPr>
        <w:t> （六）年初结转和结余</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666B84D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方正楷体_GBK" w:hAnsi="Times New Roman" w:eastAsia="方正楷体_GBK"/>
          <w:b w:val="0"/>
          <w:sz w:val="32"/>
          <w:szCs w:val="32"/>
          <w:shd w:val="clear" w:color="auto" w:fill="FFFFFF"/>
        </w:rPr>
        <w:t> （七）结余分配</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663470A3">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方正楷体_GBK" w:hAnsi="Times New Roman" w:eastAsia="方正楷体_GBK"/>
          <w:b w:val="0"/>
          <w:sz w:val="32"/>
          <w:szCs w:val="32"/>
          <w:shd w:val="clear" w:color="auto" w:fill="FFFFFF"/>
        </w:rPr>
        <w:t> （八）年末结转和结余</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指单位结转下年的基本支出结转、项目支出结转和结余、经营结余。</w:t>
      </w:r>
    </w:p>
    <w:p w14:paraId="6F703FDD">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方正楷体_GBK" w:hAnsi="Times New Roman" w:eastAsia="方正楷体_GBK"/>
          <w:sz w:val="32"/>
          <w:szCs w:val="32"/>
          <w:shd w:val="clear" w:color="auto" w:fill="FFFFFF"/>
        </w:rPr>
        <w:t> </w:t>
      </w:r>
      <w:r>
        <w:rPr>
          <w:rStyle w:val="8"/>
          <w:rFonts w:hint="default" w:ascii="方正楷体_GBK" w:hAnsi="Times New Roman" w:eastAsia="方正楷体_GBK"/>
          <w:b w:val="0"/>
          <w:sz w:val="32"/>
          <w:szCs w:val="32"/>
          <w:shd w:val="clear" w:color="auto" w:fill="FFFFFF"/>
        </w:rPr>
        <w:t>（九）基本支出</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5AC59E">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方正楷体_GBK" w:hAnsi="Times New Roman" w:eastAsia="方正楷体_GBK"/>
          <w:b w:val="0"/>
          <w:sz w:val="32"/>
          <w:szCs w:val="32"/>
          <w:shd w:val="clear" w:color="auto" w:fill="FFFFFF"/>
        </w:rPr>
        <w:t> （十）项目支出</w:t>
      </w:r>
      <w:r>
        <w:rPr>
          <w:rStyle w:val="8"/>
          <w:rFonts w:hint="default" w:ascii="方正楷体_GBK" w:eastAsia="方正楷体_GBK"/>
          <w:b w:val="0"/>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288F06C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（十一）经营支出</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3954D8B3">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（十二）“三公”经费</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35DE89">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ascii="方正楷体_GBK" w:hAnsi="Times New Roman" w:eastAsia="方正楷体_GBK"/>
          <w:sz w:val="32"/>
          <w:szCs w:val="32"/>
          <w:shd w:val="clear" w:color="auto" w:fill="FFFFFF"/>
        </w:rPr>
        <w:t> </w:t>
      </w:r>
      <w:r>
        <w:rPr>
          <w:rStyle w:val="8"/>
          <w:rFonts w:ascii="方正楷体_GBK" w:hAnsi="Times New Roman" w:eastAsia="方正楷体_GBK"/>
          <w:b w:val="0"/>
          <w:sz w:val="32"/>
          <w:szCs w:val="32"/>
          <w:shd w:val="clear" w:color="auto" w:fill="FFFFFF"/>
        </w:rPr>
        <w:t>（十三）机关运行经费</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930AA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（十四）工资福利支出（支出经济分类科目类级）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54936C6A">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（十五）商品和服务支出（支出经济分类科目类级）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30A668C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ascii="方正楷体_GBK" w:hAnsi="Times New Roman" w:eastAsia="方正楷体_GBK"/>
          <w:b w:val="0"/>
          <w:sz w:val="32"/>
          <w:szCs w:val="32"/>
          <w:shd w:val="clear" w:color="auto" w:fill="FFFFFF"/>
        </w:rPr>
        <w:t> （十六）对个人和家庭的补助（支出经济分类科目类级）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14:paraId="7E0BA25E">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ascii="方正楷体_GBK" w:hAnsi="Times New Roman" w:eastAsia="方正楷体_GBK"/>
          <w:sz w:val="32"/>
          <w:szCs w:val="32"/>
          <w:shd w:val="clear" w:color="auto" w:fill="FFFFFF"/>
        </w:rPr>
        <w:t> </w:t>
      </w:r>
      <w:r>
        <w:rPr>
          <w:rStyle w:val="8"/>
          <w:rFonts w:ascii="方正楷体_GBK" w:hAnsi="Times New Roman" w:eastAsia="方正楷体_GBK"/>
          <w:b w:val="0"/>
          <w:sz w:val="32"/>
          <w:szCs w:val="32"/>
          <w:shd w:val="clear" w:color="auto" w:fill="FFFFFF"/>
        </w:rPr>
        <w:t>（十七）其他资本性支出（支出经济分类科目类级）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C8F463C">
      <w:pPr>
        <w:pStyle w:val="5"/>
        <w:shd w:val="clear" w:color="auto" w:fill="FFFFFF"/>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  七、决算公开联系方式及信息反馈渠道</w:t>
      </w:r>
    </w:p>
    <w:p w14:paraId="2A572288">
      <w:pPr>
        <w:pStyle w:val="12"/>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w:t>
      </w:r>
      <w:bookmarkStart w:id="0" w:name="_GoBack"/>
      <w:bookmarkEnd w:id="0"/>
      <w:r>
        <w:rPr>
          <w:rFonts w:hint="default" w:ascii="Times New Roman" w:hAnsi="Times New Roman" w:eastAsia="方正仿宋_GBK"/>
          <w:sz w:val="32"/>
          <w:szCs w:val="32"/>
          <w:shd w:val="clear" w:color="auto" w:fill="FFFFFF"/>
        </w:rPr>
        <w:t>黄山花023-45360309”</w:t>
      </w:r>
    </w:p>
    <w:p w14:paraId="60DBE72C">
      <w:pPr>
        <w:pStyle w:val="12"/>
        <w:snapToGrid w:val="0"/>
        <w:spacing w:before="0" w:beforeAutospacing="0" w:after="0" w:afterAutospacing="0" w:line="600" w:lineRule="exact"/>
        <w:ind w:firstLine="480" w:firstLineChars="200"/>
        <w:jc w:val="both"/>
        <w:rPr>
          <w:rFonts w:hint="default"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40376F"/>
    <w:rsid w:val="00012814"/>
    <w:rsid w:val="00124B04"/>
    <w:rsid w:val="0017144E"/>
    <w:rsid w:val="002E7E31"/>
    <w:rsid w:val="00312772"/>
    <w:rsid w:val="003242F3"/>
    <w:rsid w:val="0037758E"/>
    <w:rsid w:val="00392BCB"/>
    <w:rsid w:val="003D3679"/>
    <w:rsid w:val="003E04A7"/>
    <w:rsid w:val="0040298C"/>
    <w:rsid w:val="0040376F"/>
    <w:rsid w:val="00433F90"/>
    <w:rsid w:val="00482CD8"/>
    <w:rsid w:val="004C28C4"/>
    <w:rsid w:val="004E260C"/>
    <w:rsid w:val="004F0E0B"/>
    <w:rsid w:val="00523D91"/>
    <w:rsid w:val="005414F8"/>
    <w:rsid w:val="00541A04"/>
    <w:rsid w:val="005C45AC"/>
    <w:rsid w:val="00615B45"/>
    <w:rsid w:val="00712D36"/>
    <w:rsid w:val="00813A19"/>
    <w:rsid w:val="008318FE"/>
    <w:rsid w:val="008472EB"/>
    <w:rsid w:val="00866685"/>
    <w:rsid w:val="00870844"/>
    <w:rsid w:val="009370F0"/>
    <w:rsid w:val="009C2133"/>
    <w:rsid w:val="00A656CB"/>
    <w:rsid w:val="00A92883"/>
    <w:rsid w:val="00AA256D"/>
    <w:rsid w:val="00BE1B73"/>
    <w:rsid w:val="00BE64AC"/>
    <w:rsid w:val="00C81B95"/>
    <w:rsid w:val="00CE550D"/>
    <w:rsid w:val="00D47C61"/>
    <w:rsid w:val="00D64C0B"/>
    <w:rsid w:val="00E278F7"/>
    <w:rsid w:val="00E45F68"/>
    <w:rsid w:val="00EA4ED1"/>
    <w:rsid w:val="00EB0F37"/>
    <w:rsid w:val="00EB6059"/>
    <w:rsid w:val="00EF526B"/>
    <w:rsid w:val="00F311CA"/>
    <w:rsid w:val="00F66D06"/>
    <w:rsid w:val="00FB27FC"/>
    <w:rsid w:val="02AF2B6A"/>
    <w:rsid w:val="0CDD2A52"/>
    <w:rsid w:val="0D24767F"/>
    <w:rsid w:val="10E904CB"/>
    <w:rsid w:val="1B672584"/>
    <w:rsid w:val="2A981479"/>
    <w:rsid w:val="2D1C387A"/>
    <w:rsid w:val="2FCB3B39"/>
    <w:rsid w:val="358B1E03"/>
    <w:rsid w:val="35E34777"/>
    <w:rsid w:val="3EB912C4"/>
    <w:rsid w:val="42143C78"/>
    <w:rsid w:val="421A4855"/>
    <w:rsid w:val="4911055A"/>
    <w:rsid w:val="4A211D2D"/>
    <w:rsid w:val="4C49391D"/>
    <w:rsid w:val="4FBA68B3"/>
    <w:rsid w:val="4FBC0AE8"/>
    <w:rsid w:val="50295FED"/>
    <w:rsid w:val="54C60377"/>
    <w:rsid w:val="567B2B25"/>
    <w:rsid w:val="5A0E7CED"/>
    <w:rsid w:val="5E14754F"/>
    <w:rsid w:val="601E18C0"/>
    <w:rsid w:val="6049200C"/>
    <w:rsid w:val="65120C65"/>
    <w:rsid w:val="667F66ED"/>
    <w:rsid w:val="682021F8"/>
    <w:rsid w:val="690254B6"/>
    <w:rsid w:val="6AA9520C"/>
    <w:rsid w:val="6BB22A33"/>
    <w:rsid w:val="6E702150"/>
    <w:rsid w:val="7816139E"/>
    <w:rsid w:val="7AD128D4"/>
    <w:rsid w:val="7FF6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22"/>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100" w:beforeAutospacing="1" w:after="100" w:afterAutospacing="1"/>
    </w:pPr>
  </w:style>
  <w:style w:type="character" w:customStyle="1" w:styleId="13">
    <w:name w:val="页眉 Char"/>
    <w:basedOn w:val="7"/>
    <w:link w:val="3"/>
    <w:qFormat/>
    <w:uiPriority w:val="0"/>
    <w:rPr>
      <w:rFonts w:ascii="宋体" w:hAnsi="宋体"/>
      <w:sz w:val="18"/>
      <w:szCs w:val="18"/>
    </w:rPr>
  </w:style>
  <w:style w:type="character" w:customStyle="1" w:styleId="14">
    <w:name w:val="页脚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5820</Words>
  <Characters>6607</Characters>
  <Lines>47</Lines>
  <Paragraphs>13</Paragraphs>
  <TotalTime>171</TotalTime>
  <ScaleCrop>false</ScaleCrop>
  <LinksUpToDate>false</LinksUpToDate>
  <CharactersWithSpaces>6673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2024-10-17T08:28:00Z</dcterms:created>
  <dc:creator>hp99</dc:creator>
  <cp:lastModifiedBy>。</cp:lastModifiedBy>
  <dcterms:modified xsi:type="dcterms:W3CDTF">2024-10-30T08:00:17Z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F30564DDF6F44B8AA14B5CA93CD33771_12</vt:lpwstr>
  </property>
</Properties>
</file>