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042A7">
      <w:pPr>
        <w:pStyle w:val="19"/>
        <w:snapToGrid w:val="0"/>
        <w:spacing w:line="480" w:lineRule="auto"/>
        <w:ind w:left="31" w:leftChars="15" w:right="0" w:firstLine="0" w:firstLineChars="0"/>
        <w:jc w:val="center"/>
        <w:rPr>
          <w:rFonts w:hint="eastAsia" w:ascii="宋体" w:hAnsi="宋体" w:eastAsia="宋体"/>
          <w:b/>
          <w:color w:val="auto"/>
          <w:sz w:val="48"/>
          <w:szCs w:val="48"/>
          <w:highlight w:val="none"/>
        </w:rPr>
      </w:pPr>
    </w:p>
    <w:p w14:paraId="3D0F7CCC">
      <w:pPr>
        <w:jc w:val="both"/>
        <w:rPr>
          <w:rFonts w:ascii="宋体" w:hAnsi="宋体"/>
          <w:b/>
          <w:color w:val="auto"/>
          <w:sz w:val="44"/>
          <w:szCs w:val="44"/>
          <w:highlight w:val="none"/>
        </w:rPr>
      </w:pPr>
      <w:bookmarkStart w:id="0" w:name="_Toc287620665"/>
    </w:p>
    <w:p w14:paraId="4C0595D6">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lang w:val="zh-CN"/>
        </w:rPr>
        <w:t>铜梁区土桥镇黄沙村党群服务中心新建项目</w:t>
      </w:r>
    </w:p>
    <w:p w14:paraId="0586BFC1">
      <w:pPr>
        <w:autoSpaceDE w:val="0"/>
        <w:autoSpaceDN w:val="0"/>
        <w:adjustRightInd w:val="0"/>
        <w:snapToGrid w:val="0"/>
        <w:spacing w:line="360" w:lineRule="auto"/>
        <w:jc w:val="left"/>
        <w:rPr>
          <w:rFonts w:ascii="宋体" w:hAnsi="宋体"/>
          <w:color w:val="auto"/>
          <w:kern w:val="0"/>
          <w:sz w:val="20"/>
          <w:szCs w:val="20"/>
          <w:highlight w:val="none"/>
        </w:rPr>
      </w:pPr>
    </w:p>
    <w:p w14:paraId="2F4CBB81">
      <w:pPr>
        <w:autoSpaceDE w:val="0"/>
        <w:autoSpaceDN w:val="0"/>
        <w:adjustRightInd w:val="0"/>
        <w:snapToGrid w:val="0"/>
        <w:spacing w:line="360" w:lineRule="auto"/>
        <w:jc w:val="left"/>
        <w:rPr>
          <w:rFonts w:ascii="宋体" w:hAnsi="宋体"/>
          <w:color w:val="auto"/>
          <w:kern w:val="0"/>
          <w:sz w:val="20"/>
          <w:szCs w:val="20"/>
          <w:highlight w:val="none"/>
        </w:rPr>
      </w:pPr>
    </w:p>
    <w:p w14:paraId="4895BEFE">
      <w:pPr>
        <w:autoSpaceDE w:val="0"/>
        <w:autoSpaceDN w:val="0"/>
        <w:adjustRightInd w:val="0"/>
        <w:snapToGrid w:val="0"/>
        <w:spacing w:line="360" w:lineRule="auto"/>
        <w:jc w:val="left"/>
        <w:rPr>
          <w:rFonts w:ascii="宋体" w:hAnsi="宋体"/>
          <w:color w:val="auto"/>
          <w:kern w:val="0"/>
          <w:sz w:val="20"/>
          <w:szCs w:val="20"/>
          <w:highlight w:val="none"/>
        </w:rPr>
      </w:pPr>
    </w:p>
    <w:p w14:paraId="11842F41">
      <w:pPr>
        <w:autoSpaceDE w:val="0"/>
        <w:autoSpaceDN w:val="0"/>
        <w:adjustRightInd w:val="0"/>
        <w:snapToGrid w:val="0"/>
        <w:spacing w:line="360" w:lineRule="auto"/>
        <w:jc w:val="left"/>
        <w:rPr>
          <w:rFonts w:ascii="宋体" w:hAnsi="宋体"/>
          <w:color w:val="auto"/>
          <w:kern w:val="0"/>
          <w:sz w:val="20"/>
          <w:szCs w:val="20"/>
          <w:highlight w:val="none"/>
        </w:rPr>
      </w:pPr>
    </w:p>
    <w:p w14:paraId="4EACB265">
      <w:pPr>
        <w:autoSpaceDE w:val="0"/>
        <w:autoSpaceDN w:val="0"/>
        <w:adjustRightInd w:val="0"/>
        <w:snapToGrid w:val="0"/>
        <w:spacing w:line="360" w:lineRule="auto"/>
        <w:jc w:val="left"/>
        <w:rPr>
          <w:rFonts w:ascii="宋体" w:hAnsi="宋体"/>
          <w:color w:val="auto"/>
          <w:kern w:val="0"/>
          <w:sz w:val="20"/>
          <w:szCs w:val="20"/>
          <w:highlight w:val="none"/>
        </w:rPr>
      </w:pPr>
    </w:p>
    <w:p w14:paraId="705A423A">
      <w:pPr>
        <w:autoSpaceDE w:val="0"/>
        <w:autoSpaceDN w:val="0"/>
        <w:adjustRightInd w:val="0"/>
        <w:snapToGrid w:val="0"/>
        <w:spacing w:line="360" w:lineRule="auto"/>
        <w:jc w:val="left"/>
        <w:rPr>
          <w:rFonts w:ascii="宋体" w:hAnsi="宋体"/>
          <w:color w:val="auto"/>
          <w:kern w:val="0"/>
          <w:sz w:val="20"/>
          <w:szCs w:val="20"/>
          <w:highlight w:val="none"/>
        </w:rPr>
      </w:pPr>
    </w:p>
    <w:p w14:paraId="754C2080">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lang w:eastAsia="zh-CN"/>
        </w:rPr>
        <w:t>竞</w:t>
      </w:r>
      <w:r>
        <w:rPr>
          <w:rFonts w:hint="eastAsia" w:ascii="宋体" w:hAnsi="宋体"/>
          <w:color w:val="auto"/>
          <w:kern w:val="0"/>
          <w:sz w:val="72"/>
          <w:szCs w:val="72"/>
          <w:highlight w:val="none"/>
          <w:lang w:val="en-US" w:eastAsia="zh-CN"/>
        </w:rPr>
        <w:t xml:space="preserve"> </w:t>
      </w:r>
      <w:r>
        <w:rPr>
          <w:rFonts w:hint="eastAsia" w:ascii="宋体" w:hAnsi="宋体"/>
          <w:color w:val="auto"/>
          <w:kern w:val="0"/>
          <w:sz w:val="72"/>
          <w:szCs w:val="72"/>
          <w:highlight w:val="none"/>
          <w:lang w:eastAsia="zh-CN"/>
        </w:rPr>
        <w:t>争</w:t>
      </w:r>
      <w:r>
        <w:rPr>
          <w:rFonts w:hint="eastAsia" w:ascii="宋体" w:hAnsi="宋体"/>
          <w:color w:val="auto"/>
          <w:kern w:val="0"/>
          <w:sz w:val="72"/>
          <w:szCs w:val="72"/>
          <w:highlight w:val="none"/>
          <w:lang w:val="en-US" w:eastAsia="zh-CN"/>
        </w:rPr>
        <w:t xml:space="preserve"> </w:t>
      </w:r>
      <w:r>
        <w:rPr>
          <w:rFonts w:hint="eastAsia" w:ascii="宋体" w:hAnsi="宋体"/>
          <w:color w:val="auto"/>
          <w:kern w:val="0"/>
          <w:sz w:val="72"/>
          <w:szCs w:val="72"/>
          <w:highlight w:val="none"/>
          <w:lang w:eastAsia="zh-CN"/>
        </w:rPr>
        <w:t>性</w:t>
      </w:r>
      <w:r>
        <w:rPr>
          <w:rFonts w:hint="eastAsia" w:ascii="宋体" w:hAnsi="宋体"/>
          <w:color w:val="auto"/>
          <w:kern w:val="0"/>
          <w:sz w:val="72"/>
          <w:szCs w:val="72"/>
          <w:highlight w:val="none"/>
          <w:lang w:val="en-US" w:eastAsia="zh-CN"/>
        </w:rPr>
        <w:t xml:space="preserve"> </w:t>
      </w:r>
      <w:r>
        <w:rPr>
          <w:rFonts w:hint="eastAsia" w:ascii="宋体" w:hAnsi="宋体"/>
          <w:color w:val="auto"/>
          <w:kern w:val="0"/>
          <w:sz w:val="72"/>
          <w:szCs w:val="72"/>
          <w:highlight w:val="none"/>
          <w:lang w:eastAsia="zh-CN"/>
        </w:rPr>
        <w:t>比</w:t>
      </w:r>
      <w:r>
        <w:rPr>
          <w:rFonts w:hint="eastAsia" w:ascii="宋体" w:hAnsi="宋体"/>
          <w:color w:val="auto"/>
          <w:kern w:val="0"/>
          <w:sz w:val="72"/>
          <w:szCs w:val="72"/>
          <w:highlight w:val="none"/>
          <w:lang w:val="en-US" w:eastAsia="zh-CN"/>
        </w:rPr>
        <w:t xml:space="preserve"> </w:t>
      </w:r>
      <w:r>
        <w:rPr>
          <w:rFonts w:hint="eastAsia" w:ascii="宋体" w:hAnsi="宋体"/>
          <w:color w:val="auto"/>
          <w:kern w:val="0"/>
          <w:sz w:val="72"/>
          <w:szCs w:val="72"/>
          <w:highlight w:val="none"/>
          <w:lang w:eastAsia="zh-CN"/>
        </w:rPr>
        <w:t>选</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14:paraId="765788A3">
      <w:pPr>
        <w:autoSpaceDE w:val="0"/>
        <w:autoSpaceDN w:val="0"/>
        <w:adjustRightInd w:val="0"/>
        <w:snapToGrid w:val="0"/>
        <w:spacing w:line="360" w:lineRule="auto"/>
        <w:jc w:val="left"/>
        <w:rPr>
          <w:rFonts w:ascii="宋体" w:hAnsi="宋体"/>
          <w:color w:val="auto"/>
          <w:kern w:val="0"/>
          <w:sz w:val="10"/>
          <w:szCs w:val="10"/>
          <w:highlight w:val="none"/>
        </w:rPr>
      </w:pPr>
    </w:p>
    <w:p w14:paraId="342E490B">
      <w:pPr>
        <w:autoSpaceDE w:val="0"/>
        <w:autoSpaceDN w:val="0"/>
        <w:adjustRightInd w:val="0"/>
        <w:snapToGrid w:val="0"/>
        <w:spacing w:line="360" w:lineRule="auto"/>
        <w:jc w:val="left"/>
        <w:rPr>
          <w:rFonts w:ascii="宋体" w:hAnsi="宋体"/>
          <w:color w:val="auto"/>
          <w:kern w:val="0"/>
          <w:sz w:val="20"/>
          <w:szCs w:val="20"/>
          <w:highlight w:val="none"/>
        </w:rPr>
      </w:pPr>
    </w:p>
    <w:p w14:paraId="4BB991D4">
      <w:pPr>
        <w:autoSpaceDE w:val="0"/>
        <w:autoSpaceDN w:val="0"/>
        <w:adjustRightInd w:val="0"/>
        <w:snapToGrid w:val="0"/>
        <w:spacing w:line="360" w:lineRule="auto"/>
        <w:jc w:val="left"/>
        <w:rPr>
          <w:rFonts w:ascii="宋体" w:hAnsi="宋体"/>
          <w:color w:val="auto"/>
          <w:kern w:val="0"/>
          <w:sz w:val="20"/>
          <w:szCs w:val="20"/>
          <w:highlight w:val="none"/>
        </w:rPr>
      </w:pPr>
    </w:p>
    <w:p w14:paraId="7D0D60D1">
      <w:pPr>
        <w:autoSpaceDE w:val="0"/>
        <w:autoSpaceDN w:val="0"/>
        <w:adjustRightInd w:val="0"/>
        <w:snapToGrid w:val="0"/>
        <w:spacing w:line="360" w:lineRule="auto"/>
        <w:jc w:val="left"/>
        <w:rPr>
          <w:rFonts w:ascii="宋体" w:hAnsi="宋体"/>
          <w:color w:val="auto"/>
          <w:kern w:val="0"/>
          <w:sz w:val="20"/>
          <w:szCs w:val="20"/>
          <w:highlight w:val="none"/>
        </w:rPr>
      </w:pPr>
    </w:p>
    <w:p w14:paraId="13F575FE">
      <w:pPr>
        <w:autoSpaceDE w:val="0"/>
        <w:autoSpaceDN w:val="0"/>
        <w:adjustRightInd w:val="0"/>
        <w:snapToGrid w:val="0"/>
        <w:spacing w:line="360" w:lineRule="auto"/>
        <w:jc w:val="left"/>
        <w:rPr>
          <w:rFonts w:ascii="宋体" w:hAnsi="宋体"/>
          <w:color w:val="auto"/>
          <w:kern w:val="0"/>
          <w:sz w:val="20"/>
          <w:szCs w:val="20"/>
          <w:highlight w:val="none"/>
        </w:rPr>
      </w:pPr>
    </w:p>
    <w:p w14:paraId="6C21A7A5">
      <w:pPr>
        <w:autoSpaceDE w:val="0"/>
        <w:autoSpaceDN w:val="0"/>
        <w:adjustRightInd w:val="0"/>
        <w:snapToGrid w:val="0"/>
        <w:spacing w:line="360" w:lineRule="auto"/>
        <w:jc w:val="left"/>
        <w:rPr>
          <w:rFonts w:ascii="宋体" w:hAnsi="宋体"/>
          <w:color w:val="auto"/>
          <w:kern w:val="0"/>
          <w:sz w:val="20"/>
          <w:szCs w:val="20"/>
          <w:highlight w:val="none"/>
        </w:rPr>
      </w:pPr>
    </w:p>
    <w:p w14:paraId="232873CD">
      <w:pPr>
        <w:autoSpaceDE w:val="0"/>
        <w:autoSpaceDN w:val="0"/>
        <w:adjustRightInd w:val="0"/>
        <w:snapToGrid w:val="0"/>
        <w:spacing w:line="360" w:lineRule="auto"/>
        <w:jc w:val="left"/>
        <w:rPr>
          <w:rFonts w:hint="eastAsia" w:ascii="宋体" w:hAnsi="宋体"/>
          <w:color w:val="auto"/>
          <w:kern w:val="0"/>
          <w:sz w:val="20"/>
          <w:szCs w:val="20"/>
          <w:highlight w:val="none"/>
        </w:rPr>
      </w:pPr>
    </w:p>
    <w:p w14:paraId="6A5BAD3B">
      <w:pPr>
        <w:autoSpaceDE w:val="0"/>
        <w:autoSpaceDN w:val="0"/>
        <w:adjustRightInd w:val="0"/>
        <w:snapToGrid w:val="0"/>
        <w:spacing w:line="360" w:lineRule="auto"/>
        <w:jc w:val="left"/>
        <w:rPr>
          <w:rFonts w:hint="eastAsia" w:ascii="宋体" w:hAnsi="宋体"/>
          <w:color w:val="auto"/>
          <w:kern w:val="0"/>
          <w:sz w:val="20"/>
          <w:szCs w:val="20"/>
          <w:highlight w:val="none"/>
        </w:rPr>
      </w:pPr>
    </w:p>
    <w:p w14:paraId="719061C2">
      <w:pPr>
        <w:autoSpaceDE w:val="0"/>
        <w:autoSpaceDN w:val="0"/>
        <w:adjustRightInd w:val="0"/>
        <w:snapToGrid w:val="0"/>
        <w:spacing w:line="360" w:lineRule="auto"/>
        <w:jc w:val="left"/>
        <w:rPr>
          <w:rFonts w:hint="eastAsia" w:ascii="宋体" w:hAnsi="宋体"/>
          <w:color w:val="auto"/>
          <w:kern w:val="0"/>
          <w:sz w:val="20"/>
          <w:szCs w:val="20"/>
          <w:highlight w:val="none"/>
        </w:rPr>
      </w:pPr>
    </w:p>
    <w:p w14:paraId="1633F18B">
      <w:pPr>
        <w:autoSpaceDE w:val="0"/>
        <w:autoSpaceDN w:val="0"/>
        <w:adjustRightInd w:val="0"/>
        <w:snapToGrid w:val="0"/>
        <w:spacing w:line="360" w:lineRule="auto"/>
        <w:rPr>
          <w:rFonts w:hint="eastAsia" w:ascii="宋体" w:hAnsi="宋体"/>
          <w:color w:val="auto"/>
          <w:kern w:val="0"/>
          <w:sz w:val="20"/>
          <w:szCs w:val="20"/>
          <w:highlight w:val="none"/>
        </w:rPr>
      </w:pPr>
    </w:p>
    <w:p w14:paraId="3BF7009C">
      <w:pPr>
        <w:autoSpaceDE w:val="0"/>
        <w:autoSpaceDN w:val="0"/>
        <w:adjustRightInd w:val="0"/>
        <w:snapToGrid w:val="0"/>
        <w:spacing w:line="360" w:lineRule="auto"/>
        <w:rPr>
          <w:rFonts w:hint="eastAsia" w:ascii="宋体" w:hAnsi="宋体"/>
          <w:color w:val="auto"/>
          <w:kern w:val="0"/>
          <w:sz w:val="20"/>
          <w:szCs w:val="20"/>
          <w:highlight w:val="none"/>
        </w:rPr>
      </w:pPr>
    </w:p>
    <w:p w14:paraId="0EA4127C">
      <w:pPr>
        <w:autoSpaceDE w:val="0"/>
        <w:autoSpaceDN w:val="0"/>
        <w:adjustRightInd w:val="0"/>
        <w:snapToGrid w:val="0"/>
        <w:spacing w:line="360" w:lineRule="auto"/>
        <w:rPr>
          <w:rFonts w:ascii="宋体" w:hAnsi="宋体"/>
          <w:color w:val="auto"/>
          <w:kern w:val="0"/>
          <w:sz w:val="20"/>
          <w:szCs w:val="20"/>
          <w:highlight w:val="none"/>
        </w:rPr>
      </w:pPr>
    </w:p>
    <w:p w14:paraId="68FF277C">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hint="eastAsia" w:ascii="宋体" w:hAnsi="宋体"/>
          <w:b/>
          <w:color w:val="auto"/>
          <w:w w:val="99"/>
          <w:kern w:val="0"/>
          <w:sz w:val="28"/>
          <w:szCs w:val="28"/>
          <w:highlight w:val="none"/>
          <w:lang w:eastAsia="zh-CN"/>
        </w:rPr>
        <w:t>比</w:t>
      </w:r>
      <w:r>
        <w:rPr>
          <w:rFonts w:hint="eastAsia" w:ascii="宋体" w:hAnsi="宋体"/>
          <w:b/>
          <w:color w:val="auto"/>
          <w:w w:val="99"/>
          <w:kern w:val="0"/>
          <w:sz w:val="28"/>
          <w:szCs w:val="28"/>
          <w:highlight w:val="none"/>
          <w:lang w:val="en-US" w:eastAsia="zh-CN"/>
        </w:rPr>
        <w:t xml:space="preserve">   </w:t>
      </w:r>
      <w:r>
        <w:rPr>
          <w:rFonts w:hint="eastAsia" w:ascii="宋体" w:hAnsi="宋体"/>
          <w:b/>
          <w:color w:val="auto"/>
          <w:w w:val="99"/>
          <w:kern w:val="0"/>
          <w:sz w:val="28"/>
          <w:szCs w:val="28"/>
          <w:highlight w:val="none"/>
          <w:lang w:eastAsia="zh-CN"/>
        </w:rPr>
        <w:t>选</w:t>
      </w:r>
      <w:r>
        <w:rPr>
          <w:rFonts w:ascii="宋体" w:hAnsi="宋体"/>
          <w:b/>
          <w:color w:val="auto"/>
          <w:w w:val="99"/>
          <w:kern w:val="0"/>
          <w:sz w:val="28"/>
          <w:szCs w:val="28"/>
          <w:highlight w:val="none"/>
        </w:rPr>
        <w:t>　 人：</w:t>
      </w:r>
      <w:r>
        <w:rPr>
          <w:rFonts w:hint="eastAsia" w:ascii="宋体" w:hAnsi="宋体"/>
          <w:b/>
          <w:color w:val="auto"/>
          <w:w w:val="99"/>
          <w:kern w:val="0"/>
          <w:sz w:val="28"/>
          <w:szCs w:val="28"/>
          <w:highlight w:val="none"/>
          <w:u w:val="single"/>
          <w:lang w:val="zh-CN"/>
        </w:rPr>
        <w:t>重庆市铜梁区土桥镇人民政府</w:t>
      </w:r>
      <w:r>
        <w:rPr>
          <w:rFonts w:ascii="宋体" w:hAnsi="宋体"/>
          <w:b/>
          <w:color w:val="auto"/>
          <w:w w:val="99"/>
          <w:kern w:val="0"/>
          <w:sz w:val="28"/>
          <w:szCs w:val="28"/>
          <w:highlight w:val="none"/>
        </w:rPr>
        <w:t>（盖单位法人章）</w:t>
      </w:r>
    </w:p>
    <w:p w14:paraId="76D43293">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hint="eastAsia" w:ascii="宋体" w:hAnsi="宋体"/>
          <w:b/>
          <w:color w:val="auto"/>
          <w:w w:val="99"/>
          <w:kern w:val="0"/>
          <w:sz w:val="28"/>
          <w:szCs w:val="28"/>
          <w:highlight w:val="none"/>
          <w:lang w:eastAsia="zh-CN"/>
        </w:rPr>
        <w:t>比选</w:t>
      </w:r>
      <w:r>
        <w:rPr>
          <w:rFonts w:ascii="宋体" w:hAnsi="宋体"/>
          <w:b/>
          <w:color w:val="auto"/>
          <w:w w:val="99"/>
          <w:kern w:val="0"/>
          <w:sz w:val="28"/>
          <w:szCs w:val="28"/>
          <w:highlight w:val="none"/>
        </w:rPr>
        <w:t>代理机构：</w:t>
      </w:r>
      <w:r>
        <w:rPr>
          <w:rFonts w:hint="eastAsia" w:ascii="宋体" w:hAnsi="宋体"/>
          <w:b/>
          <w:color w:val="auto"/>
          <w:w w:val="99"/>
          <w:kern w:val="0"/>
          <w:sz w:val="28"/>
          <w:szCs w:val="28"/>
          <w:highlight w:val="none"/>
          <w:u w:val="single"/>
          <w:lang w:eastAsia="zh-CN"/>
        </w:rPr>
        <w:t>重庆源锦工程咨询有限公司</w:t>
      </w:r>
      <w:r>
        <w:rPr>
          <w:rFonts w:ascii="宋体" w:hAnsi="宋体"/>
          <w:b/>
          <w:color w:val="auto"/>
          <w:w w:val="99"/>
          <w:kern w:val="0"/>
          <w:sz w:val="28"/>
          <w:szCs w:val="28"/>
          <w:highlight w:val="none"/>
        </w:rPr>
        <w:t>（盖单位法人章）</w:t>
      </w:r>
    </w:p>
    <w:p w14:paraId="281291B3">
      <w:pPr>
        <w:autoSpaceDE w:val="0"/>
        <w:autoSpaceDN w:val="0"/>
        <w:adjustRightInd w:val="0"/>
        <w:snapToGrid w:val="0"/>
        <w:spacing w:line="360" w:lineRule="auto"/>
        <w:jc w:val="center"/>
        <w:rPr>
          <w:rFonts w:ascii="宋体" w:hAnsi="宋体"/>
          <w:b/>
          <w:color w:val="auto"/>
          <w:kern w:val="0"/>
          <w:sz w:val="20"/>
          <w:szCs w:val="20"/>
          <w:highlight w:val="none"/>
        </w:rPr>
      </w:pPr>
    </w:p>
    <w:p w14:paraId="738968AD">
      <w:pPr>
        <w:autoSpaceDE w:val="0"/>
        <w:autoSpaceDN w:val="0"/>
        <w:adjustRightInd w:val="0"/>
        <w:snapToGrid w:val="0"/>
        <w:spacing w:line="360" w:lineRule="auto"/>
        <w:jc w:val="center"/>
        <w:rPr>
          <w:rFonts w:ascii="宋体" w:hAnsi="宋体"/>
          <w:b/>
          <w:color w:val="auto"/>
          <w:kern w:val="0"/>
          <w:sz w:val="28"/>
          <w:szCs w:val="28"/>
          <w:highlight w:val="none"/>
        </w:rPr>
      </w:pPr>
    </w:p>
    <w:p w14:paraId="6647AA86">
      <w:pPr>
        <w:autoSpaceDE w:val="0"/>
        <w:autoSpaceDN w:val="0"/>
        <w:adjustRightInd w:val="0"/>
        <w:snapToGrid w:val="0"/>
        <w:spacing w:line="360" w:lineRule="auto"/>
        <w:rPr>
          <w:rFonts w:ascii="宋体" w:hAnsi="宋体"/>
          <w:b/>
          <w:color w:val="auto"/>
          <w:kern w:val="0"/>
          <w:sz w:val="20"/>
          <w:szCs w:val="20"/>
          <w:highlight w:val="none"/>
        </w:rPr>
      </w:pPr>
    </w:p>
    <w:p w14:paraId="0BAF03BB">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bookmarkStart w:id="1" w:name="_Toc13210649"/>
      <w:bookmarkStart w:id="2" w:name="_Toc536797277"/>
      <w:bookmarkStart w:id="3" w:name="_Toc509218549"/>
      <w:bookmarkStart w:id="4" w:name="_Toc536621766"/>
      <w:bookmarkStart w:id="5" w:name="_Toc536796736"/>
      <w:r>
        <w:rPr>
          <w:rFonts w:hint="eastAsia" w:ascii="宋体" w:hAnsi="宋体"/>
          <w:b/>
          <w:color w:val="auto"/>
          <w:spacing w:val="8"/>
          <w:kern w:val="0"/>
          <w:sz w:val="28"/>
          <w:szCs w:val="28"/>
          <w:highlight w:val="none"/>
          <w:u w:val="single"/>
          <w:lang w:val="en-US" w:eastAsia="zh-CN"/>
        </w:rPr>
        <w:t>2024</w:t>
      </w:r>
      <w:r>
        <w:rPr>
          <w:rFonts w:ascii="宋体" w:hAnsi="宋体"/>
          <w:b/>
          <w:color w:val="auto"/>
          <w:spacing w:val="8"/>
          <w:kern w:val="0"/>
          <w:sz w:val="28"/>
          <w:szCs w:val="28"/>
          <w:highlight w:val="none"/>
        </w:rPr>
        <w:t>年</w:t>
      </w:r>
      <w:r>
        <w:rPr>
          <w:rFonts w:hint="eastAsia" w:ascii="宋体" w:hAnsi="宋体"/>
          <w:b/>
          <w:color w:val="auto"/>
          <w:spacing w:val="8"/>
          <w:kern w:val="0"/>
          <w:sz w:val="28"/>
          <w:szCs w:val="28"/>
          <w:highlight w:val="none"/>
          <w:u w:val="single"/>
          <w:lang w:val="en-US" w:eastAsia="zh-CN"/>
        </w:rPr>
        <w:t>11</w:t>
      </w:r>
      <w:r>
        <w:rPr>
          <w:rFonts w:ascii="宋体" w:hAnsi="宋体"/>
          <w:b/>
          <w:color w:val="auto"/>
          <w:spacing w:val="8"/>
          <w:kern w:val="0"/>
          <w:sz w:val="28"/>
          <w:szCs w:val="28"/>
          <w:highlight w:val="none"/>
        </w:rPr>
        <w:t>月</w:t>
      </w:r>
      <w:bookmarkEnd w:id="1"/>
      <w:bookmarkEnd w:id="2"/>
      <w:bookmarkEnd w:id="3"/>
      <w:bookmarkEnd w:id="4"/>
      <w:bookmarkEnd w:id="5"/>
    </w:p>
    <w:p w14:paraId="726E787F">
      <w:pPr>
        <w:pStyle w:val="3"/>
        <w:spacing w:line="360" w:lineRule="auto"/>
        <w:jc w:val="center"/>
        <w:rPr>
          <w:rFonts w:hint="eastAsia" w:ascii="宋体" w:hAnsi="宋体"/>
          <w:color w:val="auto"/>
          <w:w w:val="99"/>
          <w:kern w:val="0"/>
          <w:sz w:val="24"/>
          <w:highlight w:val="none"/>
        </w:rPr>
        <w:sectPr>
          <w:headerReference r:id="rId4" w:type="default"/>
          <w:footerReference r:id="rId5" w:type="default"/>
          <w:pgSz w:w="11907" w:h="16840"/>
          <w:pgMar w:top="1304" w:right="1134" w:bottom="1304" w:left="1304" w:header="851" w:footer="992" w:gutter="0"/>
          <w:pgNumType w:fmt="numberInDash" w:start="1"/>
          <w:cols w:space="720" w:num="1"/>
          <w:docGrid w:linePitch="312" w:charSpace="0"/>
        </w:sectPr>
      </w:pPr>
    </w:p>
    <w:p w14:paraId="233C185D">
      <w:pPr>
        <w:pStyle w:val="119"/>
        <w:jc w:val="center"/>
        <w:rPr>
          <w:rFonts w:ascii="宋体" w:hAnsi="宋体"/>
          <w:i w:val="0"/>
          <w:iCs w:val="0"/>
          <w:color w:val="auto"/>
          <w:sz w:val="44"/>
          <w:szCs w:val="44"/>
          <w:highlight w:val="none"/>
          <w:u w:val="none"/>
        </w:rPr>
      </w:pPr>
      <w:bookmarkStart w:id="6" w:name="_Toc5767"/>
      <w:bookmarkStart w:id="7" w:name="_Toc28843"/>
      <w:r>
        <w:rPr>
          <w:rFonts w:ascii="宋体" w:hAnsi="宋体"/>
          <w:i w:val="0"/>
          <w:iCs w:val="0"/>
          <w:color w:val="auto"/>
          <w:sz w:val="44"/>
          <w:szCs w:val="44"/>
          <w:highlight w:val="none"/>
          <w:u w:val="none"/>
          <w:lang w:val="zh-CN"/>
        </w:rPr>
        <w:t>目</w:t>
      </w:r>
      <w:r>
        <w:rPr>
          <w:rFonts w:hint="eastAsia" w:ascii="宋体" w:hAnsi="宋体"/>
          <w:i w:val="0"/>
          <w:iCs w:val="0"/>
          <w:color w:val="auto"/>
          <w:sz w:val="44"/>
          <w:szCs w:val="44"/>
          <w:highlight w:val="none"/>
          <w:u w:val="none"/>
          <w:lang w:val="zh-CN"/>
        </w:rPr>
        <w:t xml:space="preserve"> </w:t>
      </w:r>
      <w:r>
        <w:rPr>
          <w:rFonts w:ascii="宋体" w:hAnsi="宋体"/>
          <w:i w:val="0"/>
          <w:iCs w:val="0"/>
          <w:color w:val="auto"/>
          <w:sz w:val="44"/>
          <w:szCs w:val="44"/>
          <w:highlight w:val="none"/>
          <w:u w:val="none"/>
          <w:lang w:val="zh-CN"/>
        </w:rPr>
        <w:t>录</w:t>
      </w:r>
      <w:bookmarkEnd w:id="6"/>
      <w:bookmarkEnd w:id="7"/>
    </w:p>
    <w:p w14:paraId="5F6C4722">
      <w:pPr>
        <w:pStyle w:val="31"/>
        <w:tabs>
          <w:tab w:val="right" w:leader="dot" w:pos="9469"/>
        </w:tabs>
        <w:rPr>
          <w:i w:val="0"/>
          <w:iCs w:val="0"/>
        </w:rPr>
      </w:pPr>
      <w:r>
        <w:rPr>
          <w:rFonts w:ascii="宋体" w:hAnsi="宋体"/>
          <w:i w:val="0"/>
          <w:iCs w:val="0"/>
          <w:color w:val="auto"/>
          <w:highlight w:val="none"/>
          <w:u w:val="none"/>
        </w:rPr>
        <w:fldChar w:fldCharType="begin"/>
      </w:r>
      <w:r>
        <w:rPr>
          <w:rFonts w:ascii="宋体" w:hAnsi="宋体"/>
          <w:i w:val="0"/>
          <w:iCs w:val="0"/>
          <w:color w:val="auto"/>
          <w:highlight w:val="none"/>
          <w:u w:val="none"/>
        </w:rPr>
        <w:instrText xml:space="preserve"> TOC \o "1-3" \h \z \u </w:instrText>
      </w:r>
      <w:r>
        <w:rPr>
          <w:rFonts w:ascii="宋体" w:hAnsi="宋体"/>
          <w:i w:val="0"/>
          <w:iCs w:val="0"/>
          <w:color w:val="auto"/>
          <w:highlight w:val="none"/>
          <w:u w:val="none"/>
        </w:rPr>
        <w:fldChar w:fldCharType="separate"/>
      </w:r>
      <w:r>
        <w:rPr>
          <w:rFonts w:ascii="宋体" w:hAnsi="宋体"/>
          <w:i w:val="0"/>
          <w:iCs w:val="0"/>
          <w:color w:val="auto"/>
          <w:highlight w:val="none"/>
          <w:u w:val="none"/>
        </w:rPr>
        <w:fldChar w:fldCharType="begin"/>
      </w:r>
      <w:r>
        <w:rPr>
          <w:rFonts w:ascii="宋体" w:hAnsi="宋体"/>
          <w:i w:val="0"/>
          <w:iCs w:val="0"/>
          <w:highlight w:val="none"/>
        </w:rPr>
        <w:instrText xml:space="preserve"> HYPERLINK \l _Toc1039 </w:instrText>
      </w:r>
      <w:r>
        <w:rPr>
          <w:rFonts w:ascii="宋体" w:hAnsi="宋体"/>
          <w:i w:val="0"/>
          <w:iCs w:val="0"/>
          <w:highlight w:val="none"/>
        </w:rPr>
        <w:fldChar w:fldCharType="separate"/>
      </w:r>
      <w:r>
        <w:rPr>
          <w:rFonts w:hint="eastAsia" w:ascii="宋体" w:hAnsi="宋体"/>
          <w:i w:val="0"/>
          <w:iCs w:val="0"/>
          <w:szCs w:val="52"/>
          <w:highlight w:val="none"/>
        </w:rPr>
        <w:t>第 一 卷</w:t>
      </w:r>
      <w:r>
        <w:rPr>
          <w:i w:val="0"/>
          <w:iCs w:val="0"/>
        </w:rPr>
        <w:tab/>
      </w:r>
      <w:r>
        <w:rPr>
          <w:i w:val="0"/>
          <w:iCs w:val="0"/>
        </w:rPr>
        <w:fldChar w:fldCharType="begin"/>
      </w:r>
      <w:r>
        <w:rPr>
          <w:i w:val="0"/>
          <w:iCs w:val="0"/>
        </w:rPr>
        <w:instrText xml:space="preserve"> PAGEREF _Toc1039 \h </w:instrText>
      </w:r>
      <w:r>
        <w:rPr>
          <w:i w:val="0"/>
          <w:iCs w:val="0"/>
        </w:rPr>
        <w:fldChar w:fldCharType="separate"/>
      </w:r>
      <w:r>
        <w:rPr>
          <w:i w:val="0"/>
          <w:iCs w:val="0"/>
        </w:rPr>
        <w:t>3</w:t>
      </w:r>
      <w:r>
        <w:rPr>
          <w:i w:val="0"/>
          <w:iCs w:val="0"/>
        </w:rPr>
        <w:fldChar w:fldCharType="end"/>
      </w:r>
      <w:r>
        <w:rPr>
          <w:rFonts w:ascii="宋体" w:hAnsi="宋体"/>
          <w:i w:val="0"/>
          <w:iCs w:val="0"/>
          <w:color w:val="auto"/>
          <w:highlight w:val="none"/>
          <w:u w:val="none"/>
        </w:rPr>
        <w:fldChar w:fldCharType="end"/>
      </w:r>
    </w:p>
    <w:p w14:paraId="12491740">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_Toc31989 </w:instrText>
      </w:r>
      <w:r>
        <w:rPr>
          <w:rFonts w:ascii="宋体" w:hAnsi="宋体"/>
          <w:bCs/>
          <w:i w:val="0"/>
          <w:iCs w:val="0"/>
          <w:szCs w:val="20"/>
          <w:highlight w:val="none"/>
          <w:lang w:val="zh-CN"/>
        </w:rPr>
        <w:fldChar w:fldCharType="separate"/>
      </w:r>
      <w:r>
        <w:rPr>
          <w:rFonts w:ascii="宋体" w:hAnsi="宋体"/>
          <w:i w:val="0"/>
          <w:iCs w:val="0"/>
          <w:snapToGrid w:val="0"/>
          <w:kern w:val="0"/>
          <w:highlight w:val="none"/>
        </w:rPr>
        <w:t xml:space="preserve">第一章  </w:t>
      </w:r>
      <w:r>
        <w:rPr>
          <w:rFonts w:hint="eastAsia" w:ascii="宋体" w:hAnsi="宋体"/>
          <w:i w:val="0"/>
          <w:iCs w:val="0"/>
          <w:snapToGrid w:val="0"/>
          <w:kern w:val="0"/>
          <w:highlight w:val="none"/>
          <w:lang w:eastAsia="zh-CN"/>
        </w:rPr>
        <w:t>比选</w:t>
      </w:r>
      <w:r>
        <w:rPr>
          <w:rFonts w:ascii="宋体" w:hAnsi="宋体"/>
          <w:i w:val="0"/>
          <w:iCs w:val="0"/>
          <w:snapToGrid w:val="0"/>
          <w:kern w:val="0"/>
          <w:highlight w:val="none"/>
        </w:rPr>
        <w:t>公告</w:t>
      </w:r>
      <w:r>
        <w:rPr>
          <w:i w:val="0"/>
          <w:iCs w:val="0"/>
        </w:rPr>
        <w:tab/>
      </w:r>
      <w:r>
        <w:rPr>
          <w:i w:val="0"/>
          <w:iCs w:val="0"/>
        </w:rPr>
        <w:fldChar w:fldCharType="begin"/>
      </w:r>
      <w:r>
        <w:rPr>
          <w:i w:val="0"/>
          <w:iCs w:val="0"/>
        </w:rPr>
        <w:instrText xml:space="preserve"> PAGEREF _Toc31989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2C04C6F9">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_Toc3903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1. </w:t>
      </w:r>
      <w:r>
        <w:rPr>
          <w:rFonts w:hint="eastAsia" w:ascii="宋体" w:hAnsi="宋体"/>
          <w:i w:val="0"/>
          <w:iCs w:val="0"/>
          <w:snapToGrid w:val="0"/>
          <w:szCs w:val="28"/>
          <w:highlight w:val="none"/>
        </w:rPr>
        <w:t xml:space="preserve"> </w:t>
      </w:r>
      <w:r>
        <w:rPr>
          <w:rFonts w:hint="eastAsia" w:ascii="宋体" w:hAnsi="宋体"/>
          <w:i w:val="0"/>
          <w:iCs w:val="0"/>
          <w:snapToGrid w:val="0"/>
          <w:szCs w:val="28"/>
          <w:highlight w:val="none"/>
          <w:lang w:eastAsia="zh-CN"/>
        </w:rPr>
        <w:t>比选</w:t>
      </w:r>
      <w:r>
        <w:rPr>
          <w:rFonts w:ascii="宋体" w:hAnsi="宋体"/>
          <w:i w:val="0"/>
          <w:iCs w:val="0"/>
          <w:snapToGrid w:val="0"/>
          <w:szCs w:val="28"/>
          <w:highlight w:val="none"/>
        </w:rPr>
        <w:t>条件</w:t>
      </w:r>
      <w:r>
        <w:rPr>
          <w:i w:val="0"/>
          <w:iCs w:val="0"/>
        </w:rPr>
        <w:tab/>
      </w:r>
      <w:r>
        <w:rPr>
          <w:i w:val="0"/>
          <w:iCs w:val="0"/>
        </w:rPr>
        <w:fldChar w:fldCharType="begin"/>
      </w:r>
      <w:r>
        <w:rPr>
          <w:i w:val="0"/>
          <w:iCs w:val="0"/>
        </w:rPr>
        <w:instrText xml:space="preserve"> PAGEREF _Toc3903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155904A3">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_Toc16803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2.</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 xml:space="preserve"> 项目概况与</w:t>
      </w:r>
      <w:r>
        <w:rPr>
          <w:rFonts w:hint="eastAsia" w:ascii="宋体" w:hAnsi="宋体"/>
          <w:i w:val="0"/>
          <w:iCs w:val="0"/>
          <w:snapToGrid w:val="0"/>
          <w:szCs w:val="28"/>
          <w:highlight w:val="none"/>
          <w:lang w:eastAsia="zh-CN"/>
        </w:rPr>
        <w:t>比选</w:t>
      </w:r>
      <w:r>
        <w:rPr>
          <w:rFonts w:ascii="宋体" w:hAnsi="宋体"/>
          <w:i w:val="0"/>
          <w:iCs w:val="0"/>
          <w:snapToGrid w:val="0"/>
          <w:szCs w:val="28"/>
          <w:highlight w:val="none"/>
        </w:rPr>
        <w:t>范围</w:t>
      </w:r>
      <w:r>
        <w:rPr>
          <w:i w:val="0"/>
          <w:iCs w:val="0"/>
        </w:rPr>
        <w:tab/>
      </w:r>
      <w:r>
        <w:rPr>
          <w:i w:val="0"/>
          <w:iCs w:val="0"/>
        </w:rPr>
        <w:fldChar w:fldCharType="begin"/>
      </w:r>
      <w:r>
        <w:rPr>
          <w:i w:val="0"/>
          <w:iCs w:val="0"/>
        </w:rPr>
        <w:instrText xml:space="preserve"> PAGEREF _Toc16803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6906AA99">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_Toc3620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3. </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投标人资格要求</w:t>
      </w:r>
      <w:r>
        <w:rPr>
          <w:i w:val="0"/>
          <w:iCs w:val="0"/>
        </w:rPr>
        <w:tab/>
      </w:r>
      <w:r>
        <w:rPr>
          <w:i w:val="0"/>
          <w:iCs w:val="0"/>
        </w:rPr>
        <w:fldChar w:fldCharType="begin"/>
      </w:r>
      <w:r>
        <w:rPr>
          <w:i w:val="0"/>
          <w:iCs w:val="0"/>
        </w:rPr>
        <w:instrText xml:space="preserve"> PAGEREF _Toc3620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4F9DE56B">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_Toc24394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4. </w:t>
      </w:r>
      <w:r>
        <w:rPr>
          <w:rFonts w:hint="eastAsia" w:ascii="宋体" w:hAnsi="宋体"/>
          <w:i w:val="0"/>
          <w:iCs w:val="0"/>
          <w:snapToGrid w:val="0"/>
          <w:szCs w:val="28"/>
          <w:highlight w:val="none"/>
        </w:rPr>
        <w:t xml:space="preserve"> </w:t>
      </w:r>
      <w:r>
        <w:rPr>
          <w:rFonts w:hint="eastAsia" w:ascii="宋体" w:hAnsi="宋体"/>
          <w:i w:val="0"/>
          <w:iCs w:val="0"/>
          <w:snapToGrid w:val="0"/>
          <w:szCs w:val="28"/>
          <w:highlight w:val="none"/>
          <w:lang w:eastAsia="zh-CN"/>
        </w:rPr>
        <w:t>比选</w:t>
      </w:r>
      <w:r>
        <w:rPr>
          <w:rFonts w:ascii="宋体" w:hAnsi="宋体"/>
          <w:i w:val="0"/>
          <w:iCs w:val="0"/>
          <w:snapToGrid w:val="0"/>
          <w:szCs w:val="28"/>
          <w:highlight w:val="none"/>
        </w:rPr>
        <w:t>文件的获取</w:t>
      </w:r>
      <w:r>
        <w:rPr>
          <w:i w:val="0"/>
          <w:iCs w:val="0"/>
        </w:rPr>
        <w:tab/>
      </w:r>
      <w:r>
        <w:rPr>
          <w:i w:val="0"/>
          <w:iCs w:val="0"/>
        </w:rPr>
        <w:fldChar w:fldCharType="begin"/>
      </w:r>
      <w:r>
        <w:rPr>
          <w:i w:val="0"/>
          <w:iCs w:val="0"/>
        </w:rPr>
        <w:instrText xml:space="preserve"> PAGEREF _Toc24394 \h </w:instrText>
      </w:r>
      <w:r>
        <w:rPr>
          <w:i w:val="0"/>
          <w:iCs w:val="0"/>
        </w:rPr>
        <w:fldChar w:fldCharType="separate"/>
      </w:r>
      <w:r>
        <w:rPr>
          <w:i w:val="0"/>
          <w:iCs w:val="0"/>
        </w:rPr>
        <w:t>4</w:t>
      </w:r>
      <w:r>
        <w:rPr>
          <w:i w:val="0"/>
          <w:iCs w:val="0"/>
        </w:rPr>
        <w:fldChar w:fldCharType="end"/>
      </w:r>
      <w:r>
        <w:rPr>
          <w:rFonts w:ascii="宋体" w:hAnsi="宋体"/>
          <w:bCs/>
          <w:i w:val="0"/>
          <w:iCs w:val="0"/>
          <w:color w:val="auto"/>
          <w:szCs w:val="20"/>
          <w:highlight w:val="none"/>
          <w:u w:val="none"/>
          <w:lang w:val="zh-CN"/>
        </w:rPr>
        <w:fldChar w:fldCharType="end"/>
      </w:r>
    </w:p>
    <w:p w14:paraId="4FABCAD2">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_Toc25290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5. </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投标文件的递交</w:t>
      </w:r>
      <w:r>
        <w:rPr>
          <w:i w:val="0"/>
          <w:iCs w:val="0"/>
        </w:rPr>
        <w:tab/>
      </w:r>
      <w:r>
        <w:rPr>
          <w:i w:val="0"/>
          <w:iCs w:val="0"/>
        </w:rPr>
        <w:fldChar w:fldCharType="begin"/>
      </w:r>
      <w:r>
        <w:rPr>
          <w:i w:val="0"/>
          <w:iCs w:val="0"/>
        </w:rPr>
        <w:instrText xml:space="preserve"> PAGEREF _Toc25290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0"/>
          <w:highlight w:val="none"/>
          <w:u w:val="none"/>
          <w:lang w:val="zh-CN"/>
        </w:rPr>
        <w:fldChar w:fldCharType="end"/>
      </w:r>
    </w:p>
    <w:p w14:paraId="04BDBA4F">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_Toc25252 </w:instrText>
      </w:r>
      <w:r>
        <w:rPr>
          <w:rFonts w:ascii="宋体" w:hAnsi="宋体"/>
          <w:bCs/>
          <w:i w:val="0"/>
          <w:iCs w:val="0"/>
          <w:szCs w:val="20"/>
          <w:highlight w:val="none"/>
          <w:lang w:val="zh-CN"/>
        </w:rPr>
        <w:fldChar w:fldCharType="separate"/>
      </w:r>
      <w:r>
        <w:rPr>
          <w:rFonts w:ascii="宋体" w:hAnsi="宋体"/>
          <w:i w:val="0"/>
          <w:iCs w:val="0"/>
          <w:snapToGrid w:val="0"/>
          <w:szCs w:val="28"/>
          <w:highlight w:val="none"/>
        </w:rPr>
        <w:t xml:space="preserve">6. </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发布公告的媒介</w:t>
      </w:r>
      <w:r>
        <w:rPr>
          <w:i w:val="0"/>
          <w:iCs w:val="0"/>
        </w:rPr>
        <w:tab/>
      </w:r>
      <w:r>
        <w:rPr>
          <w:i w:val="0"/>
          <w:iCs w:val="0"/>
        </w:rPr>
        <w:fldChar w:fldCharType="begin"/>
      </w:r>
      <w:r>
        <w:rPr>
          <w:i w:val="0"/>
          <w:iCs w:val="0"/>
        </w:rPr>
        <w:instrText xml:space="preserve"> PAGEREF _Toc25252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0"/>
          <w:highlight w:val="none"/>
          <w:u w:val="none"/>
          <w:lang w:val="zh-CN"/>
        </w:rPr>
        <w:fldChar w:fldCharType="end"/>
      </w:r>
    </w:p>
    <w:p w14:paraId="490F8F26">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_Toc13943 </w:instrText>
      </w:r>
      <w:r>
        <w:rPr>
          <w:rFonts w:ascii="宋体" w:hAnsi="宋体"/>
          <w:bCs/>
          <w:i w:val="0"/>
          <w:iCs w:val="0"/>
          <w:szCs w:val="20"/>
          <w:highlight w:val="none"/>
          <w:lang w:val="zh-CN"/>
        </w:rPr>
        <w:fldChar w:fldCharType="separate"/>
      </w:r>
      <w:r>
        <w:rPr>
          <w:rFonts w:hint="eastAsia" w:ascii="宋体" w:hAnsi="宋体"/>
          <w:i w:val="0"/>
          <w:iCs w:val="0"/>
          <w:snapToGrid w:val="0"/>
          <w:szCs w:val="28"/>
          <w:highlight w:val="none"/>
          <w:lang w:val="en-US" w:eastAsia="zh-CN"/>
        </w:rPr>
        <w:t>7</w:t>
      </w:r>
      <w:r>
        <w:rPr>
          <w:rFonts w:ascii="宋体" w:hAnsi="宋体"/>
          <w:i w:val="0"/>
          <w:iCs w:val="0"/>
          <w:snapToGrid w:val="0"/>
          <w:szCs w:val="28"/>
          <w:highlight w:val="none"/>
        </w:rPr>
        <w:t xml:space="preserve">. </w:t>
      </w:r>
      <w:r>
        <w:rPr>
          <w:rFonts w:hint="eastAsia" w:ascii="宋体" w:hAnsi="宋体"/>
          <w:i w:val="0"/>
          <w:iCs w:val="0"/>
          <w:snapToGrid w:val="0"/>
          <w:szCs w:val="28"/>
          <w:highlight w:val="none"/>
        </w:rPr>
        <w:t xml:space="preserve"> </w:t>
      </w:r>
      <w:r>
        <w:rPr>
          <w:rFonts w:ascii="宋体" w:hAnsi="宋体"/>
          <w:i w:val="0"/>
          <w:iCs w:val="0"/>
          <w:snapToGrid w:val="0"/>
          <w:szCs w:val="28"/>
          <w:highlight w:val="none"/>
        </w:rPr>
        <w:t>联系方式</w:t>
      </w:r>
      <w:r>
        <w:rPr>
          <w:i w:val="0"/>
          <w:iCs w:val="0"/>
        </w:rPr>
        <w:tab/>
      </w:r>
      <w:r>
        <w:rPr>
          <w:i w:val="0"/>
          <w:iCs w:val="0"/>
        </w:rPr>
        <w:fldChar w:fldCharType="begin"/>
      </w:r>
      <w:r>
        <w:rPr>
          <w:i w:val="0"/>
          <w:iCs w:val="0"/>
        </w:rPr>
        <w:instrText xml:space="preserve"> PAGEREF _Toc13943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0"/>
          <w:highlight w:val="none"/>
          <w:u w:val="none"/>
          <w:lang w:val="zh-CN"/>
        </w:rPr>
        <w:fldChar w:fldCharType="end"/>
      </w:r>
    </w:p>
    <w:p w14:paraId="6F546B59">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_Toc10633 </w:instrText>
      </w:r>
      <w:r>
        <w:rPr>
          <w:rFonts w:ascii="宋体" w:hAnsi="宋体"/>
          <w:bCs/>
          <w:i w:val="0"/>
          <w:iCs w:val="0"/>
          <w:szCs w:val="20"/>
          <w:highlight w:val="none"/>
          <w:lang w:val="zh-CN"/>
        </w:rPr>
        <w:fldChar w:fldCharType="separate"/>
      </w:r>
      <w:r>
        <w:rPr>
          <w:rFonts w:ascii="宋体" w:hAnsi="宋体"/>
          <w:i w:val="0"/>
          <w:iCs w:val="0"/>
          <w:snapToGrid w:val="0"/>
          <w:kern w:val="0"/>
          <w:highlight w:val="none"/>
        </w:rPr>
        <w:t>第二章  投标人须知</w:t>
      </w:r>
      <w:r>
        <w:rPr>
          <w:i w:val="0"/>
          <w:iCs w:val="0"/>
        </w:rPr>
        <w:tab/>
      </w:r>
      <w:r>
        <w:rPr>
          <w:i w:val="0"/>
          <w:iCs w:val="0"/>
        </w:rPr>
        <w:fldChar w:fldCharType="begin"/>
      </w:r>
      <w:r>
        <w:rPr>
          <w:i w:val="0"/>
          <w:iCs w:val="0"/>
        </w:rPr>
        <w:instrText xml:space="preserve"> PAGEREF _Toc10633 \h </w:instrText>
      </w:r>
      <w:r>
        <w:rPr>
          <w:i w:val="0"/>
          <w:iCs w:val="0"/>
        </w:rPr>
        <w:fldChar w:fldCharType="separate"/>
      </w:r>
      <w:r>
        <w:rPr>
          <w:i w:val="0"/>
          <w:iCs w:val="0"/>
        </w:rPr>
        <w:t>6</w:t>
      </w:r>
      <w:r>
        <w:rPr>
          <w:i w:val="0"/>
          <w:iCs w:val="0"/>
        </w:rPr>
        <w:fldChar w:fldCharType="end"/>
      </w:r>
      <w:r>
        <w:rPr>
          <w:rFonts w:ascii="宋体" w:hAnsi="宋体"/>
          <w:bCs/>
          <w:i w:val="0"/>
          <w:iCs w:val="0"/>
          <w:color w:val="auto"/>
          <w:szCs w:val="20"/>
          <w:highlight w:val="none"/>
          <w:u w:val="none"/>
          <w:lang w:val="zh-CN"/>
        </w:rPr>
        <w:fldChar w:fldCharType="end"/>
      </w:r>
    </w:p>
    <w:p w14:paraId="206E4AE5">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_Toc2728 </w:instrText>
      </w:r>
      <w:r>
        <w:rPr>
          <w:rFonts w:ascii="宋体" w:hAnsi="宋体"/>
          <w:bCs/>
          <w:i w:val="0"/>
          <w:iCs w:val="0"/>
          <w:szCs w:val="20"/>
          <w:highlight w:val="none"/>
          <w:lang w:val="zh-CN"/>
        </w:rPr>
        <w:fldChar w:fldCharType="separate"/>
      </w:r>
      <w:r>
        <w:rPr>
          <w:rFonts w:hint="eastAsia" w:ascii="宋体" w:hAnsi="宋体"/>
          <w:i w:val="0"/>
          <w:iCs w:val="0"/>
          <w:highlight w:val="none"/>
        </w:rPr>
        <w:t>投标人须知前附表</w:t>
      </w:r>
      <w:r>
        <w:rPr>
          <w:i w:val="0"/>
          <w:iCs w:val="0"/>
        </w:rPr>
        <w:tab/>
      </w:r>
      <w:r>
        <w:rPr>
          <w:i w:val="0"/>
          <w:iCs w:val="0"/>
        </w:rPr>
        <w:fldChar w:fldCharType="begin"/>
      </w:r>
      <w:r>
        <w:rPr>
          <w:i w:val="0"/>
          <w:iCs w:val="0"/>
        </w:rPr>
        <w:instrText xml:space="preserve"> PAGEREF _Toc2728 \h </w:instrText>
      </w:r>
      <w:r>
        <w:rPr>
          <w:i w:val="0"/>
          <w:iCs w:val="0"/>
        </w:rPr>
        <w:fldChar w:fldCharType="separate"/>
      </w:r>
      <w:r>
        <w:rPr>
          <w:i w:val="0"/>
          <w:iCs w:val="0"/>
        </w:rPr>
        <w:t>6</w:t>
      </w:r>
      <w:r>
        <w:rPr>
          <w:i w:val="0"/>
          <w:iCs w:val="0"/>
        </w:rPr>
        <w:fldChar w:fldCharType="end"/>
      </w:r>
      <w:r>
        <w:rPr>
          <w:rFonts w:ascii="宋体" w:hAnsi="宋体"/>
          <w:bCs/>
          <w:i w:val="0"/>
          <w:iCs w:val="0"/>
          <w:color w:val="auto"/>
          <w:szCs w:val="20"/>
          <w:highlight w:val="none"/>
          <w:u w:val="none"/>
          <w:lang w:val="zh-CN"/>
        </w:rPr>
        <w:fldChar w:fldCharType="end"/>
      </w:r>
    </w:p>
    <w:p w14:paraId="6F1771BE">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_Toc26233 </w:instrText>
      </w:r>
      <w:r>
        <w:rPr>
          <w:rFonts w:ascii="宋体" w:hAnsi="宋体"/>
          <w:bCs/>
          <w:i w:val="0"/>
          <w:iCs w:val="0"/>
          <w:szCs w:val="20"/>
          <w:highlight w:val="none"/>
          <w:lang w:val="zh-CN"/>
        </w:rPr>
        <w:fldChar w:fldCharType="separate"/>
      </w:r>
      <w:r>
        <w:rPr>
          <w:rFonts w:ascii="宋体" w:hAnsi="宋体"/>
          <w:i w:val="0"/>
          <w:iCs w:val="0"/>
          <w:snapToGrid w:val="0"/>
          <w:highlight w:val="none"/>
        </w:rPr>
        <w:t>1.  总则</w:t>
      </w:r>
      <w:r>
        <w:rPr>
          <w:i w:val="0"/>
          <w:iCs w:val="0"/>
        </w:rPr>
        <w:tab/>
      </w:r>
      <w:r>
        <w:rPr>
          <w:i w:val="0"/>
          <w:iCs w:val="0"/>
        </w:rPr>
        <w:fldChar w:fldCharType="begin"/>
      </w:r>
      <w:r>
        <w:rPr>
          <w:i w:val="0"/>
          <w:iCs w:val="0"/>
        </w:rPr>
        <w:instrText xml:space="preserve"> PAGEREF _Toc26233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222CBFD7">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_Toc2795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1.1  项目概况</w:t>
      </w:r>
      <w:r>
        <w:rPr>
          <w:i w:val="0"/>
          <w:iCs w:val="0"/>
        </w:rPr>
        <w:tab/>
      </w:r>
      <w:r>
        <w:rPr>
          <w:i w:val="0"/>
          <w:iCs w:val="0"/>
        </w:rPr>
        <w:fldChar w:fldCharType="begin"/>
      </w:r>
      <w:r>
        <w:rPr>
          <w:i w:val="0"/>
          <w:iCs w:val="0"/>
        </w:rPr>
        <w:instrText xml:space="preserve"> PAGEREF _Toc2795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73941C9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_Toc5526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1.2  资金来源和落实情况</w:t>
      </w:r>
      <w:r>
        <w:rPr>
          <w:i w:val="0"/>
          <w:iCs w:val="0"/>
        </w:rPr>
        <w:tab/>
      </w:r>
      <w:r>
        <w:rPr>
          <w:i w:val="0"/>
          <w:iCs w:val="0"/>
        </w:rPr>
        <w:fldChar w:fldCharType="begin"/>
      </w:r>
      <w:r>
        <w:rPr>
          <w:i w:val="0"/>
          <w:iCs w:val="0"/>
        </w:rPr>
        <w:instrText xml:space="preserve"> PAGEREF _Toc5526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4DB8EC0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_Toc28283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 xml:space="preserve">1.3  </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范围、计划工期和质量要求</w:t>
      </w:r>
      <w:r>
        <w:rPr>
          <w:i w:val="0"/>
          <w:iCs w:val="0"/>
        </w:rPr>
        <w:tab/>
      </w:r>
      <w:r>
        <w:rPr>
          <w:i w:val="0"/>
          <w:iCs w:val="0"/>
        </w:rPr>
        <w:fldChar w:fldCharType="begin"/>
      </w:r>
      <w:r>
        <w:rPr>
          <w:i w:val="0"/>
          <w:iCs w:val="0"/>
        </w:rPr>
        <w:instrText xml:space="preserve"> PAGEREF _Toc28283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4A455EB9">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_Toc5709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1.4</w:t>
      </w:r>
      <w:r>
        <w:rPr>
          <w:rFonts w:hint="eastAsia" w:ascii="宋体" w:hAnsi="宋体"/>
          <w:i w:val="0"/>
          <w:iCs w:val="0"/>
          <w:snapToGrid w:val="0"/>
          <w:szCs w:val="24"/>
          <w:highlight w:val="none"/>
          <w:lang w:val="en-US" w:eastAsia="zh-CN"/>
        </w:rPr>
        <w:t xml:space="preserve">  </w:t>
      </w:r>
      <w:r>
        <w:rPr>
          <w:rFonts w:ascii="宋体" w:hAnsi="宋体"/>
          <w:i w:val="0"/>
          <w:iCs w:val="0"/>
          <w:snapToGrid w:val="0"/>
          <w:szCs w:val="24"/>
          <w:highlight w:val="none"/>
        </w:rPr>
        <w:t>投标人资格要求</w:t>
      </w:r>
      <w:r>
        <w:rPr>
          <w:i w:val="0"/>
          <w:iCs w:val="0"/>
        </w:rPr>
        <w:tab/>
      </w:r>
      <w:r>
        <w:rPr>
          <w:i w:val="0"/>
          <w:iCs w:val="0"/>
        </w:rPr>
        <w:fldChar w:fldCharType="begin"/>
      </w:r>
      <w:r>
        <w:rPr>
          <w:i w:val="0"/>
          <w:iCs w:val="0"/>
        </w:rPr>
        <w:instrText xml:space="preserve"> PAGEREF _Toc5709 \h </w:instrText>
      </w:r>
      <w:r>
        <w:rPr>
          <w:i w:val="0"/>
          <w:iCs w:val="0"/>
        </w:rPr>
        <w:fldChar w:fldCharType="separate"/>
      </w:r>
      <w:r>
        <w:rPr>
          <w:i w:val="0"/>
          <w:iCs w:val="0"/>
        </w:rPr>
        <w:t>17</w:t>
      </w:r>
      <w:r>
        <w:rPr>
          <w:i w:val="0"/>
          <w:iCs w:val="0"/>
        </w:rPr>
        <w:fldChar w:fldCharType="end"/>
      </w:r>
      <w:r>
        <w:rPr>
          <w:rFonts w:ascii="宋体" w:hAnsi="宋体"/>
          <w:bCs/>
          <w:i w:val="0"/>
          <w:iCs w:val="0"/>
          <w:color w:val="auto"/>
          <w:szCs w:val="20"/>
          <w:highlight w:val="none"/>
          <w:u w:val="none"/>
          <w:lang w:val="zh-CN"/>
        </w:rPr>
        <w:fldChar w:fldCharType="end"/>
      </w:r>
    </w:p>
    <w:p w14:paraId="7A38F0D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_Toc28617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1.5  费用承担</w:t>
      </w:r>
      <w:r>
        <w:rPr>
          <w:i w:val="0"/>
          <w:iCs w:val="0"/>
        </w:rPr>
        <w:tab/>
      </w:r>
      <w:r>
        <w:rPr>
          <w:i w:val="0"/>
          <w:iCs w:val="0"/>
        </w:rPr>
        <w:fldChar w:fldCharType="begin"/>
      </w:r>
      <w:r>
        <w:rPr>
          <w:i w:val="0"/>
          <w:iCs w:val="0"/>
        </w:rPr>
        <w:instrText xml:space="preserve"> PAGEREF _Toc28617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20D4377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_Toc30510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1.6  保密</w:t>
      </w:r>
      <w:r>
        <w:rPr>
          <w:i w:val="0"/>
          <w:iCs w:val="0"/>
        </w:rPr>
        <w:tab/>
      </w:r>
      <w:r>
        <w:rPr>
          <w:i w:val="0"/>
          <w:iCs w:val="0"/>
        </w:rPr>
        <w:fldChar w:fldCharType="begin"/>
      </w:r>
      <w:r>
        <w:rPr>
          <w:i w:val="0"/>
          <w:iCs w:val="0"/>
        </w:rPr>
        <w:instrText xml:space="preserve"> PAGEREF _Toc30510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5D222E4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_Toc20832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1.7  语言文字</w:t>
      </w:r>
      <w:r>
        <w:rPr>
          <w:i w:val="0"/>
          <w:iCs w:val="0"/>
        </w:rPr>
        <w:tab/>
      </w:r>
      <w:r>
        <w:rPr>
          <w:i w:val="0"/>
          <w:iCs w:val="0"/>
        </w:rPr>
        <w:fldChar w:fldCharType="begin"/>
      </w:r>
      <w:r>
        <w:rPr>
          <w:i w:val="0"/>
          <w:iCs w:val="0"/>
        </w:rPr>
        <w:instrText xml:space="preserve"> PAGEREF _Toc20832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0605A168">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_Toc11735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1.8  计量单位</w:t>
      </w:r>
      <w:r>
        <w:rPr>
          <w:i w:val="0"/>
          <w:iCs w:val="0"/>
        </w:rPr>
        <w:tab/>
      </w:r>
      <w:r>
        <w:rPr>
          <w:i w:val="0"/>
          <w:iCs w:val="0"/>
        </w:rPr>
        <w:fldChar w:fldCharType="begin"/>
      </w:r>
      <w:r>
        <w:rPr>
          <w:i w:val="0"/>
          <w:iCs w:val="0"/>
        </w:rPr>
        <w:instrText xml:space="preserve"> PAGEREF _Toc11735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61EE9753">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_Toc25278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1.9  踏勘现场</w:t>
      </w:r>
      <w:r>
        <w:rPr>
          <w:i w:val="0"/>
          <w:iCs w:val="0"/>
        </w:rPr>
        <w:tab/>
      </w:r>
      <w:r>
        <w:rPr>
          <w:i w:val="0"/>
          <w:iCs w:val="0"/>
        </w:rPr>
        <w:fldChar w:fldCharType="begin"/>
      </w:r>
      <w:r>
        <w:rPr>
          <w:i w:val="0"/>
          <w:iCs w:val="0"/>
        </w:rPr>
        <w:instrText xml:space="preserve"> PAGEREF _Toc25278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52059C6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_Toc726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1.10  投标预备会</w:t>
      </w:r>
      <w:r>
        <w:rPr>
          <w:i w:val="0"/>
          <w:iCs w:val="0"/>
        </w:rPr>
        <w:tab/>
      </w:r>
      <w:r>
        <w:rPr>
          <w:i w:val="0"/>
          <w:iCs w:val="0"/>
        </w:rPr>
        <w:fldChar w:fldCharType="begin"/>
      </w:r>
      <w:r>
        <w:rPr>
          <w:i w:val="0"/>
          <w:iCs w:val="0"/>
        </w:rPr>
        <w:instrText xml:space="preserve"> PAGEREF _Toc726 \h </w:instrText>
      </w:r>
      <w:r>
        <w:rPr>
          <w:i w:val="0"/>
          <w:iCs w:val="0"/>
        </w:rPr>
        <w:fldChar w:fldCharType="separate"/>
      </w:r>
      <w:r>
        <w:rPr>
          <w:i w:val="0"/>
          <w:iCs w:val="0"/>
        </w:rPr>
        <w:t>18</w:t>
      </w:r>
      <w:r>
        <w:rPr>
          <w:i w:val="0"/>
          <w:iCs w:val="0"/>
        </w:rPr>
        <w:fldChar w:fldCharType="end"/>
      </w:r>
      <w:r>
        <w:rPr>
          <w:rFonts w:ascii="宋体" w:hAnsi="宋体"/>
          <w:bCs/>
          <w:i w:val="0"/>
          <w:iCs w:val="0"/>
          <w:color w:val="auto"/>
          <w:szCs w:val="20"/>
          <w:highlight w:val="none"/>
          <w:u w:val="none"/>
          <w:lang w:val="zh-CN"/>
        </w:rPr>
        <w:fldChar w:fldCharType="end"/>
      </w:r>
    </w:p>
    <w:p w14:paraId="722721D9">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_Toc19735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1.11  分包</w:t>
      </w:r>
      <w:r>
        <w:rPr>
          <w:i w:val="0"/>
          <w:iCs w:val="0"/>
        </w:rPr>
        <w:tab/>
      </w:r>
      <w:r>
        <w:rPr>
          <w:i w:val="0"/>
          <w:iCs w:val="0"/>
        </w:rPr>
        <w:fldChar w:fldCharType="begin"/>
      </w:r>
      <w:r>
        <w:rPr>
          <w:i w:val="0"/>
          <w:iCs w:val="0"/>
        </w:rPr>
        <w:instrText xml:space="preserve"> PAGEREF _Toc19735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5BB13BB6">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_Toc31209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1.12  偏离</w:t>
      </w:r>
      <w:r>
        <w:rPr>
          <w:i w:val="0"/>
          <w:iCs w:val="0"/>
        </w:rPr>
        <w:tab/>
      </w:r>
      <w:r>
        <w:rPr>
          <w:i w:val="0"/>
          <w:iCs w:val="0"/>
        </w:rPr>
        <w:fldChar w:fldCharType="begin"/>
      </w:r>
      <w:r>
        <w:rPr>
          <w:i w:val="0"/>
          <w:iCs w:val="0"/>
        </w:rPr>
        <w:instrText xml:space="preserve"> PAGEREF _Toc31209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189F3F64">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_Toc28451 </w:instrText>
      </w:r>
      <w:r>
        <w:rPr>
          <w:rFonts w:ascii="宋体" w:hAnsi="宋体"/>
          <w:bCs/>
          <w:i w:val="0"/>
          <w:iCs w:val="0"/>
          <w:szCs w:val="20"/>
          <w:highlight w:val="none"/>
          <w:lang w:val="zh-CN"/>
        </w:rPr>
        <w:fldChar w:fldCharType="separate"/>
      </w:r>
      <w:r>
        <w:rPr>
          <w:rFonts w:ascii="宋体" w:hAnsi="宋体"/>
          <w:i w:val="0"/>
          <w:iCs w:val="0"/>
          <w:snapToGrid w:val="0"/>
          <w:highlight w:val="none"/>
        </w:rPr>
        <w:t xml:space="preserve">2.  </w:t>
      </w:r>
      <w:r>
        <w:rPr>
          <w:rFonts w:hint="eastAsia" w:ascii="宋体" w:hAnsi="宋体"/>
          <w:i w:val="0"/>
          <w:iCs w:val="0"/>
          <w:snapToGrid w:val="0"/>
          <w:highlight w:val="none"/>
          <w:lang w:eastAsia="zh-CN"/>
        </w:rPr>
        <w:t>比选</w:t>
      </w:r>
      <w:r>
        <w:rPr>
          <w:rFonts w:ascii="宋体" w:hAnsi="宋体"/>
          <w:i w:val="0"/>
          <w:iCs w:val="0"/>
          <w:snapToGrid w:val="0"/>
          <w:highlight w:val="none"/>
        </w:rPr>
        <w:t>文件</w:t>
      </w:r>
      <w:r>
        <w:rPr>
          <w:i w:val="0"/>
          <w:iCs w:val="0"/>
        </w:rPr>
        <w:tab/>
      </w:r>
      <w:r>
        <w:rPr>
          <w:i w:val="0"/>
          <w:iCs w:val="0"/>
        </w:rPr>
        <w:fldChar w:fldCharType="begin"/>
      </w:r>
      <w:r>
        <w:rPr>
          <w:i w:val="0"/>
          <w:iCs w:val="0"/>
        </w:rPr>
        <w:instrText xml:space="preserve"> PAGEREF _Toc28451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41245248">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 xml:space="preserve">2.1  </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文件的组成</w:t>
      </w:r>
      <w:r>
        <w:rPr>
          <w:i w:val="0"/>
          <w:iCs w:val="0"/>
        </w:rPr>
        <w:tab/>
      </w:r>
      <w:r>
        <w:rPr>
          <w:i w:val="0"/>
          <w:iCs w:val="0"/>
        </w:rPr>
        <w:fldChar w:fldCharType="begin"/>
      </w:r>
      <w:r>
        <w:rPr>
          <w:i w:val="0"/>
          <w:iCs w:val="0"/>
        </w:rPr>
        <w:instrText xml:space="preserve"> PAGEREF _Toc273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6607F9F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_Toc2148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 xml:space="preserve">2.2  </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文件的澄清</w:t>
      </w:r>
      <w:r>
        <w:rPr>
          <w:i w:val="0"/>
          <w:iCs w:val="0"/>
        </w:rPr>
        <w:tab/>
      </w:r>
      <w:r>
        <w:rPr>
          <w:i w:val="0"/>
          <w:iCs w:val="0"/>
        </w:rPr>
        <w:fldChar w:fldCharType="begin"/>
      </w:r>
      <w:r>
        <w:rPr>
          <w:i w:val="0"/>
          <w:iCs w:val="0"/>
        </w:rPr>
        <w:instrText xml:space="preserve"> PAGEREF _Toc2148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7E3487C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_Toc17734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 xml:space="preserve">2.3  </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文件的修改</w:t>
      </w:r>
      <w:r>
        <w:rPr>
          <w:i w:val="0"/>
          <w:iCs w:val="0"/>
        </w:rPr>
        <w:tab/>
      </w:r>
      <w:r>
        <w:rPr>
          <w:i w:val="0"/>
          <w:iCs w:val="0"/>
        </w:rPr>
        <w:fldChar w:fldCharType="begin"/>
      </w:r>
      <w:r>
        <w:rPr>
          <w:i w:val="0"/>
          <w:iCs w:val="0"/>
        </w:rPr>
        <w:instrText xml:space="preserve"> PAGEREF _Toc17734 \h </w:instrText>
      </w:r>
      <w:r>
        <w:rPr>
          <w:i w:val="0"/>
          <w:iCs w:val="0"/>
        </w:rPr>
        <w:fldChar w:fldCharType="separate"/>
      </w:r>
      <w:r>
        <w:rPr>
          <w:i w:val="0"/>
          <w:iCs w:val="0"/>
        </w:rPr>
        <w:t>19</w:t>
      </w:r>
      <w:r>
        <w:rPr>
          <w:i w:val="0"/>
          <w:iCs w:val="0"/>
        </w:rPr>
        <w:fldChar w:fldCharType="end"/>
      </w:r>
      <w:r>
        <w:rPr>
          <w:rFonts w:ascii="宋体" w:hAnsi="宋体"/>
          <w:bCs/>
          <w:i w:val="0"/>
          <w:iCs w:val="0"/>
          <w:color w:val="auto"/>
          <w:szCs w:val="20"/>
          <w:highlight w:val="none"/>
          <w:u w:val="none"/>
          <w:lang w:val="zh-CN"/>
        </w:rPr>
        <w:fldChar w:fldCharType="end"/>
      </w:r>
    </w:p>
    <w:p w14:paraId="261550D5">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_Toc14209 </w:instrText>
      </w:r>
      <w:r>
        <w:rPr>
          <w:rFonts w:ascii="宋体" w:hAnsi="宋体"/>
          <w:bCs/>
          <w:i w:val="0"/>
          <w:iCs w:val="0"/>
          <w:szCs w:val="20"/>
          <w:highlight w:val="none"/>
          <w:lang w:val="zh-CN"/>
        </w:rPr>
        <w:fldChar w:fldCharType="separate"/>
      </w:r>
      <w:r>
        <w:rPr>
          <w:rFonts w:ascii="宋体" w:hAnsi="宋体"/>
          <w:i w:val="0"/>
          <w:iCs w:val="0"/>
          <w:snapToGrid w:val="0"/>
          <w:highlight w:val="none"/>
        </w:rPr>
        <w:t>3.  投标文件</w:t>
      </w:r>
      <w:r>
        <w:rPr>
          <w:i w:val="0"/>
          <w:iCs w:val="0"/>
        </w:rPr>
        <w:tab/>
      </w:r>
      <w:r>
        <w:rPr>
          <w:i w:val="0"/>
          <w:iCs w:val="0"/>
        </w:rPr>
        <w:fldChar w:fldCharType="begin"/>
      </w:r>
      <w:r>
        <w:rPr>
          <w:i w:val="0"/>
          <w:iCs w:val="0"/>
        </w:rPr>
        <w:instrText xml:space="preserve"> PAGEREF _Toc14209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1AF7D938">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_Toc16854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3.1  投标文件的组成</w:t>
      </w:r>
      <w:r>
        <w:rPr>
          <w:i w:val="0"/>
          <w:iCs w:val="0"/>
        </w:rPr>
        <w:tab/>
      </w:r>
      <w:r>
        <w:rPr>
          <w:i w:val="0"/>
          <w:iCs w:val="0"/>
        </w:rPr>
        <w:fldChar w:fldCharType="begin"/>
      </w:r>
      <w:r>
        <w:rPr>
          <w:i w:val="0"/>
          <w:iCs w:val="0"/>
        </w:rPr>
        <w:instrText xml:space="preserve"> PAGEREF _Toc16854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6216F029">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_Toc11444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3.2  投标报价</w:t>
      </w:r>
      <w:r>
        <w:rPr>
          <w:i w:val="0"/>
          <w:iCs w:val="0"/>
        </w:rPr>
        <w:tab/>
      </w:r>
      <w:r>
        <w:rPr>
          <w:i w:val="0"/>
          <w:iCs w:val="0"/>
        </w:rPr>
        <w:fldChar w:fldCharType="begin"/>
      </w:r>
      <w:r>
        <w:rPr>
          <w:i w:val="0"/>
          <w:iCs w:val="0"/>
        </w:rPr>
        <w:instrText xml:space="preserve"> PAGEREF _Toc11444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30E24A28">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_Toc1973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3.3  投标有效期</w:t>
      </w:r>
      <w:r>
        <w:rPr>
          <w:i w:val="0"/>
          <w:iCs w:val="0"/>
        </w:rPr>
        <w:tab/>
      </w:r>
      <w:r>
        <w:rPr>
          <w:i w:val="0"/>
          <w:iCs w:val="0"/>
        </w:rPr>
        <w:fldChar w:fldCharType="begin"/>
      </w:r>
      <w:r>
        <w:rPr>
          <w:i w:val="0"/>
          <w:iCs w:val="0"/>
        </w:rPr>
        <w:instrText xml:space="preserve"> PAGEREF _Toc1973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694C5AD7">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_Toc14421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3.4  投标</w:t>
      </w:r>
      <w:r>
        <w:rPr>
          <w:rFonts w:hint="eastAsia" w:ascii="宋体" w:hAnsi="宋体"/>
          <w:i w:val="0"/>
          <w:iCs w:val="0"/>
          <w:snapToGrid w:val="0"/>
          <w:szCs w:val="24"/>
          <w:highlight w:val="none"/>
        </w:rPr>
        <w:t>保证金</w:t>
      </w:r>
      <w:r>
        <w:rPr>
          <w:i w:val="0"/>
          <w:iCs w:val="0"/>
        </w:rPr>
        <w:tab/>
      </w:r>
      <w:r>
        <w:rPr>
          <w:i w:val="0"/>
          <w:iCs w:val="0"/>
        </w:rPr>
        <w:fldChar w:fldCharType="begin"/>
      </w:r>
      <w:r>
        <w:rPr>
          <w:i w:val="0"/>
          <w:iCs w:val="0"/>
        </w:rPr>
        <w:instrText xml:space="preserve"> PAGEREF _Toc14421 \h </w:instrText>
      </w:r>
      <w:r>
        <w:rPr>
          <w:i w:val="0"/>
          <w:iCs w:val="0"/>
        </w:rPr>
        <w:fldChar w:fldCharType="separate"/>
      </w:r>
      <w:r>
        <w:rPr>
          <w:i w:val="0"/>
          <w:iCs w:val="0"/>
        </w:rPr>
        <w:t>20</w:t>
      </w:r>
      <w:r>
        <w:rPr>
          <w:i w:val="0"/>
          <w:iCs w:val="0"/>
        </w:rPr>
        <w:fldChar w:fldCharType="end"/>
      </w:r>
      <w:r>
        <w:rPr>
          <w:rFonts w:ascii="宋体" w:hAnsi="宋体"/>
          <w:bCs/>
          <w:i w:val="0"/>
          <w:iCs w:val="0"/>
          <w:color w:val="auto"/>
          <w:szCs w:val="20"/>
          <w:highlight w:val="none"/>
          <w:u w:val="none"/>
          <w:lang w:val="zh-CN"/>
        </w:rPr>
        <w:fldChar w:fldCharType="end"/>
      </w:r>
    </w:p>
    <w:p w14:paraId="544865A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_Toc25665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3.5  资格审查资料</w:t>
      </w:r>
      <w:r>
        <w:rPr>
          <w:i w:val="0"/>
          <w:iCs w:val="0"/>
        </w:rPr>
        <w:tab/>
      </w:r>
      <w:r>
        <w:rPr>
          <w:i w:val="0"/>
          <w:iCs w:val="0"/>
        </w:rPr>
        <w:fldChar w:fldCharType="begin"/>
      </w:r>
      <w:r>
        <w:rPr>
          <w:i w:val="0"/>
          <w:iCs w:val="0"/>
        </w:rPr>
        <w:instrText xml:space="preserve"> PAGEREF _Toc25665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2E266F0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_Toc24324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3.6  备选投标方案</w:t>
      </w:r>
      <w:r>
        <w:rPr>
          <w:i w:val="0"/>
          <w:iCs w:val="0"/>
        </w:rPr>
        <w:tab/>
      </w:r>
      <w:r>
        <w:rPr>
          <w:i w:val="0"/>
          <w:iCs w:val="0"/>
        </w:rPr>
        <w:fldChar w:fldCharType="begin"/>
      </w:r>
      <w:r>
        <w:rPr>
          <w:i w:val="0"/>
          <w:iCs w:val="0"/>
        </w:rPr>
        <w:instrText xml:space="preserve"> PAGEREF _Toc24324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5AB140C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_Toc2899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3.7  投标文件的编制</w:t>
      </w:r>
      <w:r>
        <w:rPr>
          <w:i w:val="0"/>
          <w:iCs w:val="0"/>
        </w:rPr>
        <w:tab/>
      </w:r>
      <w:r>
        <w:rPr>
          <w:i w:val="0"/>
          <w:iCs w:val="0"/>
        </w:rPr>
        <w:fldChar w:fldCharType="begin"/>
      </w:r>
      <w:r>
        <w:rPr>
          <w:i w:val="0"/>
          <w:iCs w:val="0"/>
        </w:rPr>
        <w:instrText xml:space="preserve"> PAGEREF _Toc2899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56573EB1">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_Toc10256 </w:instrText>
      </w:r>
      <w:r>
        <w:rPr>
          <w:rFonts w:ascii="宋体" w:hAnsi="宋体"/>
          <w:bCs/>
          <w:i w:val="0"/>
          <w:iCs w:val="0"/>
          <w:szCs w:val="20"/>
          <w:highlight w:val="none"/>
          <w:lang w:val="zh-CN"/>
        </w:rPr>
        <w:fldChar w:fldCharType="separate"/>
      </w:r>
      <w:r>
        <w:rPr>
          <w:rFonts w:ascii="宋体" w:hAnsi="宋体"/>
          <w:i w:val="0"/>
          <w:iCs w:val="0"/>
          <w:snapToGrid w:val="0"/>
          <w:highlight w:val="none"/>
        </w:rPr>
        <w:t>4.  投标</w:t>
      </w:r>
      <w:r>
        <w:rPr>
          <w:i w:val="0"/>
          <w:iCs w:val="0"/>
        </w:rPr>
        <w:tab/>
      </w:r>
      <w:r>
        <w:rPr>
          <w:i w:val="0"/>
          <w:iCs w:val="0"/>
        </w:rPr>
        <w:fldChar w:fldCharType="begin"/>
      </w:r>
      <w:r>
        <w:rPr>
          <w:i w:val="0"/>
          <w:iCs w:val="0"/>
        </w:rPr>
        <w:instrText xml:space="preserve"> PAGEREF _Toc10256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3F72B5DB">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_Toc18057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4.1  投标文件的密封和标记</w:t>
      </w:r>
      <w:r>
        <w:rPr>
          <w:i w:val="0"/>
          <w:iCs w:val="0"/>
        </w:rPr>
        <w:tab/>
      </w:r>
      <w:r>
        <w:rPr>
          <w:i w:val="0"/>
          <w:iCs w:val="0"/>
        </w:rPr>
        <w:fldChar w:fldCharType="begin"/>
      </w:r>
      <w:r>
        <w:rPr>
          <w:i w:val="0"/>
          <w:iCs w:val="0"/>
        </w:rPr>
        <w:instrText xml:space="preserve"> PAGEREF _Toc18057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13474A4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_Toc16383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4.2  投标文件的递交</w:t>
      </w:r>
      <w:r>
        <w:rPr>
          <w:i w:val="0"/>
          <w:iCs w:val="0"/>
        </w:rPr>
        <w:tab/>
      </w:r>
      <w:r>
        <w:rPr>
          <w:i w:val="0"/>
          <w:iCs w:val="0"/>
        </w:rPr>
        <w:fldChar w:fldCharType="begin"/>
      </w:r>
      <w:r>
        <w:rPr>
          <w:i w:val="0"/>
          <w:iCs w:val="0"/>
        </w:rPr>
        <w:instrText xml:space="preserve"> PAGEREF _Toc16383 \h </w:instrText>
      </w:r>
      <w:r>
        <w:rPr>
          <w:i w:val="0"/>
          <w:iCs w:val="0"/>
        </w:rPr>
        <w:fldChar w:fldCharType="separate"/>
      </w:r>
      <w:r>
        <w:rPr>
          <w:i w:val="0"/>
          <w:iCs w:val="0"/>
        </w:rPr>
        <w:t>21</w:t>
      </w:r>
      <w:r>
        <w:rPr>
          <w:i w:val="0"/>
          <w:iCs w:val="0"/>
        </w:rPr>
        <w:fldChar w:fldCharType="end"/>
      </w:r>
      <w:r>
        <w:rPr>
          <w:rFonts w:ascii="宋体" w:hAnsi="宋体"/>
          <w:bCs/>
          <w:i w:val="0"/>
          <w:iCs w:val="0"/>
          <w:color w:val="auto"/>
          <w:szCs w:val="20"/>
          <w:highlight w:val="none"/>
          <w:u w:val="none"/>
          <w:lang w:val="zh-CN"/>
        </w:rPr>
        <w:fldChar w:fldCharType="end"/>
      </w:r>
    </w:p>
    <w:p w14:paraId="7BC4B67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_Toc31789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4.3  投标文件的修改与撤回</w:t>
      </w:r>
      <w:r>
        <w:rPr>
          <w:i w:val="0"/>
          <w:iCs w:val="0"/>
        </w:rPr>
        <w:tab/>
      </w:r>
      <w:r>
        <w:rPr>
          <w:i w:val="0"/>
          <w:iCs w:val="0"/>
        </w:rPr>
        <w:fldChar w:fldCharType="begin"/>
      </w:r>
      <w:r>
        <w:rPr>
          <w:i w:val="0"/>
          <w:iCs w:val="0"/>
        </w:rPr>
        <w:instrText xml:space="preserve"> PAGEREF _Toc31789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408E8CB4">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_Toc6242 </w:instrText>
      </w:r>
      <w:r>
        <w:rPr>
          <w:rFonts w:ascii="宋体" w:hAnsi="宋体"/>
          <w:bCs/>
          <w:i w:val="0"/>
          <w:iCs w:val="0"/>
          <w:szCs w:val="20"/>
          <w:highlight w:val="none"/>
          <w:lang w:val="zh-CN"/>
        </w:rPr>
        <w:fldChar w:fldCharType="separate"/>
      </w:r>
      <w:r>
        <w:rPr>
          <w:rFonts w:ascii="宋体" w:hAnsi="宋体"/>
          <w:i w:val="0"/>
          <w:iCs w:val="0"/>
          <w:snapToGrid w:val="0"/>
          <w:highlight w:val="none"/>
        </w:rPr>
        <w:t>5.  开标</w:t>
      </w:r>
      <w:r>
        <w:rPr>
          <w:i w:val="0"/>
          <w:iCs w:val="0"/>
        </w:rPr>
        <w:tab/>
      </w:r>
      <w:r>
        <w:rPr>
          <w:i w:val="0"/>
          <w:iCs w:val="0"/>
        </w:rPr>
        <w:fldChar w:fldCharType="begin"/>
      </w:r>
      <w:r>
        <w:rPr>
          <w:i w:val="0"/>
          <w:iCs w:val="0"/>
        </w:rPr>
        <w:instrText xml:space="preserve"> PAGEREF _Toc6242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5026B5D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_Toc12850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5.1  开标时间和地点</w:t>
      </w:r>
      <w:r>
        <w:rPr>
          <w:i w:val="0"/>
          <w:iCs w:val="0"/>
        </w:rPr>
        <w:tab/>
      </w:r>
      <w:r>
        <w:rPr>
          <w:i w:val="0"/>
          <w:iCs w:val="0"/>
        </w:rPr>
        <w:fldChar w:fldCharType="begin"/>
      </w:r>
      <w:r>
        <w:rPr>
          <w:i w:val="0"/>
          <w:iCs w:val="0"/>
        </w:rPr>
        <w:instrText xml:space="preserve"> PAGEREF _Toc12850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3725DB8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_Toc14182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5.2  开标程序</w:t>
      </w:r>
      <w:r>
        <w:rPr>
          <w:i w:val="0"/>
          <w:iCs w:val="0"/>
        </w:rPr>
        <w:tab/>
      </w:r>
      <w:r>
        <w:rPr>
          <w:i w:val="0"/>
          <w:iCs w:val="0"/>
        </w:rPr>
        <w:fldChar w:fldCharType="begin"/>
      </w:r>
      <w:r>
        <w:rPr>
          <w:i w:val="0"/>
          <w:iCs w:val="0"/>
        </w:rPr>
        <w:instrText xml:space="preserve"> PAGEREF _Toc14182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08F1CFF3">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_Toc5646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5.</w:t>
      </w:r>
      <w:r>
        <w:rPr>
          <w:rFonts w:hint="eastAsia" w:ascii="宋体" w:hAnsi="宋体"/>
          <w:i w:val="0"/>
          <w:iCs w:val="0"/>
          <w:snapToGrid w:val="0"/>
          <w:szCs w:val="24"/>
          <w:highlight w:val="none"/>
        </w:rPr>
        <w:t>3</w:t>
      </w:r>
      <w:r>
        <w:rPr>
          <w:rFonts w:ascii="宋体" w:hAnsi="宋体"/>
          <w:i w:val="0"/>
          <w:iCs w:val="0"/>
          <w:snapToGrid w:val="0"/>
          <w:szCs w:val="24"/>
          <w:highlight w:val="none"/>
        </w:rPr>
        <w:t xml:space="preserve">  </w:t>
      </w:r>
      <w:r>
        <w:rPr>
          <w:rFonts w:hint="eastAsia" w:ascii="宋体" w:hAnsi="宋体"/>
          <w:i w:val="0"/>
          <w:iCs w:val="0"/>
          <w:snapToGrid w:val="0"/>
          <w:szCs w:val="24"/>
          <w:highlight w:val="none"/>
        </w:rPr>
        <w:t>开标异议</w:t>
      </w:r>
      <w:r>
        <w:rPr>
          <w:i w:val="0"/>
          <w:iCs w:val="0"/>
        </w:rPr>
        <w:tab/>
      </w:r>
      <w:r>
        <w:rPr>
          <w:i w:val="0"/>
          <w:iCs w:val="0"/>
        </w:rPr>
        <w:fldChar w:fldCharType="begin"/>
      </w:r>
      <w:r>
        <w:rPr>
          <w:i w:val="0"/>
          <w:iCs w:val="0"/>
        </w:rPr>
        <w:instrText xml:space="preserve"> PAGEREF _Toc5646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5D380C02">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_Toc15544 </w:instrText>
      </w:r>
      <w:r>
        <w:rPr>
          <w:rFonts w:ascii="宋体" w:hAnsi="宋体"/>
          <w:bCs/>
          <w:i w:val="0"/>
          <w:iCs w:val="0"/>
          <w:szCs w:val="20"/>
          <w:highlight w:val="none"/>
          <w:lang w:val="zh-CN"/>
        </w:rPr>
        <w:fldChar w:fldCharType="separate"/>
      </w:r>
      <w:r>
        <w:rPr>
          <w:rFonts w:ascii="宋体" w:hAnsi="宋体"/>
          <w:i w:val="0"/>
          <w:iCs w:val="0"/>
          <w:snapToGrid w:val="0"/>
          <w:highlight w:val="none"/>
        </w:rPr>
        <w:t>6.  评标</w:t>
      </w:r>
      <w:r>
        <w:rPr>
          <w:i w:val="0"/>
          <w:iCs w:val="0"/>
        </w:rPr>
        <w:tab/>
      </w:r>
      <w:r>
        <w:rPr>
          <w:i w:val="0"/>
          <w:iCs w:val="0"/>
        </w:rPr>
        <w:fldChar w:fldCharType="begin"/>
      </w:r>
      <w:r>
        <w:rPr>
          <w:i w:val="0"/>
          <w:iCs w:val="0"/>
        </w:rPr>
        <w:instrText xml:space="preserve"> PAGEREF _Toc15544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7E4F3B6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_Toc6276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6.1  评标委员会</w:t>
      </w:r>
      <w:r>
        <w:rPr>
          <w:i w:val="0"/>
          <w:iCs w:val="0"/>
        </w:rPr>
        <w:tab/>
      </w:r>
      <w:r>
        <w:rPr>
          <w:i w:val="0"/>
          <w:iCs w:val="0"/>
        </w:rPr>
        <w:fldChar w:fldCharType="begin"/>
      </w:r>
      <w:r>
        <w:rPr>
          <w:i w:val="0"/>
          <w:iCs w:val="0"/>
        </w:rPr>
        <w:instrText xml:space="preserve"> PAGEREF _Toc6276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172D3674">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_Toc3765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6.2  评标原则</w:t>
      </w:r>
      <w:r>
        <w:rPr>
          <w:i w:val="0"/>
          <w:iCs w:val="0"/>
        </w:rPr>
        <w:tab/>
      </w:r>
      <w:r>
        <w:rPr>
          <w:i w:val="0"/>
          <w:iCs w:val="0"/>
        </w:rPr>
        <w:fldChar w:fldCharType="begin"/>
      </w:r>
      <w:r>
        <w:rPr>
          <w:i w:val="0"/>
          <w:iCs w:val="0"/>
        </w:rPr>
        <w:instrText xml:space="preserve"> PAGEREF _Toc3765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67859CF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_Toc25750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6.3  评标</w:t>
      </w:r>
      <w:r>
        <w:rPr>
          <w:i w:val="0"/>
          <w:iCs w:val="0"/>
        </w:rPr>
        <w:tab/>
      </w:r>
      <w:r>
        <w:rPr>
          <w:i w:val="0"/>
          <w:iCs w:val="0"/>
        </w:rPr>
        <w:fldChar w:fldCharType="begin"/>
      </w:r>
      <w:r>
        <w:rPr>
          <w:i w:val="0"/>
          <w:iCs w:val="0"/>
        </w:rPr>
        <w:instrText xml:space="preserve"> PAGEREF _Toc25750 \h </w:instrText>
      </w:r>
      <w:r>
        <w:rPr>
          <w:i w:val="0"/>
          <w:iCs w:val="0"/>
        </w:rPr>
        <w:fldChar w:fldCharType="separate"/>
      </w:r>
      <w:r>
        <w:rPr>
          <w:i w:val="0"/>
          <w:iCs w:val="0"/>
        </w:rPr>
        <w:t>22</w:t>
      </w:r>
      <w:r>
        <w:rPr>
          <w:i w:val="0"/>
          <w:iCs w:val="0"/>
        </w:rPr>
        <w:fldChar w:fldCharType="end"/>
      </w:r>
      <w:r>
        <w:rPr>
          <w:rFonts w:ascii="宋体" w:hAnsi="宋体"/>
          <w:bCs/>
          <w:i w:val="0"/>
          <w:iCs w:val="0"/>
          <w:color w:val="auto"/>
          <w:szCs w:val="20"/>
          <w:highlight w:val="none"/>
          <w:u w:val="none"/>
          <w:lang w:val="zh-CN"/>
        </w:rPr>
        <w:fldChar w:fldCharType="end"/>
      </w:r>
    </w:p>
    <w:p w14:paraId="3BB9E680">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_Toc31236 </w:instrText>
      </w:r>
      <w:r>
        <w:rPr>
          <w:rFonts w:ascii="宋体" w:hAnsi="宋体"/>
          <w:bCs/>
          <w:i w:val="0"/>
          <w:iCs w:val="0"/>
          <w:szCs w:val="20"/>
          <w:highlight w:val="none"/>
          <w:lang w:val="zh-CN"/>
        </w:rPr>
        <w:fldChar w:fldCharType="separate"/>
      </w:r>
      <w:r>
        <w:rPr>
          <w:rFonts w:ascii="宋体" w:hAnsi="宋体"/>
          <w:i w:val="0"/>
          <w:iCs w:val="0"/>
          <w:snapToGrid w:val="0"/>
          <w:highlight w:val="none"/>
        </w:rPr>
        <w:t>7.  合同授予</w:t>
      </w:r>
      <w:r>
        <w:rPr>
          <w:i w:val="0"/>
          <w:iCs w:val="0"/>
        </w:rPr>
        <w:tab/>
      </w:r>
      <w:r>
        <w:rPr>
          <w:i w:val="0"/>
          <w:iCs w:val="0"/>
        </w:rPr>
        <w:fldChar w:fldCharType="begin"/>
      </w:r>
      <w:r>
        <w:rPr>
          <w:i w:val="0"/>
          <w:iCs w:val="0"/>
        </w:rPr>
        <w:instrText xml:space="preserve"> PAGEREF _Toc31236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05222205">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_Toc29499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7.1  定标方式</w:t>
      </w:r>
      <w:r>
        <w:rPr>
          <w:i w:val="0"/>
          <w:iCs w:val="0"/>
        </w:rPr>
        <w:tab/>
      </w:r>
      <w:r>
        <w:rPr>
          <w:i w:val="0"/>
          <w:iCs w:val="0"/>
        </w:rPr>
        <w:fldChar w:fldCharType="begin"/>
      </w:r>
      <w:r>
        <w:rPr>
          <w:i w:val="0"/>
          <w:iCs w:val="0"/>
        </w:rPr>
        <w:instrText xml:space="preserve"> PAGEREF _Toc29499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736D815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_Toc7940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7.2  中标公示及中标通知</w:t>
      </w:r>
      <w:r>
        <w:rPr>
          <w:i w:val="0"/>
          <w:iCs w:val="0"/>
        </w:rPr>
        <w:tab/>
      </w:r>
      <w:r>
        <w:rPr>
          <w:i w:val="0"/>
          <w:iCs w:val="0"/>
        </w:rPr>
        <w:fldChar w:fldCharType="begin"/>
      </w:r>
      <w:r>
        <w:rPr>
          <w:i w:val="0"/>
          <w:iCs w:val="0"/>
        </w:rPr>
        <w:instrText xml:space="preserve"> PAGEREF _Toc7940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0758AEF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_Toc18828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7.3  履约担保</w:t>
      </w:r>
      <w:r>
        <w:rPr>
          <w:i w:val="0"/>
          <w:iCs w:val="0"/>
        </w:rPr>
        <w:tab/>
      </w:r>
      <w:r>
        <w:rPr>
          <w:i w:val="0"/>
          <w:iCs w:val="0"/>
        </w:rPr>
        <w:fldChar w:fldCharType="begin"/>
      </w:r>
      <w:r>
        <w:rPr>
          <w:i w:val="0"/>
          <w:iCs w:val="0"/>
        </w:rPr>
        <w:instrText xml:space="preserve"> PAGEREF _Toc18828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36E429D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_Toc9148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7.4  签订合同</w:t>
      </w:r>
      <w:r>
        <w:rPr>
          <w:i w:val="0"/>
          <w:iCs w:val="0"/>
        </w:rPr>
        <w:tab/>
      </w:r>
      <w:r>
        <w:rPr>
          <w:i w:val="0"/>
          <w:iCs w:val="0"/>
        </w:rPr>
        <w:fldChar w:fldCharType="begin"/>
      </w:r>
      <w:r>
        <w:rPr>
          <w:i w:val="0"/>
          <w:iCs w:val="0"/>
        </w:rPr>
        <w:instrText xml:space="preserve"> PAGEREF _Toc9148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49944BCA">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_Toc7552 </w:instrText>
      </w:r>
      <w:r>
        <w:rPr>
          <w:rFonts w:ascii="宋体" w:hAnsi="宋体"/>
          <w:bCs/>
          <w:i w:val="0"/>
          <w:iCs w:val="0"/>
          <w:szCs w:val="20"/>
          <w:highlight w:val="none"/>
          <w:lang w:val="zh-CN"/>
        </w:rPr>
        <w:fldChar w:fldCharType="separate"/>
      </w:r>
      <w:r>
        <w:rPr>
          <w:rFonts w:ascii="宋体" w:hAnsi="宋体"/>
          <w:i w:val="0"/>
          <w:iCs w:val="0"/>
          <w:snapToGrid w:val="0"/>
          <w:highlight w:val="none"/>
        </w:rPr>
        <w:t>8.  重新</w:t>
      </w:r>
      <w:r>
        <w:rPr>
          <w:rFonts w:hint="eastAsia" w:ascii="宋体" w:hAnsi="宋体"/>
          <w:i w:val="0"/>
          <w:iCs w:val="0"/>
          <w:snapToGrid w:val="0"/>
          <w:highlight w:val="none"/>
          <w:lang w:eastAsia="zh-CN"/>
        </w:rPr>
        <w:t>比选</w:t>
      </w:r>
      <w:r>
        <w:rPr>
          <w:rFonts w:ascii="宋体" w:hAnsi="宋体"/>
          <w:i w:val="0"/>
          <w:iCs w:val="0"/>
          <w:snapToGrid w:val="0"/>
          <w:highlight w:val="none"/>
        </w:rPr>
        <w:t>和不再</w:t>
      </w:r>
      <w:r>
        <w:rPr>
          <w:rFonts w:hint="eastAsia" w:ascii="宋体" w:hAnsi="宋体"/>
          <w:i w:val="0"/>
          <w:iCs w:val="0"/>
          <w:snapToGrid w:val="0"/>
          <w:highlight w:val="none"/>
          <w:lang w:eastAsia="zh-CN"/>
        </w:rPr>
        <w:t>比选</w:t>
      </w:r>
      <w:r>
        <w:rPr>
          <w:i w:val="0"/>
          <w:iCs w:val="0"/>
        </w:rPr>
        <w:tab/>
      </w:r>
      <w:r>
        <w:rPr>
          <w:i w:val="0"/>
          <w:iCs w:val="0"/>
        </w:rPr>
        <w:fldChar w:fldCharType="begin"/>
      </w:r>
      <w:r>
        <w:rPr>
          <w:i w:val="0"/>
          <w:iCs w:val="0"/>
        </w:rPr>
        <w:instrText xml:space="preserve"> PAGEREF _Toc7552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1340D38B">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_Toc5675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8.1  重新</w:t>
      </w:r>
      <w:r>
        <w:rPr>
          <w:rFonts w:hint="eastAsia" w:ascii="宋体" w:hAnsi="宋体"/>
          <w:i w:val="0"/>
          <w:iCs w:val="0"/>
          <w:snapToGrid w:val="0"/>
          <w:szCs w:val="24"/>
          <w:highlight w:val="none"/>
          <w:lang w:eastAsia="zh-CN"/>
        </w:rPr>
        <w:t>比选</w:t>
      </w:r>
      <w:r>
        <w:rPr>
          <w:i w:val="0"/>
          <w:iCs w:val="0"/>
        </w:rPr>
        <w:tab/>
      </w:r>
      <w:r>
        <w:rPr>
          <w:i w:val="0"/>
          <w:iCs w:val="0"/>
        </w:rPr>
        <w:fldChar w:fldCharType="begin"/>
      </w:r>
      <w:r>
        <w:rPr>
          <w:i w:val="0"/>
          <w:iCs w:val="0"/>
        </w:rPr>
        <w:instrText xml:space="preserve"> PAGEREF _Toc5675 \h </w:instrText>
      </w:r>
      <w:r>
        <w:rPr>
          <w:i w:val="0"/>
          <w:iCs w:val="0"/>
        </w:rPr>
        <w:fldChar w:fldCharType="separate"/>
      </w:r>
      <w:r>
        <w:rPr>
          <w:i w:val="0"/>
          <w:iCs w:val="0"/>
        </w:rPr>
        <w:t>23</w:t>
      </w:r>
      <w:r>
        <w:rPr>
          <w:i w:val="0"/>
          <w:iCs w:val="0"/>
        </w:rPr>
        <w:fldChar w:fldCharType="end"/>
      </w:r>
      <w:r>
        <w:rPr>
          <w:rFonts w:ascii="宋体" w:hAnsi="宋体"/>
          <w:bCs/>
          <w:i w:val="0"/>
          <w:iCs w:val="0"/>
          <w:color w:val="auto"/>
          <w:szCs w:val="20"/>
          <w:highlight w:val="none"/>
          <w:u w:val="none"/>
          <w:lang w:val="zh-CN"/>
        </w:rPr>
        <w:fldChar w:fldCharType="end"/>
      </w:r>
    </w:p>
    <w:p w14:paraId="61436C9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_Toc15733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8.2  二次</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和不再</w:t>
      </w:r>
      <w:r>
        <w:rPr>
          <w:rFonts w:hint="eastAsia" w:ascii="宋体" w:hAnsi="宋体"/>
          <w:i w:val="0"/>
          <w:iCs w:val="0"/>
          <w:snapToGrid w:val="0"/>
          <w:szCs w:val="24"/>
          <w:highlight w:val="none"/>
          <w:lang w:eastAsia="zh-CN"/>
        </w:rPr>
        <w:t>比选</w:t>
      </w:r>
      <w:r>
        <w:rPr>
          <w:i w:val="0"/>
          <w:iCs w:val="0"/>
        </w:rPr>
        <w:tab/>
      </w:r>
      <w:r>
        <w:rPr>
          <w:i w:val="0"/>
          <w:iCs w:val="0"/>
        </w:rPr>
        <w:fldChar w:fldCharType="begin"/>
      </w:r>
      <w:r>
        <w:rPr>
          <w:i w:val="0"/>
          <w:iCs w:val="0"/>
        </w:rPr>
        <w:instrText xml:space="preserve"> PAGEREF _Toc15733 \h </w:instrText>
      </w:r>
      <w:r>
        <w:rPr>
          <w:i w:val="0"/>
          <w:iCs w:val="0"/>
        </w:rPr>
        <w:fldChar w:fldCharType="separate"/>
      </w:r>
      <w:r>
        <w:rPr>
          <w:i w:val="0"/>
          <w:iCs w:val="0"/>
        </w:rPr>
        <w:t>24</w:t>
      </w:r>
      <w:r>
        <w:rPr>
          <w:i w:val="0"/>
          <w:iCs w:val="0"/>
        </w:rPr>
        <w:fldChar w:fldCharType="end"/>
      </w:r>
      <w:r>
        <w:rPr>
          <w:rFonts w:ascii="宋体" w:hAnsi="宋体"/>
          <w:bCs/>
          <w:i w:val="0"/>
          <w:iCs w:val="0"/>
          <w:color w:val="auto"/>
          <w:szCs w:val="20"/>
          <w:highlight w:val="none"/>
          <w:u w:val="none"/>
          <w:lang w:val="zh-CN"/>
        </w:rPr>
        <w:fldChar w:fldCharType="end"/>
      </w:r>
    </w:p>
    <w:p w14:paraId="3CB82125">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_Toc2597 </w:instrText>
      </w:r>
      <w:r>
        <w:rPr>
          <w:rFonts w:ascii="宋体" w:hAnsi="宋体"/>
          <w:bCs/>
          <w:i w:val="0"/>
          <w:iCs w:val="0"/>
          <w:szCs w:val="20"/>
          <w:highlight w:val="none"/>
          <w:lang w:val="zh-CN"/>
        </w:rPr>
        <w:fldChar w:fldCharType="separate"/>
      </w:r>
      <w:r>
        <w:rPr>
          <w:rFonts w:ascii="宋体" w:hAnsi="宋体"/>
          <w:i w:val="0"/>
          <w:iCs w:val="0"/>
          <w:snapToGrid w:val="0"/>
          <w:highlight w:val="none"/>
        </w:rPr>
        <w:t>9.  纪律和监督</w:t>
      </w:r>
      <w:r>
        <w:rPr>
          <w:i w:val="0"/>
          <w:iCs w:val="0"/>
        </w:rPr>
        <w:tab/>
      </w:r>
      <w:r>
        <w:rPr>
          <w:i w:val="0"/>
          <w:iCs w:val="0"/>
        </w:rPr>
        <w:fldChar w:fldCharType="begin"/>
      </w:r>
      <w:r>
        <w:rPr>
          <w:i w:val="0"/>
          <w:iCs w:val="0"/>
        </w:rPr>
        <w:instrText xml:space="preserve"> PAGEREF _Toc2597 \h </w:instrText>
      </w:r>
      <w:r>
        <w:rPr>
          <w:i w:val="0"/>
          <w:iCs w:val="0"/>
        </w:rPr>
        <w:fldChar w:fldCharType="separate"/>
      </w:r>
      <w:r>
        <w:rPr>
          <w:i w:val="0"/>
          <w:iCs w:val="0"/>
        </w:rPr>
        <w:t>24</w:t>
      </w:r>
      <w:r>
        <w:rPr>
          <w:i w:val="0"/>
          <w:iCs w:val="0"/>
        </w:rPr>
        <w:fldChar w:fldCharType="end"/>
      </w:r>
      <w:r>
        <w:rPr>
          <w:rFonts w:ascii="宋体" w:hAnsi="宋体"/>
          <w:bCs/>
          <w:i w:val="0"/>
          <w:iCs w:val="0"/>
          <w:color w:val="auto"/>
          <w:szCs w:val="20"/>
          <w:highlight w:val="none"/>
          <w:u w:val="none"/>
          <w:lang w:val="zh-CN"/>
        </w:rPr>
        <w:fldChar w:fldCharType="end"/>
      </w:r>
    </w:p>
    <w:p w14:paraId="12A29A3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_Toc14616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9.1  对</w:t>
      </w:r>
      <w:r>
        <w:rPr>
          <w:rFonts w:hint="eastAsia" w:ascii="宋体" w:hAnsi="宋体"/>
          <w:i w:val="0"/>
          <w:iCs w:val="0"/>
          <w:snapToGrid w:val="0"/>
          <w:szCs w:val="24"/>
          <w:highlight w:val="none"/>
          <w:lang w:eastAsia="zh-CN"/>
        </w:rPr>
        <w:t>比选</w:t>
      </w:r>
      <w:r>
        <w:rPr>
          <w:rFonts w:ascii="宋体" w:hAnsi="宋体"/>
          <w:i w:val="0"/>
          <w:iCs w:val="0"/>
          <w:snapToGrid w:val="0"/>
          <w:szCs w:val="24"/>
          <w:highlight w:val="none"/>
        </w:rPr>
        <w:t>人的纪律要求</w:t>
      </w:r>
      <w:r>
        <w:rPr>
          <w:i w:val="0"/>
          <w:iCs w:val="0"/>
        </w:rPr>
        <w:tab/>
      </w:r>
      <w:r>
        <w:rPr>
          <w:i w:val="0"/>
          <w:iCs w:val="0"/>
        </w:rPr>
        <w:fldChar w:fldCharType="begin"/>
      </w:r>
      <w:r>
        <w:rPr>
          <w:i w:val="0"/>
          <w:iCs w:val="0"/>
        </w:rPr>
        <w:instrText xml:space="preserve"> PAGEREF _Toc14616 \h </w:instrText>
      </w:r>
      <w:r>
        <w:rPr>
          <w:i w:val="0"/>
          <w:iCs w:val="0"/>
        </w:rPr>
        <w:fldChar w:fldCharType="separate"/>
      </w:r>
      <w:r>
        <w:rPr>
          <w:i w:val="0"/>
          <w:iCs w:val="0"/>
        </w:rPr>
        <w:t>24</w:t>
      </w:r>
      <w:r>
        <w:rPr>
          <w:i w:val="0"/>
          <w:iCs w:val="0"/>
        </w:rPr>
        <w:fldChar w:fldCharType="end"/>
      </w:r>
      <w:r>
        <w:rPr>
          <w:rFonts w:ascii="宋体" w:hAnsi="宋体"/>
          <w:bCs/>
          <w:i w:val="0"/>
          <w:iCs w:val="0"/>
          <w:color w:val="auto"/>
          <w:szCs w:val="20"/>
          <w:highlight w:val="none"/>
          <w:u w:val="none"/>
          <w:lang w:val="zh-CN"/>
        </w:rPr>
        <w:fldChar w:fldCharType="end"/>
      </w:r>
    </w:p>
    <w:p w14:paraId="0ACD315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_Toc5929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9.2  对投标人的纪律要求</w:t>
      </w:r>
      <w:r>
        <w:rPr>
          <w:i w:val="0"/>
          <w:iCs w:val="0"/>
        </w:rPr>
        <w:tab/>
      </w:r>
      <w:r>
        <w:rPr>
          <w:i w:val="0"/>
          <w:iCs w:val="0"/>
        </w:rPr>
        <w:fldChar w:fldCharType="begin"/>
      </w:r>
      <w:r>
        <w:rPr>
          <w:i w:val="0"/>
          <w:iCs w:val="0"/>
        </w:rPr>
        <w:instrText xml:space="preserve"> PAGEREF _Toc5929 \h </w:instrText>
      </w:r>
      <w:r>
        <w:rPr>
          <w:i w:val="0"/>
          <w:iCs w:val="0"/>
        </w:rPr>
        <w:fldChar w:fldCharType="separate"/>
      </w:r>
      <w:r>
        <w:rPr>
          <w:i w:val="0"/>
          <w:iCs w:val="0"/>
        </w:rPr>
        <w:t>24</w:t>
      </w:r>
      <w:r>
        <w:rPr>
          <w:i w:val="0"/>
          <w:iCs w:val="0"/>
        </w:rPr>
        <w:fldChar w:fldCharType="end"/>
      </w:r>
      <w:r>
        <w:rPr>
          <w:rFonts w:ascii="宋体" w:hAnsi="宋体"/>
          <w:bCs/>
          <w:i w:val="0"/>
          <w:iCs w:val="0"/>
          <w:color w:val="auto"/>
          <w:szCs w:val="20"/>
          <w:highlight w:val="none"/>
          <w:u w:val="none"/>
          <w:lang w:val="zh-CN"/>
        </w:rPr>
        <w:fldChar w:fldCharType="end"/>
      </w:r>
    </w:p>
    <w:p w14:paraId="27E2F3B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_Toc32358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9.3  对评标委员会成员的纪律要求</w:t>
      </w:r>
      <w:r>
        <w:rPr>
          <w:i w:val="0"/>
          <w:iCs w:val="0"/>
        </w:rPr>
        <w:tab/>
      </w:r>
      <w:r>
        <w:rPr>
          <w:i w:val="0"/>
          <w:iCs w:val="0"/>
        </w:rPr>
        <w:fldChar w:fldCharType="begin"/>
      </w:r>
      <w:r>
        <w:rPr>
          <w:i w:val="0"/>
          <w:iCs w:val="0"/>
        </w:rPr>
        <w:instrText xml:space="preserve"> PAGEREF _Toc32358 \h </w:instrText>
      </w:r>
      <w:r>
        <w:rPr>
          <w:i w:val="0"/>
          <w:iCs w:val="0"/>
        </w:rPr>
        <w:fldChar w:fldCharType="separate"/>
      </w:r>
      <w:r>
        <w:rPr>
          <w:i w:val="0"/>
          <w:iCs w:val="0"/>
        </w:rPr>
        <w:t>25</w:t>
      </w:r>
      <w:r>
        <w:rPr>
          <w:i w:val="0"/>
          <w:iCs w:val="0"/>
        </w:rPr>
        <w:fldChar w:fldCharType="end"/>
      </w:r>
      <w:r>
        <w:rPr>
          <w:rFonts w:ascii="宋体" w:hAnsi="宋体"/>
          <w:bCs/>
          <w:i w:val="0"/>
          <w:iCs w:val="0"/>
          <w:color w:val="auto"/>
          <w:szCs w:val="20"/>
          <w:highlight w:val="none"/>
          <w:u w:val="none"/>
          <w:lang w:val="zh-CN"/>
        </w:rPr>
        <w:fldChar w:fldCharType="end"/>
      </w:r>
    </w:p>
    <w:p w14:paraId="6DDDB3E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_Toc15825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9.4  对与评标活动有关的工作人员的纪律要求</w:t>
      </w:r>
      <w:r>
        <w:rPr>
          <w:i w:val="0"/>
          <w:iCs w:val="0"/>
        </w:rPr>
        <w:tab/>
      </w:r>
      <w:r>
        <w:rPr>
          <w:i w:val="0"/>
          <w:iCs w:val="0"/>
        </w:rPr>
        <w:fldChar w:fldCharType="begin"/>
      </w:r>
      <w:r>
        <w:rPr>
          <w:i w:val="0"/>
          <w:iCs w:val="0"/>
        </w:rPr>
        <w:instrText xml:space="preserve"> PAGEREF _Toc15825 \h </w:instrText>
      </w:r>
      <w:r>
        <w:rPr>
          <w:i w:val="0"/>
          <w:iCs w:val="0"/>
        </w:rPr>
        <w:fldChar w:fldCharType="separate"/>
      </w:r>
      <w:r>
        <w:rPr>
          <w:i w:val="0"/>
          <w:iCs w:val="0"/>
        </w:rPr>
        <w:t>25</w:t>
      </w:r>
      <w:r>
        <w:rPr>
          <w:i w:val="0"/>
          <w:iCs w:val="0"/>
        </w:rPr>
        <w:fldChar w:fldCharType="end"/>
      </w:r>
      <w:r>
        <w:rPr>
          <w:rFonts w:ascii="宋体" w:hAnsi="宋体"/>
          <w:bCs/>
          <w:i w:val="0"/>
          <w:iCs w:val="0"/>
          <w:color w:val="auto"/>
          <w:szCs w:val="20"/>
          <w:highlight w:val="none"/>
          <w:u w:val="none"/>
          <w:lang w:val="zh-CN"/>
        </w:rPr>
        <w:fldChar w:fldCharType="end"/>
      </w:r>
    </w:p>
    <w:p w14:paraId="150B8BB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_Toc29660 </w:instrText>
      </w:r>
      <w:r>
        <w:rPr>
          <w:rFonts w:ascii="宋体" w:hAnsi="宋体"/>
          <w:bCs/>
          <w:i w:val="0"/>
          <w:iCs w:val="0"/>
          <w:szCs w:val="20"/>
          <w:highlight w:val="none"/>
          <w:lang w:val="zh-CN"/>
        </w:rPr>
        <w:fldChar w:fldCharType="separate"/>
      </w:r>
      <w:r>
        <w:rPr>
          <w:rFonts w:ascii="宋体" w:hAnsi="宋体"/>
          <w:i w:val="0"/>
          <w:iCs w:val="0"/>
          <w:snapToGrid w:val="0"/>
          <w:szCs w:val="24"/>
          <w:highlight w:val="none"/>
        </w:rPr>
        <w:t>9.5  投诉</w:t>
      </w:r>
      <w:r>
        <w:rPr>
          <w:i w:val="0"/>
          <w:iCs w:val="0"/>
        </w:rPr>
        <w:tab/>
      </w:r>
      <w:r>
        <w:rPr>
          <w:i w:val="0"/>
          <w:iCs w:val="0"/>
        </w:rPr>
        <w:fldChar w:fldCharType="begin"/>
      </w:r>
      <w:r>
        <w:rPr>
          <w:i w:val="0"/>
          <w:iCs w:val="0"/>
        </w:rPr>
        <w:instrText xml:space="preserve"> PAGEREF _Toc29660 \h </w:instrText>
      </w:r>
      <w:r>
        <w:rPr>
          <w:i w:val="0"/>
          <w:iCs w:val="0"/>
        </w:rPr>
        <w:fldChar w:fldCharType="separate"/>
      </w:r>
      <w:r>
        <w:rPr>
          <w:i w:val="0"/>
          <w:iCs w:val="0"/>
        </w:rPr>
        <w:t>25</w:t>
      </w:r>
      <w:r>
        <w:rPr>
          <w:i w:val="0"/>
          <w:iCs w:val="0"/>
        </w:rPr>
        <w:fldChar w:fldCharType="end"/>
      </w:r>
      <w:r>
        <w:rPr>
          <w:rFonts w:ascii="宋体" w:hAnsi="宋体"/>
          <w:bCs/>
          <w:i w:val="0"/>
          <w:iCs w:val="0"/>
          <w:color w:val="auto"/>
          <w:szCs w:val="20"/>
          <w:highlight w:val="none"/>
          <w:u w:val="none"/>
          <w:lang w:val="zh-CN"/>
        </w:rPr>
        <w:fldChar w:fldCharType="end"/>
      </w:r>
    </w:p>
    <w:p w14:paraId="52568E33">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_Toc14791 </w:instrText>
      </w:r>
      <w:r>
        <w:rPr>
          <w:rFonts w:ascii="宋体" w:hAnsi="宋体"/>
          <w:bCs/>
          <w:i w:val="0"/>
          <w:iCs w:val="0"/>
          <w:szCs w:val="20"/>
          <w:highlight w:val="none"/>
          <w:lang w:val="zh-CN"/>
        </w:rPr>
        <w:fldChar w:fldCharType="separate"/>
      </w:r>
      <w:r>
        <w:rPr>
          <w:rFonts w:ascii="宋体" w:hAnsi="宋体"/>
          <w:i w:val="0"/>
          <w:iCs w:val="0"/>
          <w:snapToGrid w:val="0"/>
          <w:highlight w:val="none"/>
        </w:rPr>
        <w:t>10. 需要补充的其他内容</w:t>
      </w:r>
      <w:r>
        <w:rPr>
          <w:i w:val="0"/>
          <w:iCs w:val="0"/>
        </w:rPr>
        <w:tab/>
      </w:r>
      <w:r>
        <w:rPr>
          <w:i w:val="0"/>
          <w:iCs w:val="0"/>
        </w:rPr>
        <w:fldChar w:fldCharType="begin"/>
      </w:r>
      <w:r>
        <w:rPr>
          <w:i w:val="0"/>
          <w:iCs w:val="0"/>
        </w:rPr>
        <w:instrText xml:space="preserve"> PAGEREF _Toc14791 \h </w:instrText>
      </w:r>
      <w:r>
        <w:rPr>
          <w:i w:val="0"/>
          <w:iCs w:val="0"/>
        </w:rPr>
        <w:fldChar w:fldCharType="separate"/>
      </w:r>
      <w:r>
        <w:rPr>
          <w:i w:val="0"/>
          <w:iCs w:val="0"/>
        </w:rPr>
        <w:t>25</w:t>
      </w:r>
      <w:r>
        <w:rPr>
          <w:i w:val="0"/>
          <w:iCs w:val="0"/>
        </w:rPr>
        <w:fldChar w:fldCharType="end"/>
      </w:r>
      <w:r>
        <w:rPr>
          <w:rFonts w:ascii="宋体" w:hAnsi="宋体"/>
          <w:bCs/>
          <w:i w:val="0"/>
          <w:iCs w:val="0"/>
          <w:color w:val="auto"/>
          <w:szCs w:val="20"/>
          <w:highlight w:val="none"/>
          <w:u w:val="none"/>
          <w:lang w:val="zh-CN"/>
        </w:rPr>
        <w:fldChar w:fldCharType="end"/>
      </w:r>
    </w:p>
    <w:p w14:paraId="3E49CB53">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_Toc8470 </w:instrText>
      </w:r>
      <w:r>
        <w:rPr>
          <w:rFonts w:ascii="宋体" w:hAnsi="宋体"/>
          <w:bCs/>
          <w:i w:val="0"/>
          <w:iCs w:val="0"/>
          <w:szCs w:val="20"/>
          <w:highlight w:val="none"/>
          <w:lang w:val="zh-CN"/>
        </w:rPr>
        <w:fldChar w:fldCharType="separate"/>
      </w:r>
      <w:r>
        <w:rPr>
          <w:rFonts w:ascii="宋体" w:hAnsi="宋体"/>
          <w:i w:val="0"/>
          <w:iCs w:val="0"/>
          <w:snapToGrid w:val="0"/>
          <w:kern w:val="0"/>
        </w:rPr>
        <w:t xml:space="preserve">第三章 </w:t>
      </w:r>
      <w:r>
        <w:rPr>
          <w:rFonts w:hint="eastAsia" w:ascii="宋体" w:hAnsi="宋体"/>
          <w:i w:val="0"/>
          <w:iCs w:val="0"/>
          <w:snapToGrid w:val="0"/>
          <w:kern w:val="0"/>
        </w:rPr>
        <w:t xml:space="preserve"> </w:t>
      </w:r>
      <w:r>
        <w:rPr>
          <w:rFonts w:ascii="宋体" w:hAnsi="宋体"/>
          <w:i w:val="0"/>
          <w:iCs w:val="0"/>
          <w:snapToGrid w:val="0"/>
          <w:kern w:val="0"/>
        </w:rPr>
        <w:t>评标办法（</w:t>
      </w:r>
      <w:r>
        <w:rPr>
          <w:rFonts w:hint="eastAsia" w:ascii="宋体" w:hAnsi="宋体"/>
          <w:i w:val="0"/>
          <w:iCs w:val="0"/>
          <w:snapToGrid w:val="0"/>
          <w:kern w:val="0"/>
        </w:rPr>
        <w:t>经评审的最低投标价法</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_Toc8470 \h </w:instrText>
      </w:r>
      <w:r>
        <w:rPr>
          <w:i w:val="0"/>
          <w:iCs w:val="0"/>
        </w:rPr>
        <w:fldChar w:fldCharType="separate"/>
      </w:r>
      <w:r>
        <w:rPr>
          <w:i w:val="0"/>
          <w:iCs w:val="0"/>
        </w:rPr>
        <w:t>30</w:t>
      </w:r>
      <w:r>
        <w:rPr>
          <w:i w:val="0"/>
          <w:iCs w:val="0"/>
        </w:rPr>
        <w:fldChar w:fldCharType="end"/>
      </w:r>
      <w:r>
        <w:rPr>
          <w:rFonts w:ascii="宋体" w:hAnsi="宋体"/>
          <w:bCs/>
          <w:i w:val="0"/>
          <w:iCs w:val="0"/>
          <w:color w:val="auto"/>
          <w:szCs w:val="20"/>
          <w:highlight w:val="none"/>
          <w:u w:val="none"/>
          <w:lang w:val="zh-CN"/>
        </w:rPr>
        <w:fldChar w:fldCharType="end"/>
      </w:r>
    </w:p>
    <w:p w14:paraId="77E1B733">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_Toc11366 </w:instrText>
      </w:r>
      <w:r>
        <w:rPr>
          <w:rFonts w:ascii="宋体" w:hAnsi="宋体"/>
          <w:bCs/>
          <w:i w:val="0"/>
          <w:iCs w:val="0"/>
          <w:szCs w:val="20"/>
          <w:highlight w:val="none"/>
          <w:lang w:val="zh-CN"/>
        </w:rPr>
        <w:fldChar w:fldCharType="separate"/>
      </w:r>
      <w:r>
        <w:rPr>
          <w:rFonts w:hint="eastAsia" w:ascii="宋体" w:hAnsi="宋体"/>
          <w:i w:val="0"/>
          <w:iCs w:val="0"/>
          <w:szCs w:val="32"/>
        </w:rPr>
        <w:t>评标办法前附表</w:t>
      </w:r>
      <w:r>
        <w:rPr>
          <w:i w:val="0"/>
          <w:iCs w:val="0"/>
        </w:rPr>
        <w:tab/>
      </w:r>
      <w:r>
        <w:rPr>
          <w:i w:val="0"/>
          <w:iCs w:val="0"/>
        </w:rPr>
        <w:fldChar w:fldCharType="begin"/>
      </w:r>
      <w:r>
        <w:rPr>
          <w:i w:val="0"/>
          <w:iCs w:val="0"/>
        </w:rPr>
        <w:instrText xml:space="preserve"> PAGEREF _Toc11366 \h </w:instrText>
      </w:r>
      <w:r>
        <w:rPr>
          <w:i w:val="0"/>
          <w:iCs w:val="0"/>
        </w:rPr>
        <w:fldChar w:fldCharType="separate"/>
      </w:r>
      <w:r>
        <w:rPr>
          <w:i w:val="0"/>
          <w:iCs w:val="0"/>
        </w:rPr>
        <w:t>30</w:t>
      </w:r>
      <w:r>
        <w:rPr>
          <w:i w:val="0"/>
          <w:iCs w:val="0"/>
        </w:rPr>
        <w:fldChar w:fldCharType="end"/>
      </w:r>
      <w:r>
        <w:rPr>
          <w:rFonts w:ascii="宋体" w:hAnsi="宋体"/>
          <w:bCs/>
          <w:i w:val="0"/>
          <w:iCs w:val="0"/>
          <w:color w:val="auto"/>
          <w:szCs w:val="20"/>
          <w:highlight w:val="none"/>
          <w:u w:val="none"/>
          <w:lang w:val="zh-CN"/>
        </w:rPr>
        <w:fldChar w:fldCharType="end"/>
      </w:r>
    </w:p>
    <w:p w14:paraId="24032157">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_Toc16745 </w:instrText>
      </w:r>
      <w:r>
        <w:rPr>
          <w:rFonts w:ascii="宋体" w:hAnsi="宋体"/>
          <w:bCs/>
          <w:i w:val="0"/>
          <w:iCs w:val="0"/>
          <w:szCs w:val="20"/>
          <w:highlight w:val="none"/>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_Toc16745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5E3E2B15">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_Toc11640 </w:instrText>
      </w:r>
      <w:r>
        <w:rPr>
          <w:rFonts w:ascii="宋体" w:hAnsi="宋体"/>
          <w:bCs/>
          <w:i w:val="0"/>
          <w:iCs w:val="0"/>
          <w:szCs w:val="20"/>
          <w:highlight w:val="none"/>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_Toc11640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42BDEB32">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_Toc14391 </w:instrText>
      </w:r>
      <w:r>
        <w:rPr>
          <w:rFonts w:ascii="宋体" w:hAnsi="宋体"/>
          <w:bCs/>
          <w:i w:val="0"/>
          <w:iCs w:val="0"/>
          <w:szCs w:val="20"/>
          <w:highlight w:val="none"/>
          <w:lang w:val="zh-CN"/>
        </w:rPr>
        <w:fldChar w:fldCharType="separate"/>
      </w:r>
      <w:r>
        <w:rPr>
          <w:rFonts w:ascii="宋体" w:hAnsi="宋体" w:cs="宋体"/>
          <w:i w:val="0"/>
          <w:iCs w:val="0"/>
          <w:szCs w:val="21"/>
        </w:rPr>
        <w:t>2.1</w:t>
      </w:r>
      <w:r>
        <w:rPr>
          <w:rFonts w:hint="eastAsia" w:ascii="宋体" w:hAnsi="宋体" w:cs="宋体"/>
          <w:i w:val="0"/>
          <w:iCs w:val="0"/>
          <w:szCs w:val="21"/>
        </w:rPr>
        <w:t>报价</w:t>
      </w:r>
      <w:r>
        <w:rPr>
          <w:rFonts w:ascii="宋体" w:hAnsi="宋体" w:cs="宋体"/>
          <w:i w:val="0"/>
          <w:iCs w:val="0"/>
          <w:szCs w:val="21"/>
        </w:rPr>
        <w:t>排序</w:t>
      </w:r>
      <w:r>
        <w:rPr>
          <w:rFonts w:hint="eastAsia" w:ascii="宋体" w:hAnsi="宋体" w:cs="宋体"/>
          <w:i w:val="0"/>
          <w:iCs w:val="0"/>
          <w:szCs w:val="21"/>
        </w:rPr>
        <w:t>标准</w:t>
      </w:r>
      <w:r>
        <w:rPr>
          <w:i w:val="0"/>
          <w:iCs w:val="0"/>
        </w:rPr>
        <w:tab/>
      </w:r>
      <w:r>
        <w:rPr>
          <w:i w:val="0"/>
          <w:iCs w:val="0"/>
        </w:rPr>
        <w:fldChar w:fldCharType="begin"/>
      </w:r>
      <w:r>
        <w:rPr>
          <w:i w:val="0"/>
          <w:iCs w:val="0"/>
        </w:rPr>
        <w:instrText xml:space="preserve"> PAGEREF _Toc14391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4A173772">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_Toc31394 </w:instrText>
      </w:r>
      <w:r>
        <w:rPr>
          <w:rFonts w:ascii="宋体" w:hAnsi="宋体"/>
          <w:bCs/>
          <w:i w:val="0"/>
          <w:iCs w:val="0"/>
          <w:szCs w:val="20"/>
          <w:highlight w:val="none"/>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_Toc31394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4F000CC8">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_Toc23832 </w:instrText>
      </w:r>
      <w:r>
        <w:rPr>
          <w:rFonts w:ascii="宋体" w:hAnsi="宋体"/>
          <w:bCs/>
          <w:i w:val="0"/>
          <w:iCs w:val="0"/>
          <w:szCs w:val="20"/>
          <w:highlight w:val="none"/>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_Toc23832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14D8541E">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_Toc900 </w:instrText>
      </w:r>
      <w:r>
        <w:rPr>
          <w:rFonts w:ascii="宋体" w:hAnsi="宋体"/>
          <w:bCs/>
          <w:i w:val="0"/>
          <w:iCs w:val="0"/>
          <w:szCs w:val="20"/>
          <w:highlight w:val="none"/>
          <w:lang w:val="zh-CN"/>
        </w:rPr>
        <w:fldChar w:fldCharType="separate"/>
      </w:r>
      <w:r>
        <w:rPr>
          <w:rFonts w:ascii="宋体" w:hAnsi="宋体" w:cs="宋体"/>
          <w:i w:val="0"/>
          <w:iCs w:val="0"/>
          <w:szCs w:val="21"/>
        </w:rPr>
        <w:t>3.1</w:t>
      </w:r>
      <w:r>
        <w:rPr>
          <w:rFonts w:hint="eastAsia" w:ascii="宋体" w:hAnsi="宋体" w:cs="宋体"/>
          <w:i w:val="0"/>
          <w:iCs w:val="0"/>
          <w:szCs w:val="21"/>
        </w:rPr>
        <w:t>报价排序</w:t>
      </w:r>
      <w:r>
        <w:rPr>
          <w:i w:val="0"/>
          <w:iCs w:val="0"/>
        </w:rPr>
        <w:tab/>
      </w:r>
      <w:r>
        <w:rPr>
          <w:i w:val="0"/>
          <w:iCs w:val="0"/>
        </w:rPr>
        <w:fldChar w:fldCharType="begin"/>
      </w:r>
      <w:r>
        <w:rPr>
          <w:i w:val="0"/>
          <w:iCs w:val="0"/>
        </w:rPr>
        <w:instrText xml:space="preserve"> PAGEREF _Toc900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0FCDC3B6">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_Toc1543 </w:instrText>
      </w:r>
      <w:r>
        <w:rPr>
          <w:rFonts w:ascii="宋体" w:hAnsi="宋体"/>
          <w:bCs/>
          <w:i w:val="0"/>
          <w:iCs w:val="0"/>
          <w:szCs w:val="20"/>
          <w:highlight w:val="none"/>
          <w:lang w:val="zh-CN"/>
        </w:rPr>
        <w:fldChar w:fldCharType="separate"/>
      </w:r>
      <w:r>
        <w:rPr>
          <w:rFonts w:ascii="宋体" w:hAnsi="宋体" w:cs="宋体"/>
          <w:i w:val="0"/>
          <w:iCs w:val="0"/>
          <w:szCs w:val="21"/>
        </w:rPr>
        <w:t>3.</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_Toc1543 \h </w:instrText>
      </w:r>
      <w:r>
        <w:rPr>
          <w:i w:val="0"/>
          <w:iCs w:val="0"/>
        </w:rPr>
        <w:fldChar w:fldCharType="separate"/>
      </w:r>
      <w:r>
        <w:rPr>
          <w:i w:val="0"/>
          <w:iCs w:val="0"/>
        </w:rPr>
        <w:t>33</w:t>
      </w:r>
      <w:r>
        <w:rPr>
          <w:i w:val="0"/>
          <w:iCs w:val="0"/>
        </w:rPr>
        <w:fldChar w:fldCharType="end"/>
      </w:r>
      <w:r>
        <w:rPr>
          <w:rFonts w:ascii="宋体" w:hAnsi="宋体"/>
          <w:bCs/>
          <w:i w:val="0"/>
          <w:iCs w:val="0"/>
          <w:color w:val="auto"/>
          <w:szCs w:val="20"/>
          <w:highlight w:val="none"/>
          <w:u w:val="none"/>
          <w:lang w:val="zh-CN"/>
        </w:rPr>
        <w:fldChar w:fldCharType="end"/>
      </w:r>
    </w:p>
    <w:p w14:paraId="20441C52">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_Toc16284 </w:instrText>
      </w:r>
      <w:r>
        <w:rPr>
          <w:rFonts w:ascii="宋体" w:hAnsi="宋体"/>
          <w:bCs/>
          <w:i w:val="0"/>
          <w:iCs w:val="0"/>
          <w:szCs w:val="20"/>
          <w:highlight w:val="none"/>
          <w:lang w:val="zh-CN"/>
        </w:rPr>
        <w:fldChar w:fldCharType="separate"/>
      </w:r>
      <w:r>
        <w:rPr>
          <w:rFonts w:ascii="宋体" w:hAnsi="宋体" w:cs="宋体"/>
          <w:i w:val="0"/>
          <w:iCs w:val="0"/>
          <w:szCs w:val="21"/>
        </w:rPr>
        <w:t>3.</w:t>
      </w:r>
      <w:r>
        <w:rPr>
          <w:rFonts w:hint="eastAsia" w:ascii="宋体" w:hAnsi="宋体" w:cs="宋体"/>
          <w:i w:val="0"/>
          <w:iCs w:val="0"/>
          <w:szCs w:val="21"/>
        </w:rPr>
        <w:t>3</w:t>
      </w:r>
      <w:r>
        <w:rPr>
          <w:rFonts w:ascii="宋体" w:hAnsi="宋体" w:cs="宋体"/>
          <w:i w:val="0"/>
          <w:iCs w:val="0"/>
          <w:szCs w:val="21"/>
        </w:rPr>
        <w:t xml:space="preserve"> </w:t>
      </w:r>
      <w:r>
        <w:rPr>
          <w:rFonts w:hint="eastAsia" w:ascii="宋体" w:hAnsi="宋体" w:cs="宋体"/>
          <w:i w:val="0"/>
          <w:iCs w:val="0"/>
          <w:szCs w:val="21"/>
        </w:rPr>
        <w:t>投标文件的澄清和补正</w:t>
      </w:r>
      <w:r>
        <w:rPr>
          <w:i w:val="0"/>
          <w:iCs w:val="0"/>
        </w:rPr>
        <w:tab/>
      </w:r>
      <w:r>
        <w:rPr>
          <w:i w:val="0"/>
          <w:iCs w:val="0"/>
        </w:rPr>
        <w:fldChar w:fldCharType="begin"/>
      </w:r>
      <w:r>
        <w:rPr>
          <w:i w:val="0"/>
          <w:iCs w:val="0"/>
        </w:rPr>
        <w:instrText xml:space="preserve"> PAGEREF _Toc16284 \h </w:instrText>
      </w:r>
      <w:r>
        <w:rPr>
          <w:i w:val="0"/>
          <w:iCs w:val="0"/>
        </w:rPr>
        <w:fldChar w:fldCharType="separate"/>
      </w:r>
      <w:r>
        <w:rPr>
          <w:i w:val="0"/>
          <w:iCs w:val="0"/>
        </w:rPr>
        <w:t>34</w:t>
      </w:r>
      <w:r>
        <w:rPr>
          <w:i w:val="0"/>
          <w:iCs w:val="0"/>
        </w:rPr>
        <w:fldChar w:fldCharType="end"/>
      </w:r>
      <w:r>
        <w:rPr>
          <w:rFonts w:ascii="宋体" w:hAnsi="宋体"/>
          <w:bCs/>
          <w:i w:val="0"/>
          <w:iCs w:val="0"/>
          <w:color w:val="auto"/>
          <w:szCs w:val="20"/>
          <w:highlight w:val="none"/>
          <w:u w:val="none"/>
          <w:lang w:val="zh-CN"/>
        </w:rPr>
        <w:fldChar w:fldCharType="end"/>
      </w:r>
    </w:p>
    <w:p w14:paraId="3A3D8C13">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_Toc10289 </w:instrText>
      </w:r>
      <w:r>
        <w:rPr>
          <w:rFonts w:ascii="宋体" w:hAnsi="宋体"/>
          <w:bCs/>
          <w:i w:val="0"/>
          <w:iCs w:val="0"/>
          <w:szCs w:val="20"/>
          <w:highlight w:val="none"/>
          <w:lang w:val="zh-CN"/>
        </w:rPr>
        <w:fldChar w:fldCharType="separate"/>
      </w:r>
      <w:r>
        <w:rPr>
          <w:rFonts w:ascii="宋体" w:hAnsi="宋体" w:cs="宋体"/>
          <w:i w:val="0"/>
          <w:iCs w:val="0"/>
          <w:szCs w:val="21"/>
        </w:rPr>
        <w:t>3.</w:t>
      </w:r>
      <w:r>
        <w:rPr>
          <w:rFonts w:hint="eastAsia" w:ascii="宋体" w:hAnsi="宋体" w:cs="宋体"/>
          <w:i w:val="0"/>
          <w:iCs w:val="0"/>
          <w:szCs w:val="21"/>
        </w:rPr>
        <w:t>4</w:t>
      </w:r>
      <w:r>
        <w:rPr>
          <w:rFonts w:ascii="宋体" w:hAnsi="宋体" w:cs="宋体"/>
          <w:i w:val="0"/>
          <w:iCs w:val="0"/>
          <w:szCs w:val="21"/>
        </w:rPr>
        <w:t xml:space="preserve"> </w:t>
      </w:r>
      <w:r>
        <w:rPr>
          <w:rFonts w:hint="eastAsia" w:ascii="宋体" w:hAnsi="宋体" w:cs="宋体"/>
          <w:i w:val="0"/>
          <w:iCs w:val="0"/>
          <w:szCs w:val="21"/>
        </w:rPr>
        <w:t>评标结果</w:t>
      </w:r>
      <w:r>
        <w:rPr>
          <w:i w:val="0"/>
          <w:iCs w:val="0"/>
        </w:rPr>
        <w:tab/>
      </w:r>
      <w:r>
        <w:rPr>
          <w:i w:val="0"/>
          <w:iCs w:val="0"/>
        </w:rPr>
        <w:fldChar w:fldCharType="begin"/>
      </w:r>
      <w:r>
        <w:rPr>
          <w:i w:val="0"/>
          <w:iCs w:val="0"/>
        </w:rPr>
        <w:instrText xml:space="preserve"> PAGEREF _Toc10289 \h </w:instrText>
      </w:r>
      <w:r>
        <w:rPr>
          <w:i w:val="0"/>
          <w:iCs w:val="0"/>
        </w:rPr>
        <w:fldChar w:fldCharType="separate"/>
      </w:r>
      <w:r>
        <w:rPr>
          <w:i w:val="0"/>
          <w:iCs w:val="0"/>
        </w:rPr>
        <w:t>34</w:t>
      </w:r>
      <w:r>
        <w:rPr>
          <w:i w:val="0"/>
          <w:iCs w:val="0"/>
        </w:rPr>
        <w:fldChar w:fldCharType="end"/>
      </w:r>
      <w:r>
        <w:rPr>
          <w:rFonts w:ascii="宋体" w:hAnsi="宋体"/>
          <w:bCs/>
          <w:i w:val="0"/>
          <w:iCs w:val="0"/>
          <w:color w:val="auto"/>
          <w:szCs w:val="20"/>
          <w:highlight w:val="none"/>
          <w:u w:val="none"/>
          <w:lang w:val="zh-CN"/>
        </w:rPr>
        <w:fldChar w:fldCharType="end"/>
      </w:r>
    </w:p>
    <w:p w14:paraId="638C9C02">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_Toc25701 </w:instrText>
      </w:r>
      <w:r>
        <w:rPr>
          <w:rFonts w:ascii="宋体" w:hAnsi="宋体"/>
          <w:bCs/>
          <w:i w:val="0"/>
          <w:iCs w:val="0"/>
          <w:szCs w:val="20"/>
          <w:highlight w:val="none"/>
          <w:lang w:val="zh-CN"/>
        </w:rPr>
        <w:fldChar w:fldCharType="separate"/>
      </w:r>
      <w:r>
        <w:rPr>
          <w:rFonts w:hint="eastAsia" w:ascii="宋体" w:hAnsi="宋体"/>
          <w:i w:val="0"/>
          <w:iCs w:val="0"/>
          <w:kern w:val="0"/>
          <w:highlight w:val="none"/>
        </w:rPr>
        <w:t>第四章  合同条款及格式</w:t>
      </w:r>
      <w:r>
        <w:rPr>
          <w:i w:val="0"/>
          <w:iCs w:val="0"/>
        </w:rPr>
        <w:tab/>
      </w:r>
      <w:r>
        <w:rPr>
          <w:i w:val="0"/>
          <w:iCs w:val="0"/>
        </w:rPr>
        <w:fldChar w:fldCharType="begin"/>
      </w:r>
      <w:r>
        <w:rPr>
          <w:i w:val="0"/>
          <w:iCs w:val="0"/>
        </w:rPr>
        <w:instrText xml:space="preserve"> PAGEREF _Toc25701 \h </w:instrText>
      </w:r>
      <w:r>
        <w:rPr>
          <w:i w:val="0"/>
          <w:iCs w:val="0"/>
        </w:rPr>
        <w:fldChar w:fldCharType="separate"/>
      </w:r>
      <w:r>
        <w:rPr>
          <w:i w:val="0"/>
          <w:iCs w:val="0"/>
        </w:rPr>
        <w:t>38</w:t>
      </w:r>
      <w:r>
        <w:rPr>
          <w:i w:val="0"/>
          <w:iCs w:val="0"/>
        </w:rPr>
        <w:fldChar w:fldCharType="end"/>
      </w:r>
      <w:r>
        <w:rPr>
          <w:rFonts w:ascii="宋体" w:hAnsi="宋体"/>
          <w:bCs/>
          <w:i w:val="0"/>
          <w:iCs w:val="0"/>
          <w:color w:val="auto"/>
          <w:szCs w:val="20"/>
          <w:highlight w:val="none"/>
          <w:u w:val="none"/>
          <w:lang w:val="zh-CN"/>
        </w:rPr>
        <w:fldChar w:fldCharType="end"/>
      </w:r>
    </w:p>
    <w:p w14:paraId="142559C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_Toc27682 </w:instrText>
      </w:r>
      <w:r>
        <w:rPr>
          <w:rFonts w:ascii="宋体" w:hAnsi="宋体"/>
          <w:bCs/>
          <w:i w:val="0"/>
          <w:iCs w:val="0"/>
          <w:szCs w:val="20"/>
          <w:highlight w:val="none"/>
          <w:lang w:val="zh-CN"/>
        </w:rPr>
        <w:fldChar w:fldCharType="separate"/>
      </w:r>
      <w:r>
        <w:rPr>
          <w:rFonts w:ascii="宋体" w:hAnsi="宋体"/>
          <w:i w:val="0"/>
          <w:iCs w:val="0"/>
          <w:szCs w:val="44"/>
          <w:highlight w:val="none"/>
        </w:rPr>
        <w:t>第一部分 合同协议书</w:t>
      </w:r>
      <w:r>
        <w:rPr>
          <w:i w:val="0"/>
          <w:iCs w:val="0"/>
        </w:rPr>
        <w:tab/>
      </w:r>
      <w:r>
        <w:rPr>
          <w:i w:val="0"/>
          <w:iCs w:val="0"/>
        </w:rPr>
        <w:fldChar w:fldCharType="begin"/>
      </w:r>
      <w:r>
        <w:rPr>
          <w:i w:val="0"/>
          <w:iCs w:val="0"/>
        </w:rPr>
        <w:instrText xml:space="preserve"> PAGEREF _Toc27682 \h </w:instrText>
      </w:r>
      <w:r>
        <w:rPr>
          <w:i w:val="0"/>
          <w:iCs w:val="0"/>
        </w:rPr>
        <w:fldChar w:fldCharType="separate"/>
      </w:r>
      <w:r>
        <w:rPr>
          <w:i w:val="0"/>
          <w:iCs w:val="0"/>
        </w:rPr>
        <w:t>40</w:t>
      </w:r>
      <w:r>
        <w:rPr>
          <w:i w:val="0"/>
          <w:iCs w:val="0"/>
        </w:rPr>
        <w:fldChar w:fldCharType="end"/>
      </w:r>
      <w:r>
        <w:rPr>
          <w:rFonts w:ascii="宋体" w:hAnsi="宋体"/>
          <w:bCs/>
          <w:i w:val="0"/>
          <w:iCs w:val="0"/>
          <w:color w:val="auto"/>
          <w:szCs w:val="20"/>
          <w:highlight w:val="none"/>
          <w:u w:val="none"/>
          <w:lang w:val="zh-CN"/>
        </w:rPr>
        <w:fldChar w:fldCharType="end"/>
      </w:r>
    </w:p>
    <w:p w14:paraId="153D4666">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_Toc1357 </w:instrText>
      </w:r>
      <w:r>
        <w:rPr>
          <w:rFonts w:ascii="宋体" w:hAnsi="宋体"/>
          <w:bCs/>
          <w:i w:val="0"/>
          <w:iCs w:val="0"/>
          <w:szCs w:val="20"/>
          <w:highlight w:val="none"/>
          <w:lang w:val="zh-CN"/>
        </w:rPr>
        <w:fldChar w:fldCharType="separate"/>
      </w:r>
      <w:r>
        <w:rPr>
          <w:rFonts w:hint="eastAsia" w:ascii="宋体" w:hAnsi="宋体"/>
          <w:i w:val="0"/>
          <w:iCs w:val="0"/>
          <w:szCs w:val="44"/>
          <w:highlight w:val="none"/>
        </w:rPr>
        <w:t>第二部分 通用合同条款</w:t>
      </w:r>
      <w:r>
        <w:rPr>
          <w:i w:val="0"/>
          <w:iCs w:val="0"/>
        </w:rPr>
        <w:tab/>
      </w:r>
      <w:r>
        <w:rPr>
          <w:i w:val="0"/>
          <w:iCs w:val="0"/>
        </w:rPr>
        <w:fldChar w:fldCharType="begin"/>
      </w:r>
      <w:r>
        <w:rPr>
          <w:i w:val="0"/>
          <w:iCs w:val="0"/>
        </w:rPr>
        <w:instrText xml:space="preserve"> PAGEREF _Toc1357 \h </w:instrText>
      </w:r>
      <w:r>
        <w:rPr>
          <w:i w:val="0"/>
          <w:iCs w:val="0"/>
        </w:rPr>
        <w:fldChar w:fldCharType="separate"/>
      </w:r>
      <w:r>
        <w:rPr>
          <w:i w:val="0"/>
          <w:iCs w:val="0"/>
        </w:rPr>
        <w:t>44</w:t>
      </w:r>
      <w:r>
        <w:rPr>
          <w:i w:val="0"/>
          <w:iCs w:val="0"/>
        </w:rPr>
        <w:fldChar w:fldCharType="end"/>
      </w:r>
      <w:r>
        <w:rPr>
          <w:rFonts w:ascii="宋体" w:hAnsi="宋体"/>
          <w:bCs/>
          <w:i w:val="0"/>
          <w:iCs w:val="0"/>
          <w:color w:val="auto"/>
          <w:szCs w:val="20"/>
          <w:highlight w:val="none"/>
          <w:u w:val="none"/>
          <w:lang w:val="zh-CN"/>
        </w:rPr>
        <w:fldChar w:fldCharType="end"/>
      </w:r>
    </w:p>
    <w:p w14:paraId="5B7D2A0B">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_Toc14427 </w:instrText>
      </w:r>
      <w:r>
        <w:rPr>
          <w:rFonts w:ascii="宋体" w:hAnsi="宋体"/>
          <w:bCs/>
          <w:i w:val="0"/>
          <w:iCs w:val="0"/>
          <w:szCs w:val="20"/>
          <w:highlight w:val="none"/>
          <w:lang w:val="zh-CN"/>
        </w:rPr>
        <w:fldChar w:fldCharType="separate"/>
      </w:r>
      <w:r>
        <w:rPr>
          <w:rFonts w:hint="eastAsia" w:ascii="宋体" w:hAnsi="宋体"/>
          <w:i w:val="0"/>
          <w:iCs w:val="0"/>
          <w:szCs w:val="44"/>
          <w:highlight w:val="none"/>
        </w:rPr>
        <w:t>第三部分 专用合同条款</w:t>
      </w:r>
      <w:r>
        <w:rPr>
          <w:i w:val="0"/>
          <w:iCs w:val="0"/>
        </w:rPr>
        <w:tab/>
      </w:r>
      <w:r>
        <w:rPr>
          <w:i w:val="0"/>
          <w:iCs w:val="0"/>
        </w:rPr>
        <w:fldChar w:fldCharType="begin"/>
      </w:r>
      <w:r>
        <w:rPr>
          <w:i w:val="0"/>
          <w:iCs w:val="0"/>
        </w:rPr>
        <w:instrText xml:space="preserve"> PAGEREF _Toc14427 \h </w:instrText>
      </w:r>
      <w:r>
        <w:rPr>
          <w:i w:val="0"/>
          <w:iCs w:val="0"/>
        </w:rPr>
        <w:fldChar w:fldCharType="separate"/>
      </w:r>
      <w:r>
        <w:rPr>
          <w:i w:val="0"/>
          <w:iCs w:val="0"/>
        </w:rPr>
        <w:t>97</w:t>
      </w:r>
      <w:r>
        <w:rPr>
          <w:i w:val="0"/>
          <w:iCs w:val="0"/>
        </w:rPr>
        <w:fldChar w:fldCharType="end"/>
      </w:r>
      <w:r>
        <w:rPr>
          <w:rFonts w:ascii="宋体" w:hAnsi="宋体"/>
          <w:bCs/>
          <w:i w:val="0"/>
          <w:iCs w:val="0"/>
          <w:color w:val="auto"/>
          <w:szCs w:val="20"/>
          <w:highlight w:val="none"/>
          <w:u w:val="none"/>
          <w:lang w:val="zh-CN"/>
        </w:rPr>
        <w:fldChar w:fldCharType="end"/>
      </w:r>
    </w:p>
    <w:p w14:paraId="2FC9A195">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_Toc13425 </w:instrText>
      </w:r>
      <w:r>
        <w:rPr>
          <w:rFonts w:ascii="宋体" w:hAnsi="宋体"/>
          <w:bCs/>
          <w:i w:val="0"/>
          <w:iCs w:val="0"/>
          <w:szCs w:val="20"/>
          <w:highlight w:val="none"/>
          <w:lang w:val="zh-CN"/>
        </w:rPr>
        <w:fldChar w:fldCharType="separate"/>
      </w:r>
      <w:r>
        <w:rPr>
          <w:rFonts w:hint="eastAsia" w:ascii="宋体" w:hAnsi="宋体"/>
          <w:i w:val="0"/>
          <w:iCs w:val="0"/>
          <w:highlight w:val="none"/>
        </w:rPr>
        <w:t>第五章  工程量清单</w:t>
      </w:r>
      <w:r>
        <w:rPr>
          <w:i w:val="0"/>
          <w:iCs w:val="0"/>
        </w:rPr>
        <w:tab/>
      </w:r>
      <w:r>
        <w:rPr>
          <w:i w:val="0"/>
          <w:iCs w:val="0"/>
        </w:rPr>
        <w:fldChar w:fldCharType="begin"/>
      </w:r>
      <w:r>
        <w:rPr>
          <w:i w:val="0"/>
          <w:iCs w:val="0"/>
        </w:rPr>
        <w:instrText xml:space="preserve"> PAGEREF _Toc13425 \h </w:instrText>
      </w:r>
      <w:r>
        <w:rPr>
          <w:i w:val="0"/>
          <w:iCs w:val="0"/>
        </w:rPr>
        <w:fldChar w:fldCharType="separate"/>
      </w:r>
      <w:r>
        <w:rPr>
          <w:i w:val="0"/>
          <w:iCs w:val="0"/>
        </w:rPr>
        <w:t>159</w:t>
      </w:r>
      <w:r>
        <w:rPr>
          <w:i w:val="0"/>
          <w:iCs w:val="0"/>
        </w:rPr>
        <w:fldChar w:fldCharType="end"/>
      </w:r>
      <w:r>
        <w:rPr>
          <w:rFonts w:ascii="宋体" w:hAnsi="宋体"/>
          <w:bCs/>
          <w:i w:val="0"/>
          <w:iCs w:val="0"/>
          <w:color w:val="auto"/>
          <w:szCs w:val="20"/>
          <w:highlight w:val="none"/>
          <w:u w:val="none"/>
          <w:lang w:val="zh-CN"/>
        </w:rPr>
        <w:fldChar w:fldCharType="end"/>
      </w:r>
    </w:p>
    <w:p w14:paraId="7BED02F0">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_Toc3482 </w:instrText>
      </w:r>
      <w:r>
        <w:rPr>
          <w:rFonts w:ascii="宋体" w:hAnsi="宋体"/>
          <w:bCs/>
          <w:i w:val="0"/>
          <w:iCs w:val="0"/>
          <w:szCs w:val="20"/>
          <w:highlight w:val="none"/>
          <w:lang w:val="zh-CN"/>
        </w:rPr>
        <w:fldChar w:fldCharType="separate"/>
      </w:r>
      <w:r>
        <w:rPr>
          <w:rFonts w:ascii="宋体" w:hAnsi="宋体"/>
          <w:i w:val="0"/>
          <w:iCs w:val="0"/>
          <w:szCs w:val="52"/>
          <w:highlight w:val="none"/>
        </w:rPr>
        <w:t>第 二 卷</w:t>
      </w:r>
      <w:r>
        <w:rPr>
          <w:i w:val="0"/>
          <w:iCs w:val="0"/>
        </w:rPr>
        <w:tab/>
      </w:r>
      <w:r>
        <w:rPr>
          <w:i w:val="0"/>
          <w:iCs w:val="0"/>
        </w:rPr>
        <w:fldChar w:fldCharType="begin"/>
      </w:r>
      <w:r>
        <w:rPr>
          <w:i w:val="0"/>
          <w:iCs w:val="0"/>
        </w:rPr>
        <w:instrText xml:space="preserve"> PAGEREF _Toc3482 \h </w:instrText>
      </w:r>
      <w:r>
        <w:rPr>
          <w:i w:val="0"/>
          <w:iCs w:val="0"/>
        </w:rPr>
        <w:fldChar w:fldCharType="separate"/>
      </w:r>
      <w:r>
        <w:rPr>
          <w:i w:val="0"/>
          <w:iCs w:val="0"/>
        </w:rPr>
        <w:t>160</w:t>
      </w:r>
      <w:r>
        <w:rPr>
          <w:i w:val="0"/>
          <w:iCs w:val="0"/>
        </w:rPr>
        <w:fldChar w:fldCharType="end"/>
      </w:r>
      <w:r>
        <w:rPr>
          <w:rFonts w:ascii="宋体" w:hAnsi="宋体"/>
          <w:bCs/>
          <w:i w:val="0"/>
          <w:iCs w:val="0"/>
          <w:color w:val="auto"/>
          <w:szCs w:val="20"/>
          <w:highlight w:val="none"/>
          <w:u w:val="none"/>
          <w:lang w:val="zh-CN"/>
        </w:rPr>
        <w:fldChar w:fldCharType="end"/>
      </w:r>
    </w:p>
    <w:p w14:paraId="64449E1E">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_Toc12878 </w:instrText>
      </w:r>
      <w:r>
        <w:rPr>
          <w:rFonts w:ascii="宋体" w:hAnsi="宋体"/>
          <w:bCs/>
          <w:i w:val="0"/>
          <w:iCs w:val="0"/>
          <w:szCs w:val="20"/>
          <w:highlight w:val="none"/>
          <w:lang w:val="zh-CN"/>
        </w:rPr>
        <w:fldChar w:fldCharType="separate"/>
      </w:r>
      <w:r>
        <w:rPr>
          <w:rFonts w:hint="eastAsia" w:ascii="宋体" w:hAnsi="宋体"/>
          <w:i w:val="0"/>
          <w:iCs w:val="0"/>
          <w:highlight w:val="none"/>
        </w:rPr>
        <w:t>第六章  图纸</w:t>
      </w:r>
      <w:r>
        <w:rPr>
          <w:i w:val="0"/>
          <w:iCs w:val="0"/>
        </w:rPr>
        <w:tab/>
      </w:r>
      <w:r>
        <w:rPr>
          <w:i w:val="0"/>
          <w:iCs w:val="0"/>
        </w:rPr>
        <w:fldChar w:fldCharType="begin"/>
      </w:r>
      <w:r>
        <w:rPr>
          <w:i w:val="0"/>
          <w:iCs w:val="0"/>
        </w:rPr>
        <w:instrText xml:space="preserve"> PAGEREF _Toc12878 \h </w:instrText>
      </w:r>
      <w:r>
        <w:rPr>
          <w:i w:val="0"/>
          <w:iCs w:val="0"/>
        </w:rPr>
        <w:fldChar w:fldCharType="separate"/>
      </w:r>
      <w:r>
        <w:rPr>
          <w:i w:val="0"/>
          <w:iCs w:val="0"/>
        </w:rPr>
        <w:t>161</w:t>
      </w:r>
      <w:r>
        <w:rPr>
          <w:i w:val="0"/>
          <w:iCs w:val="0"/>
        </w:rPr>
        <w:fldChar w:fldCharType="end"/>
      </w:r>
      <w:r>
        <w:rPr>
          <w:rFonts w:ascii="宋体" w:hAnsi="宋体"/>
          <w:bCs/>
          <w:i w:val="0"/>
          <w:iCs w:val="0"/>
          <w:color w:val="auto"/>
          <w:szCs w:val="20"/>
          <w:highlight w:val="none"/>
          <w:u w:val="none"/>
          <w:lang w:val="zh-CN"/>
        </w:rPr>
        <w:fldChar w:fldCharType="end"/>
      </w:r>
    </w:p>
    <w:p w14:paraId="397EA63A">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_Toc10839 </w:instrText>
      </w:r>
      <w:r>
        <w:rPr>
          <w:rFonts w:ascii="宋体" w:hAnsi="宋体"/>
          <w:bCs/>
          <w:i w:val="0"/>
          <w:iCs w:val="0"/>
          <w:szCs w:val="20"/>
          <w:highlight w:val="none"/>
          <w:lang w:val="zh-CN"/>
        </w:rPr>
        <w:fldChar w:fldCharType="separate"/>
      </w:r>
      <w:r>
        <w:rPr>
          <w:rFonts w:hint="eastAsia" w:ascii="宋体" w:hAnsi="宋体"/>
          <w:i w:val="0"/>
          <w:iCs w:val="0"/>
          <w:szCs w:val="52"/>
          <w:highlight w:val="none"/>
        </w:rPr>
        <w:t>第 三 卷</w:t>
      </w:r>
      <w:r>
        <w:rPr>
          <w:i w:val="0"/>
          <w:iCs w:val="0"/>
        </w:rPr>
        <w:tab/>
      </w:r>
      <w:r>
        <w:rPr>
          <w:i w:val="0"/>
          <w:iCs w:val="0"/>
        </w:rPr>
        <w:fldChar w:fldCharType="begin"/>
      </w:r>
      <w:r>
        <w:rPr>
          <w:i w:val="0"/>
          <w:iCs w:val="0"/>
        </w:rPr>
        <w:instrText xml:space="preserve"> PAGEREF _Toc10839 \h </w:instrText>
      </w:r>
      <w:r>
        <w:rPr>
          <w:i w:val="0"/>
          <w:iCs w:val="0"/>
        </w:rPr>
        <w:fldChar w:fldCharType="separate"/>
      </w:r>
      <w:r>
        <w:rPr>
          <w:i w:val="0"/>
          <w:iCs w:val="0"/>
        </w:rPr>
        <w:t>162</w:t>
      </w:r>
      <w:r>
        <w:rPr>
          <w:i w:val="0"/>
          <w:iCs w:val="0"/>
        </w:rPr>
        <w:fldChar w:fldCharType="end"/>
      </w:r>
      <w:r>
        <w:rPr>
          <w:rFonts w:ascii="宋体" w:hAnsi="宋体"/>
          <w:bCs/>
          <w:i w:val="0"/>
          <w:iCs w:val="0"/>
          <w:color w:val="auto"/>
          <w:szCs w:val="20"/>
          <w:highlight w:val="none"/>
          <w:u w:val="none"/>
          <w:lang w:val="zh-CN"/>
        </w:rPr>
        <w:fldChar w:fldCharType="end"/>
      </w:r>
    </w:p>
    <w:p w14:paraId="3C8DC1AB">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_Toc27578 </w:instrText>
      </w:r>
      <w:r>
        <w:rPr>
          <w:rFonts w:ascii="宋体" w:hAnsi="宋体"/>
          <w:bCs/>
          <w:i w:val="0"/>
          <w:iCs w:val="0"/>
          <w:szCs w:val="20"/>
          <w:highlight w:val="none"/>
          <w:lang w:val="zh-CN"/>
        </w:rPr>
        <w:fldChar w:fldCharType="separate"/>
      </w:r>
      <w:r>
        <w:rPr>
          <w:rFonts w:ascii="宋体" w:hAnsi="宋体"/>
          <w:i w:val="0"/>
          <w:iCs w:val="0"/>
          <w:highlight w:val="none"/>
        </w:rPr>
        <w:t>第七章</w:t>
      </w:r>
      <w:r>
        <w:rPr>
          <w:rFonts w:hint="eastAsia" w:ascii="宋体" w:hAnsi="宋体"/>
          <w:i w:val="0"/>
          <w:iCs w:val="0"/>
          <w:highlight w:val="none"/>
        </w:rPr>
        <w:t xml:space="preserve">  </w:t>
      </w:r>
      <w:r>
        <w:rPr>
          <w:rFonts w:ascii="宋体" w:hAnsi="宋体"/>
          <w:i w:val="0"/>
          <w:iCs w:val="0"/>
          <w:highlight w:val="none"/>
        </w:rPr>
        <w:t>技术标准和要求</w:t>
      </w:r>
      <w:r>
        <w:rPr>
          <w:i w:val="0"/>
          <w:iCs w:val="0"/>
        </w:rPr>
        <w:tab/>
      </w:r>
      <w:r>
        <w:rPr>
          <w:i w:val="0"/>
          <w:iCs w:val="0"/>
        </w:rPr>
        <w:fldChar w:fldCharType="begin"/>
      </w:r>
      <w:r>
        <w:rPr>
          <w:i w:val="0"/>
          <w:iCs w:val="0"/>
        </w:rPr>
        <w:instrText xml:space="preserve"> PAGEREF _Toc27578 \h </w:instrText>
      </w:r>
      <w:r>
        <w:rPr>
          <w:i w:val="0"/>
          <w:iCs w:val="0"/>
        </w:rPr>
        <w:fldChar w:fldCharType="separate"/>
      </w:r>
      <w:r>
        <w:rPr>
          <w:i w:val="0"/>
          <w:iCs w:val="0"/>
        </w:rPr>
        <w:t>163</w:t>
      </w:r>
      <w:r>
        <w:rPr>
          <w:i w:val="0"/>
          <w:iCs w:val="0"/>
        </w:rPr>
        <w:fldChar w:fldCharType="end"/>
      </w:r>
      <w:r>
        <w:rPr>
          <w:rFonts w:ascii="宋体" w:hAnsi="宋体"/>
          <w:bCs/>
          <w:i w:val="0"/>
          <w:iCs w:val="0"/>
          <w:color w:val="auto"/>
          <w:szCs w:val="20"/>
          <w:highlight w:val="none"/>
          <w:u w:val="none"/>
          <w:lang w:val="zh-CN"/>
        </w:rPr>
        <w:fldChar w:fldCharType="end"/>
      </w:r>
    </w:p>
    <w:p w14:paraId="25A41661">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_Toc22345 </w:instrText>
      </w:r>
      <w:r>
        <w:rPr>
          <w:rFonts w:ascii="宋体" w:hAnsi="宋体"/>
          <w:bCs/>
          <w:i w:val="0"/>
          <w:iCs w:val="0"/>
          <w:szCs w:val="20"/>
          <w:highlight w:val="none"/>
          <w:lang w:val="zh-CN"/>
        </w:rPr>
        <w:fldChar w:fldCharType="separate"/>
      </w:r>
      <w:r>
        <w:rPr>
          <w:rFonts w:ascii="宋体" w:hAnsi="宋体"/>
          <w:i w:val="0"/>
          <w:iCs w:val="0"/>
          <w:szCs w:val="52"/>
          <w:highlight w:val="none"/>
        </w:rPr>
        <w:t>第 四 卷</w:t>
      </w:r>
      <w:r>
        <w:rPr>
          <w:i w:val="0"/>
          <w:iCs w:val="0"/>
        </w:rPr>
        <w:tab/>
      </w:r>
      <w:r>
        <w:rPr>
          <w:i w:val="0"/>
          <w:iCs w:val="0"/>
        </w:rPr>
        <w:fldChar w:fldCharType="begin"/>
      </w:r>
      <w:r>
        <w:rPr>
          <w:i w:val="0"/>
          <w:iCs w:val="0"/>
        </w:rPr>
        <w:instrText xml:space="preserve"> PAGEREF _Toc22345 \h </w:instrText>
      </w:r>
      <w:r>
        <w:rPr>
          <w:i w:val="0"/>
          <w:iCs w:val="0"/>
        </w:rPr>
        <w:fldChar w:fldCharType="separate"/>
      </w:r>
      <w:r>
        <w:rPr>
          <w:i w:val="0"/>
          <w:iCs w:val="0"/>
        </w:rPr>
        <w:t>164</w:t>
      </w:r>
      <w:r>
        <w:rPr>
          <w:i w:val="0"/>
          <w:iCs w:val="0"/>
        </w:rPr>
        <w:fldChar w:fldCharType="end"/>
      </w:r>
      <w:r>
        <w:rPr>
          <w:rFonts w:ascii="宋体" w:hAnsi="宋体"/>
          <w:bCs/>
          <w:i w:val="0"/>
          <w:iCs w:val="0"/>
          <w:color w:val="auto"/>
          <w:szCs w:val="20"/>
          <w:highlight w:val="none"/>
          <w:u w:val="none"/>
          <w:lang w:val="zh-CN"/>
        </w:rPr>
        <w:fldChar w:fldCharType="end"/>
      </w:r>
    </w:p>
    <w:p w14:paraId="2D755EA6">
      <w:pPr>
        <w:pStyle w:val="31"/>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_Toc16611 </w:instrText>
      </w:r>
      <w:r>
        <w:rPr>
          <w:rFonts w:ascii="宋体" w:hAnsi="宋体"/>
          <w:bCs/>
          <w:i w:val="0"/>
          <w:iCs w:val="0"/>
          <w:szCs w:val="20"/>
          <w:highlight w:val="none"/>
          <w:lang w:val="zh-CN"/>
        </w:rPr>
        <w:fldChar w:fldCharType="separate"/>
      </w:r>
      <w:r>
        <w:rPr>
          <w:rFonts w:hint="eastAsia" w:ascii="宋体" w:hAnsi="宋体"/>
          <w:i w:val="0"/>
          <w:iCs w:val="0"/>
          <w:highlight w:val="none"/>
        </w:rPr>
        <w:t>第八章  投标文件格式</w:t>
      </w:r>
      <w:r>
        <w:rPr>
          <w:i w:val="0"/>
          <w:iCs w:val="0"/>
        </w:rPr>
        <w:tab/>
      </w:r>
      <w:r>
        <w:rPr>
          <w:i w:val="0"/>
          <w:iCs w:val="0"/>
        </w:rPr>
        <w:fldChar w:fldCharType="begin"/>
      </w:r>
      <w:r>
        <w:rPr>
          <w:i w:val="0"/>
          <w:iCs w:val="0"/>
        </w:rPr>
        <w:instrText xml:space="preserve"> PAGEREF _Toc16611 \h </w:instrText>
      </w:r>
      <w:r>
        <w:rPr>
          <w:i w:val="0"/>
          <w:iCs w:val="0"/>
        </w:rPr>
        <w:fldChar w:fldCharType="separate"/>
      </w:r>
      <w:r>
        <w:rPr>
          <w:i w:val="0"/>
          <w:iCs w:val="0"/>
        </w:rPr>
        <w:t>165</w:t>
      </w:r>
      <w:r>
        <w:rPr>
          <w:i w:val="0"/>
          <w:iCs w:val="0"/>
        </w:rPr>
        <w:fldChar w:fldCharType="end"/>
      </w:r>
      <w:r>
        <w:rPr>
          <w:rFonts w:ascii="宋体" w:hAnsi="宋体"/>
          <w:bCs/>
          <w:i w:val="0"/>
          <w:iCs w:val="0"/>
          <w:color w:val="auto"/>
          <w:szCs w:val="20"/>
          <w:highlight w:val="none"/>
          <w:u w:val="none"/>
          <w:lang w:val="zh-CN"/>
        </w:rPr>
        <w:fldChar w:fldCharType="end"/>
      </w:r>
    </w:p>
    <w:p w14:paraId="6821CB02">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_Toc3310 </w:instrText>
      </w:r>
      <w:r>
        <w:rPr>
          <w:rFonts w:ascii="宋体" w:hAnsi="宋体"/>
          <w:bCs/>
          <w:i w:val="0"/>
          <w:iCs w:val="0"/>
          <w:szCs w:val="20"/>
          <w:highlight w:val="none"/>
          <w:lang w:val="zh-CN"/>
        </w:rPr>
        <w:fldChar w:fldCharType="separate"/>
      </w:r>
      <w:r>
        <w:rPr>
          <w:rFonts w:hint="eastAsia" w:ascii="宋体" w:hAnsi="宋体"/>
          <w:bCs w:val="0"/>
          <w:i w:val="0"/>
          <w:iCs w:val="0"/>
          <w:szCs w:val="44"/>
          <w:highlight w:val="none"/>
          <w:lang w:eastAsia="zh-CN"/>
        </w:rPr>
        <w:t>一</w:t>
      </w:r>
      <w:r>
        <w:rPr>
          <w:rFonts w:hint="eastAsia" w:ascii="宋体" w:hAnsi="宋体"/>
          <w:bCs w:val="0"/>
          <w:i w:val="0"/>
          <w:iCs w:val="0"/>
          <w:szCs w:val="44"/>
          <w:highlight w:val="none"/>
        </w:rPr>
        <w:t>、投标函部分</w:t>
      </w:r>
      <w:r>
        <w:rPr>
          <w:i w:val="0"/>
          <w:iCs w:val="0"/>
        </w:rPr>
        <w:tab/>
      </w:r>
      <w:r>
        <w:rPr>
          <w:i w:val="0"/>
          <w:iCs w:val="0"/>
        </w:rPr>
        <w:fldChar w:fldCharType="begin"/>
      </w:r>
      <w:r>
        <w:rPr>
          <w:i w:val="0"/>
          <w:iCs w:val="0"/>
        </w:rPr>
        <w:instrText xml:space="preserve"> PAGEREF _Toc3310 \h </w:instrText>
      </w:r>
      <w:r>
        <w:rPr>
          <w:i w:val="0"/>
          <w:iCs w:val="0"/>
        </w:rPr>
        <w:fldChar w:fldCharType="separate"/>
      </w:r>
      <w:r>
        <w:rPr>
          <w:i w:val="0"/>
          <w:iCs w:val="0"/>
        </w:rPr>
        <w:t>167</w:t>
      </w:r>
      <w:r>
        <w:rPr>
          <w:i w:val="0"/>
          <w:iCs w:val="0"/>
        </w:rPr>
        <w:fldChar w:fldCharType="end"/>
      </w:r>
      <w:r>
        <w:rPr>
          <w:rFonts w:ascii="宋体" w:hAnsi="宋体"/>
          <w:bCs/>
          <w:i w:val="0"/>
          <w:iCs w:val="0"/>
          <w:color w:val="auto"/>
          <w:szCs w:val="20"/>
          <w:highlight w:val="none"/>
          <w:u w:val="none"/>
          <w:lang w:val="zh-CN"/>
        </w:rPr>
        <w:fldChar w:fldCharType="end"/>
      </w:r>
    </w:p>
    <w:p w14:paraId="3E36A786">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_Toc9523 </w:instrText>
      </w:r>
      <w:r>
        <w:rPr>
          <w:rFonts w:ascii="宋体" w:hAnsi="宋体"/>
          <w:bCs/>
          <w:i w:val="0"/>
          <w:iCs w:val="0"/>
          <w:szCs w:val="20"/>
          <w:highlight w:val="none"/>
          <w:lang w:val="zh-CN"/>
        </w:rPr>
        <w:fldChar w:fldCharType="separate"/>
      </w:r>
      <w:r>
        <w:rPr>
          <w:rFonts w:hint="eastAsia"/>
          <w:i w:val="0"/>
          <w:iCs w:val="0"/>
          <w:highlight w:val="none"/>
        </w:rPr>
        <w:t>（一）投标函</w:t>
      </w:r>
      <w:r>
        <w:rPr>
          <w:i w:val="0"/>
          <w:iCs w:val="0"/>
        </w:rPr>
        <w:tab/>
      </w:r>
      <w:r>
        <w:rPr>
          <w:i w:val="0"/>
          <w:iCs w:val="0"/>
        </w:rPr>
        <w:fldChar w:fldCharType="begin"/>
      </w:r>
      <w:r>
        <w:rPr>
          <w:i w:val="0"/>
          <w:iCs w:val="0"/>
        </w:rPr>
        <w:instrText xml:space="preserve"> PAGEREF _Toc9523 \h </w:instrText>
      </w:r>
      <w:r>
        <w:rPr>
          <w:i w:val="0"/>
          <w:iCs w:val="0"/>
        </w:rPr>
        <w:fldChar w:fldCharType="separate"/>
      </w:r>
      <w:r>
        <w:rPr>
          <w:i w:val="0"/>
          <w:iCs w:val="0"/>
        </w:rPr>
        <w:t>170</w:t>
      </w:r>
      <w:r>
        <w:rPr>
          <w:i w:val="0"/>
          <w:iCs w:val="0"/>
        </w:rPr>
        <w:fldChar w:fldCharType="end"/>
      </w:r>
      <w:r>
        <w:rPr>
          <w:rFonts w:ascii="宋体" w:hAnsi="宋体"/>
          <w:bCs/>
          <w:i w:val="0"/>
          <w:iCs w:val="0"/>
          <w:color w:val="auto"/>
          <w:szCs w:val="20"/>
          <w:highlight w:val="none"/>
          <w:u w:val="none"/>
          <w:lang w:val="zh-CN"/>
        </w:rPr>
        <w:fldChar w:fldCharType="end"/>
      </w:r>
    </w:p>
    <w:p w14:paraId="3F3B681A">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_Toc25190 </w:instrText>
      </w:r>
      <w:r>
        <w:rPr>
          <w:rFonts w:ascii="宋体" w:hAnsi="宋体"/>
          <w:bCs/>
          <w:i w:val="0"/>
          <w:iCs w:val="0"/>
          <w:szCs w:val="20"/>
          <w:highlight w:val="none"/>
          <w:lang w:val="zh-CN"/>
        </w:rPr>
        <w:fldChar w:fldCharType="separate"/>
      </w:r>
      <w:r>
        <w:rPr>
          <w:i w:val="0"/>
          <w:iCs w:val="0"/>
          <w:highlight w:val="none"/>
        </w:rPr>
        <w:t>（二）投标函附录</w:t>
      </w:r>
      <w:r>
        <w:rPr>
          <w:i w:val="0"/>
          <w:iCs w:val="0"/>
        </w:rPr>
        <w:tab/>
      </w:r>
      <w:r>
        <w:rPr>
          <w:i w:val="0"/>
          <w:iCs w:val="0"/>
        </w:rPr>
        <w:fldChar w:fldCharType="begin"/>
      </w:r>
      <w:r>
        <w:rPr>
          <w:i w:val="0"/>
          <w:iCs w:val="0"/>
        </w:rPr>
        <w:instrText xml:space="preserve"> PAGEREF _Toc25190 \h </w:instrText>
      </w:r>
      <w:r>
        <w:rPr>
          <w:i w:val="0"/>
          <w:iCs w:val="0"/>
        </w:rPr>
        <w:fldChar w:fldCharType="separate"/>
      </w:r>
      <w:r>
        <w:rPr>
          <w:i w:val="0"/>
          <w:iCs w:val="0"/>
        </w:rPr>
        <w:t>171</w:t>
      </w:r>
      <w:r>
        <w:rPr>
          <w:i w:val="0"/>
          <w:iCs w:val="0"/>
        </w:rPr>
        <w:fldChar w:fldCharType="end"/>
      </w:r>
      <w:r>
        <w:rPr>
          <w:rFonts w:ascii="宋体" w:hAnsi="宋体"/>
          <w:bCs/>
          <w:i w:val="0"/>
          <w:iCs w:val="0"/>
          <w:color w:val="auto"/>
          <w:szCs w:val="20"/>
          <w:highlight w:val="none"/>
          <w:u w:val="none"/>
          <w:lang w:val="zh-CN"/>
        </w:rPr>
        <w:fldChar w:fldCharType="end"/>
      </w:r>
    </w:p>
    <w:p w14:paraId="579E4C3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_Toc26425 </w:instrText>
      </w:r>
      <w:r>
        <w:rPr>
          <w:rFonts w:ascii="宋体" w:hAnsi="宋体"/>
          <w:bCs/>
          <w:i w:val="0"/>
          <w:iCs w:val="0"/>
          <w:szCs w:val="20"/>
          <w:highlight w:val="none"/>
          <w:lang w:val="zh-CN"/>
        </w:rPr>
        <w:fldChar w:fldCharType="separate"/>
      </w:r>
      <w:r>
        <w:rPr>
          <w:i w:val="0"/>
          <w:iCs w:val="0"/>
          <w:szCs w:val="30"/>
          <w:highlight w:val="none"/>
        </w:rPr>
        <w:t>（三）</w:t>
      </w:r>
      <w:r>
        <w:rPr>
          <w:rFonts w:hint="eastAsia"/>
          <w:i w:val="0"/>
          <w:iCs w:val="0"/>
          <w:szCs w:val="30"/>
          <w:highlight w:val="none"/>
        </w:rPr>
        <w:t>法定代表人身份证明或附有法定代表人身份证明的授权委托书</w:t>
      </w:r>
      <w:r>
        <w:rPr>
          <w:i w:val="0"/>
          <w:iCs w:val="0"/>
        </w:rPr>
        <w:tab/>
      </w:r>
      <w:r>
        <w:rPr>
          <w:i w:val="0"/>
          <w:iCs w:val="0"/>
        </w:rPr>
        <w:fldChar w:fldCharType="begin"/>
      </w:r>
      <w:r>
        <w:rPr>
          <w:i w:val="0"/>
          <w:iCs w:val="0"/>
        </w:rPr>
        <w:instrText xml:space="preserve"> PAGEREF _Toc26425 \h </w:instrText>
      </w:r>
      <w:r>
        <w:rPr>
          <w:i w:val="0"/>
          <w:iCs w:val="0"/>
        </w:rPr>
        <w:fldChar w:fldCharType="separate"/>
      </w:r>
      <w:r>
        <w:rPr>
          <w:i w:val="0"/>
          <w:iCs w:val="0"/>
        </w:rPr>
        <w:t>172</w:t>
      </w:r>
      <w:r>
        <w:rPr>
          <w:i w:val="0"/>
          <w:iCs w:val="0"/>
        </w:rPr>
        <w:fldChar w:fldCharType="end"/>
      </w:r>
      <w:r>
        <w:rPr>
          <w:rFonts w:ascii="宋体" w:hAnsi="宋体"/>
          <w:bCs/>
          <w:i w:val="0"/>
          <w:iCs w:val="0"/>
          <w:color w:val="auto"/>
          <w:szCs w:val="20"/>
          <w:highlight w:val="none"/>
          <w:u w:val="none"/>
          <w:lang w:val="zh-CN"/>
        </w:rPr>
        <w:fldChar w:fldCharType="end"/>
      </w:r>
    </w:p>
    <w:p w14:paraId="63C80D9A">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_Toc30760 </w:instrText>
      </w:r>
      <w:r>
        <w:rPr>
          <w:rFonts w:ascii="宋体" w:hAnsi="宋体"/>
          <w:bCs/>
          <w:i w:val="0"/>
          <w:iCs w:val="0"/>
          <w:szCs w:val="20"/>
          <w:highlight w:val="none"/>
          <w:lang w:val="zh-CN"/>
        </w:rPr>
        <w:fldChar w:fldCharType="separate"/>
      </w:r>
      <w:r>
        <w:rPr>
          <w:rFonts w:hint="eastAsia" w:ascii="宋体" w:hAnsi="宋体"/>
          <w:bCs w:val="0"/>
          <w:i w:val="0"/>
          <w:iCs w:val="0"/>
          <w:szCs w:val="44"/>
          <w:highlight w:val="none"/>
          <w:lang w:eastAsia="zh-CN"/>
        </w:rPr>
        <w:t>二</w:t>
      </w:r>
      <w:r>
        <w:rPr>
          <w:rFonts w:hint="eastAsia" w:ascii="宋体" w:hAnsi="宋体"/>
          <w:bCs w:val="0"/>
          <w:i w:val="0"/>
          <w:iCs w:val="0"/>
          <w:szCs w:val="44"/>
          <w:highlight w:val="none"/>
        </w:rPr>
        <w:t>、经济部分</w:t>
      </w:r>
      <w:r>
        <w:rPr>
          <w:i w:val="0"/>
          <w:iCs w:val="0"/>
        </w:rPr>
        <w:tab/>
      </w:r>
      <w:r>
        <w:rPr>
          <w:i w:val="0"/>
          <w:iCs w:val="0"/>
        </w:rPr>
        <w:fldChar w:fldCharType="begin"/>
      </w:r>
      <w:r>
        <w:rPr>
          <w:i w:val="0"/>
          <w:iCs w:val="0"/>
        </w:rPr>
        <w:instrText xml:space="preserve"> PAGEREF _Toc30760 \h </w:instrText>
      </w:r>
      <w:r>
        <w:rPr>
          <w:i w:val="0"/>
          <w:iCs w:val="0"/>
        </w:rPr>
        <w:fldChar w:fldCharType="separate"/>
      </w:r>
      <w:r>
        <w:rPr>
          <w:i w:val="0"/>
          <w:iCs w:val="0"/>
        </w:rPr>
        <w:t>174</w:t>
      </w:r>
      <w:r>
        <w:rPr>
          <w:i w:val="0"/>
          <w:iCs w:val="0"/>
        </w:rPr>
        <w:fldChar w:fldCharType="end"/>
      </w:r>
      <w:r>
        <w:rPr>
          <w:rFonts w:ascii="宋体" w:hAnsi="宋体"/>
          <w:bCs/>
          <w:i w:val="0"/>
          <w:iCs w:val="0"/>
          <w:color w:val="auto"/>
          <w:szCs w:val="20"/>
          <w:highlight w:val="none"/>
          <w:u w:val="none"/>
          <w:lang w:val="zh-CN"/>
        </w:rPr>
        <w:fldChar w:fldCharType="end"/>
      </w:r>
    </w:p>
    <w:p w14:paraId="4574AC20">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_Toc10516 </w:instrText>
      </w:r>
      <w:r>
        <w:rPr>
          <w:rFonts w:ascii="宋体" w:hAnsi="宋体"/>
          <w:bCs/>
          <w:i w:val="0"/>
          <w:iCs w:val="0"/>
          <w:szCs w:val="20"/>
          <w:highlight w:val="none"/>
          <w:lang w:val="zh-CN"/>
        </w:rPr>
        <w:fldChar w:fldCharType="separate"/>
      </w:r>
      <w:r>
        <w:rPr>
          <w:rFonts w:hint="eastAsia"/>
          <w:i w:val="0"/>
          <w:iCs w:val="0"/>
          <w:highlight w:val="none"/>
        </w:rPr>
        <w:t>（一）已标价工程量清单</w:t>
      </w:r>
      <w:r>
        <w:rPr>
          <w:i w:val="0"/>
          <w:iCs w:val="0"/>
        </w:rPr>
        <w:tab/>
      </w:r>
      <w:r>
        <w:rPr>
          <w:i w:val="0"/>
          <w:iCs w:val="0"/>
        </w:rPr>
        <w:fldChar w:fldCharType="begin"/>
      </w:r>
      <w:r>
        <w:rPr>
          <w:i w:val="0"/>
          <w:iCs w:val="0"/>
        </w:rPr>
        <w:instrText xml:space="preserve"> PAGEREF _Toc10516 \h </w:instrText>
      </w:r>
      <w:r>
        <w:rPr>
          <w:i w:val="0"/>
          <w:iCs w:val="0"/>
        </w:rPr>
        <w:fldChar w:fldCharType="separate"/>
      </w:r>
      <w:r>
        <w:rPr>
          <w:i w:val="0"/>
          <w:iCs w:val="0"/>
        </w:rPr>
        <w:t>177</w:t>
      </w:r>
      <w:r>
        <w:rPr>
          <w:i w:val="0"/>
          <w:iCs w:val="0"/>
        </w:rPr>
        <w:fldChar w:fldCharType="end"/>
      </w:r>
      <w:r>
        <w:rPr>
          <w:rFonts w:ascii="宋体" w:hAnsi="宋体"/>
          <w:bCs/>
          <w:i w:val="0"/>
          <w:iCs w:val="0"/>
          <w:color w:val="auto"/>
          <w:szCs w:val="20"/>
          <w:highlight w:val="none"/>
          <w:u w:val="none"/>
          <w:lang w:val="zh-CN"/>
        </w:rPr>
        <w:fldChar w:fldCharType="end"/>
      </w:r>
    </w:p>
    <w:p w14:paraId="351E3C72">
      <w:pPr>
        <w:pStyle w:val="37"/>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_Toc25943 </w:instrText>
      </w:r>
      <w:r>
        <w:rPr>
          <w:rFonts w:ascii="宋体" w:hAnsi="宋体"/>
          <w:bCs/>
          <w:i w:val="0"/>
          <w:iCs w:val="0"/>
          <w:szCs w:val="20"/>
          <w:highlight w:val="none"/>
          <w:lang w:val="zh-CN"/>
        </w:rPr>
        <w:fldChar w:fldCharType="separate"/>
      </w:r>
      <w:r>
        <w:rPr>
          <w:rFonts w:hint="eastAsia" w:ascii="宋体" w:hAnsi="宋体"/>
          <w:bCs w:val="0"/>
          <w:i w:val="0"/>
          <w:iCs w:val="0"/>
          <w:szCs w:val="44"/>
          <w:highlight w:val="none"/>
          <w:lang w:eastAsia="zh-CN"/>
        </w:rPr>
        <w:t>三</w:t>
      </w:r>
      <w:r>
        <w:rPr>
          <w:rFonts w:hint="eastAsia" w:ascii="宋体" w:hAnsi="宋体"/>
          <w:bCs w:val="0"/>
          <w:i w:val="0"/>
          <w:iCs w:val="0"/>
          <w:szCs w:val="44"/>
          <w:highlight w:val="none"/>
        </w:rPr>
        <w:t>、资格审查部分</w:t>
      </w:r>
      <w:r>
        <w:rPr>
          <w:i w:val="0"/>
          <w:iCs w:val="0"/>
        </w:rPr>
        <w:tab/>
      </w:r>
      <w:r>
        <w:rPr>
          <w:i w:val="0"/>
          <w:iCs w:val="0"/>
        </w:rPr>
        <w:fldChar w:fldCharType="begin"/>
      </w:r>
      <w:r>
        <w:rPr>
          <w:i w:val="0"/>
          <w:iCs w:val="0"/>
        </w:rPr>
        <w:instrText xml:space="preserve"> PAGEREF _Toc25943 \h </w:instrText>
      </w:r>
      <w:r>
        <w:rPr>
          <w:i w:val="0"/>
          <w:iCs w:val="0"/>
        </w:rPr>
        <w:fldChar w:fldCharType="separate"/>
      </w:r>
      <w:r>
        <w:rPr>
          <w:i w:val="0"/>
          <w:iCs w:val="0"/>
        </w:rPr>
        <w:t>178</w:t>
      </w:r>
      <w:r>
        <w:rPr>
          <w:i w:val="0"/>
          <w:iCs w:val="0"/>
        </w:rPr>
        <w:fldChar w:fldCharType="end"/>
      </w:r>
      <w:r>
        <w:rPr>
          <w:rFonts w:ascii="宋体" w:hAnsi="宋体"/>
          <w:bCs/>
          <w:i w:val="0"/>
          <w:iCs w:val="0"/>
          <w:color w:val="auto"/>
          <w:szCs w:val="20"/>
          <w:highlight w:val="none"/>
          <w:u w:val="none"/>
          <w:lang w:val="zh-CN"/>
        </w:rPr>
        <w:fldChar w:fldCharType="end"/>
      </w:r>
    </w:p>
    <w:p w14:paraId="140AB75D">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_Toc5356 </w:instrText>
      </w:r>
      <w:r>
        <w:rPr>
          <w:rFonts w:ascii="宋体" w:hAnsi="宋体"/>
          <w:bCs/>
          <w:i w:val="0"/>
          <w:iCs w:val="0"/>
          <w:szCs w:val="20"/>
          <w:highlight w:val="none"/>
          <w:lang w:val="zh-CN"/>
        </w:rPr>
        <w:fldChar w:fldCharType="separate"/>
      </w:r>
      <w:r>
        <w:rPr>
          <w:i w:val="0"/>
          <w:iCs w:val="0"/>
          <w:szCs w:val="30"/>
          <w:highlight w:val="none"/>
        </w:rPr>
        <w:t>（一）</w:t>
      </w:r>
      <w:r>
        <w:rPr>
          <w:rFonts w:hint="eastAsia"/>
          <w:i w:val="0"/>
          <w:iCs w:val="0"/>
          <w:szCs w:val="30"/>
          <w:highlight w:val="none"/>
        </w:rPr>
        <w:t>法定代表人身份证明或附有法定代表人身份证明的授权委托书</w:t>
      </w:r>
      <w:r>
        <w:rPr>
          <w:i w:val="0"/>
          <w:iCs w:val="0"/>
        </w:rPr>
        <w:tab/>
      </w:r>
      <w:r>
        <w:rPr>
          <w:i w:val="0"/>
          <w:iCs w:val="0"/>
        </w:rPr>
        <w:fldChar w:fldCharType="begin"/>
      </w:r>
      <w:r>
        <w:rPr>
          <w:i w:val="0"/>
          <w:iCs w:val="0"/>
        </w:rPr>
        <w:instrText xml:space="preserve"> PAGEREF _Toc5356 \h </w:instrText>
      </w:r>
      <w:r>
        <w:rPr>
          <w:i w:val="0"/>
          <w:iCs w:val="0"/>
        </w:rPr>
        <w:fldChar w:fldCharType="separate"/>
      </w:r>
      <w:r>
        <w:rPr>
          <w:i w:val="0"/>
          <w:iCs w:val="0"/>
        </w:rPr>
        <w:t>181</w:t>
      </w:r>
      <w:r>
        <w:rPr>
          <w:i w:val="0"/>
          <w:iCs w:val="0"/>
        </w:rPr>
        <w:fldChar w:fldCharType="end"/>
      </w:r>
      <w:r>
        <w:rPr>
          <w:rFonts w:ascii="宋体" w:hAnsi="宋体"/>
          <w:bCs/>
          <w:i w:val="0"/>
          <w:iCs w:val="0"/>
          <w:color w:val="auto"/>
          <w:szCs w:val="20"/>
          <w:highlight w:val="none"/>
          <w:u w:val="none"/>
          <w:lang w:val="zh-CN"/>
        </w:rPr>
        <w:fldChar w:fldCharType="end"/>
      </w:r>
    </w:p>
    <w:p w14:paraId="21070DFC">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_Toc9407 </w:instrText>
      </w:r>
      <w:r>
        <w:rPr>
          <w:rFonts w:ascii="宋体" w:hAnsi="宋体"/>
          <w:bCs/>
          <w:i w:val="0"/>
          <w:iCs w:val="0"/>
          <w:szCs w:val="20"/>
          <w:highlight w:val="none"/>
          <w:lang w:val="zh-CN"/>
        </w:rPr>
        <w:fldChar w:fldCharType="separate"/>
      </w:r>
      <w:r>
        <w:rPr>
          <w:rFonts w:hint="eastAsia" w:ascii="宋体" w:hAnsi="宋体"/>
          <w:bCs w:val="0"/>
          <w:i w:val="0"/>
          <w:iCs w:val="0"/>
          <w:highlight w:val="none"/>
        </w:rPr>
        <w:t>（</w:t>
      </w:r>
      <w:r>
        <w:rPr>
          <w:rFonts w:hint="eastAsia" w:ascii="宋体" w:hAnsi="宋体"/>
          <w:bCs w:val="0"/>
          <w:i w:val="0"/>
          <w:iCs w:val="0"/>
          <w:highlight w:val="none"/>
          <w:lang w:eastAsia="zh-CN"/>
        </w:rPr>
        <w:t>二</w:t>
      </w:r>
      <w:r>
        <w:rPr>
          <w:rFonts w:hint="eastAsia" w:ascii="宋体" w:hAnsi="宋体"/>
          <w:bCs w:val="0"/>
          <w:i w:val="0"/>
          <w:iCs w:val="0"/>
          <w:highlight w:val="none"/>
        </w:rPr>
        <w:t>）投标人基本情况表</w:t>
      </w:r>
      <w:r>
        <w:rPr>
          <w:i w:val="0"/>
          <w:iCs w:val="0"/>
        </w:rPr>
        <w:tab/>
      </w:r>
      <w:r>
        <w:rPr>
          <w:i w:val="0"/>
          <w:iCs w:val="0"/>
        </w:rPr>
        <w:fldChar w:fldCharType="begin"/>
      </w:r>
      <w:r>
        <w:rPr>
          <w:i w:val="0"/>
          <w:iCs w:val="0"/>
        </w:rPr>
        <w:instrText xml:space="preserve"> PAGEREF _Toc9407 \h </w:instrText>
      </w:r>
      <w:r>
        <w:rPr>
          <w:i w:val="0"/>
          <w:iCs w:val="0"/>
        </w:rPr>
        <w:fldChar w:fldCharType="separate"/>
      </w:r>
      <w:r>
        <w:rPr>
          <w:i w:val="0"/>
          <w:iCs w:val="0"/>
        </w:rPr>
        <w:t>183</w:t>
      </w:r>
      <w:r>
        <w:rPr>
          <w:i w:val="0"/>
          <w:iCs w:val="0"/>
        </w:rPr>
        <w:fldChar w:fldCharType="end"/>
      </w:r>
      <w:r>
        <w:rPr>
          <w:rFonts w:ascii="宋体" w:hAnsi="宋体"/>
          <w:bCs/>
          <w:i w:val="0"/>
          <w:iCs w:val="0"/>
          <w:color w:val="auto"/>
          <w:szCs w:val="20"/>
          <w:highlight w:val="none"/>
          <w:u w:val="none"/>
          <w:lang w:val="zh-CN"/>
        </w:rPr>
        <w:fldChar w:fldCharType="end"/>
      </w:r>
    </w:p>
    <w:p w14:paraId="2322E9C5">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_Toc30335 </w:instrText>
      </w:r>
      <w:r>
        <w:rPr>
          <w:rFonts w:ascii="宋体" w:hAnsi="宋体"/>
          <w:bCs/>
          <w:i w:val="0"/>
          <w:iCs w:val="0"/>
          <w:szCs w:val="20"/>
          <w:highlight w:val="none"/>
          <w:lang w:val="zh-CN"/>
        </w:rPr>
        <w:fldChar w:fldCharType="separate"/>
      </w:r>
      <w:r>
        <w:rPr>
          <w:rFonts w:hint="eastAsia" w:ascii="宋体" w:hAnsi="宋体"/>
          <w:bCs w:val="0"/>
          <w:i w:val="0"/>
          <w:iCs w:val="0"/>
          <w:highlight w:val="none"/>
        </w:rPr>
        <w:t>（</w:t>
      </w:r>
      <w:r>
        <w:rPr>
          <w:rFonts w:hint="eastAsia" w:ascii="宋体" w:hAnsi="宋体"/>
          <w:bCs w:val="0"/>
          <w:i w:val="0"/>
          <w:iCs w:val="0"/>
          <w:highlight w:val="none"/>
          <w:lang w:eastAsia="zh-CN"/>
        </w:rPr>
        <w:t>三</w:t>
      </w:r>
      <w:r>
        <w:rPr>
          <w:rFonts w:hint="eastAsia" w:ascii="宋体" w:hAnsi="宋体"/>
          <w:bCs w:val="0"/>
          <w:i w:val="0"/>
          <w:iCs w:val="0"/>
          <w:highlight w:val="none"/>
        </w:rPr>
        <w:t>）项目管理机构</w:t>
      </w:r>
      <w:r>
        <w:rPr>
          <w:i w:val="0"/>
          <w:iCs w:val="0"/>
        </w:rPr>
        <w:tab/>
      </w:r>
      <w:r>
        <w:rPr>
          <w:i w:val="0"/>
          <w:iCs w:val="0"/>
        </w:rPr>
        <w:fldChar w:fldCharType="begin"/>
      </w:r>
      <w:r>
        <w:rPr>
          <w:i w:val="0"/>
          <w:iCs w:val="0"/>
        </w:rPr>
        <w:instrText xml:space="preserve"> PAGEREF _Toc30335 \h </w:instrText>
      </w:r>
      <w:r>
        <w:rPr>
          <w:i w:val="0"/>
          <w:iCs w:val="0"/>
        </w:rPr>
        <w:fldChar w:fldCharType="separate"/>
      </w:r>
      <w:r>
        <w:rPr>
          <w:i w:val="0"/>
          <w:iCs w:val="0"/>
        </w:rPr>
        <w:t>184</w:t>
      </w:r>
      <w:r>
        <w:rPr>
          <w:i w:val="0"/>
          <w:iCs w:val="0"/>
        </w:rPr>
        <w:fldChar w:fldCharType="end"/>
      </w:r>
      <w:r>
        <w:rPr>
          <w:rFonts w:ascii="宋体" w:hAnsi="宋体"/>
          <w:bCs/>
          <w:i w:val="0"/>
          <w:iCs w:val="0"/>
          <w:color w:val="auto"/>
          <w:szCs w:val="20"/>
          <w:highlight w:val="none"/>
          <w:u w:val="none"/>
          <w:lang w:val="zh-CN"/>
        </w:rPr>
        <w:fldChar w:fldCharType="end"/>
      </w:r>
    </w:p>
    <w:p w14:paraId="0714933F">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_Toc9926 </w:instrText>
      </w:r>
      <w:r>
        <w:rPr>
          <w:rFonts w:ascii="宋体" w:hAnsi="宋体"/>
          <w:bCs/>
          <w:i w:val="0"/>
          <w:iCs w:val="0"/>
          <w:szCs w:val="20"/>
          <w:highlight w:val="none"/>
          <w:lang w:val="zh-CN"/>
        </w:rPr>
        <w:fldChar w:fldCharType="separate"/>
      </w:r>
      <w:r>
        <w:rPr>
          <w:rFonts w:ascii="宋体" w:hAnsi="宋体"/>
          <w:i w:val="0"/>
          <w:iCs w:val="0"/>
          <w:highlight w:val="none"/>
        </w:rPr>
        <w:t>（</w:t>
      </w:r>
      <w:r>
        <w:rPr>
          <w:rFonts w:hint="eastAsia" w:ascii="宋体" w:hAnsi="宋体"/>
          <w:i w:val="0"/>
          <w:iCs w:val="0"/>
          <w:highlight w:val="none"/>
          <w:lang w:eastAsia="zh-CN"/>
        </w:rPr>
        <w:t>四</w:t>
      </w:r>
      <w:r>
        <w:rPr>
          <w:rFonts w:ascii="宋体" w:hAnsi="宋体"/>
          <w:i w:val="0"/>
          <w:iCs w:val="0"/>
          <w:highlight w:val="none"/>
        </w:rPr>
        <w:t>）</w:t>
      </w:r>
      <w:r>
        <w:rPr>
          <w:rFonts w:hint="eastAsia" w:ascii="宋体" w:hAnsi="宋体"/>
          <w:i w:val="0"/>
          <w:iCs w:val="0"/>
          <w:highlight w:val="none"/>
        </w:rPr>
        <w:t>承诺</w:t>
      </w:r>
      <w:r>
        <w:rPr>
          <w:i w:val="0"/>
          <w:iCs w:val="0"/>
        </w:rPr>
        <w:tab/>
      </w:r>
      <w:r>
        <w:rPr>
          <w:i w:val="0"/>
          <w:iCs w:val="0"/>
        </w:rPr>
        <w:fldChar w:fldCharType="begin"/>
      </w:r>
      <w:r>
        <w:rPr>
          <w:i w:val="0"/>
          <w:iCs w:val="0"/>
        </w:rPr>
        <w:instrText xml:space="preserve"> PAGEREF _Toc9926 \h </w:instrText>
      </w:r>
      <w:r>
        <w:rPr>
          <w:i w:val="0"/>
          <w:iCs w:val="0"/>
        </w:rPr>
        <w:fldChar w:fldCharType="separate"/>
      </w:r>
      <w:r>
        <w:rPr>
          <w:i w:val="0"/>
          <w:iCs w:val="0"/>
        </w:rPr>
        <w:t>186</w:t>
      </w:r>
      <w:r>
        <w:rPr>
          <w:i w:val="0"/>
          <w:iCs w:val="0"/>
        </w:rPr>
        <w:fldChar w:fldCharType="end"/>
      </w:r>
      <w:r>
        <w:rPr>
          <w:rFonts w:ascii="宋体" w:hAnsi="宋体"/>
          <w:bCs/>
          <w:i w:val="0"/>
          <w:iCs w:val="0"/>
          <w:color w:val="auto"/>
          <w:szCs w:val="20"/>
          <w:highlight w:val="none"/>
          <w:u w:val="none"/>
          <w:lang w:val="zh-CN"/>
        </w:rPr>
        <w:fldChar w:fldCharType="end"/>
      </w:r>
    </w:p>
    <w:p w14:paraId="7AA37451">
      <w:pPr>
        <w:pStyle w:val="22"/>
        <w:tabs>
          <w:tab w:val="right" w:leader="dot" w:pos="9469"/>
        </w:tabs>
        <w:rPr>
          <w:i w:val="0"/>
          <w:iCs w:val="0"/>
        </w:rPr>
      </w:pPr>
      <w:r>
        <w:rPr>
          <w:rFonts w:ascii="宋体" w:hAnsi="宋体"/>
          <w:bCs/>
          <w:i w:val="0"/>
          <w:iCs w:val="0"/>
          <w:color w:val="auto"/>
          <w:szCs w:val="20"/>
          <w:highlight w:val="none"/>
          <w:u w:val="none"/>
          <w:lang w:val="zh-CN"/>
        </w:rPr>
        <w:fldChar w:fldCharType="begin"/>
      </w:r>
      <w:r>
        <w:rPr>
          <w:rFonts w:ascii="宋体" w:hAnsi="宋体"/>
          <w:bCs/>
          <w:i w:val="0"/>
          <w:iCs w:val="0"/>
          <w:szCs w:val="20"/>
          <w:highlight w:val="none"/>
          <w:lang w:val="zh-CN"/>
        </w:rPr>
        <w:instrText xml:space="preserve"> HYPERLINK \l _Toc27084 </w:instrText>
      </w:r>
      <w:r>
        <w:rPr>
          <w:rFonts w:ascii="宋体" w:hAnsi="宋体"/>
          <w:bCs/>
          <w:i w:val="0"/>
          <w:iCs w:val="0"/>
          <w:szCs w:val="20"/>
          <w:highlight w:val="none"/>
          <w:lang w:val="zh-CN"/>
        </w:rPr>
        <w:fldChar w:fldCharType="separate"/>
      </w:r>
      <w:r>
        <w:rPr>
          <w:rFonts w:hint="eastAsia" w:ascii="宋体" w:hAnsi="宋体"/>
          <w:i w:val="0"/>
          <w:iCs w:val="0"/>
          <w:highlight w:val="none"/>
        </w:rPr>
        <w:t>（</w:t>
      </w:r>
      <w:r>
        <w:rPr>
          <w:rFonts w:hint="eastAsia" w:ascii="宋体" w:hAnsi="宋体"/>
          <w:i w:val="0"/>
          <w:iCs w:val="0"/>
          <w:highlight w:val="none"/>
          <w:lang w:eastAsia="zh-CN"/>
        </w:rPr>
        <w:t>五</w:t>
      </w:r>
      <w:r>
        <w:rPr>
          <w:rFonts w:hint="eastAsia" w:ascii="宋体" w:hAnsi="宋体"/>
          <w:i w:val="0"/>
          <w:iCs w:val="0"/>
          <w:highlight w:val="none"/>
        </w:rPr>
        <w:t>）其他资料</w:t>
      </w:r>
      <w:r>
        <w:rPr>
          <w:i w:val="0"/>
          <w:iCs w:val="0"/>
        </w:rPr>
        <w:tab/>
      </w:r>
      <w:r>
        <w:rPr>
          <w:i w:val="0"/>
          <w:iCs w:val="0"/>
        </w:rPr>
        <w:fldChar w:fldCharType="begin"/>
      </w:r>
      <w:r>
        <w:rPr>
          <w:i w:val="0"/>
          <w:iCs w:val="0"/>
        </w:rPr>
        <w:instrText xml:space="preserve"> PAGEREF _Toc27084 \h </w:instrText>
      </w:r>
      <w:r>
        <w:rPr>
          <w:i w:val="0"/>
          <w:iCs w:val="0"/>
        </w:rPr>
        <w:fldChar w:fldCharType="separate"/>
      </w:r>
      <w:r>
        <w:rPr>
          <w:i w:val="0"/>
          <w:iCs w:val="0"/>
        </w:rPr>
        <w:t>188</w:t>
      </w:r>
      <w:r>
        <w:rPr>
          <w:i w:val="0"/>
          <w:iCs w:val="0"/>
        </w:rPr>
        <w:fldChar w:fldCharType="end"/>
      </w:r>
      <w:r>
        <w:rPr>
          <w:rFonts w:ascii="宋体" w:hAnsi="宋体"/>
          <w:bCs/>
          <w:i w:val="0"/>
          <w:iCs w:val="0"/>
          <w:color w:val="auto"/>
          <w:szCs w:val="20"/>
          <w:highlight w:val="none"/>
          <w:u w:val="none"/>
          <w:lang w:val="zh-CN"/>
        </w:rPr>
        <w:fldChar w:fldCharType="end"/>
      </w:r>
    </w:p>
    <w:p w14:paraId="3CC66481">
      <w:pPr>
        <w:rPr>
          <w:rFonts w:ascii="宋体" w:hAnsi="宋体"/>
          <w:i w:val="0"/>
          <w:iCs w:val="0"/>
          <w:color w:val="auto"/>
          <w:highlight w:val="none"/>
        </w:rPr>
      </w:pPr>
      <w:r>
        <w:rPr>
          <w:rFonts w:ascii="宋体" w:hAnsi="宋体"/>
          <w:bCs/>
          <w:i w:val="0"/>
          <w:iCs w:val="0"/>
          <w:color w:val="auto"/>
          <w:szCs w:val="20"/>
          <w:highlight w:val="none"/>
          <w:u w:val="none"/>
          <w:lang w:val="zh-CN"/>
        </w:rPr>
        <w:fldChar w:fldCharType="end"/>
      </w:r>
    </w:p>
    <w:bookmarkEnd w:id="0"/>
    <w:p w14:paraId="49747237">
      <w:pPr>
        <w:spacing w:line="20" w:lineRule="exact"/>
        <w:rPr>
          <w:rFonts w:hint="eastAsia" w:ascii="宋体" w:hAnsi="宋体"/>
          <w:i w:val="0"/>
          <w:iCs w:val="0"/>
          <w:color w:val="auto"/>
          <w:highlight w:val="none"/>
        </w:rPr>
      </w:pPr>
      <w:bookmarkStart w:id="8" w:name="_Toc430530414"/>
    </w:p>
    <w:p w14:paraId="5561FC13">
      <w:pPr>
        <w:spacing w:line="20" w:lineRule="exact"/>
        <w:jc w:val="left"/>
        <w:rPr>
          <w:rFonts w:hint="eastAsia" w:ascii="宋体" w:hAnsi="宋体"/>
          <w:i w:val="0"/>
          <w:iCs w:val="0"/>
          <w:color w:val="auto"/>
          <w:highlight w:val="none"/>
        </w:rPr>
        <w:sectPr>
          <w:footerReference r:id="rId6" w:type="default"/>
          <w:pgSz w:w="11907" w:h="16840"/>
          <w:pgMar w:top="1304" w:right="1134" w:bottom="1304" w:left="1304" w:header="851" w:footer="992" w:gutter="0"/>
          <w:pgNumType w:fmt="numberInDash" w:start="1"/>
          <w:cols w:space="720" w:num="1"/>
          <w:docGrid w:linePitch="312" w:charSpace="0"/>
        </w:sectPr>
      </w:pPr>
    </w:p>
    <w:bookmarkEnd w:id="8"/>
    <w:p w14:paraId="63E6E78A">
      <w:pPr>
        <w:spacing w:line="360" w:lineRule="auto"/>
        <w:rPr>
          <w:rFonts w:hint="eastAsia" w:ascii="宋体" w:hAnsi="宋体"/>
          <w:color w:val="auto"/>
          <w:highlight w:val="none"/>
        </w:rPr>
      </w:pPr>
    </w:p>
    <w:p w14:paraId="4BE00C56">
      <w:pPr>
        <w:pStyle w:val="3"/>
        <w:spacing w:before="0" w:after="0" w:line="480" w:lineRule="auto"/>
        <w:jc w:val="center"/>
        <w:rPr>
          <w:rFonts w:hint="eastAsia" w:ascii="宋体" w:hAnsi="宋体"/>
          <w:color w:val="auto"/>
          <w:sz w:val="52"/>
          <w:szCs w:val="52"/>
          <w:highlight w:val="none"/>
        </w:rPr>
      </w:pPr>
      <w:bookmarkStart w:id="9" w:name="_Toc9936"/>
      <w:bookmarkStart w:id="10" w:name="_Toc509218690"/>
      <w:bookmarkStart w:id="11" w:name="_Toc1039"/>
      <w:r>
        <w:rPr>
          <w:rFonts w:hint="eastAsia" w:ascii="宋体" w:hAnsi="宋体"/>
          <w:color w:val="auto"/>
          <w:sz w:val="52"/>
          <w:szCs w:val="52"/>
          <w:highlight w:val="none"/>
        </w:rPr>
        <w:t>第 一 卷</w:t>
      </w:r>
      <w:bookmarkEnd w:id="9"/>
      <w:bookmarkEnd w:id="10"/>
      <w:bookmarkEnd w:id="11"/>
    </w:p>
    <w:p w14:paraId="07093045">
      <w:pPr>
        <w:spacing w:line="200" w:lineRule="exact"/>
        <w:rPr>
          <w:rFonts w:ascii="宋体" w:hAnsi="宋体"/>
          <w:color w:val="auto"/>
          <w:highlight w:val="none"/>
        </w:rPr>
      </w:pPr>
      <w:r>
        <w:rPr>
          <w:rFonts w:ascii="宋体" w:hAnsi="宋体"/>
          <w:color w:val="auto"/>
          <w:highlight w:val="none"/>
        </w:rPr>
        <w:br w:type="page"/>
      </w:r>
    </w:p>
    <w:p w14:paraId="6E880AF8">
      <w:pPr>
        <w:pStyle w:val="3"/>
        <w:spacing w:line="360" w:lineRule="auto"/>
        <w:jc w:val="center"/>
        <w:rPr>
          <w:rFonts w:ascii="宋体" w:hAnsi="宋体"/>
          <w:snapToGrid w:val="0"/>
          <w:color w:val="auto"/>
          <w:kern w:val="0"/>
          <w:highlight w:val="none"/>
        </w:rPr>
      </w:pPr>
      <w:bookmarkStart w:id="12" w:name="_Toc224103298"/>
      <w:bookmarkStart w:id="13" w:name="_Toc287620666"/>
      <w:bookmarkStart w:id="14" w:name="_Toc277082535"/>
      <w:bookmarkStart w:id="15" w:name="_Toc287607727"/>
      <w:bookmarkStart w:id="16" w:name="_Toc430530415"/>
      <w:bookmarkStart w:id="17" w:name="_Toc12819"/>
      <w:bookmarkStart w:id="18" w:name="_Toc509218691"/>
      <w:bookmarkStart w:id="19" w:name="_Toc31989"/>
      <w:r>
        <w:rPr>
          <w:rFonts w:ascii="宋体" w:hAnsi="宋体"/>
          <w:snapToGrid w:val="0"/>
          <w:color w:val="auto"/>
          <w:kern w:val="0"/>
          <w:highlight w:val="none"/>
        </w:rPr>
        <w:t xml:space="preserve">第一章  </w:t>
      </w:r>
      <w:bookmarkEnd w:id="12"/>
      <w:bookmarkEnd w:id="13"/>
      <w:bookmarkEnd w:id="14"/>
      <w:bookmarkEnd w:id="15"/>
      <w:bookmarkEnd w:id="16"/>
      <w:bookmarkEnd w:id="17"/>
      <w:bookmarkEnd w:id="18"/>
      <w:r>
        <w:rPr>
          <w:rFonts w:hint="eastAsia" w:ascii="宋体" w:hAnsi="宋体"/>
          <w:snapToGrid w:val="0"/>
          <w:color w:val="auto"/>
          <w:kern w:val="0"/>
          <w:highlight w:val="none"/>
          <w:lang w:eastAsia="zh-CN"/>
        </w:rPr>
        <w:t>比选</w:t>
      </w:r>
      <w:r>
        <w:rPr>
          <w:rFonts w:ascii="宋体" w:hAnsi="宋体"/>
          <w:snapToGrid w:val="0"/>
          <w:color w:val="auto"/>
          <w:kern w:val="0"/>
          <w:highlight w:val="none"/>
        </w:rPr>
        <w:t>公告</w:t>
      </w:r>
      <w:bookmarkEnd w:id="19"/>
    </w:p>
    <w:p w14:paraId="4D1D7718">
      <w:pPr>
        <w:autoSpaceDE w:val="0"/>
        <w:autoSpaceDN w:val="0"/>
        <w:adjustRightInd w:val="0"/>
        <w:snapToGrid w:val="0"/>
        <w:spacing w:line="360" w:lineRule="auto"/>
        <w:jc w:val="center"/>
        <w:rPr>
          <w:rFonts w:ascii="宋体" w:hAnsi="宋体"/>
          <w:snapToGrid w:val="0"/>
          <w:color w:val="auto"/>
          <w:kern w:val="0"/>
          <w:sz w:val="28"/>
          <w:szCs w:val="28"/>
          <w:highlight w:val="none"/>
        </w:rPr>
      </w:pPr>
      <w:r>
        <w:rPr>
          <w:rFonts w:hint="eastAsia" w:ascii="宋体" w:hAnsi="宋体"/>
          <w:snapToGrid w:val="0"/>
          <w:color w:val="auto"/>
          <w:w w:val="99"/>
          <w:kern w:val="0"/>
          <w:sz w:val="28"/>
          <w:szCs w:val="28"/>
          <w:highlight w:val="none"/>
          <w:u w:val="single"/>
          <w:lang w:val="zh-CN"/>
        </w:rPr>
        <w:t>铜梁区土桥镇黄沙村党群服务中心新建项目</w:t>
      </w:r>
      <w:r>
        <w:rPr>
          <w:rFonts w:hint="eastAsia" w:ascii="宋体" w:hAnsi="宋体"/>
          <w:snapToGrid w:val="0"/>
          <w:color w:val="auto"/>
          <w:w w:val="99"/>
          <w:kern w:val="0"/>
          <w:sz w:val="28"/>
          <w:szCs w:val="28"/>
          <w:highlight w:val="none"/>
          <w:lang w:eastAsia="zh-CN"/>
        </w:rPr>
        <w:t>比选</w:t>
      </w:r>
      <w:r>
        <w:rPr>
          <w:rFonts w:ascii="宋体" w:hAnsi="宋体"/>
          <w:snapToGrid w:val="0"/>
          <w:color w:val="auto"/>
          <w:w w:val="99"/>
          <w:kern w:val="0"/>
          <w:sz w:val="28"/>
          <w:szCs w:val="28"/>
          <w:highlight w:val="none"/>
        </w:rPr>
        <w:t>公告</w:t>
      </w:r>
    </w:p>
    <w:p w14:paraId="0A9FDA73">
      <w:pPr>
        <w:pStyle w:val="4"/>
        <w:spacing w:before="100" w:after="100" w:line="460" w:lineRule="exact"/>
        <w:rPr>
          <w:rFonts w:ascii="宋体" w:hAnsi="宋体"/>
          <w:snapToGrid w:val="0"/>
          <w:color w:val="000000" w:themeColor="text1"/>
          <w:sz w:val="28"/>
          <w:szCs w:val="28"/>
          <w:highlight w:val="none"/>
          <w14:textFill>
            <w14:solidFill>
              <w14:schemeClr w14:val="tx1"/>
            </w14:solidFill>
          </w14:textFill>
        </w:rPr>
      </w:pPr>
      <w:bookmarkStart w:id="20" w:name="_Toc430530416"/>
      <w:bookmarkStart w:id="21" w:name="_Toc277082536"/>
      <w:bookmarkStart w:id="22" w:name="_Toc200359427"/>
      <w:bookmarkStart w:id="23" w:name="_Toc3903"/>
      <w:bookmarkStart w:id="24" w:name="_Toc224103299"/>
      <w:bookmarkStart w:id="25" w:name="_Toc509218692"/>
      <w:bookmarkStart w:id="26" w:name="_Toc200359238"/>
      <w:bookmarkStart w:id="27" w:name="_Toc27491"/>
      <w:bookmarkStart w:id="28" w:name="_Toc287607728"/>
      <w:bookmarkStart w:id="29" w:name="_Toc287620667"/>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hint="eastAsia" w:ascii="宋体" w:hAnsi="宋体"/>
          <w:snapToGrid w:val="0"/>
          <w:color w:val="auto"/>
          <w:sz w:val="28"/>
          <w:szCs w:val="28"/>
          <w:highlight w:val="none"/>
          <w:lang w:eastAsia="zh-CN"/>
        </w:rPr>
        <w:t>比选</w:t>
      </w:r>
      <w:r>
        <w:rPr>
          <w:rFonts w:ascii="宋体" w:hAnsi="宋体"/>
          <w:snapToGrid w:val="0"/>
          <w:color w:val="auto"/>
          <w:sz w:val="28"/>
          <w:szCs w:val="28"/>
          <w:highlight w:val="none"/>
        </w:rPr>
        <w:t>条件</w:t>
      </w:r>
      <w:bookmarkEnd w:id="20"/>
      <w:bookmarkEnd w:id="21"/>
      <w:bookmarkEnd w:id="22"/>
      <w:bookmarkEnd w:id="23"/>
      <w:bookmarkEnd w:id="24"/>
      <w:bookmarkEnd w:id="25"/>
      <w:bookmarkEnd w:id="26"/>
      <w:bookmarkEnd w:id="27"/>
      <w:bookmarkEnd w:id="28"/>
      <w:bookmarkEnd w:id="29"/>
    </w:p>
    <w:p w14:paraId="7F2CBD3E">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hint="eastAsia" w:ascii="宋体" w:hAnsi="宋体" w:cs="宋体"/>
          <w:snapToGrid w:val="0"/>
          <w:color w:val="000000" w:themeColor="text1"/>
          <w:kern w:val="0"/>
          <w:szCs w:val="21"/>
          <w:lang w:val="en-US" w:eastAsia="zh-CN"/>
          <w14:textFill>
            <w14:solidFill>
              <w14:schemeClr w14:val="tx1"/>
            </w14:solidFill>
          </w14:textFill>
        </w:rPr>
      </w:pPr>
      <w:r>
        <w:rPr>
          <w:rFonts w:ascii="宋体" w:hAnsi="宋体"/>
          <w:snapToGrid w:val="0"/>
          <w:kern w:val="0"/>
          <w:szCs w:val="21"/>
        </w:rPr>
        <w:t>本</w:t>
      </w:r>
      <w:r>
        <w:rPr>
          <w:rFonts w:hint="eastAsia" w:ascii="宋体" w:hAnsi="宋体"/>
          <w:snapToGrid w:val="0"/>
          <w:kern w:val="0"/>
          <w:szCs w:val="21"/>
          <w:lang w:eastAsia="zh-CN"/>
        </w:rPr>
        <w:t>比选项目</w:t>
      </w:r>
      <w:r>
        <w:rPr>
          <w:rFonts w:hint="eastAsia" w:ascii="宋体" w:hAnsi="宋体" w:cs="Times New Roman"/>
          <w:snapToGrid w:val="0"/>
          <w:color w:val="000000" w:themeColor="text1"/>
          <w:kern w:val="0"/>
          <w:szCs w:val="21"/>
          <w:u w:val="single"/>
          <w:lang w:eastAsia="zh-CN"/>
          <w14:textFill>
            <w14:solidFill>
              <w14:schemeClr w14:val="tx1"/>
            </w14:solidFill>
          </w14:textFill>
        </w:rPr>
        <w:t>铜梁区土桥镇黄沙村党群服务中心新建项目</w:t>
      </w:r>
      <w:r>
        <w:rPr>
          <w:rFonts w:hint="eastAsia" w:ascii="宋体" w:hAnsi="宋体"/>
          <w:snapToGrid w:val="0"/>
          <w:color w:val="000000" w:themeColor="text1"/>
          <w:kern w:val="0"/>
          <w:szCs w:val="21"/>
          <w:u w:val="none"/>
          <w:lang w:eastAsia="zh-CN"/>
          <w14:textFill>
            <w14:solidFill>
              <w14:schemeClr w14:val="tx1"/>
            </w14:solidFill>
          </w14:textFill>
        </w:rPr>
        <w:t>，</w:t>
      </w:r>
      <w:r>
        <w:rPr>
          <w:rFonts w:ascii="宋体" w:hAnsi="宋体"/>
          <w:snapToGrid w:val="0"/>
          <w:color w:val="000000" w:themeColor="text1"/>
          <w:kern w:val="0"/>
          <w:szCs w:val="21"/>
          <w14:textFill>
            <w14:solidFill>
              <w14:schemeClr w14:val="tx1"/>
            </w14:solidFill>
          </w14:textFill>
        </w:rPr>
        <w:t>业主为</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重庆市铜梁区土桥镇人民政府</w:t>
      </w:r>
      <w:r>
        <w:rPr>
          <w:rFonts w:ascii="宋体" w:hAnsi="宋体"/>
          <w:snapToGrid w:val="0"/>
          <w:color w:val="000000" w:themeColor="text1"/>
          <w:kern w:val="0"/>
          <w:szCs w:val="21"/>
          <w14:textFill>
            <w14:solidFill>
              <w14:schemeClr w14:val="tx1"/>
            </w14:solidFill>
          </w14:textFill>
        </w:rPr>
        <w:t>，建设资金来自</w:t>
      </w:r>
      <w:r>
        <w:rPr>
          <w:rFonts w:hint="eastAsia" w:ascii="宋体" w:hAnsi="宋体"/>
          <w:snapToGrid w:val="0"/>
          <w:color w:val="000000" w:themeColor="text1"/>
          <w:kern w:val="0"/>
          <w:szCs w:val="21"/>
          <w:u w:val="single"/>
          <w:lang w:eastAsia="zh-CN"/>
          <w14:textFill>
            <w14:solidFill>
              <w14:schemeClr w14:val="tx1"/>
            </w14:solidFill>
          </w14:textFill>
        </w:rPr>
        <w:t>财政资金</w:t>
      </w:r>
      <w:r>
        <w:rPr>
          <w:rFonts w:ascii="宋体" w:hAnsi="宋体"/>
          <w:snapToGrid w:val="0"/>
          <w:color w:val="000000" w:themeColor="text1"/>
          <w:kern w:val="0"/>
          <w:szCs w:val="21"/>
          <w14:textFill>
            <w14:solidFill>
              <w14:schemeClr w14:val="tx1"/>
            </w14:solidFill>
          </w14:textFill>
        </w:rPr>
        <w:t>，项目出资比例为</w:t>
      </w:r>
      <w:r>
        <w:rPr>
          <w:rFonts w:hint="eastAsia" w:ascii="宋体" w:hAnsi="宋体"/>
          <w:snapToGrid w:val="0"/>
          <w:color w:val="000000" w:themeColor="text1"/>
          <w:kern w:val="0"/>
          <w:szCs w:val="21"/>
          <w:u w:val="single"/>
          <w:lang w:val="en-US" w:eastAsia="zh-CN"/>
          <w14:textFill>
            <w14:solidFill>
              <w14:schemeClr w14:val="tx1"/>
            </w14:solidFill>
          </w14:textFill>
        </w:rPr>
        <w:t>100%</w:t>
      </w:r>
      <w:r>
        <w:rPr>
          <w:rFonts w:ascii="宋体" w:hAnsi="宋体"/>
          <w:snapToGrid w:val="0"/>
          <w:color w:val="000000" w:themeColor="text1"/>
          <w:kern w:val="0"/>
          <w:szCs w:val="21"/>
          <w14:textFill>
            <w14:solidFill>
              <w14:schemeClr w14:val="tx1"/>
            </w14:solidFill>
          </w14:textFill>
        </w:rPr>
        <w:t>，</w:t>
      </w:r>
      <w:r>
        <w:rPr>
          <w:rFonts w:hint="eastAsia" w:ascii="宋体" w:hAnsi="宋体"/>
          <w:snapToGrid w:val="0"/>
          <w:color w:val="000000" w:themeColor="text1"/>
          <w:kern w:val="0"/>
          <w:szCs w:val="21"/>
          <w:lang w:eastAsia="zh-CN"/>
          <w14:textFill>
            <w14:solidFill>
              <w14:schemeClr w14:val="tx1"/>
            </w14:solidFill>
          </w14:textFill>
        </w:rPr>
        <w:t>比选人为</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重庆市铜梁区土桥镇人民政府</w:t>
      </w:r>
      <w:r>
        <w:rPr>
          <w:rFonts w:ascii="宋体" w:hAnsi="宋体"/>
          <w:snapToGrid w:val="0"/>
          <w:color w:val="000000" w:themeColor="text1"/>
          <w:kern w:val="0"/>
          <w:position w:val="-2"/>
          <w:szCs w:val="21"/>
          <w14:textFill>
            <w14:solidFill>
              <w14:schemeClr w14:val="tx1"/>
            </w14:solidFill>
          </w14:textFill>
        </w:rPr>
        <w:t>。项目已具备</w:t>
      </w:r>
      <w:r>
        <w:rPr>
          <w:rFonts w:hint="eastAsia" w:ascii="宋体" w:hAnsi="宋体"/>
          <w:snapToGrid w:val="0"/>
          <w:color w:val="000000" w:themeColor="text1"/>
          <w:kern w:val="0"/>
          <w:position w:val="-2"/>
          <w:szCs w:val="21"/>
          <w:lang w:eastAsia="zh-CN"/>
          <w14:textFill>
            <w14:solidFill>
              <w14:schemeClr w14:val="tx1"/>
            </w14:solidFill>
          </w14:textFill>
        </w:rPr>
        <w:t>比选条件</w:t>
      </w:r>
      <w:r>
        <w:rPr>
          <w:rFonts w:ascii="宋体" w:hAnsi="宋体"/>
          <w:snapToGrid w:val="0"/>
          <w:color w:val="000000" w:themeColor="text1"/>
          <w:kern w:val="0"/>
          <w:position w:val="-2"/>
          <w:szCs w:val="21"/>
          <w14:textFill>
            <w14:solidFill>
              <w14:schemeClr w14:val="tx1"/>
            </w14:solidFill>
          </w14:textFill>
        </w:rPr>
        <w:t>，</w:t>
      </w:r>
      <w:r>
        <w:rPr>
          <w:rFonts w:ascii="宋体" w:hAnsi="宋体"/>
          <w:snapToGrid w:val="0"/>
          <w:color w:val="000000" w:themeColor="text1"/>
          <w:kern w:val="0"/>
          <w:szCs w:val="21"/>
          <w14:textFill>
            <w14:solidFill>
              <w14:schemeClr w14:val="tx1"/>
            </w14:solidFill>
          </w14:textFill>
        </w:rPr>
        <w:t>现对</w:t>
      </w:r>
      <w:r>
        <w:rPr>
          <w:rFonts w:hint="eastAsia" w:ascii="宋体" w:hAnsi="宋体"/>
          <w:snapToGrid w:val="0"/>
          <w:color w:val="000000" w:themeColor="text1"/>
          <w:kern w:val="0"/>
          <w:szCs w:val="21"/>
          <w14:textFill>
            <w14:solidFill>
              <w14:schemeClr w14:val="tx1"/>
            </w14:solidFill>
          </w14:textFill>
        </w:rPr>
        <w:t>该项目的施工</w:t>
      </w:r>
      <w:r>
        <w:rPr>
          <w:rFonts w:ascii="宋体" w:hAnsi="宋体"/>
          <w:snapToGrid w:val="0"/>
          <w:color w:val="000000" w:themeColor="text1"/>
          <w:kern w:val="0"/>
          <w:szCs w:val="21"/>
          <w14:textFill>
            <w14:solidFill>
              <w14:schemeClr w14:val="tx1"/>
            </w14:solidFill>
          </w14:textFill>
        </w:rPr>
        <w:t>进行</w:t>
      </w:r>
      <w:r>
        <w:rPr>
          <w:rFonts w:hint="eastAsia" w:ascii="宋体" w:hAnsi="宋体"/>
          <w:snapToGrid w:val="0"/>
          <w:color w:val="000000" w:themeColor="text1"/>
          <w:kern w:val="0"/>
          <w:szCs w:val="21"/>
          <w:lang w:eastAsia="zh-CN"/>
          <w14:textFill>
            <w14:solidFill>
              <w14:schemeClr w14:val="tx1"/>
            </w14:solidFill>
          </w14:textFill>
        </w:rPr>
        <w:t>竞争性比选</w:t>
      </w:r>
      <w:r>
        <w:rPr>
          <w:rFonts w:ascii="宋体" w:hAnsi="宋体"/>
          <w:snapToGrid w:val="0"/>
          <w:color w:val="000000" w:themeColor="text1"/>
          <w:kern w:val="0"/>
          <w:szCs w:val="21"/>
          <w14:textFill>
            <w14:solidFill>
              <w14:schemeClr w14:val="tx1"/>
            </w14:solidFill>
          </w14:textFill>
        </w:rPr>
        <w:t>。</w:t>
      </w:r>
    </w:p>
    <w:p w14:paraId="0245C10E">
      <w:pPr>
        <w:pStyle w:val="4"/>
        <w:spacing w:before="100" w:after="100" w:line="460" w:lineRule="exact"/>
        <w:rPr>
          <w:rFonts w:ascii="宋体" w:hAnsi="宋体"/>
          <w:snapToGrid w:val="0"/>
          <w:color w:val="000000" w:themeColor="text1"/>
          <w:sz w:val="28"/>
          <w:szCs w:val="28"/>
          <w:highlight w:val="none"/>
          <w14:textFill>
            <w14:solidFill>
              <w14:schemeClr w14:val="tx1"/>
            </w14:solidFill>
          </w14:textFill>
        </w:rPr>
      </w:pPr>
      <w:bookmarkStart w:id="30" w:name="_Toc287607729"/>
      <w:bookmarkStart w:id="31" w:name="_Toc200359239"/>
      <w:bookmarkStart w:id="32" w:name="_Toc224103300"/>
      <w:bookmarkStart w:id="33" w:name="_Toc16803"/>
      <w:bookmarkStart w:id="34" w:name="_Toc16344"/>
      <w:bookmarkStart w:id="35" w:name="_Toc277082537"/>
      <w:bookmarkStart w:id="36" w:name="_Toc200359428"/>
      <w:bookmarkStart w:id="37" w:name="_Toc287620668"/>
      <w:bookmarkStart w:id="38" w:name="_Toc509218693"/>
      <w:bookmarkStart w:id="39" w:name="_Toc430530417"/>
      <w:r>
        <w:rPr>
          <w:rFonts w:ascii="宋体" w:hAnsi="宋体"/>
          <w:snapToGrid w:val="0"/>
          <w:color w:val="000000" w:themeColor="text1"/>
          <w:sz w:val="28"/>
          <w:szCs w:val="28"/>
          <w:highlight w:val="none"/>
          <w14:textFill>
            <w14:solidFill>
              <w14:schemeClr w14:val="tx1"/>
            </w14:solidFill>
          </w14:textFill>
        </w:rPr>
        <w:t>2.</w:t>
      </w:r>
      <w:r>
        <w:rPr>
          <w:rFonts w:hint="eastAsia" w:ascii="宋体" w:hAnsi="宋体"/>
          <w:snapToGrid w:val="0"/>
          <w:color w:val="000000" w:themeColor="text1"/>
          <w:sz w:val="28"/>
          <w:szCs w:val="28"/>
          <w:highlight w:val="none"/>
          <w14:textFill>
            <w14:solidFill>
              <w14:schemeClr w14:val="tx1"/>
            </w14:solidFill>
          </w14:textFill>
        </w:rPr>
        <w:t xml:space="preserve"> </w:t>
      </w:r>
      <w:r>
        <w:rPr>
          <w:rFonts w:ascii="宋体" w:hAnsi="宋体"/>
          <w:snapToGrid w:val="0"/>
          <w:color w:val="000000" w:themeColor="text1"/>
          <w:sz w:val="28"/>
          <w:szCs w:val="28"/>
          <w:highlight w:val="none"/>
          <w14:textFill>
            <w14:solidFill>
              <w14:schemeClr w14:val="tx1"/>
            </w14:solidFill>
          </w14:textFill>
        </w:rPr>
        <w:t xml:space="preserve"> 项目概况与</w:t>
      </w:r>
      <w:r>
        <w:rPr>
          <w:rFonts w:hint="eastAsia" w:ascii="宋体" w:hAnsi="宋体"/>
          <w:snapToGrid w:val="0"/>
          <w:color w:val="000000" w:themeColor="text1"/>
          <w:sz w:val="28"/>
          <w:szCs w:val="28"/>
          <w:highlight w:val="none"/>
          <w:lang w:eastAsia="zh-CN"/>
          <w14:textFill>
            <w14:solidFill>
              <w14:schemeClr w14:val="tx1"/>
            </w14:solidFill>
          </w14:textFill>
        </w:rPr>
        <w:t>比选</w:t>
      </w:r>
      <w:r>
        <w:rPr>
          <w:rFonts w:ascii="宋体" w:hAnsi="宋体"/>
          <w:snapToGrid w:val="0"/>
          <w:color w:val="000000" w:themeColor="text1"/>
          <w:sz w:val="28"/>
          <w:szCs w:val="28"/>
          <w:highlight w:val="none"/>
          <w14:textFill>
            <w14:solidFill>
              <w14:schemeClr w14:val="tx1"/>
            </w14:solidFill>
          </w14:textFill>
        </w:rPr>
        <w:t>范围</w:t>
      </w:r>
      <w:bookmarkEnd w:id="30"/>
      <w:bookmarkEnd w:id="31"/>
      <w:bookmarkEnd w:id="32"/>
      <w:bookmarkEnd w:id="33"/>
      <w:bookmarkEnd w:id="34"/>
      <w:bookmarkEnd w:id="35"/>
      <w:bookmarkEnd w:id="36"/>
      <w:bookmarkEnd w:id="37"/>
      <w:bookmarkEnd w:id="38"/>
      <w:bookmarkEnd w:id="39"/>
    </w:p>
    <w:p w14:paraId="24696AE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2.1 建设地点：</w:t>
      </w:r>
      <w:r>
        <w:rPr>
          <w:rFonts w:hint="eastAsia" w:ascii="宋体" w:hAnsi="宋体"/>
          <w:snapToGrid w:val="0"/>
          <w:color w:val="000000" w:themeColor="text1"/>
          <w:kern w:val="0"/>
          <w:szCs w:val="21"/>
          <w:u w:val="single"/>
          <w:lang w:eastAsia="zh-CN"/>
          <w14:textFill>
            <w14:solidFill>
              <w14:schemeClr w14:val="tx1"/>
            </w14:solidFill>
          </w14:textFill>
        </w:rPr>
        <w:t>铜梁区</w:t>
      </w:r>
    </w:p>
    <w:p w14:paraId="1121738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2.2 项目概况与建设规模：</w:t>
      </w:r>
      <w:r>
        <w:rPr>
          <w:rFonts w:hint="eastAsia" w:ascii="宋体" w:hAnsi="宋体" w:cs="Times New Roman"/>
          <w:snapToGrid w:val="0"/>
          <w:color w:val="000000" w:themeColor="text1"/>
          <w:kern w:val="0"/>
          <w:szCs w:val="21"/>
          <w:u w:val="single"/>
          <w:lang w:eastAsia="zh-CN"/>
          <w14:textFill>
            <w14:solidFill>
              <w14:schemeClr w14:val="tx1"/>
            </w14:solidFill>
          </w14:textFill>
        </w:rPr>
        <w:t>铜梁区土桥镇黄沙村党群服务中心新建项目包含建筑与装饰工程、电气工程、给排水工程等附属工程。</w:t>
      </w:r>
    </w:p>
    <w:p w14:paraId="133A99C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2.3 本次</w:t>
      </w:r>
      <w:r>
        <w:rPr>
          <w:rFonts w:hint="eastAsia" w:ascii="宋体" w:hAnsi="宋体"/>
          <w:snapToGrid w:val="0"/>
          <w:color w:val="000000" w:themeColor="text1"/>
          <w:kern w:val="0"/>
          <w:szCs w:val="21"/>
          <w:lang w:eastAsia="zh-CN"/>
          <w14:textFill>
            <w14:solidFill>
              <w14:schemeClr w14:val="tx1"/>
            </w14:solidFill>
          </w14:textFill>
        </w:rPr>
        <w:t>比选项目</w:t>
      </w:r>
      <w:r>
        <w:rPr>
          <w:rFonts w:hint="eastAsia" w:ascii="宋体" w:hAnsi="宋体"/>
          <w:snapToGrid w:val="0"/>
          <w:color w:val="000000" w:themeColor="text1"/>
          <w:kern w:val="0"/>
          <w:szCs w:val="21"/>
          <w14:textFill>
            <w14:solidFill>
              <w14:schemeClr w14:val="tx1"/>
            </w14:solidFill>
          </w14:textFill>
        </w:rPr>
        <w:t>合同估算金额</w:t>
      </w:r>
      <w:r>
        <w:rPr>
          <w:rFonts w:hint="eastAsia" w:ascii="宋体" w:hAnsi="宋体"/>
          <w:snapToGrid w:val="0"/>
          <w:color w:val="000000" w:themeColor="text1"/>
          <w:kern w:val="0"/>
          <w:position w:val="-2"/>
          <w:szCs w:val="21"/>
          <w:u w:val="none"/>
          <w:lang w:val="en-US" w:eastAsia="zh-CN"/>
          <w14:textFill>
            <w14:solidFill>
              <w14:schemeClr w14:val="tx1"/>
            </w14:solidFill>
          </w14:textFill>
        </w:rPr>
        <w:t>：</w:t>
      </w:r>
      <w:r>
        <w:rPr>
          <w:rFonts w:hint="eastAsia" w:ascii="宋体" w:hAnsi="宋体" w:cs="Times New Roman"/>
          <w:snapToGrid w:val="0"/>
          <w:color w:val="000000" w:themeColor="text1"/>
          <w:kern w:val="0"/>
          <w:szCs w:val="21"/>
          <w:u w:val="single"/>
          <w:lang w:val="en-US" w:eastAsia="zh-CN"/>
          <w14:textFill>
            <w14:solidFill>
              <w14:schemeClr w14:val="tx1"/>
            </w14:solidFill>
          </w14:textFill>
        </w:rPr>
        <w:t>250448.81元。</w:t>
      </w:r>
    </w:p>
    <w:p w14:paraId="70B271A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 xml:space="preserve">2.4 </w:t>
      </w:r>
      <w:r>
        <w:rPr>
          <w:rFonts w:hint="eastAsia" w:ascii="宋体" w:hAnsi="宋体"/>
          <w:snapToGrid w:val="0"/>
          <w:color w:val="000000" w:themeColor="text1"/>
          <w:kern w:val="0"/>
          <w:szCs w:val="21"/>
          <w:lang w:eastAsia="zh-CN"/>
          <w14:textFill>
            <w14:solidFill>
              <w14:schemeClr w14:val="tx1"/>
            </w14:solidFill>
          </w14:textFill>
        </w:rPr>
        <w:t>比选范围</w:t>
      </w:r>
      <w:r>
        <w:rPr>
          <w:rFonts w:hint="eastAsia" w:ascii="宋体" w:hAnsi="宋体"/>
          <w:snapToGrid w:val="0"/>
          <w:color w:val="000000" w:themeColor="text1"/>
          <w:kern w:val="0"/>
          <w:szCs w:val="21"/>
          <w14:textFill>
            <w14:solidFill>
              <w14:schemeClr w14:val="tx1"/>
            </w14:solidFill>
          </w14:textFill>
        </w:rPr>
        <w:t>：</w:t>
      </w:r>
      <w:r>
        <w:rPr>
          <w:rFonts w:hint="eastAsia" w:ascii="宋体" w:hAnsi="宋体" w:cs="Times New Roman"/>
          <w:snapToGrid w:val="0"/>
          <w:color w:val="000000" w:themeColor="text1"/>
          <w:kern w:val="0"/>
          <w:szCs w:val="21"/>
          <w:u w:val="single"/>
          <w:lang w:val="en-US" w:eastAsia="zh-CN"/>
          <w14:textFill>
            <w14:solidFill>
              <w14:schemeClr w14:val="tx1"/>
            </w14:solidFill>
          </w14:textFill>
        </w:rPr>
        <w:t>本项目施工图设计范围内的工程内容，具体以招标人发出的施工图及工程量清单为准。</w:t>
      </w:r>
    </w:p>
    <w:p w14:paraId="3612B05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2.5 工期要求：</w:t>
      </w:r>
      <w:r>
        <w:rPr>
          <w:rFonts w:hint="eastAsia" w:ascii="宋体" w:hAnsi="宋体" w:cs="Times New Roman"/>
          <w:snapToGrid w:val="0"/>
          <w:color w:val="000000" w:themeColor="text1"/>
          <w:kern w:val="0"/>
          <w:szCs w:val="21"/>
          <w:u w:val="single"/>
          <w:lang w:val="en-US" w:eastAsia="zh-CN"/>
          <w14:textFill>
            <w14:solidFill>
              <w14:schemeClr w14:val="tx1"/>
            </w14:solidFill>
          </w14:textFill>
        </w:rPr>
        <w:t>40日历天</w:t>
      </w:r>
    </w:p>
    <w:p w14:paraId="0ABCBEA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 xml:space="preserve">    缺陷责任期要求：</w:t>
      </w:r>
      <w:r>
        <w:rPr>
          <w:rFonts w:hint="eastAsia" w:ascii="宋体" w:hAnsi="宋体"/>
          <w:snapToGrid w:val="0"/>
          <w:color w:val="000000" w:themeColor="text1"/>
          <w:kern w:val="0"/>
          <w:szCs w:val="21"/>
          <w:u w:val="single"/>
          <w:lang w:val="en-US" w:eastAsia="zh-CN"/>
          <w14:textFill>
            <w14:solidFill>
              <w14:schemeClr w14:val="tx1"/>
            </w14:solidFill>
          </w14:textFill>
        </w:rPr>
        <w:t>24个月</w:t>
      </w:r>
    </w:p>
    <w:p w14:paraId="2E8CC2A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2.6 标段划分（如有）：</w:t>
      </w:r>
      <w:r>
        <w:rPr>
          <w:rFonts w:hint="eastAsia" w:ascii="宋体" w:hAnsi="宋体"/>
          <w:snapToGrid w:val="0"/>
          <w:color w:val="000000" w:themeColor="text1"/>
          <w:kern w:val="0"/>
          <w:szCs w:val="21"/>
          <w:u w:val="single"/>
          <w14:textFill>
            <w14:solidFill>
              <w14:schemeClr w14:val="tx1"/>
            </w14:solidFill>
          </w14:textFill>
        </w:rPr>
        <w:t xml:space="preserve">  </w:t>
      </w:r>
      <w:r>
        <w:rPr>
          <w:rFonts w:hint="eastAsia" w:ascii="宋体" w:hAnsi="宋体"/>
          <w:snapToGrid w:val="0"/>
          <w:color w:val="000000" w:themeColor="text1"/>
          <w:kern w:val="0"/>
          <w:szCs w:val="21"/>
          <w:u w:val="single"/>
          <w:lang w:val="en-US" w:eastAsia="zh-CN"/>
          <w14:textFill>
            <w14:solidFill>
              <w14:schemeClr w14:val="tx1"/>
            </w14:solidFill>
          </w14:textFill>
        </w:rPr>
        <w:t>/</w:t>
      </w:r>
      <w:r>
        <w:rPr>
          <w:rFonts w:hint="eastAsia" w:ascii="宋体" w:hAnsi="宋体"/>
          <w:snapToGrid w:val="0"/>
          <w:color w:val="000000" w:themeColor="text1"/>
          <w:kern w:val="0"/>
          <w:szCs w:val="21"/>
          <w:u w:val="single"/>
          <w14:textFill>
            <w14:solidFill>
              <w14:schemeClr w14:val="tx1"/>
            </w14:solidFill>
          </w14:textFill>
        </w:rPr>
        <w:t xml:space="preserve">  </w:t>
      </w:r>
    </w:p>
    <w:p w14:paraId="69AB0A7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000000" w:themeColor="text1"/>
          <w:kern w:val="0"/>
          <w:szCs w:val="21"/>
          <w:highlight w:val="none"/>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2.7 其他：</w:t>
      </w:r>
      <w:r>
        <w:rPr>
          <w:rFonts w:hint="eastAsia" w:ascii="宋体" w:hAnsi="宋体"/>
          <w:snapToGrid w:val="0"/>
          <w:color w:val="000000" w:themeColor="text1"/>
          <w:kern w:val="0"/>
          <w:szCs w:val="21"/>
          <w:u w:val="single"/>
          <w14:textFill>
            <w14:solidFill>
              <w14:schemeClr w14:val="tx1"/>
            </w14:solidFill>
          </w14:textFill>
        </w:rPr>
        <w:t xml:space="preserve"> </w:t>
      </w:r>
      <w:r>
        <w:rPr>
          <w:rFonts w:hint="eastAsia" w:ascii="宋体" w:hAnsi="宋体"/>
          <w:snapToGrid w:val="0"/>
          <w:color w:val="000000" w:themeColor="text1"/>
          <w:kern w:val="0"/>
          <w:szCs w:val="21"/>
          <w:u w:val="single"/>
          <w:lang w:val="en-US" w:eastAsia="zh-CN"/>
          <w14:textFill>
            <w14:solidFill>
              <w14:schemeClr w14:val="tx1"/>
            </w14:solidFill>
          </w14:textFill>
        </w:rPr>
        <w:t>/</w:t>
      </w:r>
      <w:r>
        <w:rPr>
          <w:rFonts w:hint="eastAsia" w:ascii="宋体" w:hAnsi="宋体"/>
          <w:snapToGrid w:val="0"/>
          <w:color w:val="000000" w:themeColor="text1"/>
          <w:kern w:val="0"/>
          <w:szCs w:val="21"/>
          <w:u w:val="single"/>
          <w14:textFill>
            <w14:solidFill>
              <w14:schemeClr w14:val="tx1"/>
            </w14:solidFill>
          </w14:textFill>
        </w:rPr>
        <w:t xml:space="preserve">  </w:t>
      </w:r>
    </w:p>
    <w:p w14:paraId="4C33DB59">
      <w:pPr>
        <w:pStyle w:val="4"/>
        <w:spacing w:before="100" w:after="100" w:line="460" w:lineRule="exact"/>
        <w:rPr>
          <w:rFonts w:ascii="宋体" w:hAnsi="宋体"/>
          <w:snapToGrid w:val="0"/>
          <w:color w:val="000000" w:themeColor="text1"/>
          <w:sz w:val="28"/>
          <w:szCs w:val="28"/>
          <w:highlight w:val="none"/>
          <w14:textFill>
            <w14:solidFill>
              <w14:schemeClr w14:val="tx1"/>
            </w14:solidFill>
          </w14:textFill>
        </w:rPr>
      </w:pPr>
      <w:bookmarkStart w:id="40" w:name="_Toc3620"/>
      <w:bookmarkStart w:id="41" w:name="_Toc430530418"/>
      <w:bookmarkStart w:id="42" w:name="_Toc19513"/>
      <w:bookmarkStart w:id="43" w:name="_Toc287607730"/>
      <w:bookmarkStart w:id="44" w:name="_Toc287620669"/>
      <w:bookmarkStart w:id="45" w:name="_Toc200359429"/>
      <w:bookmarkStart w:id="46" w:name="_Toc224103301"/>
      <w:bookmarkStart w:id="47" w:name="_Toc200359240"/>
      <w:bookmarkStart w:id="48" w:name="_Toc277082538"/>
      <w:bookmarkStart w:id="49" w:name="_Toc509218694"/>
      <w:r>
        <w:rPr>
          <w:rFonts w:ascii="宋体" w:hAnsi="宋体"/>
          <w:snapToGrid w:val="0"/>
          <w:color w:val="000000" w:themeColor="text1"/>
          <w:sz w:val="28"/>
          <w:szCs w:val="28"/>
          <w:highlight w:val="none"/>
          <w14:textFill>
            <w14:solidFill>
              <w14:schemeClr w14:val="tx1"/>
            </w14:solidFill>
          </w14:textFill>
        </w:rPr>
        <w:t xml:space="preserve">3. </w:t>
      </w:r>
      <w:r>
        <w:rPr>
          <w:rFonts w:hint="eastAsia" w:ascii="宋体" w:hAnsi="宋体"/>
          <w:snapToGrid w:val="0"/>
          <w:color w:val="000000" w:themeColor="text1"/>
          <w:sz w:val="28"/>
          <w:szCs w:val="28"/>
          <w:highlight w:val="none"/>
          <w14:textFill>
            <w14:solidFill>
              <w14:schemeClr w14:val="tx1"/>
            </w14:solidFill>
          </w14:textFill>
        </w:rPr>
        <w:t xml:space="preserve"> </w:t>
      </w:r>
      <w:r>
        <w:rPr>
          <w:rFonts w:ascii="宋体" w:hAnsi="宋体"/>
          <w:snapToGrid w:val="0"/>
          <w:color w:val="000000" w:themeColor="text1"/>
          <w:sz w:val="28"/>
          <w:szCs w:val="28"/>
          <w:highlight w:val="none"/>
          <w14:textFill>
            <w14:solidFill>
              <w14:schemeClr w14:val="tx1"/>
            </w14:solidFill>
          </w14:textFill>
        </w:rPr>
        <w:t>投标人资格要求</w:t>
      </w:r>
      <w:bookmarkEnd w:id="40"/>
      <w:bookmarkEnd w:id="41"/>
      <w:bookmarkEnd w:id="42"/>
      <w:bookmarkEnd w:id="43"/>
      <w:bookmarkEnd w:id="44"/>
      <w:bookmarkEnd w:id="45"/>
      <w:bookmarkEnd w:id="46"/>
      <w:bookmarkEnd w:id="47"/>
      <w:bookmarkEnd w:id="48"/>
      <w:bookmarkEnd w:id="49"/>
    </w:p>
    <w:p w14:paraId="423404C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000000" w:themeColor="text1"/>
          <w:kern w:val="0"/>
          <w:szCs w:val="21"/>
          <w:highlight w:val="none"/>
          <w14:textFill>
            <w14:solidFill>
              <w14:schemeClr w14:val="tx1"/>
            </w14:solidFill>
          </w14:textFill>
        </w:rPr>
      </w:pPr>
      <w:r>
        <w:rPr>
          <w:rFonts w:ascii="宋体" w:hAnsi="宋体"/>
          <w:snapToGrid w:val="0"/>
          <w:color w:val="000000" w:themeColor="text1"/>
          <w:kern w:val="0"/>
          <w:szCs w:val="21"/>
          <w:highlight w:val="none"/>
          <w14:textFill>
            <w14:solidFill>
              <w14:schemeClr w14:val="tx1"/>
            </w14:solidFill>
          </w14:textFill>
        </w:rPr>
        <w:t xml:space="preserve">3.1  </w:t>
      </w:r>
      <w:r>
        <w:rPr>
          <w:rFonts w:hint="eastAsia" w:ascii="宋体" w:hAnsi="宋体"/>
          <w:snapToGrid w:val="0"/>
          <w:color w:val="000000" w:themeColor="text1"/>
          <w:kern w:val="0"/>
          <w:szCs w:val="21"/>
          <w:highlight w:val="none"/>
          <w:lang w:val="en-US" w:eastAsia="zh-CN"/>
          <w14:textFill>
            <w14:solidFill>
              <w14:schemeClr w14:val="tx1"/>
            </w14:solidFill>
          </w14:textFill>
        </w:rPr>
        <w:t xml:space="preserve"> </w:t>
      </w:r>
      <w:r>
        <w:rPr>
          <w:rFonts w:ascii="宋体" w:hAnsi="宋体"/>
          <w:snapToGrid w:val="0"/>
          <w:color w:val="000000" w:themeColor="text1"/>
          <w:kern w:val="0"/>
          <w:szCs w:val="21"/>
          <w:highlight w:val="none"/>
          <w14:textFill>
            <w14:solidFill>
              <w14:schemeClr w14:val="tx1"/>
            </w14:solidFill>
          </w14:textFill>
        </w:rPr>
        <w:t>本次</w:t>
      </w:r>
      <w:r>
        <w:rPr>
          <w:rFonts w:hint="eastAsia" w:ascii="宋体" w:hAnsi="宋体"/>
          <w:snapToGrid w:val="0"/>
          <w:color w:val="000000" w:themeColor="text1"/>
          <w:kern w:val="0"/>
          <w:szCs w:val="21"/>
          <w:highlight w:val="none"/>
          <w:lang w:eastAsia="zh-CN"/>
          <w14:textFill>
            <w14:solidFill>
              <w14:schemeClr w14:val="tx1"/>
            </w14:solidFill>
          </w14:textFill>
        </w:rPr>
        <w:t>比选</w:t>
      </w:r>
      <w:r>
        <w:rPr>
          <w:rFonts w:ascii="宋体" w:hAnsi="宋体"/>
          <w:snapToGrid w:val="0"/>
          <w:color w:val="000000" w:themeColor="text1"/>
          <w:kern w:val="0"/>
          <w:szCs w:val="21"/>
          <w:highlight w:val="none"/>
          <w14:textFill>
            <w14:solidFill>
              <w14:schemeClr w14:val="tx1"/>
            </w14:solidFill>
          </w14:textFill>
        </w:rPr>
        <w:t>要求投标人须具备</w:t>
      </w:r>
      <w:r>
        <w:rPr>
          <w:rFonts w:hint="eastAsia" w:ascii="宋体" w:hAnsi="宋体"/>
          <w:snapToGrid w:val="0"/>
          <w:color w:val="000000" w:themeColor="text1"/>
          <w:kern w:val="0"/>
          <w:szCs w:val="21"/>
          <w:highlight w:val="none"/>
          <w14:textFill>
            <w14:solidFill>
              <w14:schemeClr w14:val="tx1"/>
            </w14:solidFill>
          </w14:textFill>
        </w:rPr>
        <w:t>以下条件：</w:t>
      </w:r>
    </w:p>
    <w:p w14:paraId="70E22D8F">
      <w:pPr>
        <w:tabs>
          <w:tab w:val="left" w:pos="3840"/>
          <w:tab w:val="left" w:pos="5300"/>
        </w:tabs>
        <w:autoSpaceDE w:val="0"/>
        <w:autoSpaceDN w:val="0"/>
        <w:adjustRightInd w:val="0"/>
        <w:snapToGrid w:val="0"/>
        <w:spacing w:line="400" w:lineRule="exact"/>
        <w:ind w:firstLine="420" w:firstLineChars="200"/>
        <w:jc w:val="left"/>
        <w:rPr>
          <w:rFonts w:ascii="宋体" w:hAnsi="宋体"/>
          <w:snapToGrid w:val="0"/>
          <w:color w:val="000000" w:themeColor="text1"/>
          <w:kern w:val="0"/>
          <w:szCs w:val="21"/>
          <w:highlight w:val="none"/>
          <w14:textFill>
            <w14:solidFill>
              <w14:schemeClr w14:val="tx1"/>
            </w14:solidFill>
          </w14:textFill>
        </w:rPr>
      </w:pPr>
      <w:r>
        <w:rPr>
          <w:rFonts w:hint="eastAsia" w:ascii="宋体" w:hAnsi="宋体"/>
          <w:snapToGrid w:val="0"/>
          <w:color w:val="000000" w:themeColor="text1"/>
          <w:kern w:val="0"/>
          <w:szCs w:val="21"/>
          <w:highlight w:val="none"/>
          <w14:textFill>
            <w14:solidFill>
              <w14:schemeClr w14:val="tx1"/>
            </w14:solidFill>
          </w14:textFill>
        </w:rPr>
        <w:t>3.1.1 本次</w:t>
      </w:r>
      <w:r>
        <w:rPr>
          <w:rFonts w:hint="eastAsia" w:ascii="宋体" w:hAnsi="宋体"/>
          <w:snapToGrid w:val="0"/>
          <w:color w:val="000000" w:themeColor="text1"/>
          <w:kern w:val="0"/>
          <w:szCs w:val="21"/>
          <w:highlight w:val="none"/>
          <w:lang w:eastAsia="zh-CN"/>
          <w14:textFill>
            <w14:solidFill>
              <w14:schemeClr w14:val="tx1"/>
            </w14:solidFill>
          </w14:textFill>
        </w:rPr>
        <w:t>比选</w:t>
      </w:r>
      <w:r>
        <w:rPr>
          <w:rFonts w:hint="eastAsia" w:ascii="宋体" w:hAnsi="宋体"/>
          <w:snapToGrid w:val="0"/>
          <w:color w:val="000000" w:themeColor="text1"/>
          <w:kern w:val="0"/>
          <w:szCs w:val="21"/>
          <w:highlight w:val="none"/>
          <w14:textFill>
            <w14:solidFill>
              <w14:schemeClr w14:val="tx1"/>
            </w14:solidFill>
          </w14:textFill>
        </w:rPr>
        <w:t>要求投标人具备的资质条件：</w:t>
      </w:r>
      <w:r>
        <w:rPr>
          <w:rFonts w:hint="eastAsia" w:ascii="宋体" w:hAnsi="宋体"/>
          <w:snapToGrid w:val="0"/>
          <w:color w:val="000000" w:themeColor="text1"/>
          <w:kern w:val="0"/>
          <w:szCs w:val="21"/>
          <w:u w:val="single"/>
          <w14:textFill>
            <w14:solidFill>
              <w14:schemeClr w14:val="tx1"/>
            </w14:solidFill>
          </w14:textFill>
        </w:rPr>
        <w:t>投标人须具备建设行政主管部门颁发的</w:t>
      </w:r>
      <w:r>
        <w:rPr>
          <w:rFonts w:hint="eastAsia" w:ascii="宋体" w:hAnsi="宋体"/>
          <w:snapToGrid w:val="0"/>
          <w:color w:val="000000" w:themeColor="text1"/>
          <w:kern w:val="0"/>
          <w:szCs w:val="21"/>
          <w:u w:val="single"/>
          <w:lang w:eastAsia="zh-CN"/>
          <w14:textFill>
            <w14:solidFill>
              <w14:schemeClr w14:val="tx1"/>
            </w14:solidFill>
          </w14:textFill>
        </w:rPr>
        <w:t>建筑工程施工承包三级及以上资质</w:t>
      </w:r>
      <w:r>
        <w:rPr>
          <w:rFonts w:hint="eastAsia" w:ascii="宋体" w:hAnsi="宋体"/>
          <w:snapToGrid w:val="0"/>
          <w:color w:val="000000" w:themeColor="text1"/>
          <w:kern w:val="0"/>
          <w:szCs w:val="21"/>
          <w:highlight w:val="none"/>
          <w14:textFill>
            <w14:solidFill>
              <w14:schemeClr w14:val="tx1"/>
            </w14:solidFill>
          </w14:textFill>
        </w:rPr>
        <w:t>；</w:t>
      </w:r>
    </w:p>
    <w:p w14:paraId="3B79B5CE">
      <w:pPr>
        <w:tabs>
          <w:tab w:val="left" w:pos="3840"/>
          <w:tab w:val="left" w:pos="5300"/>
        </w:tabs>
        <w:autoSpaceDE w:val="0"/>
        <w:autoSpaceDN w:val="0"/>
        <w:adjustRightInd w:val="0"/>
        <w:snapToGrid w:val="0"/>
        <w:spacing w:line="46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snapToGrid w:val="0"/>
          <w:color w:val="000000" w:themeColor="text1"/>
          <w:kern w:val="0"/>
          <w:szCs w:val="21"/>
          <w:highlight w:val="none"/>
          <w14:textFill>
            <w14:solidFill>
              <w14:schemeClr w14:val="tx1"/>
            </w14:solidFill>
          </w14:textFill>
        </w:rPr>
        <w:t>3.1.</w:t>
      </w:r>
      <w:r>
        <w:rPr>
          <w:rFonts w:hint="eastAsia" w:ascii="宋体" w:hAnsi="宋体"/>
          <w:snapToGrid w:val="0"/>
          <w:color w:val="000000" w:themeColor="text1"/>
          <w:kern w:val="0"/>
          <w:szCs w:val="21"/>
          <w:highlight w:val="none"/>
          <w:lang w:val="en-US" w:eastAsia="zh-CN"/>
          <w14:textFill>
            <w14:solidFill>
              <w14:schemeClr w14:val="tx1"/>
            </w14:solidFill>
          </w14:textFill>
        </w:rPr>
        <w:t xml:space="preserve">2 </w:t>
      </w:r>
      <w:r>
        <w:rPr>
          <w:rFonts w:hint="eastAsia" w:ascii="宋体" w:hAnsi="宋体"/>
          <w:snapToGrid w:val="0"/>
          <w:color w:val="000000" w:themeColor="text1"/>
          <w:kern w:val="0"/>
          <w:szCs w:val="21"/>
          <w:highlight w:val="none"/>
          <w14:textFill>
            <w14:solidFill>
              <w14:schemeClr w14:val="tx1"/>
            </w14:solidFill>
          </w14:textFill>
        </w:rPr>
        <w:t>投标人还应在人员、设备、资金等方面具有相应的施工能力，详见</w:t>
      </w:r>
      <w:r>
        <w:rPr>
          <w:rFonts w:hint="eastAsia" w:ascii="宋体" w:hAnsi="宋体"/>
          <w:snapToGrid w:val="0"/>
          <w:color w:val="000000" w:themeColor="text1"/>
          <w:kern w:val="0"/>
          <w:szCs w:val="21"/>
          <w:highlight w:val="none"/>
          <w:lang w:eastAsia="zh-CN"/>
          <w14:textFill>
            <w14:solidFill>
              <w14:schemeClr w14:val="tx1"/>
            </w14:solidFill>
          </w14:textFill>
        </w:rPr>
        <w:t>比选</w:t>
      </w:r>
      <w:r>
        <w:rPr>
          <w:rFonts w:hint="eastAsia" w:ascii="宋体" w:hAnsi="宋体"/>
          <w:snapToGrid w:val="0"/>
          <w:color w:val="000000" w:themeColor="text1"/>
          <w:kern w:val="0"/>
          <w:szCs w:val="21"/>
          <w:highlight w:val="none"/>
          <w14:textFill>
            <w14:solidFill>
              <w14:schemeClr w14:val="tx1"/>
            </w14:solidFill>
          </w14:textFill>
        </w:rPr>
        <w:t>文件第二章投标人须知前附表第1.4.1项内容。</w:t>
      </w:r>
    </w:p>
    <w:p w14:paraId="589C5742">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000000" w:themeColor="text1"/>
          <w:kern w:val="0"/>
          <w:szCs w:val="21"/>
          <w:highlight w:val="none"/>
          <w14:textFill>
            <w14:solidFill>
              <w14:schemeClr w14:val="tx1"/>
            </w14:solidFill>
          </w14:textFill>
        </w:rPr>
      </w:pPr>
      <w:r>
        <w:rPr>
          <w:rFonts w:ascii="宋体" w:hAnsi="宋体"/>
          <w:snapToGrid w:val="0"/>
          <w:color w:val="000000" w:themeColor="text1"/>
          <w:kern w:val="0"/>
          <w:szCs w:val="21"/>
          <w:highlight w:val="none"/>
          <w14:textFill>
            <w14:solidFill>
              <w14:schemeClr w14:val="tx1"/>
            </w14:solidFill>
          </w14:textFill>
        </w:rPr>
        <w:t xml:space="preserve">3.2  </w:t>
      </w:r>
      <w:r>
        <w:rPr>
          <w:rFonts w:hint="eastAsia" w:ascii="宋体" w:hAnsi="宋体"/>
          <w:snapToGrid w:val="0"/>
          <w:color w:val="000000" w:themeColor="text1"/>
          <w:kern w:val="0"/>
          <w:szCs w:val="21"/>
          <w:highlight w:val="none"/>
          <w:lang w:val="en-US" w:eastAsia="zh-CN"/>
          <w14:textFill>
            <w14:solidFill>
              <w14:schemeClr w14:val="tx1"/>
            </w14:solidFill>
          </w14:textFill>
        </w:rPr>
        <w:t xml:space="preserve"> </w:t>
      </w:r>
      <w:r>
        <w:rPr>
          <w:rFonts w:ascii="宋体" w:hAnsi="宋体"/>
          <w:snapToGrid w:val="0"/>
          <w:color w:val="000000" w:themeColor="text1"/>
          <w:kern w:val="0"/>
          <w:szCs w:val="21"/>
          <w:highlight w:val="none"/>
          <w14:textFill>
            <w14:solidFill>
              <w14:schemeClr w14:val="tx1"/>
            </w14:solidFill>
          </w14:textFill>
        </w:rPr>
        <w:t>本次</w:t>
      </w:r>
      <w:r>
        <w:rPr>
          <w:rFonts w:hint="eastAsia" w:ascii="宋体" w:hAnsi="宋体"/>
          <w:snapToGrid w:val="0"/>
          <w:color w:val="000000" w:themeColor="text1"/>
          <w:kern w:val="0"/>
          <w:szCs w:val="21"/>
          <w:highlight w:val="none"/>
          <w:lang w:eastAsia="zh-CN"/>
          <w14:textFill>
            <w14:solidFill>
              <w14:schemeClr w14:val="tx1"/>
            </w14:solidFill>
          </w14:textFill>
        </w:rPr>
        <w:t>比选</w:t>
      </w:r>
      <w:r>
        <w:rPr>
          <w:rFonts w:hint="eastAsia" w:ascii="宋体" w:hAnsi="宋体"/>
          <w:snapToGrid w:val="0"/>
          <w:color w:val="000000" w:themeColor="text1"/>
          <w:kern w:val="0"/>
          <w:szCs w:val="21"/>
          <w:highlight w:val="none"/>
          <w14:textFill>
            <w14:solidFill>
              <w14:schemeClr w14:val="tx1"/>
            </w14:solidFill>
          </w14:textFill>
        </w:rPr>
        <w:t>不接受</w:t>
      </w:r>
      <w:r>
        <w:rPr>
          <w:rFonts w:ascii="宋体" w:hAnsi="宋体"/>
          <w:snapToGrid w:val="0"/>
          <w:color w:val="000000" w:themeColor="text1"/>
          <w:kern w:val="0"/>
          <w:szCs w:val="21"/>
          <w:highlight w:val="none"/>
          <w14:textFill>
            <w14:solidFill>
              <w14:schemeClr w14:val="tx1"/>
            </w14:solidFill>
          </w14:textFill>
        </w:rPr>
        <w:t>联合体投标。</w:t>
      </w:r>
    </w:p>
    <w:p w14:paraId="3315CC9A">
      <w:pPr>
        <w:pStyle w:val="4"/>
        <w:spacing w:before="100" w:after="100" w:line="460" w:lineRule="exact"/>
        <w:rPr>
          <w:rFonts w:hint="eastAsia" w:ascii="宋体" w:hAnsi="宋体"/>
          <w:snapToGrid w:val="0"/>
          <w:color w:val="000000" w:themeColor="text1"/>
          <w:sz w:val="28"/>
          <w:szCs w:val="28"/>
          <w:highlight w:val="none"/>
          <w14:textFill>
            <w14:solidFill>
              <w14:schemeClr w14:val="tx1"/>
            </w14:solidFill>
          </w14:textFill>
        </w:rPr>
      </w:pPr>
      <w:bookmarkStart w:id="50" w:name="_Toc287620670"/>
      <w:bookmarkStart w:id="51" w:name="_Toc509218695"/>
      <w:bookmarkStart w:id="52" w:name="_Toc277082539"/>
      <w:bookmarkStart w:id="53" w:name="_Toc224103302"/>
      <w:bookmarkStart w:id="54" w:name="_Toc200359241"/>
      <w:bookmarkStart w:id="55" w:name="_Toc24394"/>
      <w:bookmarkStart w:id="56" w:name="_Toc200359430"/>
      <w:bookmarkStart w:id="57" w:name="_Toc287607731"/>
      <w:bookmarkStart w:id="58" w:name="_Toc10508"/>
      <w:bookmarkStart w:id="59" w:name="_Toc430530419"/>
      <w:r>
        <w:rPr>
          <w:rFonts w:ascii="宋体" w:hAnsi="宋体"/>
          <w:snapToGrid w:val="0"/>
          <w:color w:val="000000" w:themeColor="text1"/>
          <w:sz w:val="28"/>
          <w:szCs w:val="28"/>
          <w:highlight w:val="none"/>
          <w14:textFill>
            <w14:solidFill>
              <w14:schemeClr w14:val="tx1"/>
            </w14:solidFill>
          </w14:textFill>
        </w:rPr>
        <w:t xml:space="preserve">4. </w:t>
      </w:r>
      <w:r>
        <w:rPr>
          <w:rFonts w:hint="eastAsia" w:ascii="宋体" w:hAnsi="宋体"/>
          <w:snapToGrid w:val="0"/>
          <w:color w:val="000000" w:themeColor="text1"/>
          <w:sz w:val="28"/>
          <w:szCs w:val="28"/>
          <w:highlight w:val="none"/>
          <w14:textFill>
            <w14:solidFill>
              <w14:schemeClr w14:val="tx1"/>
            </w14:solidFill>
          </w14:textFill>
        </w:rPr>
        <w:t xml:space="preserve"> </w:t>
      </w:r>
      <w:r>
        <w:rPr>
          <w:rFonts w:hint="eastAsia" w:ascii="宋体" w:hAnsi="宋体"/>
          <w:snapToGrid w:val="0"/>
          <w:color w:val="000000" w:themeColor="text1"/>
          <w:sz w:val="28"/>
          <w:szCs w:val="28"/>
          <w:highlight w:val="none"/>
          <w:lang w:eastAsia="zh-CN"/>
          <w14:textFill>
            <w14:solidFill>
              <w14:schemeClr w14:val="tx1"/>
            </w14:solidFill>
          </w14:textFill>
        </w:rPr>
        <w:t>比选</w:t>
      </w:r>
      <w:r>
        <w:rPr>
          <w:rFonts w:ascii="宋体" w:hAnsi="宋体"/>
          <w:snapToGrid w:val="0"/>
          <w:color w:val="000000" w:themeColor="text1"/>
          <w:sz w:val="28"/>
          <w:szCs w:val="28"/>
          <w:highlight w:val="none"/>
          <w14:textFill>
            <w14:solidFill>
              <w14:schemeClr w14:val="tx1"/>
            </w14:solidFill>
          </w14:textFill>
        </w:rPr>
        <w:t>文件的获取</w:t>
      </w:r>
      <w:bookmarkEnd w:id="50"/>
      <w:bookmarkEnd w:id="51"/>
      <w:bookmarkEnd w:id="52"/>
      <w:bookmarkEnd w:id="53"/>
      <w:bookmarkEnd w:id="54"/>
      <w:bookmarkEnd w:id="55"/>
      <w:bookmarkEnd w:id="56"/>
      <w:bookmarkEnd w:id="57"/>
      <w:bookmarkEnd w:id="58"/>
      <w:bookmarkEnd w:id="59"/>
    </w:p>
    <w:p w14:paraId="63A1CC9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000000" w:themeColor="text1"/>
          <w:kern w:val="0"/>
          <w:szCs w:val="21"/>
          <w:highlight w:val="none"/>
          <w:lang w:val="en-US" w:eastAsia="zh-CN"/>
          <w14:textFill>
            <w14:solidFill>
              <w14:schemeClr w14:val="tx1"/>
            </w14:solidFill>
          </w14:textFill>
        </w:rPr>
      </w:pPr>
      <w:r>
        <w:rPr>
          <w:rFonts w:hint="eastAsia" w:ascii="宋体" w:hAnsi="宋体"/>
          <w:snapToGrid w:val="0"/>
          <w:color w:val="000000" w:themeColor="text1"/>
          <w:kern w:val="0"/>
          <w:szCs w:val="21"/>
          <w:highlight w:val="none"/>
          <w:lang w:val="en-US" w:eastAsia="zh-CN"/>
          <w14:textFill>
            <w14:solidFill>
              <w14:schemeClr w14:val="tx1"/>
            </w14:solidFill>
          </w14:textFill>
        </w:rPr>
        <w:t>4.1获取时间及获取方式：凡有意参加投标者，请于公告发布之日（2024年11月4日）起至比选文件领取截止时间(2024年11月6日17时00分)前，在比选代理机构处报名并领取比选文件、图纸、工程量清单等其它相关技术资料，领取资料时请持单位授权委托书，文件费500元/套。未在规定时间报名的投标人，比选人和比选代理机构不接受其投标人的投标文件。</w:t>
      </w:r>
    </w:p>
    <w:p w14:paraId="79633DF6">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000000" w:themeColor="text1"/>
          <w:kern w:val="0"/>
          <w:szCs w:val="21"/>
          <w:highlight w:val="none"/>
          <w:lang w:val="en-US" w:eastAsia="zh-CN"/>
          <w14:textFill>
            <w14:solidFill>
              <w14:schemeClr w14:val="tx1"/>
            </w14:solidFill>
          </w14:textFill>
        </w:rPr>
      </w:pPr>
      <w:r>
        <w:rPr>
          <w:rFonts w:hint="default" w:ascii="宋体" w:hAnsi="宋体"/>
          <w:snapToGrid w:val="0"/>
          <w:color w:val="000000" w:themeColor="text1"/>
          <w:kern w:val="0"/>
          <w:szCs w:val="21"/>
          <w:highlight w:val="none"/>
          <w:lang w:val="en-US" w:eastAsia="zh-CN"/>
          <w14:textFill>
            <w14:solidFill>
              <w14:schemeClr w14:val="tx1"/>
            </w14:solidFill>
          </w14:textFill>
        </w:rPr>
        <w:t>4.2 本公告开始发布至投标截止时间止，各投标人应随时关注重庆市铜梁区人民政府网上关于本比选项目相关修改或补充内容。</w:t>
      </w:r>
    </w:p>
    <w:p w14:paraId="0DB54D9D">
      <w:pPr>
        <w:pStyle w:val="4"/>
        <w:spacing w:before="100" w:after="100" w:line="460" w:lineRule="exact"/>
        <w:rPr>
          <w:rFonts w:ascii="宋体" w:hAnsi="宋体"/>
          <w:snapToGrid w:val="0"/>
          <w:color w:val="000000" w:themeColor="text1"/>
          <w:sz w:val="28"/>
          <w:szCs w:val="28"/>
          <w:highlight w:val="none"/>
          <w14:textFill>
            <w14:solidFill>
              <w14:schemeClr w14:val="tx1"/>
            </w14:solidFill>
          </w14:textFill>
        </w:rPr>
      </w:pPr>
      <w:bookmarkStart w:id="60" w:name="_Toc25290"/>
      <w:bookmarkStart w:id="61" w:name="_Toc200359431"/>
      <w:bookmarkStart w:id="62" w:name="_Toc430530420"/>
      <w:bookmarkStart w:id="63" w:name="_Toc28449"/>
      <w:bookmarkStart w:id="64" w:name="_Toc277082540"/>
      <w:bookmarkStart w:id="65" w:name="_Toc224103303"/>
      <w:bookmarkStart w:id="66" w:name="_Toc509218696"/>
      <w:bookmarkStart w:id="67" w:name="_Toc200359242"/>
      <w:bookmarkStart w:id="68" w:name="_Toc287607732"/>
      <w:bookmarkStart w:id="69" w:name="_Toc287620671"/>
      <w:r>
        <w:rPr>
          <w:rFonts w:ascii="宋体" w:hAnsi="宋体"/>
          <w:snapToGrid w:val="0"/>
          <w:color w:val="000000" w:themeColor="text1"/>
          <w:sz w:val="28"/>
          <w:szCs w:val="28"/>
          <w:highlight w:val="none"/>
          <w14:textFill>
            <w14:solidFill>
              <w14:schemeClr w14:val="tx1"/>
            </w14:solidFill>
          </w14:textFill>
        </w:rPr>
        <w:t xml:space="preserve">5. </w:t>
      </w:r>
      <w:r>
        <w:rPr>
          <w:rFonts w:hint="eastAsia" w:ascii="宋体" w:hAnsi="宋体"/>
          <w:snapToGrid w:val="0"/>
          <w:color w:val="000000" w:themeColor="text1"/>
          <w:sz w:val="28"/>
          <w:szCs w:val="28"/>
          <w:highlight w:val="none"/>
          <w14:textFill>
            <w14:solidFill>
              <w14:schemeClr w14:val="tx1"/>
            </w14:solidFill>
          </w14:textFill>
        </w:rPr>
        <w:t xml:space="preserve"> </w:t>
      </w:r>
      <w:r>
        <w:rPr>
          <w:rFonts w:ascii="宋体" w:hAnsi="宋体"/>
          <w:snapToGrid w:val="0"/>
          <w:color w:val="000000" w:themeColor="text1"/>
          <w:sz w:val="28"/>
          <w:szCs w:val="28"/>
          <w:highlight w:val="none"/>
          <w14:textFill>
            <w14:solidFill>
              <w14:schemeClr w14:val="tx1"/>
            </w14:solidFill>
          </w14:textFill>
        </w:rPr>
        <w:t>投标文件的递交</w:t>
      </w:r>
      <w:bookmarkEnd w:id="60"/>
      <w:bookmarkEnd w:id="61"/>
      <w:bookmarkEnd w:id="62"/>
      <w:bookmarkEnd w:id="63"/>
      <w:bookmarkEnd w:id="64"/>
      <w:bookmarkEnd w:id="65"/>
      <w:bookmarkEnd w:id="66"/>
      <w:bookmarkEnd w:id="67"/>
      <w:bookmarkEnd w:id="68"/>
      <w:bookmarkEnd w:id="69"/>
    </w:p>
    <w:p w14:paraId="15663B99">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000000" w:themeColor="text1"/>
          <w:kern w:val="0"/>
          <w:szCs w:val="21"/>
          <w:highlight w:val="none"/>
          <w14:textFill>
            <w14:solidFill>
              <w14:schemeClr w14:val="tx1"/>
            </w14:solidFill>
          </w14:textFill>
        </w:rPr>
      </w:pPr>
      <w:r>
        <w:rPr>
          <w:rFonts w:ascii="宋体" w:hAnsi="宋体"/>
          <w:snapToGrid w:val="0"/>
          <w:color w:val="000000" w:themeColor="text1"/>
          <w:kern w:val="0"/>
          <w:szCs w:val="21"/>
          <w:highlight w:val="none"/>
          <w14:textFill>
            <w14:solidFill>
              <w14:schemeClr w14:val="tx1"/>
            </w14:solidFill>
          </w14:textFill>
        </w:rPr>
        <w:t xml:space="preserve">5.1  </w:t>
      </w:r>
      <w:r>
        <w:rPr>
          <w:rFonts w:ascii="宋体" w:hAnsi="宋体"/>
          <w:snapToGrid w:val="0"/>
          <w:color w:val="000000" w:themeColor="text1"/>
          <w:kern w:val="0"/>
          <w:szCs w:val="21"/>
          <w14:textFill>
            <w14:solidFill>
              <w14:schemeClr w14:val="tx1"/>
            </w14:solidFill>
          </w14:textFill>
        </w:rPr>
        <w:t>投标文件递交的</w:t>
      </w:r>
      <w:r>
        <w:rPr>
          <w:rFonts w:hint="eastAsia" w:ascii="宋体" w:hAnsi="宋体"/>
          <w:snapToGrid w:val="0"/>
          <w:color w:val="000000" w:themeColor="text1"/>
          <w:kern w:val="0"/>
          <w:szCs w:val="21"/>
          <w14:textFill>
            <w14:solidFill>
              <w14:schemeClr w14:val="tx1"/>
            </w14:solidFill>
          </w14:textFill>
        </w:rPr>
        <w:t>开始时间为</w:t>
      </w:r>
      <w:r>
        <w:rPr>
          <w:rFonts w:hint="eastAsia" w:ascii="宋体" w:hAnsi="宋体"/>
          <w:snapToGrid w:val="0"/>
          <w:color w:val="000000" w:themeColor="text1"/>
          <w:kern w:val="0"/>
          <w:szCs w:val="21"/>
          <w:u w:val="single"/>
          <w14:textFill>
            <w14:solidFill>
              <w14:schemeClr w14:val="tx1"/>
            </w14:solidFill>
          </w14:textFill>
        </w:rPr>
        <w:t>202</w:t>
      </w:r>
      <w:r>
        <w:rPr>
          <w:rFonts w:hint="eastAsia" w:ascii="宋体" w:hAnsi="宋体"/>
          <w:snapToGrid w:val="0"/>
          <w:color w:val="000000" w:themeColor="text1"/>
          <w:kern w:val="0"/>
          <w:szCs w:val="21"/>
          <w:u w:val="single"/>
          <w:lang w:val="en-US" w:eastAsia="zh-CN"/>
          <w14:textFill>
            <w14:solidFill>
              <w14:schemeClr w14:val="tx1"/>
            </w14:solidFill>
          </w14:textFill>
        </w:rPr>
        <w:t>4</w:t>
      </w:r>
      <w:r>
        <w:rPr>
          <w:rFonts w:hint="eastAsia" w:ascii="宋体" w:hAnsi="宋体"/>
          <w:snapToGrid w:val="0"/>
          <w:color w:val="000000" w:themeColor="text1"/>
          <w:kern w:val="0"/>
          <w:szCs w:val="21"/>
          <w14:textFill>
            <w14:solidFill>
              <w14:schemeClr w14:val="tx1"/>
            </w14:solidFill>
          </w14:textFill>
        </w:rPr>
        <w:t>年</w:t>
      </w:r>
      <w:r>
        <w:rPr>
          <w:rFonts w:hint="eastAsia" w:ascii="宋体" w:hAnsi="宋体"/>
          <w:snapToGrid w:val="0"/>
          <w:color w:val="000000" w:themeColor="text1"/>
          <w:kern w:val="0"/>
          <w:szCs w:val="21"/>
          <w:u w:val="single"/>
          <w:lang w:val="en-US" w:eastAsia="zh-CN"/>
          <w14:textFill>
            <w14:solidFill>
              <w14:schemeClr w14:val="tx1"/>
            </w14:solidFill>
          </w14:textFill>
        </w:rPr>
        <w:t>11</w:t>
      </w:r>
      <w:r>
        <w:rPr>
          <w:rFonts w:hint="eastAsia" w:ascii="宋体" w:hAnsi="宋体"/>
          <w:snapToGrid w:val="0"/>
          <w:color w:val="000000" w:themeColor="text1"/>
          <w:kern w:val="0"/>
          <w:szCs w:val="21"/>
          <w14:textFill>
            <w14:solidFill>
              <w14:schemeClr w14:val="tx1"/>
            </w14:solidFill>
          </w14:textFill>
        </w:rPr>
        <w:t>月</w:t>
      </w:r>
      <w:r>
        <w:rPr>
          <w:rFonts w:hint="eastAsia" w:ascii="宋体" w:hAnsi="宋体"/>
          <w:snapToGrid w:val="0"/>
          <w:color w:val="000000" w:themeColor="text1"/>
          <w:kern w:val="0"/>
          <w:szCs w:val="21"/>
          <w:u w:val="single"/>
          <w:lang w:val="en-US" w:eastAsia="zh-CN"/>
          <w14:textFill>
            <w14:solidFill>
              <w14:schemeClr w14:val="tx1"/>
            </w14:solidFill>
          </w14:textFill>
        </w:rPr>
        <w:t>7</w:t>
      </w:r>
      <w:r>
        <w:rPr>
          <w:rFonts w:hint="eastAsia" w:ascii="宋体" w:hAnsi="宋体"/>
          <w:snapToGrid w:val="0"/>
          <w:color w:val="000000" w:themeColor="text1"/>
          <w:kern w:val="0"/>
          <w:szCs w:val="21"/>
          <w14:textFill>
            <w14:solidFill>
              <w14:schemeClr w14:val="tx1"/>
            </w14:solidFill>
          </w14:textFill>
        </w:rPr>
        <w:t>日</w:t>
      </w:r>
      <w:r>
        <w:rPr>
          <w:rFonts w:hint="eastAsia" w:ascii="宋体" w:hAnsi="宋体"/>
          <w:snapToGrid w:val="0"/>
          <w:color w:val="000000" w:themeColor="text1"/>
          <w:kern w:val="0"/>
          <w:szCs w:val="21"/>
          <w:u w:val="single"/>
          <w:lang w:val="en-US" w:eastAsia="zh-CN"/>
          <w14:textFill>
            <w14:solidFill>
              <w14:schemeClr w14:val="tx1"/>
            </w14:solidFill>
          </w14:textFill>
        </w:rPr>
        <w:t>09</w:t>
      </w:r>
      <w:r>
        <w:rPr>
          <w:rFonts w:hint="eastAsia" w:ascii="宋体" w:hAnsi="宋体"/>
          <w:snapToGrid w:val="0"/>
          <w:color w:val="000000" w:themeColor="text1"/>
          <w:kern w:val="0"/>
          <w:szCs w:val="21"/>
          <w14:textFill>
            <w14:solidFill>
              <w14:schemeClr w14:val="tx1"/>
            </w14:solidFill>
          </w14:textFill>
        </w:rPr>
        <w:t>时</w:t>
      </w:r>
      <w:r>
        <w:rPr>
          <w:rFonts w:hint="eastAsia" w:ascii="宋体" w:hAnsi="宋体"/>
          <w:snapToGrid w:val="0"/>
          <w:color w:val="000000" w:themeColor="text1"/>
          <w:kern w:val="0"/>
          <w:szCs w:val="21"/>
          <w:u w:val="single"/>
          <w:lang w:val="en-US" w:eastAsia="zh-CN"/>
          <w14:textFill>
            <w14:solidFill>
              <w14:schemeClr w14:val="tx1"/>
            </w14:solidFill>
          </w14:textFill>
        </w:rPr>
        <w:t>30</w:t>
      </w:r>
      <w:r>
        <w:rPr>
          <w:rFonts w:hint="eastAsia" w:ascii="宋体" w:hAnsi="宋体"/>
          <w:snapToGrid w:val="0"/>
          <w:color w:val="000000" w:themeColor="text1"/>
          <w:kern w:val="0"/>
          <w:szCs w:val="21"/>
          <w14:textFill>
            <w14:solidFill>
              <w14:schemeClr w14:val="tx1"/>
            </w14:solidFill>
          </w14:textFill>
        </w:rPr>
        <w:t>分，</w:t>
      </w:r>
      <w:r>
        <w:rPr>
          <w:rFonts w:ascii="宋体" w:hAnsi="宋体"/>
          <w:snapToGrid w:val="0"/>
          <w:color w:val="000000" w:themeColor="text1"/>
          <w:kern w:val="0"/>
          <w:szCs w:val="21"/>
          <w14:textFill>
            <w14:solidFill>
              <w14:schemeClr w14:val="tx1"/>
            </w14:solidFill>
          </w14:textFill>
        </w:rPr>
        <w:t>截止时间（投标截止时间，下同）为</w:t>
      </w:r>
      <w:r>
        <w:rPr>
          <w:rFonts w:hint="eastAsia" w:ascii="宋体" w:hAnsi="宋体"/>
          <w:snapToGrid w:val="0"/>
          <w:color w:val="000000" w:themeColor="text1"/>
          <w:kern w:val="0"/>
          <w:szCs w:val="21"/>
          <w:u w:val="single"/>
          <w:lang w:val="en-US" w:eastAsia="zh-CN"/>
          <w14:textFill>
            <w14:solidFill>
              <w14:schemeClr w14:val="tx1"/>
            </w14:solidFill>
          </w14:textFill>
        </w:rPr>
        <w:t xml:space="preserve"> 2024</w:t>
      </w:r>
      <w:r>
        <w:rPr>
          <w:rFonts w:ascii="宋体" w:hAnsi="宋体"/>
          <w:snapToGrid w:val="0"/>
          <w:color w:val="000000" w:themeColor="text1"/>
          <w:kern w:val="0"/>
          <w:szCs w:val="21"/>
          <w14:textFill>
            <w14:solidFill>
              <w14:schemeClr w14:val="tx1"/>
            </w14:solidFill>
          </w14:textFill>
        </w:rPr>
        <w:t>年</w:t>
      </w:r>
      <w:r>
        <w:rPr>
          <w:rFonts w:hint="eastAsia" w:ascii="宋体" w:hAnsi="宋体"/>
          <w:snapToGrid w:val="0"/>
          <w:color w:val="000000" w:themeColor="text1"/>
          <w:kern w:val="0"/>
          <w:szCs w:val="21"/>
          <w:u w:val="single"/>
          <w:lang w:val="en-US" w:eastAsia="zh-CN"/>
          <w14:textFill>
            <w14:solidFill>
              <w14:schemeClr w14:val="tx1"/>
            </w14:solidFill>
          </w14:textFill>
        </w:rPr>
        <w:t>11</w:t>
      </w:r>
      <w:r>
        <w:rPr>
          <w:rFonts w:ascii="宋体" w:hAnsi="宋体"/>
          <w:snapToGrid w:val="0"/>
          <w:color w:val="000000" w:themeColor="text1"/>
          <w:kern w:val="0"/>
          <w:szCs w:val="21"/>
          <w14:textFill>
            <w14:solidFill>
              <w14:schemeClr w14:val="tx1"/>
            </w14:solidFill>
          </w14:textFill>
        </w:rPr>
        <w:t>月</w:t>
      </w:r>
      <w:r>
        <w:rPr>
          <w:rFonts w:hint="eastAsia" w:ascii="宋体" w:hAnsi="宋体"/>
          <w:snapToGrid w:val="0"/>
          <w:color w:val="000000" w:themeColor="text1"/>
          <w:kern w:val="0"/>
          <w:szCs w:val="21"/>
          <w:u w:val="single"/>
          <w:lang w:val="en-US" w:eastAsia="zh-CN"/>
          <w14:textFill>
            <w14:solidFill>
              <w14:schemeClr w14:val="tx1"/>
            </w14:solidFill>
          </w14:textFill>
        </w:rPr>
        <w:t>7</w:t>
      </w:r>
      <w:r>
        <w:rPr>
          <w:rFonts w:ascii="宋体" w:hAnsi="宋体"/>
          <w:snapToGrid w:val="0"/>
          <w:color w:val="000000" w:themeColor="text1"/>
          <w:kern w:val="0"/>
          <w:szCs w:val="21"/>
          <w14:textFill>
            <w14:solidFill>
              <w14:schemeClr w14:val="tx1"/>
            </w14:solidFill>
          </w14:textFill>
        </w:rPr>
        <w:t>日</w:t>
      </w:r>
      <w:r>
        <w:rPr>
          <w:rFonts w:hint="eastAsia" w:ascii="宋体" w:hAnsi="宋体"/>
          <w:snapToGrid w:val="0"/>
          <w:color w:val="000000" w:themeColor="text1"/>
          <w:kern w:val="0"/>
          <w:szCs w:val="21"/>
          <w:u w:val="single"/>
          <w:lang w:val="en-US" w:eastAsia="zh-CN"/>
          <w14:textFill>
            <w14:solidFill>
              <w14:schemeClr w14:val="tx1"/>
            </w14:solidFill>
          </w14:textFill>
        </w:rPr>
        <w:t>10</w:t>
      </w:r>
      <w:r>
        <w:rPr>
          <w:rFonts w:ascii="宋体" w:hAnsi="宋体"/>
          <w:snapToGrid w:val="0"/>
          <w:color w:val="000000" w:themeColor="text1"/>
          <w:kern w:val="0"/>
          <w:szCs w:val="21"/>
          <w14:textFill>
            <w14:solidFill>
              <w14:schemeClr w14:val="tx1"/>
            </w14:solidFill>
          </w14:textFill>
        </w:rPr>
        <w:t>时</w:t>
      </w:r>
      <w:r>
        <w:rPr>
          <w:rFonts w:hint="eastAsia" w:ascii="宋体" w:hAnsi="宋体"/>
          <w:snapToGrid w:val="0"/>
          <w:color w:val="000000" w:themeColor="text1"/>
          <w:kern w:val="0"/>
          <w:szCs w:val="21"/>
          <w:u w:val="single"/>
          <w:lang w:val="en-US" w:eastAsia="zh-CN"/>
          <w14:textFill>
            <w14:solidFill>
              <w14:schemeClr w14:val="tx1"/>
            </w14:solidFill>
          </w14:textFill>
        </w:rPr>
        <w:t>00</w:t>
      </w:r>
      <w:r>
        <w:rPr>
          <w:rFonts w:ascii="宋体" w:hAnsi="宋体"/>
          <w:snapToGrid w:val="0"/>
          <w:color w:val="000000" w:themeColor="text1"/>
          <w:kern w:val="0"/>
          <w:szCs w:val="21"/>
          <w14:textFill>
            <w14:solidFill>
              <w14:schemeClr w14:val="tx1"/>
            </w14:solidFill>
          </w14:textFill>
        </w:rPr>
        <w:t>分，地点为</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重庆市铜梁区土桥镇人民政府会议室</w:t>
      </w:r>
      <w:r>
        <w:rPr>
          <w:rFonts w:hint="eastAsia" w:ascii="宋体" w:hAnsi="宋体"/>
          <w:snapToGrid w:val="0"/>
          <w:color w:val="000000" w:themeColor="text1"/>
          <w:kern w:val="0"/>
          <w:szCs w:val="21"/>
          <w:u w:val="single"/>
          <w:lang w:val="en-US" w:eastAsia="zh-CN"/>
          <w14:textFill>
            <w14:solidFill>
              <w14:schemeClr w14:val="tx1"/>
            </w14:solidFill>
          </w14:textFill>
        </w:rPr>
        <w:t>。</w:t>
      </w:r>
    </w:p>
    <w:p w14:paraId="168E02D4">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000000" w:themeColor="text1"/>
          <w:kern w:val="0"/>
          <w:szCs w:val="21"/>
          <w:highlight w:val="none"/>
          <w14:textFill>
            <w14:solidFill>
              <w14:schemeClr w14:val="tx1"/>
            </w14:solidFill>
          </w14:textFill>
        </w:rPr>
        <w:t>5.2  逾期送达的或者未送达指定</w:t>
      </w:r>
      <w:r>
        <w:rPr>
          <w:rFonts w:ascii="宋体" w:hAnsi="宋体"/>
          <w:snapToGrid w:val="0"/>
          <w:color w:val="auto"/>
          <w:kern w:val="0"/>
          <w:szCs w:val="21"/>
          <w:highlight w:val="none"/>
        </w:rPr>
        <w:t>地点的投标文件，</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人不予受理。</w:t>
      </w:r>
    </w:p>
    <w:p w14:paraId="17D92FEA">
      <w:pPr>
        <w:pStyle w:val="4"/>
        <w:spacing w:before="100" w:after="100" w:line="460" w:lineRule="exact"/>
        <w:rPr>
          <w:rFonts w:ascii="宋体" w:hAnsi="宋体"/>
          <w:snapToGrid w:val="0"/>
          <w:color w:val="auto"/>
          <w:sz w:val="28"/>
          <w:szCs w:val="28"/>
          <w:highlight w:val="none"/>
        </w:rPr>
      </w:pPr>
      <w:bookmarkStart w:id="70" w:name="_Toc287620672"/>
      <w:bookmarkStart w:id="71" w:name="_Toc200359432"/>
      <w:bookmarkStart w:id="72" w:name="_Toc224103304"/>
      <w:bookmarkStart w:id="73" w:name="_Toc277082541"/>
      <w:bookmarkStart w:id="74" w:name="_Toc25252"/>
      <w:bookmarkStart w:id="75" w:name="_Toc200359243"/>
      <w:bookmarkStart w:id="76" w:name="_Toc8166"/>
      <w:bookmarkStart w:id="77" w:name="_Toc430530421"/>
      <w:bookmarkStart w:id="78" w:name="_Toc509218697"/>
      <w:bookmarkStart w:id="79" w:name="_Toc287607733"/>
      <w:r>
        <w:rPr>
          <w:rFonts w:ascii="宋体" w:hAnsi="宋体"/>
          <w:snapToGrid w:val="0"/>
          <w:color w:val="auto"/>
          <w:sz w:val="28"/>
          <w:szCs w:val="28"/>
          <w:highlight w:val="none"/>
        </w:rPr>
        <w:t xml:space="preserve">6.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70"/>
      <w:bookmarkEnd w:id="71"/>
      <w:bookmarkEnd w:id="72"/>
      <w:bookmarkEnd w:id="73"/>
      <w:bookmarkEnd w:id="74"/>
      <w:bookmarkEnd w:id="75"/>
      <w:bookmarkEnd w:id="76"/>
      <w:bookmarkEnd w:id="77"/>
      <w:bookmarkEnd w:id="78"/>
      <w:bookmarkEnd w:id="79"/>
    </w:p>
    <w:p w14:paraId="5AB43321">
      <w:pPr>
        <w:tabs>
          <w:tab w:val="left" w:pos="4950"/>
        </w:tabs>
        <w:autoSpaceDE w:val="0"/>
        <w:autoSpaceDN w:val="0"/>
        <w:adjustRightInd w:val="0"/>
        <w:snapToGrid w:val="0"/>
        <w:spacing w:line="450" w:lineRule="exact"/>
        <w:ind w:firstLine="420" w:firstLineChars="200"/>
        <w:rPr>
          <w:rFonts w:hint="eastAsia"/>
        </w:rPr>
      </w:pPr>
      <w:r>
        <w:rPr>
          <w:rFonts w:ascii="宋体" w:hAnsi="宋体"/>
          <w:snapToGrid w:val="0"/>
          <w:color w:val="auto"/>
          <w:kern w:val="0"/>
          <w:szCs w:val="21"/>
          <w:highlight w:val="none"/>
        </w:rPr>
        <w:t>本次</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公告在</w:t>
      </w:r>
      <w:r>
        <w:rPr>
          <w:rFonts w:hint="eastAsia" w:ascii="宋体" w:hAnsi="宋体"/>
          <w:snapToGrid w:val="0"/>
          <w:color w:val="auto"/>
          <w:kern w:val="0"/>
          <w:szCs w:val="21"/>
          <w:highlight w:val="none"/>
          <w:lang w:eastAsia="zh-CN"/>
        </w:rPr>
        <w:t>重庆市铜梁区人民政府网（https://www.cqstl.gov.cn/）</w:t>
      </w:r>
      <w:r>
        <w:rPr>
          <w:rFonts w:ascii="宋体" w:hAnsi="宋体"/>
          <w:snapToGrid w:val="0"/>
          <w:color w:val="auto"/>
          <w:kern w:val="0"/>
          <w:szCs w:val="21"/>
          <w:highlight w:val="none"/>
        </w:rPr>
        <w:t>上发布。</w:t>
      </w:r>
    </w:p>
    <w:p w14:paraId="0B14A1B5">
      <w:pPr>
        <w:pStyle w:val="4"/>
        <w:spacing w:before="100" w:after="100" w:line="460" w:lineRule="exact"/>
        <w:rPr>
          <w:rFonts w:ascii="宋体" w:hAnsi="宋体"/>
          <w:snapToGrid w:val="0"/>
          <w:color w:val="auto"/>
          <w:sz w:val="28"/>
          <w:szCs w:val="28"/>
          <w:highlight w:val="none"/>
        </w:rPr>
      </w:pPr>
      <w:bookmarkStart w:id="80" w:name="_Toc31352"/>
      <w:bookmarkStart w:id="81" w:name="_Toc14240"/>
      <w:bookmarkStart w:id="82" w:name="_Toc13943"/>
      <w:bookmarkStart w:id="83" w:name="_Toc430530422"/>
      <w:bookmarkStart w:id="84" w:name="_Toc509218698"/>
      <w:bookmarkStart w:id="85" w:name="_Toc277082542"/>
      <w:bookmarkStart w:id="86" w:name="_Toc224103305"/>
      <w:bookmarkStart w:id="87" w:name="_Toc287620673"/>
      <w:bookmarkStart w:id="88" w:name="_Toc287607734"/>
      <w:r>
        <w:rPr>
          <w:rFonts w:hint="eastAsia" w:ascii="宋体" w:hAnsi="宋体"/>
          <w:snapToGrid w:val="0"/>
          <w:color w:val="auto"/>
          <w:sz w:val="28"/>
          <w:szCs w:val="28"/>
          <w:highlight w:val="none"/>
          <w:lang w:val="en-US" w:eastAsia="zh-CN"/>
        </w:rPr>
        <w:t>7</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bookmarkEnd w:id="80"/>
      <w:bookmarkEnd w:id="81"/>
      <w:bookmarkStart w:id="89" w:name="_Toc589"/>
      <w:r>
        <w:rPr>
          <w:rFonts w:ascii="宋体" w:hAnsi="宋体"/>
          <w:snapToGrid w:val="0"/>
          <w:color w:val="auto"/>
          <w:sz w:val="28"/>
          <w:szCs w:val="28"/>
          <w:highlight w:val="none"/>
        </w:rPr>
        <w:t>联系方式</w:t>
      </w:r>
      <w:bookmarkEnd w:id="82"/>
      <w:bookmarkEnd w:id="83"/>
      <w:bookmarkEnd w:id="84"/>
      <w:bookmarkEnd w:id="85"/>
      <w:bookmarkEnd w:id="86"/>
      <w:bookmarkEnd w:id="87"/>
      <w:bookmarkEnd w:id="88"/>
      <w:bookmarkEnd w:id="89"/>
    </w:p>
    <w:p w14:paraId="58A1F865">
      <w:pPr>
        <w:tabs>
          <w:tab w:val="left" w:pos="5140"/>
          <w:tab w:val="left" w:pos="8520"/>
        </w:tabs>
        <w:autoSpaceDE w:val="0"/>
        <w:autoSpaceDN w:val="0"/>
        <w:adjustRightInd w:val="0"/>
        <w:snapToGrid w:val="0"/>
        <w:spacing w:line="450" w:lineRule="exact"/>
        <w:ind w:left="5880" w:leftChars="200" w:hanging="5460" w:hangingChars="2600"/>
        <w:jc w:val="left"/>
        <w:rPr>
          <w:rFonts w:hint="eastAsia" w:ascii="宋体" w:hAnsi="宋体" w:eastAsia="宋体"/>
          <w:snapToGrid w:val="0"/>
          <w:color w:val="000000" w:themeColor="text1"/>
          <w:kern w:val="0"/>
          <w:szCs w:val="21"/>
          <w:highlight w:val="yellow"/>
          <w:lang w:eastAsia="zh-CN"/>
          <w14:textFill>
            <w14:solidFill>
              <w14:schemeClr w14:val="tx1"/>
            </w14:solidFill>
          </w14:textFill>
        </w:rPr>
      </w:pPr>
      <w:r>
        <w:rPr>
          <w:rFonts w:ascii="宋体" w:hAnsi="宋体"/>
          <w:snapToGrid w:val="0"/>
          <w:color w:val="000000" w:themeColor="text1"/>
          <w:kern w:val="0"/>
          <w:szCs w:val="21"/>
          <w14:textFill>
            <w14:solidFill>
              <w14:schemeClr w14:val="tx1"/>
            </w14:solidFill>
          </w14:textFill>
        </w:rPr>
        <w:t>招 标 人：</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重庆市铜梁区土桥镇人民政府</w:t>
      </w:r>
      <w:r>
        <w:rPr>
          <w:rFonts w:ascii="宋体" w:hAnsi="宋体"/>
          <w:snapToGrid w:val="0"/>
          <w:color w:val="000000" w:themeColor="text1"/>
          <w:kern w:val="0"/>
          <w:szCs w:val="21"/>
          <w14:textFill>
            <w14:solidFill>
              <w14:schemeClr w14:val="tx1"/>
            </w14:solidFill>
          </w14:textFill>
        </w:rPr>
        <w:t xml:space="preserve">     </w:t>
      </w:r>
      <w:r>
        <w:rPr>
          <w:rFonts w:hint="eastAsia" w:ascii="宋体" w:hAnsi="宋体"/>
          <w:snapToGrid w:val="0"/>
          <w:color w:val="000000" w:themeColor="text1"/>
          <w:kern w:val="0"/>
          <w:szCs w:val="21"/>
          <w14:textFill>
            <w14:solidFill>
              <w14:schemeClr w14:val="tx1"/>
            </w14:solidFill>
          </w14:textFill>
        </w:rPr>
        <w:t>比选</w:t>
      </w:r>
      <w:r>
        <w:rPr>
          <w:rFonts w:ascii="宋体" w:hAnsi="宋体"/>
          <w:snapToGrid w:val="0"/>
          <w:color w:val="000000" w:themeColor="text1"/>
          <w:kern w:val="0"/>
          <w:szCs w:val="21"/>
          <w14:textFill>
            <w14:solidFill>
              <w14:schemeClr w14:val="tx1"/>
            </w14:solidFill>
          </w14:textFill>
        </w:rPr>
        <w:t>代理机构：</w:t>
      </w:r>
      <w:r>
        <w:rPr>
          <w:rFonts w:hint="eastAsia" w:ascii="宋体" w:hAnsi="宋体" w:cs="宋体"/>
          <w:snapToGrid w:val="0"/>
          <w:color w:val="000000" w:themeColor="text1"/>
          <w:kern w:val="0"/>
          <w:szCs w:val="21"/>
          <w:u w:val="single"/>
          <w:lang w:val="en-US" w:eastAsia="zh-CN"/>
          <w14:textFill>
            <w14:solidFill>
              <w14:schemeClr w14:val="tx1"/>
            </w14:solidFill>
          </w14:textFill>
        </w:rPr>
        <w:t>重庆源锦工程咨询有限公司</w:t>
      </w:r>
    </w:p>
    <w:p w14:paraId="0410DF5B">
      <w:pPr>
        <w:tabs>
          <w:tab w:val="left" w:pos="5140"/>
          <w:tab w:val="left" w:pos="8420"/>
        </w:tabs>
        <w:autoSpaceDE w:val="0"/>
        <w:autoSpaceDN w:val="0"/>
        <w:adjustRightInd w:val="0"/>
        <w:snapToGrid w:val="0"/>
        <w:spacing w:line="450" w:lineRule="exact"/>
        <w:ind w:left="5880" w:leftChars="200" w:hanging="5460" w:hangingChars="2600"/>
        <w:jc w:val="left"/>
        <w:rPr>
          <w:rFonts w:hint="eastAsia" w:ascii="宋体" w:hAnsi="宋体" w:eastAsia="宋体" w:cs="宋体"/>
          <w:b w:val="0"/>
          <w:bCs w:val="0"/>
          <w:snapToGrid w:val="0"/>
          <w:color w:val="000000" w:themeColor="text1"/>
          <w:kern w:val="0"/>
          <w:sz w:val="21"/>
          <w:szCs w:val="21"/>
          <w:u w:val="single"/>
          <w:lang w:val="en-US" w:eastAsia="zh-CN" w:bidi="ar-SA"/>
          <w14:textFill>
            <w14:solidFill>
              <w14:schemeClr w14:val="tx1"/>
            </w14:solidFill>
          </w14:textFill>
        </w:rPr>
      </w:pPr>
      <w:r>
        <w:rPr>
          <w:rFonts w:ascii="宋体" w:hAnsi="宋体"/>
          <w:snapToGrid w:val="0"/>
          <w:color w:val="000000" w:themeColor="text1"/>
          <w:kern w:val="0"/>
          <w:szCs w:val="21"/>
          <w14:textFill>
            <w14:solidFill>
              <w14:schemeClr w14:val="tx1"/>
            </w14:solidFill>
          </w14:textFill>
        </w:rPr>
        <w:t>地    址：</w:t>
      </w:r>
      <w:r>
        <w:rPr>
          <w:rFonts w:hint="eastAsia" w:ascii="宋体" w:hAnsi="宋体"/>
          <w:snapToGrid w:val="0"/>
          <w:color w:val="000000" w:themeColor="text1"/>
          <w:kern w:val="0"/>
          <w:szCs w:val="21"/>
          <w:u w:val="single"/>
          <w:lang w:eastAsia="zh-CN"/>
          <w14:textFill>
            <w14:solidFill>
              <w14:schemeClr w14:val="tx1"/>
            </w14:solidFill>
          </w14:textFill>
        </w:rPr>
        <w:t>重庆市铜梁区土桥镇旧市坝旧市路85号</w:t>
      </w:r>
      <w:r>
        <w:rPr>
          <w:rFonts w:ascii="宋体" w:hAnsi="宋体"/>
          <w:snapToGrid w:val="0"/>
          <w:color w:val="000000" w:themeColor="text1"/>
          <w:kern w:val="0"/>
          <w:szCs w:val="21"/>
          <w14:textFill>
            <w14:solidFill>
              <w14:schemeClr w14:val="tx1"/>
            </w14:solidFill>
          </w14:textFill>
        </w:rPr>
        <w:t xml:space="preserve">  地</w:t>
      </w:r>
      <w:r>
        <w:rPr>
          <w:rFonts w:hint="eastAsia" w:ascii="宋体" w:hAnsi="宋体"/>
          <w:snapToGrid w:val="0"/>
          <w:color w:val="000000" w:themeColor="text1"/>
          <w:kern w:val="0"/>
          <w:szCs w:val="21"/>
          <w:lang w:val="en-US" w:eastAsia="zh-CN"/>
          <w14:textFill>
            <w14:solidFill>
              <w14:schemeClr w14:val="tx1"/>
            </w14:solidFill>
          </w14:textFill>
        </w:rPr>
        <w:t xml:space="preserve">    </w:t>
      </w:r>
      <w:r>
        <w:rPr>
          <w:rFonts w:ascii="宋体" w:hAnsi="宋体"/>
          <w:snapToGrid w:val="0"/>
          <w:color w:val="000000" w:themeColor="text1"/>
          <w:kern w:val="0"/>
          <w:szCs w:val="21"/>
          <w14:textFill>
            <w14:solidFill>
              <w14:schemeClr w14:val="tx1"/>
            </w14:solidFill>
          </w14:textFill>
        </w:rPr>
        <w:t>址：</w:t>
      </w:r>
      <w:r>
        <w:rPr>
          <w:rFonts w:hint="eastAsia" w:ascii="宋体" w:hAnsi="宋体"/>
          <w:snapToGrid w:val="0"/>
          <w:color w:val="000000" w:themeColor="text1"/>
          <w:kern w:val="0"/>
          <w:szCs w:val="21"/>
          <w:u w:val="single"/>
          <w:lang w:eastAsia="zh-CN"/>
          <w14:textFill>
            <w14:solidFill>
              <w14:schemeClr w14:val="tx1"/>
            </w14:solidFill>
          </w14:textFill>
        </w:rPr>
        <w:t>重庆市铜梁区龙门街580号</w:t>
      </w:r>
    </w:p>
    <w:p w14:paraId="79C8FCD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000000" w:themeColor="text1"/>
          <w:kern w:val="0"/>
          <w:szCs w:val="21"/>
          <w14:textFill>
            <w14:solidFill>
              <w14:schemeClr w14:val="tx1"/>
            </w14:solidFill>
          </w14:textFill>
        </w:rPr>
      </w:pPr>
      <w:r>
        <w:rPr>
          <w:rFonts w:ascii="宋体" w:hAnsi="宋体"/>
          <w:snapToGrid w:val="0"/>
          <w:color w:val="000000" w:themeColor="text1"/>
          <w:kern w:val="0"/>
          <w:szCs w:val="21"/>
          <w14:textFill>
            <w14:solidFill>
              <w14:schemeClr w14:val="tx1"/>
            </w14:solidFill>
          </w14:textFill>
        </w:rPr>
        <w:t>联 系 人：</w:t>
      </w:r>
      <w:r>
        <w:rPr>
          <w:rFonts w:hint="eastAsia" w:ascii="宋体" w:hAnsi="宋体"/>
          <w:snapToGrid w:val="0"/>
          <w:color w:val="000000" w:themeColor="text1"/>
          <w:kern w:val="0"/>
          <w:szCs w:val="21"/>
          <w:u w:val="single"/>
          <w:lang w:eastAsia="zh-CN"/>
          <w14:textFill>
            <w14:solidFill>
              <w14:schemeClr w14:val="tx1"/>
            </w14:solidFill>
          </w14:textFill>
        </w:rPr>
        <w:t>王老师</w:t>
      </w:r>
      <w:r>
        <w:rPr>
          <w:rFonts w:hint="eastAsia"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14:textFill>
            <w14:solidFill>
              <w14:schemeClr w14:val="tx1"/>
            </w14:solidFill>
          </w14:textFill>
        </w:rPr>
        <w:t xml:space="preserve">     联 系 人：</w:t>
      </w:r>
      <w:r>
        <w:rPr>
          <w:rFonts w:hint="eastAsia" w:ascii="宋体" w:hAnsi="宋体"/>
          <w:snapToGrid w:val="0"/>
          <w:color w:val="000000" w:themeColor="text1"/>
          <w:kern w:val="0"/>
          <w:szCs w:val="21"/>
          <w:u w:val="single"/>
          <w:lang w:eastAsia="zh-CN"/>
          <w14:textFill>
            <w14:solidFill>
              <w14:schemeClr w14:val="tx1"/>
            </w14:solidFill>
          </w14:textFill>
        </w:rPr>
        <w:t>樊老师</w:t>
      </w:r>
      <w:r>
        <w:rPr>
          <w:rFonts w:ascii="宋体" w:hAnsi="宋体"/>
          <w:snapToGrid w:val="0"/>
          <w:color w:val="000000" w:themeColor="text1"/>
          <w:kern w:val="0"/>
          <w:szCs w:val="21"/>
          <w:u w:val="single"/>
          <w14:textFill>
            <w14:solidFill>
              <w14:schemeClr w14:val="tx1"/>
            </w14:solidFill>
          </w14:textFill>
        </w:rPr>
        <w:t xml:space="preserve">              </w:t>
      </w:r>
      <w:r>
        <w:rPr>
          <w:rFonts w:hint="eastAsia"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p>
    <w:p w14:paraId="6C4E8A2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r>
        <w:rPr>
          <w:rFonts w:ascii="宋体" w:hAnsi="宋体"/>
          <w:snapToGrid w:val="0"/>
          <w:color w:val="000000" w:themeColor="text1"/>
          <w:kern w:val="0"/>
          <w:szCs w:val="21"/>
          <w14:textFill>
            <w14:solidFill>
              <w14:schemeClr w14:val="tx1"/>
            </w14:solidFill>
          </w14:textFill>
        </w:rPr>
        <w:t>电    话：</w:t>
      </w:r>
      <w:r>
        <w:rPr>
          <w:rFonts w:hint="eastAsia" w:ascii="宋体" w:hAnsi="宋体"/>
          <w:snapToGrid w:val="0"/>
          <w:color w:val="000000" w:themeColor="text1"/>
          <w:kern w:val="0"/>
          <w:szCs w:val="21"/>
          <w:u w:val="single"/>
          <w:lang w:val="en-US" w:eastAsia="zh-CN"/>
          <w14:textFill>
            <w14:solidFill>
              <w14:schemeClr w14:val="tx1"/>
            </w14:solidFill>
          </w14:textFill>
        </w:rPr>
        <w:t>19112696662</w:t>
      </w:r>
      <w:r>
        <w:rPr>
          <w:rFonts w:hint="eastAsia" w:ascii="宋体" w:hAnsi="宋体"/>
          <w:snapToGrid w:val="0"/>
          <w:color w:val="000000" w:themeColor="text1"/>
          <w:kern w:val="0"/>
          <w:szCs w:val="21"/>
          <w:u w:val="single"/>
          <w:lang w:eastAsia="zh-CN"/>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14:textFill>
            <w14:solidFill>
              <w14:schemeClr w14:val="tx1"/>
            </w14:solidFill>
          </w14:textFill>
        </w:rPr>
        <w:t xml:space="preserve">  </w:t>
      </w:r>
      <w:r>
        <w:rPr>
          <w:rFonts w:hint="eastAsia" w:ascii="宋体" w:hAnsi="宋体"/>
          <w:snapToGrid w:val="0"/>
          <w:color w:val="000000" w:themeColor="text1"/>
          <w:kern w:val="0"/>
          <w:szCs w:val="21"/>
          <w:lang w:val="en-US" w:eastAsia="zh-CN"/>
          <w14:textFill>
            <w14:solidFill>
              <w14:schemeClr w14:val="tx1"/>
            </w14:solidFill>
          </w14:textFill>
        </w:rPr>
        <w:t xml:space="preserve">   </w:t>
      </w:r>
      <w:r>
        <w:rPr>
          <w:rFonts w:ascii="宋体" w:hAnsi="宋体"/>
          <w:snapToGrid w:val="0"/>
          <w:color w:val="000000" w:themeColor="text1"/>
          <w:kern w:val="0"/>
          <w:szCs w:val="21"/>
          <w14:textFill>
            <w14:solidFill>
              <w14:schemeClr w14:val="tx1"/>
            </w14:solidFill>
          </w14:textFill>
        </w:rPr>
        <w:t xml:space="preserve"> 电    话：</w:t>
      </w:r>
      <w:r>
        <w:rPr>
          <w:rFonts w:hint="eastAsia" w:ascii="宋体" w:hAnsi="宋体"/>
          <w:snapToGrid w:val="0"/>
          <w:color w:val="000000" w:themeColor="text1"/>
          <w:kern w:val="0"/>
          <w:szCs w:val="21"/>
          <w:u w:val="single"/>
          <w:lang w:val="en-US" w:eastAsia="zh-CN"/>
          <w14:textFill>
            <w14:solidFill>
              <w14:schemeClr w14:val="tx1"/>
            </w14:solidFill>
          </w14:textFill>
        </w:rPr>
        <w:t>15223373726</w:t>
      </w:r>
      <w:r>
        <w:rPr>
          <w:rFonts w:hint="eastAsia"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r>
        <w:rPr>
          <w:rFonts w:hint="eastAsia" w:ascii="宋体" w:hAnsi="宋体"/>
          <w:snapToGrid w:val="0"/>
          <w:color w:val="000000" w:themeColor="text1"/>
          <w:kern w:val="0"/>
          <w:szCs w:val="21"/>
          <w:u w:val="single"/>
          <w14:textFill>
            <w14:solidFill>
              <w14:schemeClr w14:val="tx1"/>
            </w14:solidFill>
          </w14:textFill>
        </w:rPr>
        <w:t xml:space="preserve"> </w:t>
      </w:r>
      <w:r>
        <w:rPr>
          <w:rFonts w:ascii="宋体" w:hAnsi="宋体"/>
          <w:snapToGrid w:val="0"/>
          <w:color w:val="000000" w:themeColor="text1"/>
          <w:kern w:val="0"/>
          <w:szCs w:val="21"/>
          <w:u w:val="single"/>
          <w14:textFill>
            <w14:solidFill>
              <w14:schemeClr w14:val="tx1"/>
            </w14:solidFill>
          </w14:textFill>
        </w:rPr>
        <w:t xml:space="preserve">            </w:t>
      </w:r>
    </w:p>
    <w:p w14:paraId="2DD46BA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000000" w:themeColor="text1"/>
          <w:kern w:val="0"/>
          <w:szCs w:val="21"/>
          <w:u w:val="single"/>
          <w14:textFill>
            <w14:solidFill>
              <w14:schemeClr w14:val="tx1"/>
            </w14:solidFill>
          </w14:textFill>
        </w:rPr>
      </w:pPr>
    </w:p>
    <w:p w14:paraId="01CA6A36">
      <w:pPr>
        <w:tabs>
          <w:tab w:val="left" w:pos="5140"/>
          <w:tab w:val="left" w:pos="8420"/>
        </w:tabs>
        <w:autoSpaceDE w:val="0"/>
        <w:autoSpaceDN w:val="0"/>
        <w:adjustRightInd w:val="0"/>
        <w:snapToGrid w:val="0"/>
        <w:spacing w:line="400" w:lineRule="exact"/>
        <w:jc w:val="left"/>
        <w:rPr>
          <w:rFonts w:ascii="宋体" w:hAnsi="宋体"/>
          <w:snapToGrid w:val="0"/>
          <w:color w:val="000000" w:themeColor="text1"/>
          <w:kern w:val="0"/>
          <w:szCs w:val="21"/>
          <w:u w:val="single"/>
          <w14:textFill>
            <w14:solidFill>
              <w14:schemeClr w14:val="tx1"/>
            </w14:solidFill>
          </w14:textFill>
        </w:rPr>
      </w:pPr>
    </w:p>
    <w:p w14:paraId="6C942F5A">
      <w:pPr>
        <w:autoSpaceDE w:val="0"/>
        <w:autoSpaceDN w:val="0"/>
        <w:adjustRightInd w:val="0"/>
        <w:snapToGrid w:val="0"/>
        <w:spacing w:line="440" w:lineRule="exact"/>
        <w:ind w:firstLine="3906" w:firstLineChars="1860"/>
        <w:jc w:val="right"/>
        <w:rPr>
          <w:rFonts w:hint="eastAsia" w:ascii="宋体" w:hAnsi="宋体"/>
          <w:snapToGrid w:val="0"/>
          <w:color w:val="auto"/>
          <w:kern w:val="0"/>
          <w:sz w:val="20"/>
          <w:szCs w:val="20"/>
          <w:highlight w:val="none"/>
        </w:rPr>
      </w:pPr>
      <w:r>
        <w:rPr>
          <w:rFonts w:hint="eastAsia" w:ascii="宋体" w:hAnsi="宋体"/>
          <w:snapToGrid w:val="0"/>
          <w:color w:val="000000" w:themeColor="text1"/>
          <w:kern w:val="0"/>
          <w:szCs w:val="21"/>
          <w:u w:val="single"/>
          <w14:textFill>
            <w14:solidFill>
              <w14:schemeClr w14:val="tx1"/>
            </w14:solidFill>
          </w14:textFill>
        </w:rPr>
        <w:t>202</w:t>
      </w:r>
      <w:r>
        <w:rPr>
          <w:rFonts w:hint="eastAsia" w:ascii="宋体" w:hAnsi="宋体"/>
          <w:snapToGrid w:val="0"/>
          <w:color w:val="000000" w:themeColor="text1"/>
          <w:kern w:val="0"/>
          <w:szCs w:val="21"/>
          <w:u w:val="single"/>
          <w:lang w:val="en-US" w:eastAsia="zh-CN"/>
          <w14:textFill>
            <w14:solidFill>
              <w14:schemeClr w14:val="tx1"/>
            </w14:solidFill>
          </w14:textFill>
        </w:rPr>
        <w:t>4</w:t>
      </w:r>
      <w:r>
        <w:rPr>
          <w:rFonts w:ascii="宋体" w:hAnsi="宋体"/>
          <w:snapToGrid w:val="0"/>
          <w:color w:val="000000" w:themeColor="text1"/>
          <w:kern w:val="0"/>
          <w:szCs w:val="21"/>
          <w14:textFill>
            <w14:solidFill>
              <w14:schemeClr w14:val="tx1"/>
            </w14:solidFill>
          </w14:textFill>
        </w:rPr>
        <w:t>年</w:t>
      </w:r>
      <w:r>
        <w:rPr>
          <w:rFonts w:hint="eastAsia" w:ascii="宋体" w:hAnsi="宋体"/>
          <w:snapToGrid w:val="0"/>
          <w:color w:val="000000" w:themeColor="text1"/>
          <w:kern w:val="0"/>
          <w:szCs w:val="21"/>
          <w:u w:val="single"/>
          <w:lang w:val="en-US" w:eastAsia="zh-CN"/>
          <w14:textFill>
            <w14:solidFill>
              <w14:schemeClr w14:val="tx1"/>
            </w14:solidFill>
          </w14:textFill>
        </w:rPr>
        <w:t>11</w:t>
      </w:r>
      <w:r>
        <w:rPr>
          <w:rFonts w:ascii="宋体" w:hAnsi="宋体"/>
          <w:snapToGrid w:val="0"/>
          <w:color w:val="000000" w:themeColor="text1"/>
          <w:kern w:val="0"/>
          <w:szCs w:val="21"/>
          <w14:textFill>
            <w14:solidFill>
              <w14:schemeClr w14:val="tx1"/>
            </w14:solidFill>
          </w14:textFill>
        </w:rPr>
        <w:t>月</w:t>
      </w:r>
      <w:r>
        <w:rPr>
          <w:rFonts w:hint="eastAsia" w:ascii="宋体" w:hAnsi="宋体"/>
          <w:snapToGrid w:val="0"/>
          <w:color w:val="000000" w:themeColor="text1"/>
          <w:kern w:val="0"/>
          <w:szCs w:val="21"/>
          <w:u w:val="single"/>
          <w:lang w:val="en-US" w:eastAsia="zh-CN"/>
          <w14:textFill>
            <w14:solidFill>
              <w14:schemeClr w14:val="tx1"/>
            </w14:solidFill>
          </w14:textFill>
        </w:rPr>
        <w:t>4</w:t>
      </w:r>
      <w:r>
        <w:rPr>
          <w:rFonts w:ascii="宋体" w:hAnsi="宋体"/>
          <w:snapToGrid w:val="0"/>
          <w:color w:val="000000" w:themeColor="text1"/>
          <w:kern w:val="0"/>
          <w:szCs w:val="21"/>
          <w14:textFill>
            <w14:solidFill>
              <w14:schemeClr w14:val="tx1"/>
            </w14:solidFill>
          </w14:textFill>
        </w:rPr>
        <w:t>日</w:t>
      </w:r>
      <w:r>
        <w:rPr>
          <w:rFonts w:hint="eastAsia" w:ascii="宋体" w:hAnsi="宋体"/>
          <w:snapToGrid w:val="0"/>
          <w:color w:val="auto"/>
          <w:kern w:val="0"/>
          <w:szCs w:val="21"/>
          <w:highlight w:val="none"/>
        </w:rPr>
        <w:t xml:space="preserve">  </w:t>
      </w:r>
    </w:p>
    <w:p w14:paraId="3C98A4FF">
      <w:pPr>
        <w:pStyle w:val="3"/>
        <w:spacing w:before="0" w:after="0" w:line="2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90" w:name="_Toc224103306"/>
      <w:bookmarkStart w:id="91" w:name="_Toc430530423"/>
      <w:bookmarkStart w:id="92" w:name="_Toc287607735"/>
      <w:bookmarkStart w:id="93" w:name="_Toc287620674"/>
    </w:p>
    <w:bookmarkEnd w:id="90"/>
    <w:bookmarkEnd w:id="91"/>
    <w:bookmarkEnd w:id="92"/>
    <w:bookmarkEnd w:id="93"/>
    <w:p w14:paraId="6F001425">
      <w:pPr>
        <w:pStyle w:val="3"/>
        <w:spacing w:line="360" w:lineRule="auto"/>
        <w:jc w:val="center"/>
        <w:rPr>
          <w:rFonts w:hint="eastAsia" w:ascii="宋体" w:hAnsi="宋体"/>
          <w:bCs w:val="0"/>
          <w:snapToGrid w:val="0"/>
          <w:color w:val="auto"/>
          <w:kern w:val="0"/>
          <w:highlight w:val="none"/>
        </w:rPr>
      </w:pPr>
      <w:bookmarkStart w:id="94" w:name="_Toc430530432"/>
      <w:bookmarkStart w:id="95" w:name="_Toc32148"/>
      <w:bookmarkStart w:id="96" w:name="_Toc287620683"/>
      <w:bookmarkStart w:id="97" w:name="_Toc10633"/>
      <w:bookmarkStart w:id="98" w:name="_Toc287607744"/>
      <w:bookmarkStart w:id="99" w:name="_Toc224103315"/>
      <w:r>
        <w:rPr>
          <w:rFonts w:ascii="宋体" w:hAnsi="宋体"/>
          <w:snapToGrid w:val="0"/>
          <w:color w:val="auto"/>
          <w:kern w:val="0"/>
          <w:highlight w:val="none"/>
        </w:rPr>
        <w:t>第二章  投标人须知</w:t>
      </w:r>
      <w:bookmarkEnd w:id="94"/>
      <w:bookmarkEnd w:id="95"/>
      <w:bookmarkEnd w:id="96"/>
      <w:bookmarkEnd w:id="97"/>
      <w:bookmarkEnd w:id="98"/>
      <w:bookmarkEnd w:id="99"/>
      <w:bookmarkStart w:id="100" w:name="_Toc224103316"/>
      <w:bookmarkStart w:id="101" w:name="_Toc277082551"/>
      <w:bookmarkStart w:id="102" w:name="_Toc287620684"/>
      <w:bookmarkStart w:id="103" w:name="_Toc430530433"/>
      <w:bookmarkStart w:id="104" w:name="_Toc287607745"/>
    </w:p>
    <w:p w14:paraId="12C4C22D">
      <w:pPr>
        <w:pStyle w:val="4"/>
        <w:spacing w:before="100" w:after="100" w:line="360" w:lineRule="auto"/>
        <w:rPr>
          <w:rFonts w:hint="eastAsia" w:ascii="宋体" w:hAnsi="宋体"/>
          <w:color w:val="auto"/>
          <w:highlight w:val="none"/>
        </w:rPr>
      </w:pPr>
      <w:bookmarkStart w:id="105" w:name="_Toc2728"/>
      <w:bookmarkStart w:id="106" w:name="_Toc8005"/>
      <w:bookmarkStart w:id="107" w:name="_Toc509218708"/>
      <w:r>
        <w:rPr>
          <w:rFonts w:hint="eastAsia" w:ascii="宋体" w:hAnsi="宋体"/>
          <w:color w:val="auto"/>
          <w:highlight w:val="none"/>
        </w:rPr>
        <w:t>投标人须知前附表</w:t>
      </w:r>
      <w:bookmarkEnd w:id="100"/>
      <w:bookmarkEnd w:id="101"/>
      <w:bookmarkEnd w:id="102"/>
      <w:bookmarkEnd w:id="103"/>
      <w:bookmarkEnd w:id="104"/>
      <w:bookmarkEnd w:id="105"/>
      <w:bookmarkEnd w:id="106"/>
      <w:bookmarkEnd w:id="107"/>
    </w:p>
    <w:p w14:paraId="5A470733">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45"/>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15C9BE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noWrap w:val="0"/>
            <w:vAlign w:val="center"/>
          </w:tcPr>
          <w:p w14:paraId="1AFFAD2B">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 款 号</w:t>
            </w:r>
          </w:p>
        </w:tc>
        <w:tc>
          <w:tcPr>
            <w:tcW w:w="1644" w:type="dxa"/>
            <w:noWrap w:val="0"/>
            <w:vAlign w:val="center"/>
          </w:tcPr>
          <w:p w14:paraId="42AB36B7">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条款名称</w:t>
            </w:r>
          </w:p>
        </w:tc>
        <w:tc>
          <w:tcPr>
            <w:tcW w:w="6490" w:type="dxa"/>
            <w:noWrap w:val="0"/>
            <w:vAlign w:val="center"/>
          </w:tcPr>
          <w:p w14:paraId="22B73BA3">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编  列  内  容</w:t>
            </w:r>
          </w:p>
        </w:tc>
      </w:tr>
      <w:tr w14:paraId="42E22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C76BA7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1.1.2</w:t>
            </w:r>
          </w:p>
        </w:tc>
        <w:tc>
          <w:tcPr>
            <w:tcW w:w="1644" w:type="dxa"/>
            <w:noWrap w:val="0"/>
            <w:vAlign w:val="center"/>
          </w:tcPr>
          <w:p w14:paraId="13B74A1D">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人</w:t>
            </w:r>
          </w:p>
        </w:tc>
        <w:tc>
          <w:tcPr>
            <w:tcW w:w="6490" w:type="dxa"/>
            <w:noWrap w:val="0"/>
            <w:vAlign w:val="center"/>
          </w:tcPr>
          <w:p w14:paraId="6759D127">
            <w:pPr>
              <w:snapToGrid w:val="0"/>
              <w:spacing w:line="400" w:lineRule="exact"/>
              <w:ind w:firstLine="420" w:firstLineChars="200"/>
              <w:rPr>
                <w:rFonts w:hint="eastAsia" w:ascii="宋体" w:hAnsi="宋体" w:eastAsia="宋体"/>
                <w:color w:val="000000" w:themeColor="text1"/>
                <w:kern w:val="0"/>
                <w:szCs w:val="21"/>
                <w:lang w:eastAsia="zh-CN"/>
                <w14:textFill>
                  <w14:solidFill>
                    <w14:schemeClr w14:val="tx1"/>
                  </w14:solidFill>
                </w14:textFill>
              </w:rPr>
            </w:pPr>
            <w:r>
              <w:rPr>
                <w:rFonts w:ascii="宋体" w:hAnsi="宋体"/>
                <w:color w:val="000000" w:themeColor="text1"/>
                <w:kern w:val="0"/>
                <w:szCs w:val="21"/>
                <w14:textFill>
                  <w14:solidFill>
                    <w14:schemeClr w14:val="tx1"/>
                  </w14:solidFill>
                </w14:textFill>
              </w:rPr>
              <w:t>名称：</w:t>
            </w:r>
            <w:r>
              <w:rPr>
                <w:rFonts w:hint="eastAsia" w:ascii="宋体" w:hAnsi="宋体"/>
                <w:snapToGrid w:val="0"/>
                <w:color w:val="000000" w:themeColor="text1"/>
                <w:kern w:val="0"/>
                <w:szCs w:val="21"/>
                <w:lang w:eastAsia="zh-CN"/>
                <w14:textFill>
                  <w14:solidFill>
                    <w14:schemeClr w14:val="tx1"/>
                  </w14:solidFill>
                </w14:textFill>
              </w:rPr>
              <w:t>重庆市铜梁区土桥镇人民政府</w:t>
            </w:r>
          </w:p>
          <w:p w14:paraId="08E57B8E">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ascii="宋体" w:hAnsi="宋体"/>
                <w:color w:val="000000" w:themeColor="text1"/>
                <w:kern w:val="0"/>
                <w:szCs w:val="21"/>
                <w14:textFill>
                  <w14:solidFill>
                    <w14:schemeClr w14:val="tx1"/>
                  </w14:solidFill>
                </w14:textFill>
              </w:rPr>
              <w:t>地址：</w:t>
            </w:r>
            <w:r>
              <w:rPr>
                <w:rFonts w:hint="eastAsia" w:ascii="宋体" w:hAnsi="宋体"/>
                <w:snapToGrid w:val="0"/>
                <w:color w:val="000000" w:themeColor="text1"/>
                <w:kern w:val="0"/>
                <w:szCs w:val="21"/>
                <w:lang w:eastAsia="zh-CN"/>
                <w14:textFill>
                  <w14:solidFill>
                    <w14:schemeClr w14:val="tx1"/>
                  </w14:solidFill>
                </w14:textFill>
              </w:rPr>
              <w:t>重庆市铜梁区土桥镇旧市坝旧市路85号</w:t>
            </w:r>
          </w:p>
          <w:p w14:paraId="0B89A80C">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hint="eastAsia" w:ascii="宋体" w:hAnsi="宋体"/>
                <w:snapToGrid w:val="0"/>
                <w:color w:val="000000" w:themeColor="text1"/>
                <w:kern w:val="0"/>
                <w:szCs w:val="21"/>
                <w:lang w:eastAsia="zh-CN"/>
                <w14:textFill>
                  <w14:solidFill>
                    <w14:schemeClr w14:val="tx1"/>
                  </w14:solidFill>
                </w14:textFill>
              </w:rPr>
              <w:t>联系人：王老师</w:t>
            </w:r>
          </w:p>
          <w:p w14:paraId="00BF8BC8">
            <w:pPr>
              <w:snapToGrid w:val="0"/>
              <w:spacing w:line="400" w:lineRule="exact"/>
              <w:ind w:firstLine="420" w:firstLineChars="200"/>
              <w:rPr>
                <w:rFonts w:ascii="宋体" w:hAnsi="宋体"/>
                <w:color w:val="auto"/>
                <w:kern w:val="0"/>
                <w:szCs w:val="21"/>
                <w:highlight w:val="none"/>
                <w:u w:val="none"/>
              </w:rPr>
            </w:pPr>
            <w:r>
              <w:rPr>
                <w:rFonts w:hint="eastAsia" w:ascii="宋体" w:hAnsi="宋体"/>
                <w:snapToGrid w:val="0"/>
                <w:color w:val="000000" w:themeColor="text1"/>
                <w:kern w:val="0"/>
                <w:szCs w:val="21"/>
                <w:lang w:eastAsia="zh-CN"/>
                <w14:textFill>
                  <w14:solidFill>
                    <w14:schemeClr w14:val="tx1"/>
                  </w14:solidFill>
                </w14:textFill>
              </w:rPr>
              <w:t>电话：</w:t>
            </w:r>
            <w:r>
              <w:rPr>
                <w:rFonts w:hint="eastAsia" w:ascii="宋体" w:hAnsi="宋体"/>
                <w:snapToGrid w:val="0"/>
                <w:color w:val="000000" w:themeColor="text1"/>
                <w:kern w:val="0"/>
                <w:szCs w:val="21"/>
                <w:lang w:val="en-US" w:eastAsia="zh-CN"/>
                <w14:textFill>
                  <w14:solidFill>
                    <w14:schemeClr w14:val="tx1"/>
                  </w14:solidFill>
                </w14:textFill>
              </w:rPr>
              <w:t>19112696662</w:t>
            </w:r>
          </w:p>
        </w:tc>
      </w:tr>
      <w:tr w14:paraId="211B39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0B9D97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1.1.3</w:t>
            </w:r>
          </w:p>
        </w:tc>
        <w:tc>
          <w:tcPr>
            <w:tcW w:w="1644" w:type="dxa"/>
            <w:noWrap w:val="0"/>
            <w:vAlign w:val="center"/>
          </w:tcPr>
          <w:p w14:paraId="0298941A">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代理机构</w:t>
            </w:r>
          </w:p>
        </w:tc>
        <w:tc>
          <w:tcPr>
            <w:tcW w:w="6490" w:type="dxa"/>
            <w:noWrap w:val="0"/>
            <w:vAlign w:val="center"/>
          </w:tcPr>
          <w:p w14:paraId="6024F1BC">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ascii="宋体" w:hAnsi="宋体"/>
                <w:color w:val="000000" w:themeColor="text1"/>
                <w:kern w:val="0"/>
                <w:szCs w:val="21"/>
                <w14:textFill>
                  <w14:solidFill>
                    <w14:schemeClr w14:val="tx1"/>
                  </w14:solidFill>
                </w14:textFill>
              </w:rPr>
              <w:t>名称：</w:t>
            </w:r>
            <w:r>
              <w:rPr>
                <w:rFonts w:hint="eastAsia" w:ascii="宋体" w:hAnsi="宋体"/>
                <w:snapToGrid w:val="0"/>
                <w:color w:val="000000" w:themeColor="text1"/>
                <w:kern w:val="0"/>
                <w:szCs w:val="21"/>
                <w:lang w:eastAsia="zh-CN"/>
                <w14:textFill>
                  <w14:solidFill>
                    <w14:schemeClr w14:val="tx1"/>
                  </w14:solidFill>
                </w14:textFill>
              </w:rPr>
              <w:t>重庆源锦工程咨询有限公司</w:t>
            </w:r>
          </w:p>
          <w:p w14:paraId="263F7AB5">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hint="eastAsia" w:ascii="宋体" w:hAnsi="宋体"/>
                <w:snapToGrid w:val="0"/>
                <w:color w:val="000000" w:themeColor="text1"/>
                <w:kern w:val="0"/>
                <w:szCs w:val="21"/>
                <w:lang w:eastAsia="zh-CN"/>
                <w14:textFill>
                  <w14:solidFill>
                    <w14:schemeClr w14:val="tx1"/>
                  </w14:solidFill>
                </w14:textFill>
              </w:rPr>
              <w:t>地址：重庆市铜梁区龙门街580号</w:t>
            </w:r>
          </w:p>
          <w:p w14:paraId="6976FAFC">
            <w:pPr>
              <w:snapToGrid w:val="0"/>
              <w:spacing w:line="400" w:lineRule="exact"/>
              <w:ind w:firstLine="420" w:firstLineChars="200"/>
              <w:rPr>
                <w:rFonts w:hint="eastAsia" w:ascii="宋体" w:hAnsi="宋体"/>
                <w:snapToGrid w:val="0"/>
                <w:color w:val="000000" w:themeColor="text1"/>
                <w:kern w:val="0"/>
                <w:szCs w:val="21"/>
                <w:lang w:eastAsia="zh-CN"/>
                <w14:textFill>
                  <w14:solidFill>
                    <w14:schemeClr w14:val="tx1"/>
                  </w14:solidFill>
                </w14:textFill>
              </w:rPr>
            </w:pPr>
            <w:r>
              <w:rPr>
                <w:rFonts w:hint="eastAsia" w:ascii="宋体" w:hAnsi="宋体"/>
                <w:snapToGrid w:val="0"/>
                <w:color w:val="000000" w:themeColor="text1"/>
                <w:kern w:val="0"/>
                <w:szCs w:val="21"/>
                <w:lang w:eastAsia="zh-CN"/>
                <w14:textFill>
                  <w14:solidFill>
                    <w14:schemeClr w14:val="tx1"/>
                  </w14:solidFill>
                </w14:textFill>
              </w:rPr>
              <w:t>联系人：樊老师</w:t>
            </w:r>
          </w:p>
          <w:p w14:paraId="623DDA14">
            <w:pPr>
              <w:snapToGrid w:val="0"/>
              <w:spacing w:line="400" w:lineRule="exact"/>
              <w:ind w:firstLine="420" w:firstLineChars="200"/>
              <w:rPr>
                <w:rFonts w:ascii="宋体" w:hAnsi="宋体"/>
                <w:color w:val="auto"/>
                <w:kern w:val="0"/>
                <w:szCs w:val="21"/>
                <w:highlight w:val="none"/>
                <w:u w:val="none"/>
              </w:rPr>
            </w:pPr>
            <w:r>
              <w:rPr>
                <w:rFonts w:ascii="宋体" w:hAnsi="宋体"/>
                <w:color w:val="000000" w:themeColor="text1"/>
                <w:kern w:val="0"/>
                <w:szCs w:val="21"/>
                <w14:textFill>
                  <w14:solidFill>
                    <w14:schemeClr w14:val="tx1"/>
                  </w14:solidFill>
                </w14:textFill>
              </w:rPr>
              <w:t>电话：</w:t>
            </w:r>
            <w:r>
              <w:rPr>
                <w:rFonts w:hint="eastAsia" w:ascii="宋体" w:hAnsi="宋体"/>
                <w:snapToGrid w:val="0"/>
                <w:color w:val="000000" w:themeColor="text1"/>
                <w:kern w:val="0"/>
                <w:szCs w:val="21"/>
                <w:lang w:val="en-US" w:eastAsia="zh-CN"/>
                <w14:textFill>
                  <w14:solidFill>
                    <w14:schemeClr w14:val="tx1"/>
                  </w14:solidFill>
                </w14:textFill>
              </w:rPr>
              <w:t>15223373726</w:t>
            </w:r>
          </w:p>
        </w:tc>
      </w:tr>
      <w:tr w14:paraId="317D6D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1DF7DF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1.1.4</w:t>
            </w:r>
          </w:p>
        </w:tc>
        <w:tc>
          <w:tcPr>
            <w:tcW w:w="1644" w:type="dxa"/>
            <w:noWrap w:val="0"/>
            <w:vAlign w:val="center"/>
          </w:tcPr>
          <w:p w14:paraId="526A40E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项目名称</w:t>
            </w:r>
          </w:p>
        </w:tc>
        <w:tc>
          <w:tcPr>
            <w:tcW w:w="6490" w:type="dxa"/>
            <w:noWrap w:val="0"/>
            <w:vAlign w:val="center"/>
          </w:tcPr>
          <w:p w14:paraId="39FDD306">
            <w:pPr>
              <w:snapToGrid w:val="0"/>
              <w:spacing w:line="400" w:lineRule="exact"/>
              <w:ind w:firstLine="420" w:firstLineChars="200"/>
              <w:jc w:val="left"/>
              <w:rPr>
                <w:rFonts w:hint="eastAsia" w:ascii="宋体" w:hAnsi="宋体" w:cs="Times New Roman"/>
                <w:snapToGrid w:val="0"/>
                <w:color w:val="auto"/>
                <w:kern w:val="0"/>
                <w:szCs w:val="21"/>
                <w:highlight w:val="none"/>
                <w:u w:val="none"/>
                <w:lang w:val="zh-CN" w:eastAsia="zh-CN"/>
              </w:rPr>
            </w:pPr>
            <w:r>
              <w:rPr>
                <w:rFonts w:hint="eastAsia" w:ascii="宋体" w:hAnsi="宋体" w:cs="Times New Roman"/>
                <w:snapToGrid w:val="0"/>
                <w:color w:val="auto"/>
                <w:kern w:val="0"/>
                <w:szCs w:val="21"/>
                <w:highlight w:val="none"/>
                <w:u w:val="none"/>
                <w:lang w:val="zh-CN" w:eastAsia="zh-CN"/>
              </w:rPr>
              <w:t>铜梁区土桥镇黄沙村党群服务中心新建项目</w:t>
            </w:r>
          </w:p>
        </w:tc>
      </w:tr>
      <w:tr w14:paraId="137428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8A205F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1.1.5</w:t>
            </w:r>
          </w:p>
        </w:tc>
        <w:tc>
          <w:tcPr>
            <w:tcW w:w="1644" w:type="dxa"/>
            <w:noWrap w:val="0"/>
            <w:vAlign w:val="center"/>
          </w:tcPr>
          <w:p w14:paraId="2D74352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建设地点</w:t>
            </w:r>
          </w:p>
        </w:tc>
        <w:tc>
          <w:tcPr>
            <w:tcW w:w="6490" w:type="dxa"/>
            <w:noWrap w:val="0"/>
            <w:vAlign w:val="center"/>
          </w:tcPr>
          <w:p w14:paraId="75736FC7">
            <w:pPr>
              <w:snapToGrid w:val="0"/>
              <w:spacing w:line="400" w:lineRule="exact"/>
              <w:ind w:firstLine="420" w:firstLineChars="200"/>
              <w:jc w:val="left"/>
              <w:rPr>
                <w:rFonts w:hint="eastAsia" w:ascii="宋体" w:hAnsi="宋体" w:cs="Times New Roman"/>
                <w:snapToGrid w:val="0"/>
                <w:color w:val="auto"/>
                <w:kern w:val="0"/>
                <w:szCs w:val="21"/>
                <w:highlight w:val="none"/>
                <w:u w:val="none"/>
                <w:lang w:val="zh-CN" w:eastAsia="zh-CN"/>
              </w:rPr>
            </w:pPr>
            <w:r>
              <w:rPr>
                <w:rFonts w:hint="eastAsia" w:ascii="宋体" w:hAnsi="宋体" w:cs="Times New Roman"/>
                <w:snapToGrid w:val="0"/>
                <w:color w:val="auto"/>
                <w:kern w:val="0"/>
                <w:szCs w:val="21"/>
                <w:highlight w:val="none"/>
                <w:u w:val="none"/>
                <w:lang w:val="en-US" w:eastAsia="zh-CN"/>
              </w:rPr>
              <w:t>铜梁区</w:t>
            </w:r>
          </w:p>
        </w:tc>
      </w:tr>
      <w:tr w14:paraId="7703E7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C5A15D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1.1.6</w:t>
            </w:r>
          </w:p>
        </w:tc>
        <w:tc>
          <w:tcPr>
            <w:tcW w:w="1644" w:type="dxa"/>
            <w:noWrap w:val="0"/>
            <w:vAlign w:val="center"/>
          </w:tcPr>
          <w:p w14:paraId="212109A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建设规模</w:t>
            </w:r>
          </w:p>
        </w:tc>
        <w:tc>
          <w:tcPr>
            <w:tcW w:w="6490" w:type="dxa"/>
            <w:noWrap w:val="0"/>
            <w:vAlign w:val="center"/>
          </w:tcPr>
          <w:p w14:paraId="49462CFA">
            <w:pPr>
              <w:tabs>
                <w:tab w:val="left" w:pos="3840"/>
                <w:tab w:val="left" w:pos="5300"/>
              </w:tabs>
              <w:autoSpaceDE w:val="0"/>
              <w:autoSpaceDN w:val="0"/>
              <w:adjustRightInd w:val="0"/>
              <w:snapToGrid w:val="0"/>
              <w:spacing w:line="460" w:lineRule="exact"/>
              <w:ind w:firstLine="420" w:firstLineChars="200"/>
              <w:rPr>
                <w:rFonts w:ascii="宋体" w:hAnsi="宋体"/>
                <w:i/>
                <w:snapToGrid w:val="0"/>
                <w:color w:val="auto"/>
                <w:kern w:val="0"/>
                <w:szCs w:val="21"/>
                <w:highlight w:val="none"/>
              </w:rPr>
            </w:pPr>
            <w:r>
              <w:rPr>
                <w:rFonts w:hint="eastAsia" w:ascii="宋体" w:hAnsi="宋体" w:cs="Times New Roman"/>
                <w:snapToGrid w:val="0"/>
                <w:color w:val="000000" w:themeColor="text1"/>
                <w:kern w:val="0"/>
                <w:szCs w:val="21"/>
                <w:u w:val="single"/>
                <w:lang w:eastAsia="zh-CN"/>
                <w14:textFill>
                  <w14:solidFill>
                    <w14:schemeClr w14:val="tx1"/>
                  </w14:solidFill>
                </w14:textFill>
              </w:rPr>
              <w:t>铜梁区土桥镇黄沙村党群服务中心新建项目包含建筑与装饰工程、电气工程、给排水工程等附属工程。</w:t>
            </w:r>
          </w:p>
        </w:tc>
      </w:tr>
      <w:tr w14:paraId="548D3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29AF40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1.2.1</w:t>
            </w:r>
          </w:p>
        </w:tc>
        <w:tc>
          <w:tcPr>
            <w:tcW w:w="1644" w:type="dxa"/>
            <w:noWrap w:val="0"/>
            <w:vAlign w:val="center"/>
          </w:tcPr>
          <w:p w14:paraId="5C9F5BC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资金来源</w:t>
            </w:r>
          </w:p>
        </w:tc>
        <w:tc>
          <w:tcPr>
            <w:tcW w:w="6490" w:type="dxa"/>
            <w:noWrap w:val="0"/>
            <w:vAlign w:val="center"/>
          </w:tcPr>
          <w:p w14:paraId="12A8C3E2">
            <w:pPr>
              <w:snapToGrid w:val="0"/>
              <w:spacing w:line="400" w:lineRule="exact"/>
              <w:ind w:firstLine="420" w:firstLineChars="200"/>
              <w:rPr>
                <w:rFonts w:ascii="宋体" w:hAnsi="宋体"/>
                <w:color w:val="auto"/>
                <w:szCs w:val="21"/>
                <w:highlight w:val="none"/>
              </w:rPr>
            </w:pPr>
            <w:r>
              <w:rPr>
                <w:rFonts w:hint="eastAsia" w:ascii="宋体" w:hAnsi="宋体"/>
                <w:snapToGrid w:val="0"/>
                <w:color w:val="000000" w:themeColor="text1"/>
                <w:kern w:val="0"/>
                <w:szCs w:val="21"/>
                <w:u w:val="single"/>
                <w:lang w:val="zh-CN"/>
                <w14:textFill>
                  <w14:solidFill>
                    <w14:schemeClr w14:val="tx1"/>
                  </w14:solidFill>
                </w14:textFill>
              </w:rPr>
              <w:t>财政资金</w:t>
            </w:r>
          </w:p>
        </w:tc>
      </w:tr>
      <w:tr w14:paraId="3EDF9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FC5C7C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1.2.2</w:t>
            </w:r>
          </w:p>
        </w:tc>
        <w:tc>
          <w:tcPr>
            <w:tcW w:w="1644" w:type="dxa"/>
            <w:noWrap w:val="0"/>
            <w:vAlign w:val="center"/>
          </w:tcPr>
          <w:p w14:paraId="52FABD1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出资比例</w:t>
            </w:r>
          </w:p>
        </w:tc>
        <w:tc>
          <w:tcPr>
            <w:tcW w:w="6490" w:type="dxa"/>
            <w:noWrap w:val="0"/>
            <w:vAlign w:val="center"/>
          </w:tcPr>
          <w:p w14:paraId="22C88030">
            <w:pPr>
              <w:snapToGrid w:val="0"/>
              <w:spacing w:line="400" w:lineRule="exact"/>
              <w:ind w:firstLine="420" w:firstLineChars="200"/>
              <w:jc w:val="left"/>
              <w:rPr>
                <w:rFonts w:ascii="宋体" w:hAnsi="宋体"/>
                <w:color w:val="auto"/>
                <w:szCs w:val="21"/>
                <w:highlight w:val="none"/>
              </w:rPr>
            </w:pPr>
            <w:r>
              <w:rPr>
                <w:rFonts w:hint="eastAsia" w:ascii="宋体" w:hAnsi="宋体"/>
                <w:color w:val="000000" w:themeColor="text1"/>
                <w:szCs w:val="21"/>
                <w:u w:val="single"/>
                <w14:textFill>
                  <w14:solidFill>
                    <w14:schemeClr w14:val="tx1"/>
                  </w14:solidFill>
                </w14:textFill>
              </w:rPr>
              <w:t>100%</w:t>
            </w:r>
          </w:p>
        </w:tc>
      </w:tr>
      <w:tr w14:paraId="4CD6FC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26971E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1.2.3</w:t>
            </w:r>
          </w:p>
        </w:tc>
        <w:tc>
          <w:tcPr>
            <w:tcW w:w="1644" w:type="dxa"/>
            <w:noWrap w:val="0"/>
            <w:vAlign w:val="center"/>
          </w:tcPr>
          <w:p w14:paraId="45D1445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资金落实情况</w:t>
            </w:r>
          </w:p>
        </w:tc>
        <w:tc>
          <w:tcPr>
            <w:tcW w:w="6490" w:type="dxa"/>
            <w:noWrap w:val="0"/>
            <w:vAlign w:val="center"/>
          </w:tcPr>
          <w:p w14:paraId="33F6A8E0">
            <w:pPr>
              <w:snapToGrid w:val="0"/>
              <w:spacing w:line="400" w:lineRule="exact"/>
              <w:ind w:firstLine="420" w:firstLineChars="200"/>
              <w:jc w:val="left"/>
              <w:rPr>
                <w:rFonts w:ascii="宋体" w:hAnsi="宋体"/>
                <w:color w:val="auto"/>
                <w:szCs w:val="21"/>
                <w:highlight w:val="none"/>
              </w:rPr>
            </w:pPr>
            <w:r>
              <w:rPr>
                <w:rFonts w:hint="eastAsia" w:ascii="宋体" w:hAnsi="宋体"/>
                <w:color w:val="000000" w:themeColor="text1"/>
                <w:szCs w:val="21"/>
                <w:u w:val="single"/>
                <w14:textFill>
                  <w14:solidFill>
                    <w14:schemeClr w14:val="tx1"/>
                  </w14:solidFill>
                </w14:textFill>
              </w:rPr>
              <w:t>已落实</w:t>
            </w:r>
          </w:p>
        </w:tc>
      </w:tr>
      <w:tr w14:paraId="54A1ED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25A29AF">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1.3.1</w:t>
            </w:r>
          </w:p>
        </w:tc>
        <w:tc>
          <w:tcPr>
            <w:tcW w:w="1644" w:type="dxa"/>
            <w:noWrap w:val="0"/>
            <w:vAlign w:val="center"/>
          </w:tcPr>
          <w:p w14:paraId="732828F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范围</w:t>
            </w:r>
          </w:p>
        </w:tc>
        <w:tc>
          <w:tcPr>
            <w:tcW w:w="6490" w:type="dxa"/>
            <w:noWrap w:val="0"/>
            <w:vAlign w:val="center"/>
          </w:tcPr>
          <w:p w14:paraId="0BC14B20">
            <w:pPr>
              <w:snapToGrid w:val="0"/>
              <w:spacing w:line="400" w:lineRule="exact"/>
              <w:ind w:firstLine="420" w:firstLineChars="200"/>
              <w:rPr>
                <w:rFonts w:ascii="宋体" w:hAnsi="宋体"/>
                <w:i/>
                <w:color w:val="auto"/>
                <w:szCs w:val="21"/>
                <w:highlight w:val="none"/>
              </w:rPr>
            </w:pPr>
            <w:r>
              <w:rPr>
                <w:rFonts w:hint="eastAsia" w:ascii="宋体" w:hAnsi="宋体"/>
                <w:color w:val="000000" w:themeColor="text1"/>
                <w:szCs w:val="21"/>
                <w:u w:val="single"/>
                <w14:textFill>
                  <w14:solidFill>
                    <w14:schemeClr w14:val="tx1"/>
                  </w14:solidFill>
                </w14:textFill>
              </w:rPr>
              <w:t>本工程</w:t>
            </w:r>
            <w:r>
              <w:rPr>
                <w:rFonts w:hint="eastAsia" w:ascii="宋体" w:hAnsi="宋体"/>
                <w:color w:val="000000" w:themeColor="text1"/>
                <w:szCs w:val="21"/>
                <w:u w:val="single"/>
                <w:lang w:eastAsia="zh-CN"/>
                <w14:textFill>
                  <w14:solidFill>
                    <w14:schemeClr w14:val="tx1"/>
                  </w14:solidFill>
                </w14:textFill>
              </w:rPr>
              <w:t>工程量清单</w:t>
            </w:r>
            <w:r>
              <w:rPr>
                <w:rFonts w:hint="eastAsia" w:ascii="宋体" w:hAnsi="宋体"/>
                <w:color w:val="000000" w:themeColor="text1"/>
                <w:szCs w:val="21"/>
                <w:u w:val="single"/>
                <w14:textFill>
                  <w14:solidFill>
                    <w14:schemeClr w14:val="tx1"/>
                  </w14:solidFill>
                </w14:textFill>
              </w:rPr>
              <w:t>所示的全部工作内容，具体以比选人发出的施工图及工程量清单为准</w:t>
            </w:r>
            <w:r>
              <w:rPr>
                <w:rFonts w:hint="eastAsia" w:ascii="宋体" w:hAnsi="宋体"/>
                <w:color w:val="000000" w:themeColor="text1"/>
                <w:szCs w:val="21"/>
                <w14:textFill>
                  <w14:solidFill>
                    <w14:schemeClr w14:val="tx1"/>
                  </w14:solidFill>
                </w14:textFill>
              </w:rPr>
              <w:t>。</w:t>
            </w:r>
          </w:p>
        </w:tc>
      </w:tr>
      <w:tr w14:paraId="72C4A9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605460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1.3.2</w:t>
            </w:r>
          </w:p>
        </w:tc>
        <w:tc>
          <w:tcPr>
            <w:tcW w:w="1644" w:type="dxa"/>
            <w:noWrap w:val="0"/>
            <w:vAlign w:val="center"/>
          </w:tcPr>
          <w:p w14:paraId="66BEF01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计划工期</w:t>
            </w:r>
          </w:p>
          <w:p w14:paraId="0C89DA0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缺陷责任期</w:t>
            </w:r>
          </w:p>
        </w:tc>
        <w:tc>
          <w:tcPr>
            <w:tcW w:w="6490" w:type="dxa"/>
            <w:noWrap w:val="0"/>
            <w:vAlign w:val="center"/>
          </w:tcPr>
          <w:p w14:paraId="61CBC965">
            <w:pPr>
              <w:snapToGrid w:val="0"/>
              <w:spacing w:line="400" w:lineRule="exact"/>
              <w:ind w:firstLine="420" w:firstLineChars="200"/>
              <w:rPr>
                <w:rFonts w:hint="eastAsia" w:ascii="宋体" w:hAnsi="宋体"/>
                <w:snapToGrid w:val="0"/>
                <w:color w:val="auto"/>
                <w:kern w:val="0"/>
                <w:szCs w:val="21"/>
                <w:highlight w:val="none"/>
                <w:u w:val="single"/>
              </w:rPr>
            </w:pPr>
            <w:r>
              <w:rPr>
                <w:rFonts w:hint="eastAsia" w:ascii="宋体" w:hAnsi="宋体"/>
                <w:color w:val="auto"/>
                <w:kern w:val="0"/>
                <w:szCs w:val="21"/>
                <w:highlight w:val="none"/>
              </w:rPr>
              <w:t>工期：</w:t>
            </w:r>
            <w:r>
              <w:rPr>
                <w:rFonts w:hint="eastAsia" w:ascii="宋体" w:hAnsi="宋体"/>
                <w:snapToGrid w:val="0"/>
                <w:color w:val="auto"/>
                <w:kern w:val="0"/>
                <w:szCs w:val="21"/>
                <w:highlight w:val="none"/>
                <w:u w:val="single"/>
                <w:lang w:val="en-US" w:eastAsia="zh-CN"/>
              </w:rPr>
              <w:t>40日历天</w:t>
            </w:r>
          </w:p>
          <w:p w14:paraId="02D61478">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缺陷责任期：</w:t>
            </w:r>
            <w:r>
              <w:rPr>
                <w:rFonts w:hint="eastAsia" w:ascii="宋体" w:hAnsi="宋体"/>
                <w:snapToGrid w:val="0"/>
                <w:color w:val="auto"/>
                <w:kern w:val="0"/>
                <w:szCs w:val="21"/>
                <w:highlight w:val="none"/>
                <w:u w:val="single"/>
                <w:lang w:val="en-US" w:eastAsia="zh-CN"/>
              </w:rPr>
              <w:t>24个月</w:t>
            </w:r>
          </w:p>
        </w:tc>
      </w:tr>
      <w:tr w14:paraId="314CF7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B958E2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1.3.3</w:t>
            </w:r>
          </w:p>
        </w:tc>
        <w:tc>
          <w:tcPr>
            <w:tcW w:w="1644" w:type="dxa"/>
            <w:noWrap w:val="0"/>
            <w:vAlign w:val="center"/>
          </w:tcPr>
          <w:p w14:paraId="245B240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质量要求</w:t>
            </w:r>
          </w:p>
        </w:tc>
        <w:tc>
          <w:tcPr>
            <w:tcW w:w="6490" w:type="dxa"/>
            <w:noWrap w:val="0"/>
            <w:vAlign w:val="center"/>
          </w:tcPr>
          <w:p w14:paraId="32D983CF">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u w:val="single"/>
              </w:rPr>
              <w:t>达到国家和重庆市现行有关施工质量验收规范要求，并达到合格标准</w:t>
            </w:r>
            <w:r>
              <w:rPr>
                <w:rFonts w:ascii="宋体" w:hAnsi="宋体"/>
                <w:color w:val="auto"/>
                <w:szCs w:val="21"/>
                <w:highlight w:val="none"/>
              </w:rPr>
              <w:t>。</w:t>
            </w:r>
          </w:p>
        </w:tc>
      </w:tr>
      <w:tr w14:paraId="7BEB30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90" w:hRule="atLeast"/>
          <w:jc w:val="center"/>
        </w:trPr>
        <w:tc>
          <w:tcPr>
            <w:tcW w:w="1335" w:type="dxa"/>
            <w:noWrap w:val="0"/>
            <w:vAlign w:val="center"/>
          </w:tcPr>
          <w:p w14:paraId="4C25B56D">
            <w:pPr>
              <w:snapToGrid w:val="0"/>
              <w:spacing w:line="400" w:lineRule="exact"/>
              <w:jc w:val="center"/>
              <w:rPr>
                <w:rFonts w:ascii="宋体" w:hAnsi="宋体"/>
                <w:color w:val="auto"/>
                <w:kern w:val="0"/>
                <w:szCs w:val="21"/>
                <w:highlight w:val="none"/>
              </w:rPr>
            </w:pPr>
          </w:p>
          <w:p w14:paraId="04B84BEC">
            <w:pPr>
              <w:snapToGrid w:val="0"/>
              <w:spacing w:line="400" w:lineRule="exact"/>
              <w:jc w:val="center"/>
              <w:rPr>
                <w:rFonts w:ascii="宋体" w:hAnsi="宋体"/>
                <w:color w:val="auto"/>
                <w:kern w:val="0"/>
                <w:szCs w:val="21"/>
                <w:highlight w:val="none"/>
              </w:rPr>
            </w:pPr>
          </w:p>
          <w:p w14:paraId="63CE772B">
            <w:pPr>
              <w:snapToGrid w:val="0"/>
              <w:spacing w:line="400" w:lineRule="exact"/>
              <w:jc w:val="center"/>
              <w:rPr>
                <w:rFonts w:ascii="宋体" w:hAnsi="宋体"/>
                <w:color w:val="auto"/>
                <w:kern w:val="0"/>
                <w:szCs w:val="21"/>
                <w:highlight w:val="none"/>
              </w:rPr>
            </w:pPr>
          </w:p>
          <w:p w14:paraId="1DEF9304">
            <w:pPr>
              <w:snapToGrid w:val="0"/>
              <w:spacing w:line="400" w:lineRule="exact"/>
              <w:jc w:val="center"/>
              <w:rPr>
                <w:rFonts w:ascii="宋体" w:hAnsi="宋体"/>
                <w:color w:val="auto"/>
                <w:kern w:val="0"/>
                <w:szCs w:val="21"/>
                <w:highlight w:val="none"/>
              </w:rPr>
            </w:pPr>
          </w:p>
          <w:p w14:paraId="3CC64026">
            <w:pPr>
              <w:snapToGrid w:val="0"/>
              <w:spacing w:line="400" w:lineRule="exact"/>
              <w:jc w:val="center"/>
              <w:rPr>
                <w:rFonts w:ascii="宋体" w:hAnsi="宋体"/>
                <w:color w:val="auto"/>
                <w:kern w:val="0"/>
                <w:szCs w:val="21"/>
                <w:highlight w:val="none"/>
              </w:rPr>
            </w:pPr>
          </w:p>
          <w:p w14:paraId="2398E64C">
            <w:pPr>
              <w:snapToGrid w:val="0"/>
              <w:spacing w:line="400" w:lineRule="exact"/>
              <w:jc w:val="center"/>
              <w:rPr>
                <w:rFonts w:ascii="宋体" w:hAnsi="宋体"/>
                <w:color w:val="auto"/>
                <w:kern w:val="0"/>
                <w:szCs w:val="21"/>
                <w:highlight w:val="none"/>
              </w:rPr>
            </w:pPr>
          </w:p>
          <w:p w14:paraId="295B6819">
            <w:pPr>
              <w:snapToGrid w:val="0"/>
              <w:spacing w:line="400" w:lineRule="exact"/>
              <w:jc w:val="center"/>
              <w:rPr>
                <w:rFonts w:ascii="宋体" w:hAnsi="宋体"/>
                <w:color w:val="auto"/>
                <w:kern w:val="0"/>
                <w:szCs w:val="21"/>
                <w:highlight w:val="none"/>
              </w:rPr>
            </w:pPr>
          </w:p>
          <w:p w14:paraId="414BBDDF">
            <w:pPr>
              <w:snapToGrid w:val="0"/>
              <w:spacing w:line="400" w:lineRule="exact"/>
              <w:jc w:val="center"/>
              <w:rPr>
                <w:rFonts w:ascii="宋体" w:hAnsi="宋体"/>
                <w:color w:val="auto"/>
                <w:kern w:val="0"/>
                <w:szCs w:val="21"/>
                <w:highlight w:val="none"/>
              </w:rPr>
            </w:pPr>
          </w:p>
          <w:p w14:paraId="5E6BF054">
            <w:pPr>
              <w:snapToGrid w:val="0"/>
              <w:spacing w:line="400" w:lineRule="exact"/>
              <w:jc w:val="center"/>
              <w:rPr>
                <w:rFonts w:ascii="宋体" w:hAnsi="宋体"/>
                <w:color w:val="auto"/>
                <w:kern w:val="0"/>
                <w:szCs w:val="21"/>
                <w:highlight w:val="none"/>
              </w:rPr>
            </w:pPr>
          </w:p>
          <w:p w14:paraId="16027A53">
            <w:pPr>
              <w:snapToGrid w:val="0"/>
              <w:spacing w:line="400" w:lineRule="exact"/>
              <w:jc w:val="center"/>
              <w:rPr>
                <w:rFonts w:ascii="宋体" w:hAnsi="宋体"/>
                <w:color w:val="auto"/>
                <w:kern w:val="0"/>
                <w:szCs w:val="21"/>
                <w:highlight w:val="none"/>
              </w:rPr>
            </w:pPr>
          </w:p>
          <w:p w14:paraId="417958BB">
            <w:pPr>
              <w:snapToGrid w:val="0"/>
              <w:spacing w:line="400" w:lineRule="exact"/>
              <w:jc w:val="center"/>
              <w:rPr>
                <w:rFonts w:ascii="宋体" w:hAnsi="宋体"/>
                <w:color w:val="auto"/>
                <w:kern w:val="0"/>
                <w:szCs w:val="21"/>
                <w:highlight w:val="none"/>
              </w:rPr>
            </w:pPr>
          </w:p>
          <w:p w14:paraId="3C7D435E">
            <w:pPr>
              <w:snapToGrid w:val="0"/>
              <w:spacing w:line="400" w:lineRule="exact"/>
              <w:jc w:val="center"/>
              <w:rPr>
                <w:rFonts w:ascii="宋体" w:hAnsi="宋体"/>
                <w:color w:val="auto"/>
                <w:kern w:val="0"/>
                <w:szCs w:val="21"/>
                <w:highlight w:val="none"/>
              </w:rPr>
            </w:pPr>
          </w:p>
          <w:p w14:paraId="77A72600">
            <w:pPr>
              <w:snapToGrid w:val="0"/>
              <w:spacing w:line="400" w:lineRule="exact"/>
              <w:jc w:val="center"/>
              <w:rPr>
                <w:rFonts w:ascii="宋体" w:hAnsi="宋体"/>
                <w:color w:val="auto"/>
                <w:kern w:val="0"/>
                <w:szCs w:val="21"/>
                <w:highlight w:val="none"/>
              </w:rPr>
            </w:pPr>
          </w:p>
          <w:p w14:paraId="1BC6FAAD">
            <w:pPr>
              <w:snapToGrid w:val="0"/>
              <w:spacing w:line="400" w:lineRule="exact"/>
              <w:jc w:val="center"/>
              <w:rPr>
                <w:rFonts w:ascii="宋体" w:hAnsi="宋体"/>
                <w:color w:val="auto"/>
                <w:kern w:val="0"/>
                <w:szCs w:val="21"/>
                <w:highlight w:val="none"/>
              </w:rPr>
            </w:pPr>
          </w:p>
          <w:p w14:paraId="451A90DE">
            <w:pPr>
              <w:snapToGrid w:val="0"/>
              <w:spacing w:line="400" w:lineRule="exact"/>
              <w:jc w:val="center"/>
              <w:rPr>
                <w:rFonts w:ascii="宋体" w:hAnsi="宋体"/>
                <w:color w:val="auto"/>
                <w:kern w:val="0"/>
                <w:szCs w:val="21"/>
                <w:highlight w:val="none"/>
              </w:rPr>
            </w:pPr>
          </w:p>
          <w:p w14:paraId="7A209306">
            <w:pPr>
              <w:snapToGrid w:val="0"/>
              <w:spacing w:line="400" w:lineRule="exact"/>
              <w:jc w:val="center"/>
              <w:rPr>
                <w:rFonts w:ascii="宋体" w:hAnsi="宋体"/>
                <w:color w:val="auto"/>
                <w:kern w:val="0"/>
                <w:szCs w:val="21"/>
                <w:highlight w:val="none"/>
              </w:rPr>
            </w:pPr>
          </w:p>
          <w:p w14:paraId="65BA9DDF">
            <w:pPr>
              <w:snapToGrid w:val="0"/>
              <w:spacing w:line="400" w:lineRule="exact"/>
              <w:jc w:val="center"/>
              <w:rPr>
                <w:rFonts w:ascii="宋体" w:hAnsi="宋体"/>
                <w:color w:val="auto"/>
                <w:kern w:val="0"/>
                <w:szCs w:val="21"/>
                <w:highlight w:val="none"/>
              </w:rPr>
            </w:pPr>
          </w:p>
          <w:p w14:paraId="5BB443B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04C90EA9">
            <w:pPr>
              <w:snapToGrid w:val="0"/>
              <w:spacing w:line="400" w:lineRule="exact"/>
              <w:jc w:val="center"/>
              <w:rPr>
                <w:rFonts w:ascii="宋体" w:hAnsi="宋体"/>
                <w:color w:val="auto"/>
                <w:kern w:val="0"/>
                <w:szCs w:val="21"/>
                <w:highlight w:val="none"/>
              </w:rPr>
            </w:pPr>
          </w:p>
          <w:p w14:paraId="4D0A0A77">
            <w:pPr>
              <w:snapToGrid w:val="0"/>
              <w:spacing w:line="400" w:lineRule="exact"/>
              <w:jc w:val="center"/>
              <w:rPr>
                <w:rFonts w:ascii="宋体" w:hAnsi="宋体"/>
                <w:color w:val="auto"/>
                <w:kern w:val="0"/>
                <w:szCs w:val="21"/>
                <w:highlight w:val="none"/>
              </w:rPr>
            </w:pPr>
          </w:p>
          <w:p w14:paraId="4A127F50">
            <w:pPr>
              <w:snapToGrid w:val="0"/>
              <w:spacing w:line="400" w:lineRule="exact"/>
              <w:jc w:val="center"/>
              <w:rPr>
                <w:rFonts w:ascii="宋体" w:hAnsi="宋体"/>
                <w:color w:val="auto"/>
                <w:kern w:val="0"/>
                <w:szCs w:val="21"/>
                <w:highlight w:val="none"/>
              </w:rPr>
            </w:pPr>
          </w:p>
          <w:p w14:paraId="239BD544">
            <w:pPr>
              <w:snapToGrid w:val="0"/>
              <w:spacing w:line="400" w:lineRule="exact"/>
              <w:jc w:val="center"/>
              <w:rPr>
                <w:rFonts w:ascii="宋体" w:hAnsi="宋体"/>
                <w:color w:val="auto"/>
                <w:kern w:val="0"/>
                <w:szCs w:val="21"/>
                <w:highlight w:val="none"/>
              </w:rPr>
            </w:pPr>
          </w:p>
          <w:p w14:paraId="120CF6A6">
            <w:pPr>
              <w:snapToGrid w:val="0"/>
              <w:spacing w:line="400" w:lineRule="exact"/>
              <w:jc w:val="center"/>
              <w:rPr>
                <w:rFonts w:ascii="宋体" w:hAnsi="宋体"/>
                <w:color w:val="auto"/>
                <w:kern w:val="0"/>
                <w:szCs w:val="21"/>
                <w:highlight w:val="none"/>
              </w:rPr>
            </w:pPr>
          </w:p>
          <w:p w14:paraId="3B370F76">
            <w:pPr>
              <w:snapToGrid w:val="0"/>
              <w:spacing w:line="400" w:lineRule="exact"/>
              <w:jc w:val="center"/>
              <w:rPr>
                <w:rFonts w:ascii="宋体" w:hAnsi="宋体"/>
                <w:color w:val="auto"/>
                <w:kern w:val="0"/>
                <w:szCs w:val="21"/>
                <w:highlight w:val="none"/>
              </w:rPr>
            </w:pPr>
          </w:p>
          <w:p w14:paraId="721772B9">
            <w:pPr>
              <w:snapToGrid w:val="0"/>
              <w:spacing w:line="400" w:lineRule="exact"/>
              <w:jc w:val="center"/>
              <w:rPr>
                <w:rFonts w:ascii="宋体" w:hAnsi="宋体"/>
                <w:color w:val="auto"/>
                <w:kern w:val="0"/>
                <w:szCs w:val="21"/>
                <w:highlight w:val="none"/>
              </w:rPr>
            </w:pPr>
          </w:p>
          <w:p w14:paraId="6139E142">
            <w:pPr>
              <w:snapToGrid w:val="0"/>
              <w:spacing w:line="400" w:lineRule="exact"/>
              <w:jc w:val="center"/>
              <w:rPr>
                <w:rFonts w:ascii="宋体" w:hAnsi="宋体"/>
                <w:color w:val="auto"/>
                <w:kern w:val="0"/>
                <w:szCs w:val="21"/>
                <w:highlight w:val="none"/>
              </w:rPr>
            </w:pPr>
          </w:p>
          <w:p w14:paraId="087FD221">
            <w:pPr>
              <w:snapToGrid w:val="0"/>
              <w:spacing w:line="400" w:lineRule="exact"/>
              <w:jc w:val="center"/>
              <w:rPr>
                <w:rFonts w:ascii="宋体" w:hAnsi="宋体"/>
                <w:color w:val="auto"/>
                <w:kern w:val="0"/>
                <w:szCs w:val="21"/>
                <w:highlight w:val="none"/>
              </w:rPr>
            </w:pPr>
          </w:p>
          <w:p w14:paraId="559A07A1">
            <w:pPr>
              <w:snapToGrid w:val="0"/>
              <w:spacing w:line="400" w:lineRule="exact"/>
              <w:jc w:val="center"/>
              <w:rPr>
                <w:rFonts w:ascii="宋体" w:hAnsi="宋体"/>
                <w:color w:val="auto"/>
                <w:kern w:val="0"/>
                <w:szCs w:val="21"/>
                <w:highlight w:val="none"/>
              </w:rPr>
            </w:pPr>
          </w:p>
          <w:p w14:paraId="3547A856">
            <w:pPr>
              <w:snapToGrid w:val="0"/>
              <w:spacing w:line="400" w:lineRule="exact"/>
              <w:jc w:val="center"/>
              <w:rPr>
                <w:rFonts w:ascii="宋体" w:hAnsi="宋体"/>
                <w:color w:val="auto"/>
                <w:kern w:val="0"/>
                <w:szCs w:val="21"/>
                <w:highlight w:val="none"/>
              </w:rPr>
            </w:pPr>
          </w:p>
          <w:p w14:paraId="18AA2777">
            <w:pPr>
              <w:snapToGrid w:val="0"/>
              <w:spacing w:line="400" w:lineRule="exact"/>
              <w:jc w:val="center"/>
              <w:rPr>
                <w:rFonts w:ascii="宋体" w:hAnsi="宋体"/>
                <w:color w:val="auto"/>
                <w:kern w:val="0"/>
                <w:szCs w:val="21"/>
                <w:highlight w:val="none"/>
              </w:rPr>
            </w:pPr>
          </w:p>
          <w:p w14:paraId="6D6B1622">
            <w:pPr>
              <w:snapToGrid w:val="0"/>
              <w:spacing w:line="400" w:lineRule="exact"/>
              <w:jc w:val="center"/>
              <w:rPr>
                <w:rFonts w:ascii="宋体" w:hAnsi="宋体"/>
                <w:color w:val="auto"/>
                <w:kern w:val="0"/>
                <w:szCs w:val="21"/>
                <w:highlight w:val="none"/>
              </w:rPr>
            </w:pPr>
          </w:p>
          <w:p w14:paraId="081E4F07">
            <w:pPr>
              <w:snapToGrid w:val="0"/>
              <w:spacing w:line="400" w:lineRule="exact"/>
              <w:jc w:val="center"/>
              <w:rPr>
                <w:rFonts w:ascii="宋体" w:hAnsi="宋体"/>
                <w:color w:val="auto"/>
                <w:kern w:val="0"/>
                <w:szCs w:val="21"/>
                <w:highlight w:val="none"/>
              </w:rPr>
            </w:pPr>
          </w:p>
          <w:p w14:paraId="2CBA0803">
            <w:pPr>
              <w:snapToGrid w:val="0"/>
              <w:spacing w:line="400" w:lineRule="exact"/>
              <w:jc w:val="center"/>
              <w:rPr>
                <w:rFonts w:ascii="宋体" w:hAnsi="宋体"/>
                <w:color w:val="auto"/>
                <w:kern w:val="0"/>
                <w:szCs w:val="21"/>
                <w:highlight w:val="none"/>
              </w:rPr>
            </w:pPr>
          </w:p>
          <w:p w14:paraId="19DE9255">
            <w:pPr>
              <w:snapToGrid w:val="0"/>
              <w:spacing w:line="400" w:lineRule="exact"/>
              <w:jc w:val="center"/>
              <w:rPr>
                <w:rFonts w:ascii="宋体" w:hAnsi="宋体"/>
                <w:color w:val="auto"/>
                <w:kern w:val="0"/>
                <w:szCs w:val="21"/>
                <w:highlight w:val="none"/>
              </w:rPr>
            </w:pPr>
          </w:p>
          <w:p w14:paraId="17F09BF8">
            <w:pPr>
              <w:snapToGrid w:val="0"/>
              <w:spacing w:line="400" w:lineRule="exact"/>
              <w:jc w:val="center"/>
              <w:rPr>
                <w:rFonts w:ascii="宋体" w:hAnsi="宋体"/>
                <w:color w:val="auto"/>
                <w:kern w:val="0"/>
                <w:szCs w:val="21"/>
                <w:highlight w:val="none"/>
              </w:rPr>
            </w:pPr>
          </w:p>
          <w:p w14:paraId="72DDF61F">
            <w:pPr>
              <w:snapToGrid w:val="0"/>
              <w:spacing w:line="400" w:lineRule="exact"/>
              <w:jc w:val="center"/>
              <w:rPr>
                <w:rFonts w:ascii="宋体" w:hAnsi="宋体"/>
                <w:color w:val="auto"/>
                <w:kern w:val="0"/>
                <w:szCs w:val="21"/>
                <w:highlight w:val="none"/>
              </w:rPr>
            </w:pPr>
          </w:p>
          <w:p w14:paraId="7016C144">
            <w:pPr>
              <w:snapToGrid w:val="0"/>
              <w:spacing w:line="400" w:lineRule="exact"/>
              <w:jc w:val="center"/>
              <w:rPr>
                <w:rFonts w:ascii="宋体" w:hAnsi="宋体"/>
                <w:color w:val="auto"/>
                <w:kern w:val="0"/>
                <w:szCs w:val="21"/>
                <w:highlight w:val="none"/>
              </w:rPr>
            </w:pPr>
          </w:p>
          <w:p w14:paraId="7DCBE9B8">
            <w:pPr>
              <w:snapToGrid w:val="0"/>
              <w:spacing w:line="400" w:lineRule="exact"/>
              <w:jc w:val="center"/>
              <w:rPr>
                <w:rFonts w:ascii="宋体" w:hAnsi="宋体"/>
                <w:color w:val="auto"/>
                <w:kern w:val="0"/>
                <w:szCs w:val="21"/>
                <w:highlight w:val="none"/>
              </w:rPr>
            </w:pPr>
          </w:p>
          <w:p w14:paraId="520A0579">
            <w:pPr>
              <w:snapToGrid w:val="0"/>
              <w:spacing w:line="400" w:lineRule="exact"/>
              <w:jc w:val="center"/>
              <w:rPr>
                <w:rFonts w:ascii="宋体" w:hAnsi="宋体"/>
                <w:color w:val="auto"/>
                <w:kern w:val="0"/>
                <w:szCs w:val="21"/>
                <w:highlight w:val="none"/>
              </w:rPr>
            </w:pPr>
          </w:p>
          <w:p w14:paraId="6BBC95E4">
            <w:pPr>
              <w:snapToGrid w:val="0"/>
              <w:spacing w:line="400" w:lineRule="exact"/>
              <w:jc w:val="center"/>
              <w:rPr>
                <w:rFonts w:ascii="宋体" w:hAnsi="宋体"/>
                <w:color w:val="auto"/>
                <w:kern w:val="0"/>
                <w:szCs w:val="21"/>
                <w:highlight w:val="none"/>
              </w:rPr>
            </w:pPr>
          </w:p>
          <w:p w14:paraId="326F911A">
            <w:pPr>
              <w:snapToGrid w:val="0"/>
              <w:spacing w:line="400" w:lineRule="exact"/>
              <w:jc w:val="center"/>
              <w:rPr>
                <w:rFonts w:ascii="宋体" w:hAnsi="宋体"/>
                <w:color w:val="auto"/>
                <w:kern w:val="0"/>
                <w:szCs w:val="21"/>
                <w:highlight w:val="none"/>
              </w:rPr>
            </w:pPr>
          </w:p>
          <w:p w14:paraId="6124E09D">
            <w:pPr>
              <w:snapToGrid w:val="0"/>
              <w:spacing w:line="400" w:lineRule="exact"/>
              <w:jc w:val="center"/>
              <w:rPr>
                <w:rFonts w:ascii="宋体" w:hAnsi="宋体"/>
                <w:color w:val="auto"/>
                <w:kern w:val="0"/>
                <w:szCs w:val="21"/>
                <w:highlight w:val="none"/>
              </w:rPr>
            </w:pPr>
          </w:p>
          <w:p w14:paraId="107163A4">
            <w:pPr>
              <w:snapToGrid w:val="0"/>
              <w:spacing w:line="400" w:lineRule="exact"/>
              <w:jc w:val="center"/>
              <w:rPr>
                <w:rFonts w:ascii="宋体" w:hAnsi="宋体"/>
                <w:color w:val="auto"/>
                <w:kern w:val="0"/>
                <w:szCs w:val="21"/>
                <w:highlight w:val="none"/>
              </w:rPr>
            </w:pPr>
          </w:p>
          <w:p w14:paraId="2780DA3B">
            <w:pPr>
              <w:snapToGrid w:val="0"/>
              <w:spacing w:line="400" w:lineRule="exact"/>
              <w:jc w:val="center"/>
              <w:rPr>
                <w:rFonts w:ascii="宋体" w:hAnsi="宋体"/>
                <w:color w:val="auto"/>
                <w:kern w:val="0"/>
                <w:szCs w:val="21"/>
                <w:highlight w:val="none"/>
              </w:rPr>
            </w:pPr>
          </w:p>
          <w:p w14:paraId="79BA649B">
            <w:pPr>
              <w:snapToGrid w:val="0"/>
              <w:spacing w:line="400" w:lineRule="exact"/>
              <w:jc w:val="center"/>
              <w:rPr>
                <w:rFonts w:ascii="宋体" w:hAnsi="宋体"/>
                <w:color w:val="auto"/>
                <w:kern w:val="0"/>
                <w:szCs w:val="21"/>
                <w:highlight w:val="none"/>
              </w:rPr>
            </w:pPr>
          </w:p>
          <w:p w14:paraId="44906E25">
            <w:pPr>
              <w:snapToGrid w:val="0"/>
              <w:spacing w:line="400" w:lineRule="exact"/>
              <w:jc w:val="center"/>
              <w:rPr>
                <w:rFonts w:ascii="宋体" w:hAnsi="宋体"/>
                <w:color w:val="auto"/>
                <w:kern w:val="0"/>
                <w:szCs w:val="21"/>
                <w:highlight w:val="none"/>
              </w:rPr>
            </w:pPr>
          </w:p>
          <w:p w14:paraId="47E997B6">
            <w:pPr>
              <w:snapToGrid w:val="0"/>
              <w:spacing w:line="400" w:lineRule="exact"/>
              <w:jc w:val="center"/>
              <w:rPr>
                <w:rFonts w:ascii="宋体" w:hAnsi="宋体"/>
                <w:color w:val="auto"/>
                <w:kern w:val="0"/>
                <w:szCs w:val="21"/>
                <w:highlight w:val="none"/>
              </w:rPr>
            </w:pPr>
          </w:p>
          <w:p w14:paraId="50840A14">
            <w:pPr>
              <w:snapToGrid w:val="0"/>
              <w:spacing w:line="400" w:lineRule="exact"/>
              <w:jc w:val="center"/>
              <w:rPr>
                <w:rFonts w:ascii="宋体" w:hAnsi="宋体"/>
                <w:color w:val="auto"/>
                <w:kern w:val="0"/>
                <w:szCs w:val="21"/>
                <w:highlight w:val="none"/>
              </w:rPr>
            </w:pPr>
          </w:p>
          <w:p w14:paraId="6A0B71EA">
            <w:pPr>
              <w:snapToGrid w:val="0"/>
              <w:spacing w:line="400" w:lineRule="exact"/>
              <w:jc w:val="center"/>
              <w:rPr>
                <w:rFonts w:ascii="宋体" w:hAnsi="宋体"/>
                <w:color w:val="auto"/>
                <w:kern w:val="0"/>
                <w:szCs w:val="21"/>
                <w:highlight w:val="none"/>
              </w:rPr>
            </w:pPr>
          </w:p>
          <w:p w14:paraId="2825770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7CEFA746">
            <w:pPr>
              <w:snapToGrid w:val="0"/>
              <w:spacing w:line="400" w:lineRule="exact"/>
              <w:jc w:val="center"/>
              <w:rPr>
                <w:rFonts w:ascii="宋体" w:hAnsi="宋体"/>
                <w:color w:val="auto"/>
                <w:kern w:val="0"/>
                <w:szCs w:val="21"/>
                <w:highlight w:val="none"/>
              </w:rPr>
            </w:pPr>
          </w:p>
          <w:p w14:paraId="4A5C15F6">
            <w:pPr>
              <w:snapToGrid w:val="0"/>
              <w:spacing w:line="400" w:lineRule="exact"/>
              <w:jc w:val="center"/>
              <w:rPr>
                <w:rFonts w:ascii="宋体" w:hAnsi="宋体"/>
                <w:color w:val="auto"/>
                <w:kern w:val="0"/>
                <w:szCs w:val="21"/>
                <w:highlight w:val="none"/>
              </w:rPr>
            </w:pPr>
          </w:p>
          <w:p w14:paraId="2B4FCFEF">
            <w:pPr>
              <w:snapToGrid w:val="0"/>
              <w:spacing w:line="400" w:lineRule="exact"/>
              <w:jc w:val="center"/>
              <w:rPr>
                <w:rFonts w:ascii="宋体" w:hAnsi="宋体"/>
                <w:color w:val="auto"/>
                <w:kern w:val="0"/>
                <w:szCs w:val="21"/>
                <w:highlight w:val="none"/>
              </w:rPr>
            </w:pPr>
          </w:p>
          <w:p w14:paraId="419908ED">
            <w:pPr>
              <w:snapToGrid w:val="0"/>
              <w:spacing w:line="400" w:lineRule="exact"/>
              <w:jc w:val="center"/>
              <w:rPr>
                <w:rFonts w:ascii="宋体" w:hAnsi="宋体"/>
                <w:color w:val="auto"/>
                <w:kern w:val="0"/>
                <w:szCs w:val="21"/>
                <w:highlight w:val="none"/>
              </w:rPr>
            </w:pPr>
          </w:p>
          <w:p w14:paraId="485CA99D">
            <w:pPr>
              <w:snapToGrid w:val="0"/>
              <w:spacing w:line="400" w:lineRule="exact"/>
              <w:jc w:val="center"/>
              <w:rPr>
                <w:rFonts w:ascii="宋体" w:hAnsi="宋体"/>
                <w:color w:val="auto"/>
                <w:kern w:val="0"/>
                <w:szCs w:val="21"/>
                <w:highlight w:val="none"/>
              </w:rPr>
            </w:pPr>
          </w:p>
          <w:p w14:paraId="4BFE2237">
            <w:pPr>
              <w:snapToGrid w:val="0"/>
              <w:spacing w:line="400" w:lineRule="exact"/>
              <w:jc w:val="center"/>
              <w:rPr>
                <w:rFonts w:ascii="宋体" w:hAnsi="宋体"/>
                <w:color w:val="auto"/>
                <w:kern w:val="0"/>
                <w:szCs w:val="21"/>
                <w:highlight w:val="none"/>
              </w:rPr>
            </w:pPr>
          </w:p>
          <w:p w14:paraId="59C02758">
            <w:pPr>
              <w:snapToGrid w:val="0"/>
              <w:spacing w:line="400" w:lineRule="exact"/>
              <w:jc w:val="center"/>
              <w:rPr>
                <w:rFonts w:ascii="宋体" w:hAnsi="宋体"/>
                <w:color w:val="auto"/>
                <w:kern w:val="0"/>
                <w:szCs w:val="21"/>
                <w:highlight w:val="none"/>
              </w:rPr>
            </w:pPr>
          </w:p>
          <w:p w14:paraId="0133ED70">
            <w:pPr>
              <w:snapToGrid w:val="0"/>
              <w:spacing w:line="400" w:lineRule="exact"/>
              <w:jc w:val="center"/>
              <w:rPr>
                <w:rFonts w:ascii="宋体" w:hAnsi="宋体"/>
                <w:color w:val="auto"/>
                <w:kern w:val="0"/>
                <w:szCs w:val="21"/>
                <w:highlight w:val="none"/>
              </w:rPr>
            </w:pPr>
          </w:p>
          <w:p w14:paraId="2A654F74">
            <w:pPr>
              <w:snapToGrid w:val="0"/>
              <w:spacing w:line="400" w:lineRule="exact"/>
              <w:jc w:val="center"/>
              <w:rPr>
                <w:rFonts w:ascii="宋体" w:hAnsi="宋体"/>
                <w:color w:val="auto"/>
                <w:kern w:val="0"/>
                <w:szCs w:val="21"/>
                <w:highlight w:val="none"/>
              </w:rPr>
            </w:pPr>
          </w:p>
          <w:p w14:paraId="0A3FB951">
            <w:pPr>
              <w:snapToGrid w:val="0"/>
              <w:spacing w:line="400" w:lineRule="exact"/>
              <w:jc w:val="center"/>
              <w:rPr>
                <w:rFonts w:ascii="宋体" w:hAnsi="宋体"/>
                <w:color w:val="auto"/>
                <w:kern w:val="0"/>
                <w:szCs w:val="21"/>
                <w:highlight w:val="none"/>
              </w:rPr>
            </w:pPr>
          </w:p>
          <w:p w14:paraId="0B0C72FF">
            <w:pPr>
              <w:snapToGrid w:val="0"/>
              <w:spacing w:line="400" w:lineRule="exact"/>
              <w:jc w:val="center"/>
              <w:rPr>
                <w:rFonts w:ascii="宋体" w:hAnsi="宋体"/>
                <w:color w:val="auto"/>
                <w:kern w:val="0"/>
                <w:szCs w:val="21"/>
                <w:highlight w:val="none"/>
              </w:rPr>
            </w:pPr>
          </w:p>
          <w:p w14:paraId="7DAB34BB">
            <w:pPr>
              <w:snapToGrid w:val="0"/>
              <w:spacing w:line="400" w:lineRule="exact"/>
              <w:jc w:val="center"/>
              <w:rPr>
                <w:rFonts w:ascii="宋体" w:hAnsi="宋体"/>
                <w:color w:val="auto"/>
                <w:kern w:val="0"/>
                <w:szCs w:val="21"/>
                <w:highlight w:val="none"/>
              </w:rPr>
            </w:pPr>
          </w:p>
          <w:p w14:paraId="1C711B55">
            <w:pPr>
              <w:snapToGrid w:val="0"/>
              <w:spacing w:line="400" w:lineRule="exact"/>
              <w:jc w:val="center"/>
              <w:rPr>
                <w:rFonts w:ascii="宋体" w:hAnsi="宋体"/>
                <w:color w:val="auto"/>
                <w:kern w:val="0"/>
                <w:szCs w:val="21"/>
                <w:highlight w:val="none"/>
              </w:rPr>
            </w:pPr>
          </w:p>
          <w:p w14:paraId="7B09F867">
            <w:pPr>
              <w:snapToGrid w:val="0"/>
              <w:spacing w:line="400" w:lineRule="exact"/>
              <w:jc w:val="center"/>
              <w:rPr>
                <w:rFonts w:ascii="宋体" w:hAnsi="宋体"/>
                <w:color w:val="auto"/>
                <w:kern w:val="0"/>
                <w:szCs w:val="21"/>
                <w:highlight w:val="none"/>
              </w:rPr>
            </w:pPr>
          </w:p>
          <w:p w14:paraId="7ADC781F">
            <w:pPr>
              <w:snapToGrid w:val="0"/>
              <w:spacing w:line="400" w:lineRule="exact"/>
              <w:jc w:val="center"/>
              <w:rPr>
                <w:rFonts w:ascii="宋体" w:hAnsi="宋体"/>
                <w:color w:val="auto"/>
                <w:kern w:val="0"/>
                <w:szCs w:val="21"/>
                <w:highlight w:val="none"/>
              </w:rPr>
            </w:pPr>
          </w:p>
          <w:p w14:paraId="467720DE">
            <w:pPr>
              <w:snapToGrid w:val="0"/>
              <w:spacing w:line="400" w:lineRule="exact"/>
              <w:jc w:val="center"/>
              <w:rPr>
                <w:rFonts w:ascii="宋体" w:hAnsi="宋体"/>
                <w:color w:val="auto"/>
                <w:kern w:val="0"/>
                <w:szCs w:val="21"/>
                <w:highlight w:val="none"/>
              </w:rPr>
            </w:pPr>
          </w:p>
          <w:p w14:paraId="20DCD25A">
            <w:pPr>
              <w:snapToGrid w:val="0"/>
              <w:spacing w:line="400" w:lineRule="exact"/>
              <w:jc w:val="center"/>
              <w:rPr>
                <w:rFonts w:ascii="宋体" w:hAnsi="宋体"/>
                <w:color w:val="auto"/>
                <w:kern w:val="0"/>
                <w:szCs w:val="21"/>
                <w:highlight w:val="none"/>
              </w:rPr>
            </w:pPr>
          </w:p>
          <w:p w14:paraId="4E2EAA29">
            <w:pPr>
              <w:snapToGrid w:val="0"/>
              <w:spacing w:line="400" w:lineRule="exact"/>
              <w:jc w:val="center"/>
              <w:rPr>
                <w:rFonts w:ascii="宋体" w:hAnsi="宋体"/>
                <w:color w:val="auto"/>
                <w:kern w:val="0"/>
                <w:szCs w:val="21"/>
                <w:highlight w:val="none"/>
              </w:rPr>
            </w:pPr>
          </w:p>
          <w:p w14:paraId="462D3B2F">
            <w:pPr>
              <w:snapToGrid w:val="0"/>
              <w:spacing w:line="400" w:lineRule="exact"/>
              <w:jc w:val="center"/>
              <w:rPr>
                <w:rFonts w:ascii="宋体" w:hAnsi="宋体"/>
                <w:color w:val="auto"/>
                <w:kern w:val="0"/>
                <w:szCs w:val="21"/>
                <w:highlight w:val="none"/>
              </w:rPr>
            </w:pPr>
          </w:p>
          <w:p w14:paraId="2CBAB6CC">
            <w:pPr>
              <w:snapToGrid w:val="0"/>
              <w:spacing w:line="400" w:lineRule="exact"/>
              <w:jc w:val="center"/>
              <w:rPr>
                <w:rFonts w:ascii="宋体" w:hAnsi="宋体"/>
                <w:color w:val="auto"/>
                <w:kern w:val="0"/>
                <w:szCs w:val="21"/>
                <w:highlight w:val="none"/>
              </w:rPr>
            </w:pPr>
          </w:p>
          <w:p w14:paraId="241F1E17">
            <w:pPr>
              <w:snapToGrid w:val="0"/>
              <w:spacing w:line="400" w:lineRule="exact"/>
              <w:jc w:val="center"/>
              <w:rPr>
                <w:rFonts w:ascii="宋体" w:hAnsi="宋体"/>
                <w:color w:val="auto"/>
                <w:kern w:val="0"/>
                <w:szCs w:val="21"/>
                <w:highlight w:val="none"/>
              </w:rPr>
            </w:pPr>
          </w:p>
          <w:p w14:paraId="726A8BB5">
            <w:pPr>
              <w:snapToGrid w:val="0"/>
              <w:spacing w:line="400" w:lineRule="exact"/>
              <w:jc w:val="center"/>
              <w:rPr>
                <w:rFonts w:ascii="宋体" w:hAnsi="宋体"/>
                <w:color w:val="auto"/>
                <w:kern w:val="0"/>
                <w:szCs w:val="21"/>
                <w:highlight w:val="none"/>
              </w:rPr>
            </w:pPr>
          </w:p>
          <w:p w14:paraId="6A883B6D">
            <w:pPr>
              <w:snapToGrid w:val="0"/>
              <w:spacing w:line="400" w:lineRule="exact"/>
              <w:jc w:val="center"/>
              <w:rPr>
                <w:rFonts w:ascii="宋体" w:hAnsi="宋体"/>
                <w:color w:val="auto"/>
                <w:kern w:val="0"/>
                <w:szCs w:val="21"/>
                <w:highlight w:val="none"/>
              </w:rPr>
            </w:pPr>
          </w:p>
          <w:p w14:paraId="3897E439">
            <w:pPr>
              <w:snapToGrid w:val="0"/>
              <w:spacing w:line="400" w:lineRule="exact"/>
              <w:jc w:val="both"/>
              <w:rPr>
                <w:rFonts w:ascii="宋体" w:hAnsi="宋体"/>
                <w:color w:val="auto"/>
                <w:kern w:val="0"/>
                <w:szCs w:val="21"/>
                <w:highlight w:val="none"/>
              </w:rPr>
            </w:pPr>
          </w:p>
          <w:p w14:paraId="3434CFAA">
            <w:pPr>
              <w:snapToGrid w:val="0"/>
              <w:spacing w:line="400" w:lineRule="exact"/>
              <w:jc w:val="center"/>
              <w:rPr>
                <w:rFonts w:ascii="宋体" w:hAnsi="宋体"/>
                <w:color w:val="auto"/>
                <w:kern w:val="0"/>
                <w:szCs w:val="21"/>
                <w:highlight w:val="none"/>
              </w:rPr>
            </w:pPr>
          </w:p>
          <w:p w14:paraId="45D4B93F">
            <w:pPr>
              <w:snapToGrid w:val="0"/>
              <w:spacing w:line="400" w:lineRule="exact"/>
              <w:jc w:val="center"/>
              <w:rPr>
                <w:rFonts w:ascii="宋体" w:hAnsi="宋体"/>
                <w:color w:val="auto"/>
                <w:kern w:val="0"/>
                <w:szCs w:val="21"/>
                <w:highlight w:val="none"/>
              </w:rPr>
            </w:pPr>
          </w:p>
          <w:p w14:paraId="15BFB92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6B7441BF">
            <w:pPr>
              <w:snapToGrid w:val="0"/>
              <w:spacing w:line="400" w:lineRule="exact"/>
              <w:jc w:val="center"/>
              <w:rPr>
                <w:rFonts w:ascii="宋体" w:hAnsi="宋体"/>
                <w:color w:val="auto"/>
                <w:kern w:val="0"/>
                <w:szCs w:val="21"/>
                <w:highlight w:val="none"/>
              </w:rPr>
            </w:pPr>
          </w:p>
          <w:p w14:paraId="2A368738">
            <w:pPr>
              <w:snapToGrid w:val="0"/>
              <w:spacing w:line="400" w:lineRule="exact"/>
              <w:jc w:val="center"/>
              <w:rPr>
                <w:rFonts w:ascii="宋体" w:hAnsi="宋体"/>
                <w:color w:val="auto"/>
                <w:kern w:val="0"/>
                <w:szCs w:val="21"/>
                <w:highlight w:val="none"/>
              </w:rPr>
            </w:pPr>
          </w:p>
          <w:p w14:paraId="183E9939">
            <w:pPr>
              <w:snapToGrid w:val="0"/>
              <w:spacing w:line="400" w:lineRule="exact"/>
              <w:jc w:val="center"/>
              <w:rPr>
                <w:rFonts w:ascii="宋体" w:hAnsi="宋体"/>
                <w:color w:val="auto"/>
                <w:kern w:val="0"/>
                <w:szCs w:val="21"/>
                <w:highlight w:val="none"/>
              </w:rPr>
            </w:pPr>
          </w:p>
          <w:p w14:paraId="08EDE1B3">
            <w:pPr>
              <w:snapToGrid w:val="0"/>
              <w:spacing w:line="400" w:lineRule="exact"/>
              <w:jc w:val="center"/>
              <w:rPr>
                <w:rFonts w:ascii="宋体" w:hAnsi="宋体"/>
                <w:color w:val="auto"/>
                <w:kern w:val="0"/>
                <w:szCs w:val="21"/>
                <w:highlight w:val="none"/>
              </w:rPr>
            </w:pPr>
          </w:p>
          <w:p w14:paraId="4547F9CA">
            <w:pPr>
              <w:snapToGrid w:val="0"/>
              <w:spacing w:line="400" w:lineRule="exact"/>
              <w:jc w:val="center"/>
              <w:rPr>
                <w:rFonts w:ascii="宋体" w:hAnsi="宋体"/>
                <w:color w:val="auto"/>
                <w:kern w:val="0"/>
                <w:szCs w:val="21"/>
                <w:highlight w:val="none"/>
              </w:rPr>
            </w:pPr>
          </w:p>
          <w:p w14:paraId="3A855FE2">
            <w:pPr>
              <w:snapToGrid w:val="0"/>
              <w:spacing w:line="400" w:lineRule="exact"/>
              <w:jc w:val="center"/>
              <w:rPr>
                <w:rFonts w:ascii="宋体" w:hAnsi="宋体"/>
                <w:color w:val="auto"/>
                <w:kern w:val="0"/>
                <w:szCs w:val="21"/>
                <w:highlight w:val="none"/>
              </w:rPr>
            </w:pPr>
          </w:p>
          <w:p w14:paraId="10949635">
            <w:pPr>
              <w:snapToGrid w:val="0"/>
              <w:spacing w:line="400" w:lineRule="exact"/>
              <w:jc w:val="both"/>
              <w:rPr>
                <w:rFonts w:hint="eastAsia" w:ascii="宋体" w:hAnsi="宋体"/>
                <w:color w:val="auto"/>
                <w:kern w:val="0"/>
                <w:szCs w:val="21"/>
                <w:highlight w:val="none"/>
              </w:rPr>
            </w:pPr>
          </w:p>
        </w:tc>
        <w:tc>
          <w:tcPr>
            <w:tcW w:w="1644" w:type="dxa"/>
            <w:noWrap w:val="0"/>
            <w:vAlign w:val="center"/>
          </w:tcPr>
          <w:p w14:paraId="6BB917A4">
            <w:pPr>
              <w:snapToGrid w:val="0"/>
              <w:spacing w:line="400" w:lineRule="exact"/>
              <w:jc w:val="center"/>
              <w:rPr>
                <w:rFonts w:ascii="宋体" w:hAnsi="宋体"/>
                <w:color w:val="auto"/>
                <w:kern w:val="0"/>
                <w:szCs w:val="21"/>
                <w:highlight w:val="none"/>
              </w:rPr>
            </w:pPr>
          </w:p>
          <w:p w14:paraId="7B14ECEE">
            <w:pPr>
              <w:snapToGrid w:val="0"/>
              <w:spacing w:line="400" w:lineRule="exact"/>
              <w:jc w:val="center"/>
              <w:rPr>
                <w:rFonts w:ascii="宋体" w:hAnsi="宋体"/>
                <w:color w:val="auto"/>
                <w:kern w:val="0"/>
                <w:szCs w:val="21"/>
                <w:highlight w:val="none"/>
              </w:rPr>
            </w:pPr>
          </w:p>
          <w:p w14:paraId="75DDB030">
            <w:pPr>
              <w:snapToGrid w:val="0"/>
              <w:spacing w:line="400" w:lineRule="exact"/>
              <w:jc w:val="center"/>
              <w:rPr>
                <w:rFonts w:ascii="宋体" w:hAnsi="宋体"/>
                <w:color w:val="auto"/>
                <w:kern w:val="0"/>
                <w:szCs w:val="21"/>
                <w:highlight w:val="none"/>
              </w:rPr>
            </w:pPr>
          </w:p>
          <w:p w14:paraId="2EEDB9B4">
            <w:pPr>
              <w:snapToGrid w:val="0"/>
              <w:spacing w:line="400" w:lineRule="exact"/>
              <w:jc w:val="center"/>
              <w:rPr>
                <w:rFonts w:ascii="宋体" w:hAnsi="宋体"/>
                <w:color w:val="auto"/>
                <w:kern w:val="0"/>
                <w:szCs w:val="21"/>
                <w:highlight w:val="none"/>
              </w:rPr>
            </w:pPr>
          </w:p>
          <w:p w14:paraId="5CD75128">
            <w:pPr>
              <w:snapToGrid w:val="0"/>
              <w:spacing w:line="400" w:lineRule="exact"/>
              <w:jc w:val="center"/>
              <w:rPr>
                <w:rFonts w:ascii="宋体" w:hAnsi="宋体"/>
                <w:color w:val="auto"/>
                <w:kern w:val="0"/>
                <w:szCs w:val="21"/>
                <w:highlight w:val="none"/>
              </w:rPr>
            </w:pPr>
          </w:p>
          <w:p w14:paraId="2513562B">
            <w:pPr>
              <w:snapToGrid w:val="0"/>
              <w:spacing w:line="400" w:lineRule="exact"/>
              <w:jc w:val="center"/>
              <w:rPr>
                <w:rFonts w:ascii="宋体" w:hAnsi="宋体"/>
                <w:color w:val="auto"/>
                <w:kern w:val="0"/>
                <w:szCs w:val="21"/>
                <w:highlight w:val="none"/>
              </w:rPr>
            </w:pPr>
          </w:p>
          <w:p w14:paraId="16CC06B4">
            <w:pPr>
              <w:snapToGrid w:val="0"/>
              <w:spacing w:line="400" w:lineRule="exact"/>
              <w:jc w:val="center"/>
              <w:rPr>
                <w:rFonts w:ascii="宋体" w:hAnsi="宋体"/>
                <w:color w:val="auto"/>
                <w:kern w:val="0"/>
                <w:szCs w:val="21"/>
                <w:highlight w:val="none"/>
              </w:rPr>
            </w:pPr>
          </w:p>
          <w:p w14:paraId="33BDDE26">
            <w:pPr>
              <w:snapToGrid w:val="0"/>
              <w:spacing w:line="400" w:lineRule="exact"/>
              <w:jc w:val="center"/>
              <w:rPr>
                <w:rFonts w:ascii="宋体" w:hAnsi="宋体"/>
                <w:color w:val="auto"/>
                <w:kern w:val="0"/>
                <w:szCs w:val="21"/>
                <w:highlight w:val="none"/>
              </w:rPr>
            </w:pPr>
          </w:p>
          <w:p w14:paraId="768FD6C9">
            <w:pPr>
              <w:snapToGrid w:val="0"/>
              <w:spacing w:line="400" w:lineRule="exact"/>
              <w:jc w:val="center"/>
              <w:rPr>
                <w:rFonts w:ascii="宋体" w:hAnsi="宋体"/>
                <w:color w:val="auto"/>
                <w:kern w:val="0"/>
                <w:szCs w:val="21"/>
                <w:highlight w:val="none"/>
              </w:rPr>
            </w:pPr>
          </w:p>
          <w:p w14:paraId="695C7CB5">
            <w:pPr>
              <w:snapToGrid w:val="0"/>
              <w:spacing w:line="400" w:lineRule="exact"/>
              <w:jc w:val="center"/>
              <w:rPr>
                <w:rFonts w:ascii="宋体" w:hAnsi="宋体"/>
                <w:color w:val="auto"/>
                <w:kern w:val="0"/>
                <w:szCs w:val="21"/>
                <w:highlight w:val="none"/>
              </w:rPr>
            </w:pPr>
          </w:p>
          <w:p w14:paraId="0EB30D90">
            <w:pPr>
              <w:snapToGrid w:val="0"/>
              <w:spacing w:line="400" w:lineRule="exact"/>
              <w:jc w:val="center"/>
              <w:rPr>
                <w:rFonts w:ascii="宋体" w:hAnsi="宋体"/>
                <w:color w:val="auto"/>
                <w:kern w:val="0"/>
                <w:szCs w:val="21"/>
                <w:highlight w:val="none"/>
              </w:rPr>
            </w:pPr>
          </w:p>
          <w:p w14:paraId="2BBDBC86">
            <w:pPr>
              <w:snapToGrid w:val="0"/>
              <w:spacing w:line="400" w:lineRule="exact"/>
              <w:jc w:val="center"/>
              <w:rPr>
                <w:rFonts w:ascii="宋体" w:hAnsi="宋体"/>
                <w:color w:val="auto"/>
                <w:kern w:val="0"/>
                <w:szCs w:val="21"/>
                <w:highlight w:val="none"/>
              </w:rPr>
            </w:pPr>
          </w:p>
          <w:p w14:paraId="731D1585">
            <w:pPr>
              <w:snapToGrid w:val="0"/>
              <w:spacing w:line="400" w:lineRule="exact"/>
              <w:jc w:val="center"/>
              <w:rPr>
                <w:rFonts w:ascii="宋体" w:hAnsi="宋体"/>
                <w:color w:val="auto"/>
                <w:kern w:val="0"/>
                <w:szCs w:val="21"/>
                <w:highlight w:val="none"/>
              </w:rPr>
            </w:pPr>
          </w:p>
          <w:p w14:paraId="56D03743">
            <w:pPr>
              <w:snapToGrid w:val="0"/>
              <w:spacing w:line="400" w:lineRule="exact"/>
              <w:jc w:val="center"/>
              <w:rPr>
                <w:rFonts w:ascii="宋体" w:hAnsi="宋体"/>
                <w:color w:val="auto"/>
                <w:kern w:val="0"/>
                <w:szCs w:val="21"/>
                <w:highlight w:val="none"/>
              </w:rPr>
            </w:pPr>
          </w:p>
          <w:p w14:paraId="5205BC1E">
            <w:pPr>
              <w:snapToGrid w:val="0"/>
              <w:spacing w:line="400" w:lineRule="exact"/>
              <w:jc w:val="center"/>
              <w:rPr>
                <w:rFonts w:hint="eastAsia" w:ascii="宋体" w:hAnsi="宋体"/>
                <w:color w:val="auto"/>
                <w:kern w:val="0"/>
                <w:szCs w:val="21"/>
                <w:highlight w:val="none"/>
              </w:rPr>
            </w:pPr>
          </w:p>
          <w:p w14:paraId="3110C29D">
            <w:pPr>
              <w:snapToGrid w:val="0"/>
              <w:spacing w:line="400" w:lineRule="exact"/>
              <w:jc w:val="center"/>
              <w:rPr>
                <w:rFonts w:hint="eastAsia" w:ascii="宋体" w:hAnsi="宋体"/>
                <w:color w:val="auto"/>
                <w:kern w:val="0"/>
                <w:szCs w:val="21"/>
                <w:highlight w:val="none"/>
              </w:rPr>
            </w:pPr>
          </w:p>
          <w:p w14:paraId="66589748">
            <w:pPr>
              <w:snapToGrid w:val="0"/>
              <w:spacing w:line="400" w:lineRule="exact"/>
              <w:jc w:val="center"/>
              <w:rPr>
                <w:rFonts w:ascii="宋体" w:hAnsi="宋体"/>
                <w:color w:val="auto"/>
                <w:kern w:val="0"/>
                <w:szCs w:val="21"/>
                <w:highlight w:val="none"/>
              </w:rPr>
            </w:pPr>
          </w:p>
          <w:p w14:paraId="79B93D9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344E0F2D">
            <w:pPr>
              <w:snapToGrid w:val="0"/>
              <w:spacing w:line="400" w:lineRule="exact"/>
              <w:jc w:val="center"/>
              <w:rPr>
                <w:rFonts w:ascii="宋体" w:hAnsi="宋体"/>
                <w:color w:val="auto"/>
                <w:kern w:val="0"/>
                <w:szCs w:val="21"/>
                <w:highlight w:val="none"/>
              </w:rPr>
            </w:pPr>
          </w:p>
          <w:p w14:paraId="48335BCD">
            <w:pPr>
              <w:snapToGrid w:val="0"/>
              <w:spacing w:line="400" w:lineRule="exact"/>
              <w:jc w:val="center"/>
              <w:rPr>
                <w:rFonts w:ascii="宋体" w:hAnsi="宋体"/>
                <w:color w:val="auto"/>
                <w:kern w:val="0"/>
                <w:szCs w:val="21"/>
                <w:highlight w:val="none"/>
              </w:rPr>
            </w:pPr>
          </w:p>
          <w:p w14:paraId="1E991A0A">
            <w:pPr>
              <w:snapToGrid w:val="0"/>
              <w:spacing w:line="400" w:lineRule="exact"/>
              <w:jc w:val="center"/>
              <w:rPr>
                <w:rFonts w:ascii="宋体" w:hAnsi="宋体"/>
                <w:color w:val="auto"/>
                <w:kern w:val="0"/>
                <w:szCs w:val="21"/>
                <w:highlight w:val="none"/>
              </w:rPr>
            </w:pPr>
          </w:p>
          <w:p w14:paraId="21185BC4">
            <w:pPr>
              <w:snapToGrid w:val="0"/>
              <w:spacing w:line="400" w:lineRule="exact"/>
              <w:jc w:val="center"/>
              <w:rPr>
                <w:rFonts w:ascii="宋体" w:hAnsi="宋体"/>
                <w:color w:val="auto"/>
                <w:kern w:val="0"/>
                <w:szCs w:val="21"/>
                <w:highlight w:val="none"/>
              </w:rPr>
            </w:pPr>
          </w:p>
          <w:p w14:paraId="64DEAD50">
            <w:pPr>
              <w:snapToGrid w:val="0"/>
              <w:spacing w:line="400" w:lineRule="exact"/>
              <w:jc w:val="center"/>
              <w:rPr>
                <w:rFonts w:ascii="宋体" w:hAnsi="宋体"/>
                <w:color w:val="auto"/>
                <w:kern w:val="0"/>
                <w:szCs w:val="21"/>
                <w:highlight w:val="none"/>
              </w:rPr>
            </w:pPr>
          </w:p>
          <w:p w14:paraId="1E400073">
            <w:pPr>
              <w:snapToGrid w:val="0"/>
              <w:spacing w:line="400" w:lineRule="exact"/>
              <w:jc w:val="center"/>
              <w:rPr>
                <w:rFonts w:ascii="宋体" w:hAnsi="宋体"/>
                <w:color w:val="auto"/>
                <w:kern w:val="0"/>
                <w:szCs w:val="21"/>
                <w:highlight w:val="none"/>
              </w:rPr>
            </w:pPr>
          </w:p>
          <w:p w14:paraId="70AE81B9">
            <w:pPr>
              <w:snapToGrid w:val="0"/>
              <w:spacing w:line="400" w:lineRule="exact"/>
              <w:jc w:val="center"/>
              <w:rPr>
                <w:rFonts w:ascii="宋体" w:hAnsi="宋体"/>
                <w:color w:val="auto"/>
                <w:kern w:val="0"/>
                <w:szCs w:val="21"/>
                <w:highlight w:val="none"/>
              </w:rPr>
            </w:pPr>
          </w:p>
          <w:p w14:paraId="7E3EF033">
            <w:pPr>
              <w:snapToGrid w:val="0"/>
              <w:spacing w:line="400" w:lineRule="exact"/>
              <w:jc w:val="center"/>
              <w:rPr>
                <w:rFonts w:ascii="宋体" w:hAnsi="宋体"/>
                <w:color w:val="auto"/>
                <w:kern w:val="0"/>
                <w:szCs w:val="21"/>
                <w:highlight w:val="none"/>
              </w:rPr>
            </w:pPr>
          </w:p>
          <w:p w14:paraId="21B58E85">
            <w:pPr>
              <w:snapToGrid w:val="0"/>
              <w:spacing w:line="400" w:lineRule="exact"/>
              <w:jc w:val="center"/>
              <w:rPr>
                <w:rFonts w:ascii="宋体" w:hAnsi="宋体"/>
                <w:color w:val="auto"/>
                <w:kern w:val="0"/>
                <w:szCs w:val="21"/>
                <w:highlight w:val="none"/>
              </w:rPr>
            </w:pPr>
          </w:p>
          <w:p w14:paraId="26B01198">
            <w:pPr>
              <w:snapToGrid w:val="0"/>
              <w:spacing w:line="400" w:lineRule="exact"/>
              <w:jc w:val="center"/>
              <w:rPr>
                <w:rFonts w:ascii="宋体" w:hAnsi="宋体"/>
                <w:color w:val="auto"/>
                <w:kern w:val="0"/>
                <w:szCs w:val="21"/>
                <w:highlight w:val="none"/>
              </w:rPr>
            </w:pPr>
          </w:p>
          <w:p w14:paraId="60409484">
            <w:pPr>
              <w:snapToGrid w:val="0"/>
              <w:spacing w:line="400" w:lineRule="exact"/>
              <w:jc w:val="center"/>
              <w:rPr>
                <w:rFonts w:ascii="宋体" w:hAnsi="宋体"/>
                <w:color w:val="auto"/>
                <w:kern w:val="0"/>
                <w:szCs w:val="21"/>
                <w:highlight w:val="none"/>
              </w:rPr>
            </w:pPr>
          </w:p>
          <w:p w14:paraId="3DA03CB6">
            <w:pPr>
              <w:snapToGrid w:val="0"/>
              <w:spacing w:line="400" w:lineRule="exact"/>
              <w:jc w:val="center"/>
              <w:rPr>
                <w:rFonts w:ascii="宋体" w:hAnsi="宋体"/>
                <w:color w:val="auto"/>
                <w:kern w:val="0"/>
                <w:szCs w:val="21"/>
                <w:highlight w:val="none"/>
              </w:rPr>
            </w:pPr>
          </w:p>
          <w:p w14:paraId="3B1E2A35">
            <w:pPr>
              <w:snapToGrid w:val="0"/>
              <w:spacing w:line="400" w:lineRule="exact"/>
              <w:jc w:val="center"/>
              <w:rPr>
                <w:rFonts w:ascii="宋体" w:hAnsi="宋体"/>
                <w:color w:val="auto"/>
                <w:kern w:val="0"/>
                <w:szCs w:val="21"/>
                <w:highlight w:val="none"/>
              </w:rPr>
            </w:pPr>
          </w:p>
          <w:p w14:paraId="452EDD16">
            <w:pPr>
              <w:snapToGrid w:val="0"/>
              <w:spacing w:line="400" w:lineRule="exact"/>
              <w:jc w:val="center"/>
              <w:rPr>
                <w:rFonts w:ascii="宋体" w:hAnsi="宋体"/>
                <w:color w:val="auto"/>
                <w:kern w:val="0"/>
                <w:szCs w:val="21"/>
                <w:highlight w:val="none"/>
              </w:rPr>
            </w:pPr>
          </w:p>
          <w:p w14:paraId="72DAB71C">
            <w:pPr>
              <w:snapToGrid w:val="0"/>
              <w:spacing w:line="400" w:lineRule="exact"/>
              <w:jc w:val="center"/>
              <w:rPr>
                <w:rFonts w:ascii="宋体" w:hAnsi="宋体"/>
                <w:color w:val="auto"/>
                <w:kern w:val="0"/>
                <w:szCs w:val="21"/>
                <w:highlight w:val="none"/>
              </w:rPr>
            </w:pPr>
          </w:p>
          <w:p w14:paraId="56069AB6">
            <w:pPr>
              <w:snapToGrid w:val="0"/>
              <w:spacing w:line="400" w:lineRule="exact"/>
              <w:jc w:val="center"/>
              <w:rPr>
                <w:rFonts w:ascii="宋体" w:hAnsi="宋体"/>
                <w:color w:val="auto"/>
                <w:kern w:val="0"/>
                <w:szCs w:val="21"/>
                <w:highlight w:val="none"/>
              </w:rPr>
            </w:pPr>
          </w:p>
          <w:p w14:paraId="6E4833F7">
            <w:pPr>
              <w:snapToGrid w:val="0"/>
              <w:spacing w:line="400" w:lineRule="exact"/>
              <w:jc w:val="center"/>
              <w:rPr>
                <w:rFonts w:ascii="宋体" w:hAnsi="宋体"/>
                <w:color w:val="auto"/>
                <w:kern w:val="0"/>
                <w:szCs w:val="21"/>
                <w:highlight w:val="none"/>
              </w:rPr>
            </w:pPr>
          </w:p>
          <w:p w14:paraId="72287230">
            <w:pPr>
              <w:snapToGrid w:val="0"/>
              <w:spacing w:line="400" w:lineRule="exact"/>
              <w:jc w:val="center"/>
              <w:rPr>
                <w:rFonts w:ascii="宋体" w:hAnsi="宋体"/>
                <w:color w:val="auto"/>
                <w:kern w:val="0"/>
                <w:szCs w:val="21"/>
                <w:highlight w:val="none"/>
              </w:rPr>
            </w:pPr>
          </w:p>
          <w:p w14:paraId="2A794FB0">
            <w:pPr>
              <w:snapToGrid w:val="0"/>
              <w:spacing w:line="400" w:lineRule="exact"/>
              <w:jc w:val="center"/>
              <w:rPr>
                <w:rFonts w:ascii="宋体" w:hAnsi="宋体"/>
                <w:color w:val="auto"/>
                <w:kern w:val="0"/>
                <w:szCs w:val="21"/>
                <w:highlight w:val="none"/>
              </w:rPr>
            </w:pPr>
          </w:p>
          <w:p w14:paraId="310794C1">
            <w:pPr>
              <w:snapToGrid w:val="0"/>
              <w:spacing w:line="400" w:lineRule="exact"/>
              <w:jc w:val="center"/>
              <w:rPr>
                <w:rFonts w:ascii="宋体" w:hAnsi="宋体"/>
                <w:color w:val="auto"/>
                <w:kern w:val="0"/>
                <w:szCs w:val="21"/>
                <w:highlight w:val="none"/>
              </w:rPr>
            </w:pPr>
          </w:p>
          <w:p w14:paraId="35BAFE54">
            <w:pPr>
              <w:snapToGrid w:val="0"/>
              <w:spacing w:line="400" w:lineRule="exact"/>
              <w:jc w:val="center"/>
              <w:rPr>
                <w:rFonts w:ascii="宋体" w:hAnsi="宋体"/>
                <w:color w:val="auto"/>
                <w:kern w:val="0"/>
                <w:szCs w:val="21"/>
                <w:highlight w:val="none"/>
              </w:rPr>
            </w:pPr>
          </w:p>
          <w:p w14:paraId="4EDD3701">
            <w:pPr>
              <w:snapToGrid w:val="0"/>
              <w:spacing w:line="400" w:lineRule="exact"/>
              <w:jc w:val="center"/>
              <w:rPr>
                <w:rFonts w:ascii="宋体" w:hAnsi="宋体"/>
                <w:color w:val="auto"/>
                <w:kern w:val="0"/>
                <w:szCs w:val="21"/>
                <w:highlight w:val="none"/>
              </w:rPr>
            </w:pPr>
          </w:p>
          <w:p w14:paraId="2ACF1595">
            <w:pPr>
              <w:snapToGrid w:val="0"/>
              <w:spacing w:line="400" w:lineRule="exact"/>
              <w:jc w:val="center"/>
              <w:rPr>
                <w:rFonts w:ascii="宋体" w:hAnsi="宋体"/>
                <w:color w:val="auto"/>
                <w:kern w:val="0"/>
                <w:szCs w:val="21"/>
                <w:highlight w:val="none"/>
              </w:rPr>
            </w:pPr>
          </w:p>
          <w:p w14:paraId="6671BFFF">
            <w:pPr>
              <w:snapToGrid w:val="0"/>
              <w:spacing w:line="400" w:lineRule="exact"/>
              <w:jc w:val="center"/>
              <w:rPr>
                <w:rFonts w:ascii="宋体" w:hAnsi="宋体"/>
                <w:color w:val="auto"/>
                <w:kern w:val="0"/>
                <w:szCs w:val="21"/>
                <w:highlight w:val="none"/>
              </w:rPr>
            </w:pPr>
          </w:p>
          <w:p w14:paraId="015120EF">
            <w:pPr>
              <w:snapToGrid w:val="0"/>
              <w:spacing w:line="400" w:lineRule="exact"/>
              <w:jc w:val="center"/>
              <w:rPr>
                <w:rFonts w:ascii="宋体" w:hAnsi="宋体"/>
                <w:color w:val="auto"/>
                <w:kern w:val="0"/>
                <w:szCs w:val="21"/>
                <w:highlight w:val="none"/>
              </w:rPr>
            </w:pPr>
          </w:p>
          <w:p w14:paraId="4F506764">
            <w:pPr>
              <w:snapToGrid w:val="0"/>
              <w:spacing w:line="400" w:lineRule="exact"/>
              <w:jc w:val="center"/>
              <w:rPr>
                <w:rFonts w:ascii="宋体" w:hAnsi="宋体"/>
                <w:color w:val="auto"/>
                <w:kern w:val="0"/>
                <w:szCs w:val="21"/>
                <w:highlight w:val="none"/>
              </w:rPr>
            </w:pPr>
          </w:p>
          <w:p w14:paraId="3117F9C5">
            <w:pPr>
              <w:snapToGrid w:val="0"/>
              <w:spacing w:line="400" w:lineRule="exact"/>
              <w:jc w:val="center"/>
              <w:rPr>
                <w:rFonts w:ascii="宋体" w:hAnsi="宋体"/>
                <w:color w:val="auto"/>
                <w:kern w:val="0"/>
                <w:szCs w:val="21"/>
                <w:highlight w:val="none"/>
              </w:rPr>
            </w:pPr>
          </w:p>
          <w:p w14:paraId="754738D9">
            <w:pPr>
              <w:snapToGrid w:val="0"/>
              <w:spacing w:line="400" w:lineRule="exact"/>
              <w:jc w:val="center"/>
              <w:rPr>
                <w:rFonts w:ascii="宋体" w:hAnsi="宋体"/>
                <w:color w:val="auto"/>
                <w:kern w:val="0"/>
                <w:szCs w:val="21"/>
                <w:highlight w:val="none"/>
              </w:rPr>
            </w:pPr>
          </w:p>
          <w:p w14:paraId="489AD616">
            <w:pPr>
              <w:snapToGrid w:val="0"/>
              <w:spacing w:line="400" w:lineRule="exact"/>
              <w:jc w:val="center"/>
              <w:rPr>
                <w:rFonts w:ascii="宋体" w:hAnsi="宋体"/>
                <w:color w:val="auto"/>
                <w:kern w:val="0"/>
                <w:szCs w:val="21"/>
                <w:highlight w:val="none"/>
              </w:rPr>
            </w:pPr>
          </w:p>
          <w:p w14:paraId="43142143">
            <w:pPr>
              <w:snapToGrid w:val="0"/>
              <w:spacing w:line="400" w:lineRule="exact"/>
              <w:jc w:val="center"/>
              <w:rPr>
                <w:rFonts w:hint="eastAsia" w:ascii="宋体" w:hAnsi="宋体"/>
                <w:color w:val="auto"/>
                <w:kern w:val="0"/>
                <w:szCs w:val="21"/>
                <w:highlight w:val="none"/>
              </w:rPr>
            </w:pPr>
          </w:p>
          <w:p w14:paraId="1AFE8F3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188E138F">
            <w:pPr>
              <w:snapToGrid w:val="0"/>
              <w:spacing w:line="400" w:lineRule="exact"/>
              <w:jc w:val="center"/>
              <w:rPr>
                <w:rFonts w:ascii="宋体" w:hAnsi="宋体"/>
                <w:color w:val="auto"/>
                <w:kern w:val="0"/>
                <w:szCs w:val="21"/>
                <w:highlight w:val="none"/>
              </w:rPr>
            </w:pPr>
          </w:p>
          <w:p w14:paraId="107C9D6A">
            <w:pPr>
              <w:snapToGrid w:val="0"/>
              <w:spacing w:line="400" w:lineRule="exact"/>
              <w:jc w:val="center"/>
              <w:rPr>
                <w:rFonts w:ascii="宋体" w:hAnsi="宋体"/>
                <w:color w:val="auto"/>
                <w:kern w:val="0"/>
                <w:szCs w:val="21"/>
                <w:highlight w:val="none"/>
              </w:rPr>
            </w:pPr>
          </w:p>
          <w:p w14:paraId="5CFEAF27">
            <w:pPr>
              <w:snapToGrid w:val="0"/>
              <w:spacing w:line="400" w:lineRule="exact"/>
              <w:jc w:val="center"/>
              <w:rPr>
                <w:rFonts w:ascii="宋体" w:hAnsi="宋体"/>
                <w:color w:val="auto"/>
                <w:kern w:val="0"/>
                <w:szCs w:val="21"/>
                <w:highlight w:val="none"/>
              </w:rPr>
            </w:pPr>
          </w:p>
          <w:p w14:paraId="7A2F5B32">
            <w:pPr>
              <w:snapToGrid w:val="0"/>
              <w:spacing w:line="400" w:lineRule="exact"/>
              <w:jc w:val="center"/>
              <w:rPr>
                <w:rFonts w:ascii="宋体" w:hAnsi="宋体"/>
                <w:color w:val="auto"/>
                <w:kern w:val="0"/>
                <w:szCs w:val="21"/>
                <w:highlight w:val="none"/>
              </w:rPr>
            </w:pPr>
          </w:p>
          <w:p w14:paraId="623E1E14">
            <w:pPr>
              <w:snapToGrid w:val="0"/>
              <w:spacing w:line="400" w:lineRule="exact"/>
              <w:jc w:val="center"/>
              <w:rPr>
                <w:rFonts w:ascii="宋体" w:hAnsi="宋体"/>
                <w:color w:val="auto"/>
                <w:kern w:val="0"/>
                <w:szCs w:val="21"/>
                <w:highlight w:val="none"/>
              </w:rPr>
            </w:pPr>
          </w:p>
          <w:p w14:paraId="52C0EE85">
            <w:pPr>
              <w:snapToGrid w:val="0"/>
              <w:spacing w:line="400" w:lineRule="exact"/>
              <w:jc w:val="center"/>
              <w:rPr>
                <w:rFonts w:ascii="宋体" w:hAnsi="宋体"/>
                <w:color w:val="auto"/>
                <w:kern w:val="0"/>
                <w:szCs w:val="21"/>
                <w:highlight w:val="none"/>
              </w:rPr>
            </w:pPr>
          </w:p>
          <w:p w14:paraId="2EA7BCE3">
            <w:pPr>
              <w:snapToGrid w:val="0"/>
              <w:spacing w:line="400" w:lineRule="exact"/>
              <w:jc w:val="center"/>
              <w:rPr>
                <w:rFonts w:ascii="宋体" w:hAnsi="宋体"/>
                <w:color w:val="auto"/>
                <w:kern w:val="0"/>
                <w:szCs w:val="21"/>
                <w:highlight w:val="none"/>
              </w:rPr>
            </w:pPr>
          </w:p>
          <w:p w14:paraId="4A2490E4">
            <w:pPr>
              <w:snapToGrid w:val="0"/>
              <w:spacing w:line="400" w:lineRule="exact"/>
              <w:jc w:val="center"/>
              <w:rPr>
                <w:rFonts w:ascii="宋体" w:hAnsi="宋体"/>
                <w:color w:val="auto"/>
                <w:kern w:val="0"/>
                <w:szCs w:val="21"/>
                <w:highlight w:val="none"/>
              </w:rPr>
            </w:pPr>
          </w:p>
          <w:p w14:paraId="6A8EA305">
            <w:pPr>
              <w:snapToGrid w:val="0"/>
              <w:spacing w:line="400" w:lineRule="exact"/>
              <w:jc w:val="center"/>
              <w:rPr>
                <w:rFonts w:ascii="宋体" w:hAnsi="宋体"/>
                <w:color w:val="auto"/>
                <w:kern w:val="0"/>
                <w:szCs w:val="21"/>
                <w:highlight w:val="none"/>
              </w:rPr>
            </w:pPr>
          </w:p>
          <w:p w14:paraId="65F8DD5F">
            <w:pPr>
              <w:snapToGrid w:val="0"/>
              <w:spacing w:line="400" w:lineRule="exact"/>
              <w:jc w:val="center"/>
              <w:rPr>
                <w:rFonts w:ascii="宋体" w:hAnsi="宋体"/>
                <w:color w:val="auto"/>
                <w:kern w:val="0"/>
                <w:szCs w:val="21"/>
                <w:highlight w:val="none"/>
              </w:rPr>
            </w:pPr>
          </w:p>
          <w:p w14:paraId="5E0E5962">
            <w:pPr>
              <w:snapToGrid w:val="0"/>
              <w:spacing w:line="400" w:lineRule="exact"/>
              <w:jc w:val="center"/>
              <w:rPr>
                <w:rFonts w:ascii="宋体" w:hAnsi="宋体"/>
                <w:color w:val="auto"/>
                <w:kern w:val="0"/>
                <w:szCs w:val="21"/>
                <w:highlight w:val="none"/>
              </w:rPr>
            </w:pPr>
          </w:p>
          <w:p w14:paraId="5489E361">
            <w:pPr>
              <w:snapToGrid w:val="0"/>
              <w:spacing w:line="400" w:lineRule="exact"/>
              <w:jc w:val="center"/>
              <w:rPr>
                <w:rFonts w:ascii="宋体" w:hAnsi="宋体"/>
                <w:color w:val="auto"/>
                <w:kern w:val="0"/>
                <w:szCs w:val="21"/>
                <w:highlight w:val="none"/>
              </w:rPr>
            </w:pPr>
          </w:p>
          <w:p w14:paraId="12646FAE">
            <w:pPr>
              <w:snapToGrid w:val="0"/>
              <w:spacing w:line="400" w:lineRule="exact"/>
              <w:jc w:val="center"/>
              <w:rPr>
                <w:rFonts w:ascii="宋体" w:hAnsi="宋体"/>
                <w:color w:val="auto"/>
                <w:kern w:val="0"/>
                <w:szCs w:val="21"/>
                <w:highlight w:val="none"/>
              </w:rPr>
            </w:pPr>
          </w:p>
          <w:p w14:paraId="48AC9732">
            <w:pPr>
              <w:snapToGrid w:val="0"/>
              <w:spacing w:line="400" w:lineRule="exact"/>
              <w:jc w:val="center"/>
              <w:rPr>
                <w:rFonts w:ascii="宋体" w:hAnsi="宋体"/>
                <w:color w:val="auto"/>
                <w:kern w:val="0"/>
                <w:szCs w:val="21"/>
                <w:highlight w:val="none"/>
              </w:rPr>
            </w:pPr>
          </w:p>
          <w:p w14:paraId="6F2C3C10">
            <w:pPr>
              <w:snapToGrid w:val="0"/>
              <w:spacing w:line="400" w:lineRule="exact"/>
              <w:jc w:val="center"/>
              <w:rPr>
                <w:rFonts w:ascii="宋体" w:hAnsi="宋体"/>
                <w:color w:val="auto"/>
                <w:kern w:val="0"/>
                <w:szCs w:val="21"/>
                <w:highlight w:val="none"/>
              </w:rPr>
            </w:pPr>
          </w:p>
          <w:p w14:paraId="31E445F8">
            <w:pPr>
              <w:snapToGrid w:val="0"/>
              <w:spacing w:line="400" w:lineRule="exact"/>
              <w:jc w:val="center"/>
              <w:rPr>
                <w:rFonts w:ascii="宋体" w:hAnsi="宋体"/>
                <w:color w:val="auto"/>
                <w:kern w:val="0"/>
                <w:szCs w:val="21"/>
                <w:highlight w:val="none"/>
              </w:rPr>
            </w:pPr>
          </w:p>
          <w:p w14:paraId="43EC8CCB">
            <w:pPr>
              <w:snapToGrid w:val="0"/>
              <w:spacing w:line="400" w:lineRule="exact"/>
              <w:jc w:val="center"/>
              <w:rPr>
                <w:rFonts w:ascii="宋体" w:hAnsi="宋体"/>
                <w:color w:val="auto"/>
                <w:kern w:val="0"/>
                <w:szCs w:val="21"/>
                <w:highlight w:val="none"/>
              </w:rPr>
            </w:pPr>
          </w:p>
          <w:p w14:paraId="60F423F9">
            <w:pPr>
              <w:snapToGrid w:val="0"/>
              <w:spacing w:line="400" w:lineRule="exact"/>
              <w:jc w:val="center"/>
              <w:rPr>
                <w:rFonts w:ascii="宋体" w:hAnsi="宋体"/>
                <w:color w:val="auto"/>
                <w:kern w:val="0"/>
                <w:szCs w:val="21"/>
                <w:highlight w:val="none"/>
              </w:rPr>
            </w:pPr>
          </w:p>
          <w:p w14:paraId="302EA8D1">
            <w:pPr>
              <w:snapToGrid w:val="0"/>
              <w:spacing w:line="400" w:lineRule="exact"/>
              <w:jc w:val="center"/>
              <w:rPr>
                <w:rFonts w:ascii="宋体" w:hAnsi="宋体"/>
                <w:color w:val="auto"/>
                <w:kern w:val="0"/>
                <w:szCs w:val="21"/>
                <w:highlight w:val="none"/>
              </w:rPr>
            </w:pPr>
          </w:p>
          <w:p w14:paraId="614847BF">
            <w:pPr>
              <w:snapToGrid w:val="0"/>
              <w:spacing w:line="400" w:lineRule="exact"/>
              <w:jc w:val="center"/>
              <w:rPr>
                <w:rFonts w:ascii="宋体" w:hAnsi="宋体"/>
                <w:color w:val="auto"/>
                <w:kern w:val="0"/>
                <w:szCs w:val="21"/>
                <w:highlight w:val="none"/>
              </w:rPr>
            </w:pPr>
          </w:p>
          <w:p w14:paraId="488035AA">
            <w:pPr>
              <w:snapToGrid w:val="0"/>
              <w:spacing w:line="400" w:lineRule="exact"/>
              <w:jc w:val="center"/>
              <w:rPr>
                <w:rFonts w:ascii="宋体" w:hAnsi="宋体"/>
                <w:color w:val="auto"/>
                <w:kern w:val="0"/>
                <w:szCs w:val="21"/>
                <w:highlight w:val="none"/>
              </w:rPr>
            </w:pPr>
          </w:p>
          <w:p w14:paraId="65BF4E40">
            <w:pPr>
              <w:snapToGrid w:val="0"/>
              <w:spacing w:line="400" w:lineRule="exact"/>
              <w:jc w:val="center"/>
              <w:rPr>
                <w:rFonts w:ascii="宋体" w:hAnsi="宋体"/>
                <w:color w:val="auto"/>
                <w:kern w:val="0"/>
                <w:szCs w:val="21"/>
                <w:highlight w:val="none"/>
              </w:rPr>
            </w:pPr>
          </w:p>
          <w:p w14:paraId="45683CE8">
            <w:pPr>
              <w:snapToGrid w:val="0"/>
              <w:spacing w:line="400" w:lineRule="exact"/>
              <w:jc w:val="center"/>
              <w:rPr>
                <w:rFonts w:ascii="宋体" w:hAnsi="宋体"/>
                <w:color w:val="auto"/>
                <w:kern w:val="0"/>
                <w:szCs w:val="21"/>
                <w:highlight w:val="none"/>
              </w:rPr>
            </w:pPr>
          </w:p>
          <w:p w14:paraId="4FF3AC83">
            <w:pPr>
              <w:snapToGrid w:val="0"/>
              <w:spacing w:line="400" w:lineRule="exact"/>
              <w:jc w:val="both"/>
              <w:rPr>
                <w:rFonts w:ascii="宋体" w:hAnsi="宋体"/>
                <w:color w:val="auto"/>
                <w:kern w:val="0"/>
                <w:szCs w:val="21"/>
                <w:highlight w:val="none"/>
              </w:rPr>
            </w:pPr>
          </w:p>
          <w:p w14:paraId="011E1FAD">
            <w:pPr>
              <w:snapToGrid w:val="0"/>
              <w:spacing w:line="400" w:lineRule="exact"/>
              <w:jc w:val="both"/>
              <w:rPr>
                <w:rFonts w:ascii="宋体" w:hAnsi="宋体"/>
                <w:color w:val="auto"/>
                <w:kern w:val="0"/>
                <w:szCs w:val="21"/>
                <w:highlight w:val="none"/>
              </w:rPr>
            </w:pPr>
          </w:p>
          <w:p w14:paraId="31E15E5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7F7CFCD1">
            <w:pPr>
              <w:snapToGrid w:val="0"/>
              <w:spacing w:line="400" w:lineRule="exact"/>
              <w:jc w:val="both"/>
              <w:rPr>
                <w:rFonts w:ascii="宋体" w:hAnsi="宋体"/>
                <w:color w:val="auto"/>
                <w:kern w:val="0"/>
                <w:szCs w:val="21"/>
                <w:highlight w:val="none"/>
              </w:rPr>
            </w:pPr>
          </w:p>
          <w:p w14:paraId="6EF7BD6B">
            <w:pPr>
              <w:snapToGrid w:val="0"/>
              <w:spacing w:line="400" w:lineRule="exact"/>
              <w:jc w:val="center"/>
              <w:rPr>
                <w:rFonts w:ascii="宋体" w:hAnsi="宋体"/>
                <w:color w:val="auto"/>
                <w:kern w:val="0"/>
                <w:szCs w:val="21"/>
                <w:highlight w:val="none"/>
              </w:rPr>
            </w:pPr>
          </w:p>
          <w:p w14:paraId="0A3A12F8">
            <w:pPr>
              <w:snapToGrid w:val="0"/>
              <w:spacing w:line="400" w:lineRule="exact"/>
              <w:jc w:val="both"/>
              <w:rPr>
                <w:rFonts w:ascii="宋体" w:hAnsi="宋体"/>
                <w:color w:val="auto"/>
                <w:kern w:val="0"/>
                <w:szCs w:val="21"/>
                <w:highlight w:val="none"/>
              </w:rPr>
            </w:pPr>
          </w:p>
        </w:tc>
        <w:tc>
          <w:tcPr>
            <w:tcW w:w="6490" w:type="dxa"/>
            <w:noWrap w:val="0"/>
            <w:vAlign w:val="center"/>
          </w:tcPr>
          <w:p w14:paraId="72F62F1C">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bookmarkStart w:id="108" w:name="OLE_LINK1"/>
            <w:r>
              <w:rPr>
                <w:rFonts w:ascii="宋体" w:hAnsi="宋体"/>
                <w:color w:val="000000" w:themeColor="text1"/>
                <w:szCs w:val="21"/>
                <w14:textFill>
                  <w14:solidFill>
                    <w14:schemeClr w14:val="tx1"/>
                  </w14:solidFill>
                </w14:textFill>
              </w:rPr>
              <w:t>本工程施工</w:t>
            </w:r>
            <w:r>
              <w:rPr>
                <w:rFonts w:hint="eastAsia" w:ascii="宋体" w:hAnsi="宋体"/>
                <w:color w:val="000000" w:themeColor="text1"/>
                <w:szCs w:val="21"/>
                <w14:textFill>
                  <w14:solidFill>
                    <w14:schemeClr w14:val="tx1"/>
                  </w14:solidFill>
                </w14:textFill>
              </w:rPr>
              <w:t>比选</w:t>
            </w:r>
            <w:r>
              <w:rPr>
                <w:rFonts w:ascii="宋体" w:hAnsi="宋体"/>
                <w:color w:val="000000" w:themeColor="text1"/>
                <w:szCs w:val="21"/>
                <w14:textFill>
                  <w14:solidFill>
                    <w14:schemeClr w14:val="tx1"/>
                  </w14:solidFill>
                </w14:textFill>
              </w:rPr>
              <w:t>实行资格后审，投标人应</w:t>
            </w:r>
            <w:bookmarkStart w:id="109" w:name="一是"/>
            <w:bookmarkEnd w:id="109"/>
            <w:r>
              <w:rPr>
                <w:rFonts w:ascii="宋体" w:hAnsi="宋体"/>
                <w:color w:val="000000" w:themeColor="text1"/>
                <w:szCs w:val="21"/>
                <w14:textFill>
                  <w14:solidFill>
                    <w14:schemeClr w14:val="tx1"/>
                  </w14:solidFill>
                </w14:textFill>
              </w:rPr>
              <w:t>具备以下资格条件：</w:t>
            </w:r>
          </w:p>
          <w:bookmarkEnd w:id="108"/>
          <w:p w14:paraId="36732E00">
            <w:pPr>
              <w:autoSpaceDE w:val="0"/>
              <w:autoSpaceDN w:val="0"/>
              <w:adjustRightInd w:val="0"/>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1.资质条件、营业执照及安全生产条件</w:t>
            </w:r>
          </w:p>
          <w:p w14:paraId="59E4F6BA">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（1）具备建设行政主管部门颁发的有效的</w:t>
            </w:r>
            <w:r>
              <w:rPr>
                <w:rFonts w:hint="eastAsia" w:ascii="宋体" w:hAnsi="宋体"/>
                <w:color w:val="000000" w:themeColor="text1"/>
                <w:szCs w:val="21"/>
                <w:u w:val="single"/>
                <w:lang w:eastAsia="zh-CN"/>
                <w14:textFill>
                  <w14:solidFill>
                    <w14:schemeClr w14:val="tx1"/>
                  </w14:solidFill>
                </w14:textFill>
              </w:rPr>
              <w:t>建筑工程施工承包三级及以上资质</w:t>
            </w:r>
            <w:r>
              <w:rPr>
                <w:rFonts w:ascii="宋体" w:hAnsi="宋体"/>
                <w:color w:val="000000" w:themeColor="text1"/>
                <w:szCs w:val="21"/>
                <w14:textFill>
                  <w14:solidFill>
                    <w14:schemeClr w14:val="tx1"/>
                  </w14:solidFill>
                </w14:textFill>
              </w:rPr>
              <w:t>。</w:t>
            </w:r>
          </w:p>
          <w:p w14:paraId="185E986A">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w:t>
            </w:r>
            <w:r>
              <w:rPr>
                <w:rFonts w:ascii="宋体" w:hAnsi="宋体"/>
                <w:color w:val="000000" w:themeColor="text1"/>
                <w:szCs w:val="21"/>
                <w14:textFill>
                  <w14:solidFill>
                    <w14:schemeClr w14:val="tx1"/>
                  </w14:solidFill>
                </w14:textFill>
              </w:rPr>
              <w:t>须</w:t>
            </w:r>
            <w:r>
              <w:rPr>
                <w:rFonts w:hint="eastAsia" w:ascii="宋体" w:hAnsi="宋体"/>
                <w:color w:val="000000" w:themeColor="text1"/>
                <w:szCs w:val="21"/>
                <w14:textFill>
                  <w14:solidFill>
                    <w14:schemeClr w14:val="tx1"/>
                  </w14:solidFill>
                </w14:textFill>
              </w:rPr>
              <w:t>在投标文件资格审查部分</w:t>
            </w:r>
            <w:r>
              <w:rPr>
                <w:rFonts w:ascii="宋体" w:hAnsi="宋体"/>
                <w:color w:val="000000" w:themeColor="text1"/>
                <w:szCs w:val="21"/>
                <w14:textFill>
                  <w14:solidFill>
                    <w14:schemeClr w14:val="tx1"/>
                  </w14:solidFill>
                </w14:textFill>
              </w:rPr>
              <w:t>提供</w:t>
            </w:r>
            <w:r>
              <w:rPr>
                <w:rFonts w:hint="eastAsia" w:ascii="宋体" w:hAnsi="宋体"/>
                <w:color w:val="000000" w:themeColor="text1"/>
                <w:szCs w:val="21"/>
                <w14:textFill>
                  <w14:solidFill>
                    <w14:schemeClr w14:val="tx1"/>
                  </w14:solidFill>
                </w14:textFill>
              </w:rPr>
              <w:t>有效的带二维码标识的资质证书</w:t>
            </w:r>
            <w:r>
              <w:rPr>
                <w:rFonts w:ascii="宋体" w:hAnsi="宋体"/>
                <w:color w:val="000000" w:themeColor="text1"/>
                <w:szCs w:val="21"/>
                <w14:textFill>
                  <w14:solidFill>
                    <w14:schemeClr w14:val="tx1"/>
                  </w14:solidFill>
                </w14:textFill>
              </w:rPr>
              <w:t>复印件。</w:t>
            </w:r>
          </w:p>
          <w:p w14:paraId="6E516FE8">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（2）具备有效的营业执照。</w:t>
            </w:r>
          </w:p>
          <w:p w14:paraId="1C3AFFCF">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w:t>
            </w:r>
            <w:r>
              <w:rPr>
                <w:rFonts w:ascii="宋体" w:hAnsi="宋体"/>
                <w:color w:val="000000" w:themeColor="text1"/>
                <w:szCs w:val="21"/>
                <w14:textFill>
                  <w14:solidFill>
                    <w14:schemeClr w14:val="tx1"/>
                  </w14:solidFill>
                </w14:textFill>
              </w:rPr>
              <w:t>须</w:t>
            </w:r>
            <w:r>
              <w:rPr>
                <w:rFonts w:hint="eastAsia" w:ascii="宋体" w:hAnsi="宋体"/>
                <w:color w:val="000000" w:themeColor="text1"/>
                <w:szCs w:val="21"/>
                <w14:textFill>
                  <w14:solidFill>
                    <w14:schemeClr w14:val="tx1"/>
                  </w14:solidFill>
                </w14:textFill>
              </w:rPr>
              <w:t>在投标文件资格审查部分</w:t>
            </w:r>
            <w:r>
              <w:rPr>
                <w:rFonts w:ascii="宋体" w:hAnsi="宋体"/>
                <w:color w:val="000000" w:themeColor="text1"/>
                <w:szCs w:val="21"/>
                <w14:textFill>
                  <w14:solidFill>
                    <w14:schemeClr w14:val="tx1"/>
                  </w14:solidFill>
                </w14:textFill>
              </w:rPr>
              <w:t>提供有效的带二维码</w:t>
            </w:r>
            <w:r>
              <w:rPr>
                <w:rFonts w:hint="eastAsia" w:ascii="宋体" w:hAnsi="宋体"/>
                <w:color w:val="000000" w:themeColor="text1"/>
                <w:szCs w:val="21"/>
                <w14:textFill>
                  <w14:solidFill>
                    <w14:schemeClr w14:val="tx1"/>
                  </w14:solidFill>
                </w14:textFill>
              </w:rPr>
              <w:t>标识</w:t>
            </w:r>
            <w:r>
              <w:rPr>
                <w:rFonts w:ascii="宋体" w:hAnsi="宋体"/>
                <w:color w:val="000000" w:themeColor="text1"/>
                <w:szCs w:val="21"/>
                <w14:textFill>
                  <w14:solidFill>
                    <w14:schemeClr w14:val="tx1"/>
                  </w14:solidFill>
                </w14:textFill>
              </w:rPr>
              <w:t>的营业执照复印件。</w:t>
            </w:r>
          </w:p>
          <w:p w14:paraId="5FD9C426">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（3）具备建设行政主管部门颁发的有效的安全生产许可证，企业</w:t>
            </w:r>
            <w:r>
              <w:rPr>
                <w:rFonts w:hint="eastAsia" w:ascii="宋体" w:hAnsi="宋体"/>
                <w:color w:val="000000" w:themeColor="text1"/>
                <w:szCs w:val="21"/>
                <w14:textFill>
                  <w14:solidFill>
                    <w14:schemeClr w14:val="tx1"/>
                  </w14:solidFill>
                </w14:textFill>
              </w:rPr>
              <w:t>主要</w:t>
            </w:r>
            <w:r>
              <w:rPr>
                <w:rFonts w:ascii="宋体" w:hAnsi="宋体"/>
                <w:color w:val="000000" w:themeColor="text1"/>
                <w:szCs w:val="21"/>
                <w14:textFill>
                  <w14:solidFill>
                    <w14:schemeClr w14:val="tx1"/>
                  </w14:solidFill>
                </w14:textFill>
              </w:rPr>
              <w:t>负责人、拟担任该项目项目经理具备相应的由建设行政主管部门颁发的有效的安全生产考核合格证书</w:t>
            </w:r>
            <w:r>
              <w:rPr>
                <w:rFonts w:hint="eastAsia" w:ascii="宋体" w:hAnsi="宋体"/>
                <w:color w:val="000000" w:themeColor="text1"/>
                <w:szCs w:val="21"/>
                <w14:textFill>
                  <w14:solidFill>
                    <w14:schemeClr w14:val="tx1"/>
                  </w14:solidFill>
                </w14:textFill>
              </w:rPr>
              <w:t>。</w:t>
            </w:r>
          </w:p>
          <w:p w14:paraId="4BA2EFC7">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投标人须在投标文件资格审查部分提供有效的安全生产许可证</w:t>
            </w:r>
            <w:r>
              <w:rPr>
                <w:rFonts w:ascii="宋体" w:hAnsi="宋体"/>
                <w:color w:val="000000" w:themeColor="text1"/>
                <w:szCs w:val="21"/>
                <w14:textFill>
                  <w14:solidFill>
                    <w14:schemeClr w14:val="tx1"/>
                  </w14:solidFill>
                </w14:textFill>
              </w:rPr>
              <w:t>及安全生产考核合格证书复印件。</w:t>
            </w:r>
          </w:p>
          <w:p w14:paraId="5871E21A">
            <w:pPr>
              <w:autoSpaceDE w:val="0"/>
              <w:autoSpaceDN w:val="0"/>
              <w:adjustRightInd w:val="0"/>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2.财务要求</w:t>
            </w:r>
          </w:p>
          <w:p w14:paraId="50642215">
            <w:pPr>
              <w:adjustRightInd w:val="0"/>
              <w:snapToGrid w:val="0"/>
              <w:spacing w:line="400" w:lineRule="exact"/>
              <w:ind w:firstLine="420" w:firstLineChars="200"/>
              <w:rPr>
                <w:rFonts w:hint="eastAsia" w:ascii="宋体" w:hAnsi="宋体"/>
                <w:color w:val="000000" w:themeColor="text1"/>
                <w:kern w:val="0"/>
                <w:szCs w:val="21"/>
                <w:u w:val="single"/>
                <w:lang w:eastAsia="zh-CN"/>
                <w14:textFill>
                  <w14:solidFill>
                    <w14:schemeClr w14:val="tx1"/>
                  </w14:solidFill>
                </w14:textFill>
              </w:rPr>
            </w:pPr>
            <w:r>
              <w:rPr>
                <w:rFonts w:hint="eastAsia" w:ascii="宋体" w:hAnsi="宋体"/>
                <w:color w:val="000000" w:themeColor="text1"/>
                <w:kern w:val="0"/>
                <w:szCs w:val="21"/>
                <w:u w:val="single"/>
                <w:lang w:eastAsia="zh-CN"/>
                <w14:textFill>
                  <w14:solidFill>
                    <w14:schemeClr w14:val="tx1"/>
                  </w14:solidFill>
                </w14:textFill>
              </w:rPr>
              <w:t>无。</w:t>
            </w:r>
          </w:p>
          <w:p w14:paraId="2A51748A">
            <w:pPr>
              <w:adjustRightInd w:val="0"/>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3</w:t>
            </w:r>
            <w:r>
              <w:rPr>
                <w:rFonts w:ascii="宋体" w:hAnsi="宋体"/>
                <w:b/>
                <w:color w:val="000000" w:themeColor="text1"/>
                <w:szCs w:val="21"/>
                <w14:textFill>
                  <w14:solidFill>
                    <w14:schemeClr w14:val="tx1"/>
                  </w14:solidFill>
                </w14:textFill>
              </w:rPr>
              <w:t>.投标截止日投标资格情况</w:t>
            </w:r>
          </w:p>
          <w:p w14:paraId="7106E6B2">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投标人自行承诺（格式见第八章投标文件格式）不得存在下列情形之一：</w:t>
            </w:r>
          </w:p>
          <w:p w14:paraId="08C2710E">
            <w:pPr>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（1）被人民法院在“信用中国”网站（</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"http://www.creditchina.gov.cn" </w:instrText>
            </w:r>
            <w:r>
              <w:rPr>
                <w:color w:val="000000" w:themeColor="text1"/>
                <w14:textFill>
                  <w14:solidFill>
                    <w14:schemeClr w14:val="tx1"/>
                  </w14:solidFill>
                </w14:textFill>
              </w:rPr>
              <w:fldChar w:fldCharType="separate"/>
            </w:r>
            <w:r>
              <w:rPr>
                <w:rStyle w:val="53"/>
                <w:rFonts w:hint="eastAsia" w:ascii="宋体" w:hAnsi="宋体"/>
                <w:color w:val="000000" w:themeColor="text1"/>
                <w:szCs w:val="21"/>
                <w14:textFill>
                  <w14:solidFill>
                    <w14:schemeClr w14:val="tx1"/>
                  </w14:solidFill>
                </w14:textFill>
              </w:rPr>
              <w:t>www.creditchina.gov.cn</w:t>
            </w:r>
            <w:r>
              <w:rPr>
                <w:rStyle w:val="53"/>
                <w:rFonts w:hint="eastAsia" w:ascii="宋体" w:hAnsi="宋体"/>
                <w:color w:val="000000" w:themeColor="text1"/>
                <w:szCs w:val="21"/>
                <w14:textFill>
                  <w14:solidFill>
                    <w14:schemeClr w14:val="tx1"/>
                  </w14:solidFill>
                </w14:textFill>
              </w:rPr>
              <w:fldChar w:fldCharType="end"/>
            </w:r>
            <w:r>
              <w:rPr>
                <w:rFonts w:hint="eastAsia" w:ascii="宋体" w:hAnsi="宋体"/>
                <w:color w:val="000000" w:themeColor="text1"/>
                <w:szCs w:val="21"/>
                <w14:textFill>
                  <w14:solidFill>
                    <w14:schemeClr w14:val="tx1"/>
                  </w14:solidFill>
                </w14:textFill>
              </w:rPr>
              <w:t>）列入失信被执行人名单且在被执行期内；</w:t>
            </w:r>
          </w:p>
          <w:p w14:paraId="330E04BD">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（2）被列入《重庆市工程建设领域比选投标信用管理暂行办法》规定的重点关注名单且记分达到12分且在记分有效期内；</w:t>
            </w:r>
          </w:p>
          <w:p w14:paraId="259DDF78">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（3）被列入《重庆市工程建设领域比选投标信用管理暂行办法》规定的重庆市工程建设领域比选投标失信惩戒对象名单（以下称黑名单）且在记分有效期内；</w:t>
            </w:r>
          </w:p>
          <w:p w14:paraId="57E408E3">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（4）被国家、重庆市（含市或任意区县）有关行政部门处以暂停投标资格行政处罚，且在处罚期限内；</w:t>
            </w:r>
          </w:p>
          <w:p w14:paraId="33875532">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（5）被重庆市住房和城乡建设主管部门暂停在渝承揽新业务且在暂停期内。</w:t>
            </w:r>
          </w:p>
          <w:p w14:paraId="611AA470">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投标人须在投标文件资格审查部分提供承诺。</w:t>
            </w:r>
          </w:p>
          <w:p w14:paraId="419C6181">
            <w:pPr>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4</w:t>
            </w:r>
            <w:r>
              <w:rPr>
                <w:rFonts w:ascii="宋体" w:hAnsi="宋体"/>
                <w:b/>
                <w:color w:val="000000" w:themeColor="text1"/>
                <w:szCs w:val="21"/>
                <w14:textFill>
                  <w14:solidFill>
                    <w14:schemeClr w14:val="tx1"/>
                  </w14:solidFill>
                </w14:textFill>
              </w:rPr>
              <w:t>.项目经理资格要求</w:t>
            </w:r>
          </w:p>
          <w:p w14:paraId="7BBAF419">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hint="eastAsia"/>
                <w:color w:val="000000" w:themeColor="text1"/>
                <w:szCs w:val="21"/>
                <w14:textFill>
                  <w14:solidFill>
                    <w14:schemeClr w14:val="tx1"/>
                  </w14:solidFill>
                </w14:textFill>
              </w:rPr>
              <w:t>投标人拟派的</w:t>
            </w:r>
            <w:r>
              <w:rPr>
                <w:color w:val="000000" w:themeColor="text1"/>
                <w:szCs w:val="21"/>
                <w14:textFill>
                  <w14:solidFill>
                    <w14:schemeClr w14:val="tx1"/>
                  </w14:solidFill>
                </w14:textFill>
              </w:rPr>
              <w:t>项目经理必须已在</w:t>
            </w:r>
            <w:r>
              <w:rPr>
                <w:rFonts w:hint="eastAsia"/>
                <w:color w:val="000000" w:themeColor="text1"/>
                <w:szCs w:val="21"/>
                <w14:textFill>
                  <w14:solidFill>
                    <w14:schemeClr w14:val="tx1"/>
                  </w14:solidFill>
                </w14:textFill>
              </w:rPr>
              <w:t>投标人本</w:t>
            </w:r>
            <w:r>
              <w:rPr>
                <w:color w:val="000000" w:themeColor="text1"/>
                <w:szCs w:val="21"/>
                <w14:textFill>
                  <w14:solidFill>
                    <w14:schemeClr w14:val="tx1"/>
                  </w14:solidFill>
                </w14:textFill>
              </w:rPr>
              <w:t>单位注册并应具有</w:t>
            </w:r>
            <w:r>
              <w:rPr>
                <w:rFonts w:hint="eastAsia"/>
                <w:color w:val="000000" w:themeColor="text1"/>
                <w:szCs w:val="21"/>
                <w14:textFill>
                  <w14:solidFill>
                    <w14:schemeClr w14:val="tx1"/>
                  </w14:solidFill>
                </w14:textFill>
              </w:rPr>
              <w:t xml:space="preserve">    </w:t>
            </w:r>
            <w:r>
              <w:rPr>
                <w:rFonts w:hint="eastAsia"/>
                <w:i/>
                <w:color w:val="000000" w:themeColor="text1"/>
                <w:szCs w:val="21"/>
                <w14:textFill>
                  <w14:solidFill>
                    <w14:schemeClr w14:val="tx1"/>
                  </w14:solidFill>
                </w14:textFill>
              </w:rPr>
              <w:t xml:space="preserve">  </w:t>
            </w:r>
            <w:r>
              <w:rPr>
                <w:rFonts w:hint="eastAsia"/>
                <w:color w:val="000000" w:themeColor="text1"/>
                <w:szCs w:val="21"/>
                <w:u w:val="single"/>
                <w:lang w:val="en-US" w:eastAsia="zh-CN"/>
                <w14:textFill>
                  <w14:solidFill>
                    <w14:schemeClr w14:val="tx1"/>
                  </w14:solidFill>
                </w14:textFill>
              </w:rPr>
              <w:t>建筑</w:t>
            </w:r>
            <w:r>
              <w:rPr>
                <w:rFonts w:hint="eastAsia"/>
                <w:color w:val="000000" w:themeColor="text1"/>
                <w:szCs w:val="21"/>
                <w:u w:val="single"/>
                <w14:textFill>
                  <w14:solidFill>
                    <w14:schemeClr w14:val="tx1"/>
                  </w14:solidFill>
                </w14:textFill>
              </w:rPr>
              <w:t>工</w:t>
            </w:r>
            <w:r>
              <w:rPr>
                <w:rFonts w:hint="eastAsia" w:ascii="宋体"/>
                <w:snapToGrid w:val="0"/>
                <w:color w:val="000000" w:themeColor="text1"/>
                <w:kern w:val="0"/>
                <w:u w:val="single"/>
                <w14:textFill>
                  <w14:solidFill>
                    <w14:schemeClr w14:val="tx1"/>
                  </w14:solidFill>
                </w14:textFill>
              </w:rPr>
              <w:t>程</w:t>
            </w:r>
            <w:r>
              <w:rPr>
                <w:rFonts w:hint="eastAsia"/>
                <w:color w:val="000000" w:themeColor="text1"/>
                <w:szCs w:val="21"/>
                <w14:textFill>
                  <w14:solidFill>
                    <w14:schemeClr w14:val="tx1"/>
                  </w14:solidFill>
                </w14:textFill>
              </w:rPr>
              <w:t>专业</w:t>
            </w:r>
            <w:r>
              <w:rPr>
                <w:rFonts w:hint="eastAsia"/>
                <w:color w:val="000000" w:themeColor="text1"/>
                <w:szCs w:val="21"/>
                <w:u w:val="single"/>
                <w14:textFill>
                  <w14:solidFill>
                    <w14:schemeClr w14:val="tx1"/>
                  </w14:solidFill>
                </w14:textFill>
              </w:rPr>
              <w:t>贰</w:t>
            </w:r>
            <w:r>
              <w:rPr>
                <w:color w:val="000000" w:themeColor="text1"/>
                <w:szCs w:val="21"/>
                <w:u w:val="single"/>
                <w14:textFill>
                  <w14:solidFill>
                    <w14:schemeClr w14:val="tx1"/>
                  </w14:solidFill>
                </w14:textFill>
              </w:rPr>
              <w:t>级及以上</w:t>
            </w:r>
            <w:r>
              <w:rPr>
                <w:color w:val="000000" w:themeColor="text1"/>
                <w:szCs w:val="21"/>
                <w14:textFill>
                  <w14:solidFill>
                    <w14:schemeClr w14:val="tx1"/>
                  </w14:solidFill>
                </w14:textFill>
              </w:rPr>
              <w:t>注册建造师执业</w:t>
            </w:r>
            <w:r>
              <w:rPr>
                <w:rFonts w:ascii="宋体" w:hAnsi="宋体"/>
                <w:color w:val="000000" w:themeColor="text1"/>
                <w:szCs w:val="21"/>
                <w14:textFill>
                  <w14:solidFill>
                    <w14:schemeClr w14:val="tx1"/>
                  </w14:solidFill>
                </w14:textFill>
              </w:rPr>
              <w:t>资格</w:t>
            </w:r>
            <w:r>
              <w:rPr>
                <w:rFonts w:hint="eastAsia" w:ascii="宋体" w:hAnsi="宋体"/>
                <w:color w:val="000000" w:themeColor="text1"/>
                <w:szCs w:val="21"/>
                <w14:textFill>
                  <w14:solidFill>
                    <w14:schemeClr w14:val="tx1"/>
                  </w14:solidFill>
                </w14:textFill>
              </w:rPr>
              <w:t>。</w:t>
            </w:r>
          </w:p>
          <w:p w14:paraId="01DA29BE">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4.2投标人拟派的项目经理须做出到岗履职的承诺（自行承诺拟派项目经理中标后只能在本项目任职，签订合同时拟派的项目经理必须与投标文件中的项目经理一致，并满足办理施工许可手续的相关要求。不能按承诺到岗履约的，按合同相关条款处罚并上报行政主管部门，给比选人造成损失的，投标人依法承担违约赔偿责任）和未被禁止参与投标的承诺（自行承诺拟派项目经理未被重庆市住房和城乡建设主管部门暂停在渝承揽新业务。若被暂停在渝承揽新业务但仍参加投标，将被否决投标；已取得中标候选人资格或中标资格的，比选人有权取消其中标候选人资格或中标资格；给比选人造成损失的，投标人依法承担违约赔偿责任）。未提供上述承诺或承诺内容不符合要求的，由评标委员会作否决投标处理。拟派项目经理中标后不得随意更换。</w:t>
            </w:r>
          </w:p>
          <w:p w14:paraId="3DAC5AF2">
            <w:pPr>
              <w:autoSpaceDE w:val="0"/>
              <w:autoSpaceDN w:val="0"/>
              <w:adjustRightInd w:val="0"/>
              <w:snapToGrid w:val="0"/>
              <w:spacing w:line="400" w:lineRule="exact"/>
              <w:ind w:firstLine="420" w:firstLineChars="200"/>
              <w:rPr>
                <w:rFonts w:ascii="宋体" w:hAnsi="宋体"/>
                <w:color w:val="000000" w:themeColor="text1"/>
                <w:spacing w:val="-24"/>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投标人须在投标文件资格审查部分提供有效的拟派项目经理建造师注册证、身份证、投标人为其缴纳的养老保险证明材料复印件，拟派项目经理到岗履职和未被禁止参与投标的承诺原件（承诺格式见第八章投标文件格式）。</w:t>
            </w:r>
          </w:p>
          <w:p w14:paraId="7BAA03A9">
            <w:pPr>
              <w:autoSpaceDE w:val="0"/>
              <w:autoSpaceDN w:val="0"/>
              <w:adjustRightInd w:val="0"/>
              <w:snapToGrid w:val="0"/>
              <w:spacing w:line="40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5</w:t>
            </w:r>
            <w:r>
              <w:rPr>
                <w:rFonts w:ascii="宋体" w:hAnsi="宋体"/>
                <w:b/>
                <w:color w:val="000000" w:themeColor="text1"/>
                <w:szCs w:val="21"/>
                <w14:textFill>
                  <w14:solidFill>
                    <w14:schemeClr w14:val="tx1"/>
                  </w14:solidFill>
                </w14:textFill>
              </w:rPr>
              <w:t>.其他要求</w:t>
            </w:r>
          </w:p>
          <w:p w14:paraId="2D61E553">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（1）</w:t>
            </w:r>
            <w:r>
              <w:rPr>
                <w:rFonts w:ascii="宋体" w:hAnsi="宋体"/>
                <w:color w:val="000000" w:themeColor="text1"/>
                <w:szCs w:val="21"/>
                <w14:textFill>
                  <w14:solidFill>
                    <w14:schemeClr w14:val="tx1"/>
                  </w14:solidFill>
                </w14:textFill>
              </w:rPr>
              <w:t>项目技术负责人：</w:t>
            </w:r>
          </w:p>
          <w:p w14:paraId="1A7E6812">
            <w:pPr>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应具有</w:t>
            </w:r>
            <w:r>
              <w:rPr>
                <w:rFonts w:hint="eastAsia" w:ascii="宋体" w:hAnsi="宋体"/>
                <w:color w:val="000000" w:themeColor="text1"/>
                <w:szCs w:val="21"/>
                <w:u w:val="single"/>
                <w14:textFill>
                  <w14:solidFill>
                    <w14:schemeClr w14:val="tx1"/>
                  </w14:solidFill>
                </w14:textFill>
              </w:rPr>
              <w:t>工程类中</w:t>
            </w:r>
            <w:r>
              <w:rPr>
                <w:rFonts w:ascii="宋体" w:hAnsi="宋体"/>
                <w:color w:val="000000" w:themeColor="text1"/>
                <w:szCs w:val="21"/>
                <w:u w:val="single"/>
                <w14:textFill>
                  <w14:solidFill>
                    <w14:schemeClr w14:val="tx1"/>
                  </w14:solidFill>
                </w14:textFill>
              </w:rPr>
              <w:t>级及以上</w:t>
            </w:r>
            <w:r>
              <w:rPr>
                <w:rFonts w:ascii="宋体" w:hAnsi="宋体"/>
                <w:color w:val="000000" w:themeColor="text1"/>
                <w:szCs w:val="21"/>
                <w14:textFill>
                  <w14:solidFill>
                    <w14:schemeClr w14:val="tx1"/>
                  </w14:solidFill>
                </w14:textFill>
              </w:rPr>
              <w:t>职称；</w:t>
            </w:r>
          </w:p>
          <w:p w14:paraId="4C0E9250">
            <w:pPr>
              <w:autoSpaceDE w:val="0"/>
              <w:autoSpaceDN w:val="0"/>
              <w:adjustRightInd w:val="0"/>
              <w:snapToGrid w:val="0"/>
              <w:spacing w:line="400" w:lineRule="exact"/>
              <w:ind w:firstLine="420" w:firstLineChars="200"/>
              <w:rPr>
                <w:rFonts w:ascii="宋体" w:hAnsi="宋体"/>
                <w:color w:val="000000" w:themeColor="text1"/>
                <w:spacing w:val="-24"/>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投标人须在投标文件资格审查部分提供拟派技术负责人身份证、职称证及投标人本单位为其缴纳的养老保险证明材料复印件。</w:t>
            </w:r>
          </w:p>
          <w:p w14:paraId="096668B2">
            <w:pPr>
              <w:autoSpaceDE w:val="0"/>
              <w:autoSpaceDN w:val="0"/>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（2）</w:t>
            </w:r>
            <w:r>
              <w:rPr>
                <w:rFonts w:ascii="宋体" w:hAnsi="宋体"/>
                <w:color w:val="000000" w:themeColor="text1"/>
                <w:szCs w:val="21"/>
                <w14:textFill>
                  <w14:solidFill>
                    <w14:schemeClr w14:val="tx1"/>
                  </w14:solidFill>
                </w14:textFill>
              </w:rPr>
              <w:t>主要管理人员：</w:t>
            </w:r>
          </w:p>
          <w:p w14:paraId="5A5C343E">
            <w:pPr>
              <w:autoSpaceDE w:val="0"/>
              <w:autoSpaceDN w:val="0"/>
              <w:adjustRightIn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取消其中标资格，给比选人造成损失的，投标人依法承担违约赔偿责任。</w:t>
            </w:r>
          </w:p>
          <w:p w14:paraId="7E378BF0">
            <w:pPr>
              <w:autoSpaceDE w:val="0"/>
              <w:autoSpaceDN w:val="0"/>
              <w:adjustRightIn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投标人须在投标文件资格审查部分提供承诺（承诺格式见第八章投标文件格式）。</w:t>
            </w:r>
          </w:p>
          <w:p w14:paraId="49DF7252">
            <w:pPr>
              <w:autoSpaceDE w:val="0"/>
              <w:autoSpaceDN w:val="0"/>
              <w:adjustRightInd w:val="0"/>
              <w:snapToGrid w:val="0"/>
              <w:spacing w:line="400" w:lineRule="exact"/>
              <w:ind w:firstLine="417" w:firstLineChars="198"/>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特别说明：</w:t>
            </w:r>
          </w:p>
          <w:p w14:paraId="5D12205A">
            <w:pPr>
              <w:autoSpaceDE w:val="0"/>
              <w:autoSpaceDN w:val="0"/>
              <w:adjustRightInd w:val="0"/>
              <w:snapToGrid w:val="0"/>
              <w:spacing w:line="400" w:lineRule="exact"/>
              <w:ind w:firstLine="415" w:firstLineChars="198"/>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投标人须自行承诺其提供的上述相关证明材料真实有效，不存在弄虚作假情形（格式见第八章投标文件格式）。比选人在合同签订前均有权对投标人提供的资料（如业绩截图信息等相关证明材料）进行核实，若发现弄虚作假，取消其中标资格，并按相关法律法规报比选投标监督部门处理，其投标保证金不予退还，投标人承担因此造成的相关责任并赔偿相应损失。</w:t>
            </w:r>
          </w:p>
          <w:p w14:paraId="7C2751D6">
            <w:pPr>
              <w:spacing w:line="400" w:lineRule="exact"/>
              <w:ind w:firstLine="420" w:firstLineChars="200"/>
              <w:rPr>
                <w:rFonts w:ascii="宋体" w:hAns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w:t>
            </w:r>
            <w:r>
              <w:rPr>
                <w:rFonts w:hint="eastAsia" w:ascii="宋体" w:hAnsi="宋体"/>
                <w:bCs/>
                <w:color w:val="000000" w:themeColor="text1"/>
                <w:kern w:val="0"/>
                <w:szCs w:val="21"/>
                <w:lang w:val="en-US" w:eastAsia="zh-CN"/>
                <w14:textFill>
                  <w14:solidFill>
                    <w14:schemeClr w14:val="tx1"/>
                  </w14:solidFill>
                </w14:textFill>
              </w:rPr>
              <w:t>2</w:t>
            </w:r>
            <w:r>
              <w:rPr>
                <w:rFonts w:hint="eastAsia" w:ascii="宋体" w:hAnsi="宋体"/>
                <w:bCs/>
                <w:color w:val="000000" w:themeColor="text1"/>
                <w:kern w:val="0"/>
                <w:szCs w:val="21"/>
                <w14:textFill>
                  <w14:solidFill>
                    <w14:schemeClr w14:val="tx1"/>
                  </w14:solidFill>
                </w14:textFill>
              </w:rPr>
              <w:t>）</w:t>
            </w:r>
            <w:r>
              <w:rPr>
                <w:rFonts w:ascii="宋体" w:hAnsi="宋体"/>
                <w:bCs/>
                <w:color w:val="000000" w:themeColor="text1"/>
                <w:kern w:val="0"/>
                <w:szCs w:val="21"/>
                <w14:textFill>
                  <w14:solidFill>
                    <w14:schemeClr w14:val="tx1"/>
                  </w14:solidFill>
                </w14:textFill>
              </w:rPr>
              <w:t>本</w:t>
            </w:r>
            <w:r>
              <w:rPr>
                <w:rFonts w:hint="eastAsia" w:ascii="宋体" w:hAnsi="宋体"/>
                <w:bCs/>
                <w:color w:val="000000" w:themeColor="text1"/>
                <w:kern w:val="0"/>
                <w:szCs w:val="21"/>
                <w14:textFill>
                  <w14:solidFill>
                    <w14:schemeClr w14:val="tx1"/>
                  </w14:solidFill>
                </w14:textFill>
              </w:rPr>
              <w:t>比选</w:t>
            </w:r>
            <w:r>
              <w:rPr>
                <w:rFonts w:ascii="宋体" w:hAnsi="宋体"/>
                <w:bCs/>
                <w:color w:val="000000" w:themeColor="text1"/>
                <w:kern w:val="0"/>
                <w:szCs w:val="21"/>
                <w14:textFill>
                  <w14:solidFill>
                    <w14:schemeClr w14:val="tx1"/>
                  </w14:solidFill>
                </w14:textFill>
              </w:rPr>
              <w:t>文件中所要求的人员</w:t>
            </w:r>
            <w:r>
              <w:rPr>
                <w:rFonts w:hint="eastAsia" w:ascii="宋体" w:hAnsi="宋体"/>
                <w:bCs/>
                <w:color w:val="000000" w:themeColor="text1"/>
                <w:kern w:val="0"/>
                <w:szCs w:val="21"/>
                <w14:textFill>
                  <w14:solidFill>
                    <w14:schemeClr w14:val="tx1"/>
                  </w14:solidFill>
                </w14:textFill>
              </w:rPr>
              <w:t>养老保险</w:t>
            </w:r>
            <w:r>
              <w:rPr>
                <w:rFonts w:ascii="宋体" w:hAnsi="宋体"/>
                <w:bCs/>
                <w:color w:val="000000" w:themeColor="text1"/>
                <w:kern w:val="0"/>
                <w:szCs w:val="21"/>
                <w14:textFill>
                  <w14:solidFill>
                    <w14:schemeClr w14:val="tx1"/>
                  </w14:solidFill>
                </w14:textFill>
              </w:rPr>
              <w:t>证明要求如下：</w:t>
            </w:r>
          </w:p>
          <w:p w14:paraId="34CB2259">
            <w:pPr>
              <w:spacing w:line="400" w:lineRule="exact"/>
              <w:ind w:firstLine="420" w:firstLineChars="200"/>
              <w:rPr>
                <w:rFonts w:ascii="宋体" w:hAns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①社会单位提供</w:t>
            </w:r>
            <w:r>
              <w:rPr>
                <w:rFonts w:hint="eastAsia" w:ascii="宋体" w:hAnsi="宋体"/>
                <w:bCs/>
                <w:color w:val="000000" w:themeColor="text1"/>
                <w:kern w:val="0"/>
                <w:szCs w:val="21"/>
                <w14:textFill>
                  <w14:solidFill>
                    <w14:schemeClr w14:val="tx1"/>
                  </w14:solidFill>
                </w14:textFill>
              </w:rPr>
              <w:t>养老保险</w:t>
            </w:r>
            <w:r>
              <w:rPr>
                <w:rFonts w:ascii="宋体" w:hAnsi="宋体"/>
                <w:bCs/>
                <w:color w:val="000000" w:themeColor="text1"/>
                <w:kern w:val="0"/>
                <w:szCs w:val="21"/>
                <w14:textFill>
                  <w14:solidFill>
                    <w14:schemeClr w14:val="tx1"/>
                  </w14:solidFill>
                </w14:textFill>
              </w:rPr>
              <w:t>证明，事业单位提供</w:t>
            </w:r>
            <w:r>
              <w:rPr>
                <w:rFonts w:hint="eastAsia" w:ascii="宋体" w:hAnsi="宋体"/>
                <w:bCs/>
                <w:color w:val="000000" w:themeColor="text1"/>
                <w:kern w:val="0"/>
                <w:szCs w:val="21"/>
                <w14:textFill>
                  <w14:solidFill>
                    <w14:schemeClr w14:val="tx1"/>
                  </w14:solidFill>
                </w14:textFill>
              </w:rPr>
              <w:t>养老保险</w:t>
            </w:r>
            <w:r>
              <w:rPr>
                <w:rFonts w:ascii="宋体" w:hAnsi="宋体"/>
                <w:bCs/>
                <w:color w:val="000000" w:themeColor="text1"/>
                <w:kern w:val="0"/>
                <w:szCs w:val="21"/>
                <w14:textFill>
                  <w14:solidFill>
                    <w14:schemeClr w14:val="tx1"/>
                  </w14:solidFill>
                </w14:textFill>
              </w:rPr>
              <w:t>证明或行政主管部门在编证明。</w:t>
            </w:r>
          </w:p>
          <w:p w14:paraId="179E83F5">
            <w:pPr>
              <w:spacing w:line="400" w:lineRule="exact"/>
              <w:ind w:firstLine="420" w:firstLineChars="200"/>
              <w:rPr>
                <w:rFonts w:ascii="宋体" w:hAnsi="宋体"/>
                <w:bCs/>
                <w:snapToGrid w:val="0"/>
                <w:color w:val="auto"/>
                <w:kern w:val="0"/>
                <w:szCs w:val="21"/>
                <w:highlight w:val="none"/>
              </w:rPr>
            </w:pPr>
            <w:r>
              <w:rPr>
                <w:rFonts w:ascii="宋体" w:hAnsi="宋体"/>
                <w:bCs/>
                <w:color w:val="000000" w:themeColor="text1"/>
                <w:kern w:val="0"/>
                <w:szCs w:val="21"/>
                <w14:textFill>
                  <w14:solidFill>
                    <w14:schemeClr w14:val="tx1"/>
                  </w14:solidFill>
                </w14:textFill>
              </w:rPr>
              <w:t>②</w:t>
            </w:r>
            <w:r>
              <w:rPr>
                <w:rFonts w:hint="eastAsia" w:ascii="宋体" w:hAnsi="宋体"/>
                <w:bCs/>
                <w:snapToGrid w:val="0"/>
                <w:color w:val="000000" w:themeColor="text1"/>
                <w:kern w:val="0"/>
                <w:szCs w:val="21"/>
                <w14:textFill>
                  <w14:solidFill>
                    <w14:schemeClr w14:val="tx1"/>
                  </w14:solidFill>
                </w14:textFill>
              </w:rPr>
              <w:t>项目经理、</w:t>
            </w:r>
            <w:r>
              <w:rPr>
                <w:rFonts w:ascii="宋体" w:hAnsi="宋体"/>
                <w:bCs/>
                <w:snapToGrid w:val="0"/>
                <w:color w:val="000000" w:themeColor="text1"/>
                <w:kern w:val="0"/>
                <w:szCs w:val="21"/>
                <w14:textFill>
                  <w14:solidFill>
                    <w14:schemeClr w14:val="tx1"/>
                  </w14:solidFill>
                </w14:textFill>
              </w:rPr>
              <w:t>项目技术负责人的</w:t>
            </w:r>
            <w:r>
              <w:rPr>
                <w:rFonts w:hint="eastAsia" w:ascii="宋体" w:hAnsi="宋体"/>
                <w:bCs/>
                <w:snapToGrid w:val="0"/>
                <w:color w:val="000000" w:themeColor="text1"/>
                <w:kern w:val="0"/>
                <w:szCs w:val="21"/>
                <w14:textFill>
                  <w14:solidFill>
                    <w14:schemeClr w14:val="tx1"/>
                  </w14:solidFill>
                </w14:textFill>
              </w:rPr>
              <w:t>养老保险</w:t>
            </w:r>
            <w:r>
              <w:rPr>
                <w:rFonts w:ascii="宋体" w:hAnsi="宋体"/>
                <w:bCs/>
                <w:snapToGrid w:val="0"/>
                <w:color w:val="000000" w:themeColor="text1"/>
                <w:kern w:val="0"/>
                <w:szCs w:val="21"/>
                <w14:textFill>
                  <w14:solidFill>
                    <w14:schemeClr w14:val="tx1"/>
                  </w14:solidFill>
                </w14:textFill>
              </w:rPr>
              <w:t>证明期限为</w:t>
            </w:r>
            <w:r>
              <w:rPr>
                <w:rFonts w:hint="eastAsia" w:ascii="宋体" w:hAnsi="宋体"/>
                <w:bCs/>
                <w:snapToGrid w:val="0"/>
                <w:color w:val="000000" w:themeColor="text1"/>
                <w:kern w:val="0"/>
                <w:szCs w:val="21"/>
                <w:u w:val="single"/>
                <w14:textFill>
                  <w14:solidFill>
                    <w14:schemeClr w14:val="tx1"/>
                  </w14:solidFill>
                </w14:textFill>
              </w:rPr>
              <w:t>202</w:t>
            </w:r>
            <w:r>
              <w:rPr>
                <w:rFonts w:hint="eastAsia" w:ascii="宋体" w:hAnsi="宋体"/>
                <w:bCs/>
                <w:snapToGrid w:val="0"/>
                <w:color w:val="000000" w:themeColor="text1"/>
                <w:kern w:val="0"/>
                <w:szCs w:val="21"/>
                <w:u w:val="single"/>
                <w:lang w:val="en-US" w:eastAsia="zh-CN"/>
                <w14:textFill>
                  <w14:solidFill>
                    <w14:schemeClr w14:val="tx1"/>
                  </w14:solidFill>
                </w14:textFill>
              </w:rPr>
              <w:t>4</w:t>
            </w:r>
            <w:r>
              <w:rPr>
                <w:rFonts w:ascii="宋体" w:hAnsi="宋体"/>
                <w:bCs/>
                <w:snapToGrid w:val="0"/>
                <w:color w:val="000000" w:themeColor="text1"/>
                <w:kern w:val="0"/>
                <w:szCs w:val="21"/>
                <w14:textFill>
                  <w14:solidFill>
                    <w14:schemeClr w14:val="tx1"/>
                  </w14:solidFill>
                </w14:textFill>
              </w:rPr>
              <w:t>年</w:t>
            </w:r>
            <w:r>
              <w:rPr>
                <w:rFonts w:hint="eastAsia" w:ascii="宋体" w:hAnsi="宋体"/>
                <w:bCs/>
                <w:snapToGrid w:val="0"/>
                <w:color w:val="000000" w:themeColor="text1"/>
                <w:kern w:val="0"/>
                <w:szCs w:val="21"/>
                <w:u w:val="single"/>
                <w:lang w:val="en-US" w:eastAsia="zh-CN"/>
                <w14:textFill>
                  <w14:solidFill>
                    <w14:schemeClr w14:val="tx1"/>
                  </w14:solidFill>
                </w14:textFill>
              </w:rPr>
              <w:t>4</w:t>
            </w:r>
            <w:r>
              <w:rPr>
                <w:rFonts w:ascii="宋体" w:hAnsi="宋体"/>
                <w:bCs/>
                <w:snapToGrid w:val="0"/>
                <w:color w:val="000000" w:themeColor="text1"/>
                <w:kern w:val="0"/>
                <w:szCs w:val="21"/>
                <w14:textFill>
                  <w14:solidFill>
                    <w14:schemeClr w14:val="tx1"/>
                  </w14:solidFill>
                </w14:textFill>
              </w:rPr>
              <w:t>月至</w:t>
            </w:r>
            <w:r>
              <w:rPr>
                <w:rFonts w:hint="eastAsia" w:ascii="宋体" w:hAnsi="宋体"/>
                <w:bCs/>
                <w:snapToGrid w:val="0"/>
                <w:color w:val="000000" w:themeColor="text1"/>
                <w:kern w:val="0"/>
                <w:szCs w:val="21"/>
                <w:u w:val="single"/>
                <w14:textFill>
                  <w14:solidFill>
                    <w14:schemeClr w14:val="tx1"/>
                  </w14:solidFill>
                </w14:textFill>
              </w:rPr>
              <w:t xml:space="preserve"> 202</w:t>
            </w:r>
            <w:r>
              <w:rPr>
                <w:rFonts w:hint="eastAsia" w:ascii="宋体" w:hAnsi="宋体"/>
                <w:bCs/>
                <w:snapToGrid w:val="0"/>
                <w:color w:val="000000" w:themeColor="text1"/>
                <w:kern w:val="0"/>
                <w:szCs w:val="21"/>
                <w:u w:val="single"/>
                <w:lang w:val="en-US" w:eastAsia="zh-CN"/>
                <w14:textFill>
                  <w14:solidFill>
                    <w14:schemeClr w14:val="tx1"/>
                  </w14:solidFill>
                </w14:textFill>
              </w:rPr>
              <w:t>4</w:t>
            </w:r>
            <w:r>
              <w:rPr>
                <w:rFonts w:ascii="宋体" w:hAnsi="宋体"/>
                <w:bCs/>
                <w:snapToGrid w:val="0"/>
                <w:color w:val="000000" w:themeColor="text1"/>
                <w:kern w:val="0"/>
                <w:szCs w:val="21"/>
                <w14:textFill>
                  <w14:solidFill>
                    <w14:schemeClr w14:val="tx1"/>
                  </w14:solidFill>
                </w14:textFill>
              </w:rPr>
              <w:t>年</w:t>
            </w:r>
            <w:r>
              <w:rPr>
                <w:rFonts w:hint="eastAsia" w:ascii="宋体" w:hAnsi="宋体"/>
                <w:bCs/>
                <w:snapToGrid w:val="0"/>
                <w:color w:val="000000" w:themeColor="text1"/>
                <w:kern w:val="0"/>
                <w:szCs w:val="21"/>
                <w:u w:val="single"/>
                <w:lang w:val="en-US" w:eastAsia="zh-CN"/>
                <w14:textFill>
                  <w14:solidFill>
                    <w14:schemeClr w14:val="tx1"/>
                  </w14:solidFill>
                </w14:textFill>
              </w:rPr>
              <w:t>9月</w:t>
            </w:r>
            <w:r>
              <w:rPr>
                <w:rFonts w:ascii="宋体" w:hAnsi="宋体"/>
                <w:bCs/>
                <w:snapToGrid w:val="0"/>
                <w:color w:val="000000" w:themeColor="text1"/>
                <w:kern w:val="0"/>
                <w:szCs w:val="21"/>
                <w14:textFill>
                  <w14:solidFill>
                    <w14:schemeClr w14:val="tx1"/>
                  </w14:solidFill>
                </w14:textFill>
              </w:rPr>
              <w:t>的</w:t>
            </w:r>
            <w:r>
              <w:rPr>
                <w:rFonts w:ascii="宋体" w:hAnsi="宋体"/>
                <w:bCs/>
                <w:color w:val="000000" w:themeColor="text1"/>
                <w:szCs w:val="21"/>
                <w14:textFill>
                  <w14:solidFill>
                    <w14:schemeClr w14:val="tx1"/>
                  </w14:solidFill>
                </w14:textFill>
              </w:rPr>
              <w:t>连续</w:t>
            </w:r>
            <w:r>
              <w:rPr>
                <w:rFonts w:hint="eastAsia" w:ascii="宋体" w:hAnsi="宋体"/>
                <w:bCs/>
                <w:color w:val="000000" w:themeColor="text1"/>
                <w:szCs w:val="21"/>
                <w14:textFill>
                  <w14:solidFill>
                    <w14:schemeClr w14:val="tx1"/>
                  </w14:solidFill>
                </w14:textFill>
              </w:rPr>
              <w:t>养老保险。养老保险证明原件必须加盖社保部门公章，提供养老保险参保证明，含身份证号或社保号和参保基本情况、参保缴费明细（养老保险）。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tc>
      </w:tr>
      <w:tr w14:paraId="4D7395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05499F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1.4.2</w:t>
            </w:r>
          </w:p>
        </w:tc>
        <w:tc>
          <w:tcPr>
            <w:tcW w:w="1644" w:type="dxa"/>
            <w:noWrap w:val="0"/>
            <w:vAlign w:val="center"/>
          </w:tcPr>
          <w:p w14:paraId="17C0B63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是否接受联合体投标</w:t>
            </w:r>
          </w:p>
        </w:tc>
        <w:tc>
          <w:tcPr>
            <w:tcW w:w="6490" w:type="dxa"/>
            <w:noWrap w:val="0"/>
            <w:vAlign w:val="center"/>
          </w:tcPr>
          <w:p w14:paraId="3E0E15BE">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不接受</w:t>
            </w:r>
          </w:p>
        </w:tc>
      </w:tr>
      <w:tr w14:paraId="34A33E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390256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1.9.1</w:t>
            </w:r>
          </w:p>
        </w:tc>
        <w:tc>
          <w:tcPr>
            <w:tcW w:w="1644" w:type="dxa"/>
            <w:noWrap w:val="0"/>
            <w:vAlign w:val="center"/>
          </w:tcPr>
          <w:p w14:paraId="72F6E43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踏勘现场</w:t>
            </w:r>
          </w:p>
        </w:tc>
        <w:tc>
          <w:tcPr>
            <w:tcW w:w="6490" w:type="dxa"/>
            <w:noWrap w:val="0"/>
            <w:vAlign w:val="center"/>
          </w:tcPr>
          <w:p w14:paraId="49844EEA">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不组织</w:t>
            </w:r>
          </w:p>
        </w:tc>
      </w:tr>
      <w:tr w14:paraId="7DECE4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8FFA7F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1.10.1</w:t>
            </w:r>
          </w:p>
        </w:tc>
        <w:tc>
          <w:tcPr>
            <w:tcW w:w="1644" w:type="dxa"/>
            <w:noWrap w:val="0"/>
            <w:vAlign w:val="center"/>
          </w:tcPr>
          <w:p w14:paraId="2F8B9FC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投标预备会</w:t>
            </w:r>
          </w:p>
        </w:tc>
        <w:tc>
          <w:tcPr>
            <w:tcW w:w="6490" w:type="dxa"/>
            <w:noWrap w:val="0"/>
            <w:vAlign w:val="center"/>
          </w:tcPr>
          <w:p w14:paraId="4ACE1622">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不召开</w:t>
            </w:r>
          </w:p>
        </w:tc>
      </w:tr>
      <w:tr w14:paraId="0B898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2D0481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1.11</w:t>
            </w:r>
          </w:p>
        </w:tc>
        <w:tc>
          <w:tcPr>
            <w:tcW w:w="1644" w:type="dxa"/>
            <w:noWrap w:val="0"/>
            <w:vAlign w:val="center"/>
          </w:tcPr>
          <w:p w14:paraId="432B2B3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分包</w:t>
            </w:r>
          </w:p>
        </w:tc>
        <w:tc>
          <w:tcPr>
            <w:tcW w:w="6490" w:type="dxa"/>
            <w:noWrap w:val="0"/>
            <w:vAlign w:val="center"/>
          </w:tcPr>
          <w:p w14:paraId="1FEF62B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不允许</w:t>
            </w:r>
          </w:p>
        </w:tc>
      </w:tr>
      <w:tr w14:paraId="78BBF1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8979EB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2.1</w:t>
            </w:r>
          </w:p>
        </w:tc>
        <w:tc>
          <w:tcPr>
            <w:tcW w:w="1644" w:type="dxa"/>
            <w:noWrap w:val="0"/>
            <w:vAlign w:val="center"/>
          </w:tcPr>
          <w:p w14:paraId="350AB8C9">
            <w:pPr>
              <w:snapToGrid w:val="0"/>
              <w:spacing w:after="15" w:afterLines="5" w:line="400" w:lineRule="exact"/>
              <w:jc w:val="center"/>
              <w:rPr>
                <w:rFonts w:ascii="宋体" w:hAnsi="宋体"/>
                <w:color w:val="auto"/>
                <w:kern w:val="0"/>
                <w:szCs w:val="21"/>
                <w:highlight w:val="none"/>
              </w:rPr>
            </w:pPr>
            <w:r>
              <w:rPr>
                <w:rFonts w:ascii="宋体" w:hAnsi="宋体"/>
                <w:color w:val="auto"/>
                <w:kern w:val="0"/>
                <w:szCs w:val="21"/>
                <w:highlight w:val="none"/>
              </w:rPr>
              <w:t>构成</w:t>
            </w:r>
            <w:r>
              <w:rPr>
                <w:rFonts w:hint="eastAsia" w:ascii="宋体" w:hAnsi="宋体"/>
                <w:color w:val="auto"/>
                <w:kern w:val="0"/>
                <w:szCs w:val="21"/>
                <w:highlight w:val="none"/>
                <w:lang w:eastAsia="zh-CN"/>
              </w:rPr>
              <w:t>比选</w:t>
            </w:r>
            <w:r>
              <w:rPr>
                <w:rFonts w:ascii="宋体" w:hAnsi="宋体"/>
                <w:color w:val="auto"/>
                <w:kern w:val="0"/>
                <w:szCs w:val="21"/>
                <w:highlight w:val="none"/>
              </w:rPr>
              <w:t>文件的其他材料</w:t>
            </w:r>
          </w:p>
        </w:tc>
        <w:tc>
          <w:tcPr>
            <w:tcW w:w="6490" w:type="dxa"/>
            <w:noWrap w:val="0"/>
            <w:vAlign w:val="center"/>
          </w:tcPr>
          <w:p w14:paraId="175A2F7F">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比选</w:t>
            </w:r>
            <w:r>
              <w:rPr>
                <w:rFonts w:ascii="宋体" w:hAnsi="宋体"/>
                <w:color w:val="auto"/>
                <w:szCs w:val="21"/>
                <w:highlight w:val="none"/>
              </w:rPr>
              <w:t>人发出的</w:t>
            </w:r>
            <w:r>
              <w:rPr>
                <w:rFonts w:hint="eastAsia" w:ascii="宋体" w:hAnsi="宋体"/>
                <w:color w:val="auto"/>
                <w:szCs w:val="21"/>
                <w:highlight w:val="none"/>
              </w:rPr>
              <w:t>澄清</w:t>
            </w:r>
            <w:r>
              <w:rPr>
                <w:rFonts w:ascii="宋体" w:hAnsi="宋体"/>
                <w:color w:val="auto"/>
                <w:szCs w:val="21"/>
                <w:highlight w:val="none"/>
              </w:rPr>
              <w:t>及</w:t>
            </w:r>
            <w:r>
              <w:rPr>
                <w:rFonts w:hint="eastAsia" w:ascii="宋体" w:hAnsi="宋体"/>
                <w:color w:val="auto"/>
                <w:szCs w:val="21"/>
                <w:highlight w:val="none"/>
              </w:rPr>
              <w:t>修改</w:t>
            </w:r>
          </w:p>
        </w:tc>
      </w:tr>
      <w:tr w14:paraId="3FE42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F185A8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1</w:t>
            </w:r>
          </w:p>
        </w:tc>
        <w:tc>
          <w:tcPr>
            <w:tcW w:w="1644" w:type="dxa"/>
            <w:tcBorders>
              <w:bottom w:val="single" w:color="auto" w:sz="4" w:space="0"/>
            </w:tcBorders>
            <w:noWrap w:val="0"/>
            <w:vAlign w:val="center"/>
          </w:tcPr>
          <w:p w14:paraId="6436E2B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投标人对</w:t>
            </w:r>
            <w:r>
              <w:rPr>
                <w:rFonts w:hint="eastAsia" w:ascii="宋体" w:hAnsi="宋体"/>
                <w:color w:val="auto"/>
                <w:kern w:val="0"/>
                <w:szCs w:val="21"/>
                <w:highlight w:val="none"/>
                <w:lang w:eastAsia="zh-CN"/>
              </w:rPr>
              <w:t>比选</w:t>
            </w:r>
            <w:r>
              <w:rPr>
                <w:rFonts w:ascii="宋体" w:hAnsi="宋体"/>
                <w:color w:val="auto"/>
                <w:kern w:val="0"/>
                <w:szCs w:val="21"/>
                <w:highlight w:val="none"/>
              </w:rPr>
              <w:t>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490" w:type="dxa"/>
            <w:noWrap w:val="0"/>
            <w:vAlign w:val="center"/>
          </w:tcPr>
          <w:p w14:paraId="3A1645A7">
            <w:pPr>
              <w:snapToGrid w:val="0"/>
              <w:spacing w:line="400" w:lineRule="exact"/>
              <w:ind w:firstLine="420" w:firstLineChars="200"/>
              <w:rPr>
                <w:rFonts w:ascii="宋体" w:hAnsi="宋体"/>
                <w:color w:val="auto"/>
                <w:kern w:val="0"/>
                <w:szCs w:val="21"/>
                <w:highlight w:val="none"/>
              </w:rPr>
            </w:pPr>
            <w:r>
              <w:rPr>
                <w:rFonts w:ascii="宋体" w:hAnsi="宋体"/>
                <w:kern w:val="0"/>
                <w:szCs w:val="21"/>
              </w:rPr>
              <w:t>投标人应仔细</w:t>
            </w:r>
            <w:r>
              <w:rPr>
                <w:rFonts w:hint="eastAsia" w:ascii="宋体" w:hAnsi="宋体"/>
                <w:kern w:val="0"/>
                <w:szCs w:val="21"/>
              </w:rPr>
              <w:t>阅读</w:t>
            </w:r>
            <w:r>
              <w:rPr>
                <w:rFonts w:hint="eastAsia" w:ascii="宋体" w:hAnsi="宋体"/>
                <w:kern w:val="0"/>
                <w:szCs w:val="21"/>
                <w:lang w:eastAsia="zh-CN"/>
              </w:rPr>
              <w:t>比选</w:t>
            </w:r>
            <w:r>
              <w:rPr>
                <w:rFonts w:ascii="宋体" w:hAnsi="宋体"/>
                <w:kern w:val="0"/>
                <w:szCs w:val="21"/>
              </w:rPr>
              <w:t>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w:t>
            </w:r>
            <w:r>
              <w:rPr>
                <w:rFonts w:ascii="宋体" w:hAnsi="宋体"/>
                <w:color w:val="auto"/>
                <w:kern w:val="0"/>
                <w:szCs w:val="21"/>
                <w:highlight w:val="none"/>
              </w:rPr>
              <w:t>应</w:t>
            </w:r>
            <w:r>
              <w:rPr>
                <w:rFonts w:hint="eastAsia" w:ascii="宋体" w:hAnsi="宋体" w:cs="宋体"/>
                <w:color w:val="auto"/>
                <w:kern w:val="0"/>
                <w:szCs w:val="21"/>
                <w:highlight w:val="none"/>
              </w:rPr>
              <w:t>在</w:t>
            </w:r>
            <w:r>
              <w:rPr>
                <w:rFonts w:hint="eastAsia" w:ascii="宋体" w:hAnsi="宋体" w:cs="宋体"/>
                <w:color w:val="auto"/>
                <w:kern w:val="0"/>
                <w:szCs w:val="21"/>
                <w:highlight w:val="none"/>
                <w:lang w:val="en-US" w:eastAsia="zh-CN"/>
              </w:rPr>
              <w:t>2024年11月5日17时00分</w:t>
            </w:r>
            <w:r>
              <w:rPr>
                <w:rFonts w:ascii="宋体" w:hAnsi="宋体"/>
                <w:color w:val="auto"/>
                <w:kern w:val="0"/>
                <w:szCs w:val="21"/>
                <w:highlight w:val="none"/>
              </w:rPr>
              <w:t>前</w:t>
            </w:r>
            <w:r>
              <w:rPr>
                <w:rFonts w:hint="eastAsia" w:ascii="宋体" w:hAnsi="宋体"/>
                <w:color w:val="auto"/>
                <w:kern w:val="0"/>
                <w:szCs w:val="21"/>
                <w:highlight w:val="none"/>
                <w:lang w:eastAsia="zh-CN"/>
              </w:rPr>
              <w:t>提出</w:t>
            </w:r>
            <w:r>
              <w:rPr>
                <w:rFonts w:ascii="宋体" w:hAnsi="宋体"/>
                <w:color w:val="auto"/>
                <w:kern w:val="0"/>
                <w:szCs w:val="21"/>
                <w:highlight w:val="none"/>
              </w:rPr>
              <w:t>。</w:t>
            </w:r>
          </w:p>
        </w:tc>
      </w:tr>
      <w:tr w14:paraId="394B66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noWrap w:val="0"/>
            <w:vAlign w:val="center"/>
          </w:tcPr>
          <w:p w14:paraId="4F66AB8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2.2.2</w:t>
            </w:r>
          </w:p>
        </w:tc>
        <w:tc>
          <w:tcPr>
            <w:tcW w:w="1644" w:type="dxa"/>
            <w:tcBorders>
              <w:top w:val="single" w:color="auto" w:sz="4" w:space="0"/>
            </w:tcBorders>
            <w:noWrap w:val="0"/>
            <w:vAlign w:val="center"/>
          </w:tcPr>
          <w:p w14:paraId="34C7652B">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人对</w:t>
            </w:r>
            <w:r>
              <w:rPr>
                <w:rFonts w:hint="eastAsia" w:ascii="宋体" w:hAnsi="宋体"/>
                <w:color w:val="auto"/>
                <w:kern w:val="0"/>
                <w:szCs w:val="21"/>
                <w:highlight w:val="none"/>
                <w:lang w:eastAsia="zh-CN"/>
              </w:rPr>
              <w:t>比选</w:t>
            </w:r>
            <w:r>
              <w:rPr>
                <w:rFonts w:ascii="宋体" w:hAnsi="宋体"/>
                <w:color w:val="auto"/>
                <w:kern w:val="0"/>
                <w:szCs w:val="21"/>
                <w:highlight w:val="none"/>
              </w:rPr>
              <w:t>文件</w:t>
            </w:r>
            <w:r>
              <w:rPr>
                <w:rFonts w:hint="eastAsia" w:ascii="宋体" w:hAnsi="宋体"/>
                <w:color w:val="auto"/>
                <w:kern w:val="0"/>
                <w:szCs w:val="21"/>
                <w:highlight w:val="none"/>
              </w:rPr>
              <w:t>澄清</w:t>
            </w:r>
            <w:r>
              <w:rPr>
                <w:rFonts w:ascii="宋体" w:hAnsi="宋体"/>
                <w:color w:val="auto"/>
                <w:kern w:val="0"/>
                <w:szCs w:val="21"/>
                <w:highlight w:val="none"/>
              </w:rPr>
              <w:t>的截止时间</w:t>
            </w:r>
          </w:p>
        </w:tc>
        <w:tc>
          <w:tcPr>
            <w:tcW w:w="6490" w:type="dxa"/>
            <w:noWrap w:val="0"/>
            <w:vAlign w:val="center"/>
          </w:tcPr>
          <w:p w14:paraId="00A72200">
            <w:pPr>
              <w:snapToGrid w:val="0"/>
              <w:spacing w:line="400" w:lineRule="exact"/>
              <w:ind w:firstLine="420" w:firstLineChars="200"/>
              <w:rPr>
                <w:rFonts w:hint="eastAsia" w:ascii="宋体" w:hAnsi="宋体"/>
                <w:snapToGrid w:val="0"/>
                <w:color w:val="auto"/>
                <w:kern w:val="0"/>
                <w:szCs w:val="21"/>
                <w:highlight w:val="none"/>
              </w:rPr>
            </w:pPr>
            <w:r>
              <w:rPr>
                <w:rFonts w:hint="eastAsia" w:ascii="宋体" w:hAnsi="宋体"/>
                <w:color w:val="auto"/>
                <w:szCs w:val="21"/>
                <w:highlight w:val="none"/>
                <w:lang w:eastAsia="zh-CN"/>
              </w:rPr>
              <w:t>比选</w:t>
            </w:r>
            <w:r>
              <w:rPr>
                <w:rFonts w:hint="eastAsia" w:ascii="宋体" w:hAnsi="宋体"/>
                <w:color w:val="auto"/>
                <w:szCs w:val="21"/>
                <w:highlight w:val="none"/>
              </w:rPr>
              <w:t>人应在</w:t>
            </w:r>
            <w:r>
              <w:rPr>
                <w:rFonts w:hint="eastAsia" w:ascii="宋体" w:hAnsi="宋体"/>
                <w:color w:val="auto"/>
                <w:szCs w:val="21"/>
                <w:highlight w:val="none"/>
                <w:lang w:val="en-US" w:eastAsia="zh-CN"/>
              </w:rPr>
              <w:t xml:space="preserve">2024年11月5 </w:t>
            </w:r>
            <w:r>
              <w:rPr>
                <w:rFonts w:hint="eastAsia" w:ascii="宋体" w:hAnsi="宋体"/>
                <w:color w:val="000000" w:themeColor="text1"/>
                <w:szCs w:val="21"/>
                <w:highlight w:val="none"/>
                <w:lang w:val="en-US" w:eastAsia="zh-CN"/>
                <w14:textFill>
                  <w14:solidFill>
                    <w14:schemeClr w14:val="tx1"/>
                  </w14:solidFill>
                </w14:textFill>
              </w:rPr>
              <w:t>日 18 时 00 分</w:t>
            </w:r>
            <w:r>
              <w:rPr>
                <w:rFonts w:hint="eastAsia" w:ascii="宋体" w:hAnsi="宋体"/>
                <w:color w:val="000000" w:themeColor="text1"/>
                <w:szCs w:val="21"/>
                <w:highlight w:val="none"/>
                <w14:textFill>
                  <w14:solidFill>
                    <w14:schemeClr w14:val="tx1"/>
                  </w14:solidFill>
                </w14:textFill>
              </w:rPr>
              <w:t>前</w:t>
            </w:r>
            <w:r>
              <w:rPr>
                <w:rFonts w:ascii="宋体" w:hAnsi="宋体"/>
                <w:color w:val="000000" w:themeColor="text1"/>
                <w:szCs w:val="21"/>
                <w:highlight w:val="none"/>
                <w14:textFill>
                  <w14:solidFill>
                    <w14:schemeClr w14:val="tx1"/>
                  </w14:solidFill>
                </w14:textFill>
              </w:rPr>
              <w:t>，</w:t>
            </w:r>
            <w:r>
              <w:rPr>
                <w:rFonts w:ascii="宋体" w:hAnsi="宋体"/>
                <w:color w:val="000000" w:themeColor="text1"/>
                <w:kern w:val="0"/>
                <w:szCs w:val="21"/>
                <w:highlight w:val="none"/>
                <w14:textFill>
                  <w14:solidFill>
                    <w14:schemeClr w14:val="tx1"/>
                  </w14:solidFill>
                </w14:textFill>
              </w:rPr>
              <w:t>在</w:t>
            </w:r>
            <w:r>
              <w:rPr>
                <w:rFonts w:hint="eastAsia" w:ascii="宋体" w:hAnsi="宋体"/>
                <w:color w:val="000000" w:themeColor="text1"/>
                <w:kern w:val="0"/>
                <w:szCs w:val="21"/>
                <w:highlight w:val="none"/>
                <w:u w:val="single"/>
                <w:lang w:eastAsia="zh-CN"/>
                <w14:textFill>
                  <w14:solidFill>
                    <w14:schemeClr w14:val="tx1"/>
                  </w14:solidFill>
                </w14:textFill>
              </w:rPr>
              <w:t>重庆市铜梁区人民政府网（https://www.cqstl.gov.cn/）</w:t>
            </w:r>
            <w:r>
              <w:rPr>
                <w:rFonts w:ascii="宋体" w:hAnsi="宋体"/>
                <w:color w:val="000000" w:themeColor="text1"/>
                <w:kern w:val="0"/>
                <w:szCs w:val="21"/>
                <w:highlight w:val="none"/>
                <w14:textFill>
                  <w14:solidFill>
                    <w14:schemeClr w14:val="tx1"/>
                  </w14:solidFill>
                </w14:textFill>
              </w:rPr>
              <w:t>发布</w:t>
            </w:r>
            <w:r>
              <w:rPr>
                <w:rFonts w:hint="eastAsia" w:ascii="宋体" w:hAnsi="宋体"/>
                <w:color w:val="000000" w:themeColor="text1"/>
                <w:kern w:val="0"/>
                <w:szCs w:val="21"/>
                <w:highlight w:val="none"/>
                <w14:textFill>
                  <w14:solidFill>
                    <w14:schemeClr w14:val="tx1"/>
                  </w14:solidFill>
                </w14:textFill>
              </w:rPr>
              <w:t>澄清</w:t>
            </w:r>
            <w:r>
              <w:rPr>
                <w:rFonts w:ascii="宋体" w:hAnsi="宋体"/>
                <w:color w:val="000000" w:themeColor="text1"/>
                <w:kern w:val="0"/>
                <w:szCs w:val="21"/>
                <w:highlight w:val="none"/>
                <w14:textFill>
                  <w14:solidFill>
                    <w14:schemeClr w14:val="tx1"/>
                  </w14:solidFill>
                </w14:textFill>
              </w:rPr>
              <w:t>。</w:t>
            </w:r>
          </w:p>
        </w:tc>
      </w:tr>
      <w:tr w14:paraId="619868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noWrap w:val="0"/>
            <w:vAlign w:val="center"/>
          </w:tcPr>
          <w:p w14:paraId="4A421F9F">
            <w:pPr>
              <w:snapToGrid w:val="0"/>
              <w:spacing w:line="400" w:lineRule="exact"/>
              <w:jc w:val="center"/>
              <w:rPr>
                <w:rFonts w:ascii="宋体" w:hAnsi="宋体"/>
                <w:color w:val="auto"/>
                <w:kern w:val="0"/>
                <w:szCs w:val="21"/>
                <w:highlight w:val="none"/>
              </w:rPr>
            </w:pPr>
          </w:p>
        </w:tc>
        <w:tc>
          <w:tcPr>
            <w:tcW w:w="1644" w:type="dxa"/>
            <w:noWrap w:val="0"/>
            <w:vAlign w:val="center"/>
          </w:tcPr>
          <w:p w14:paraId="7FD29AAC">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490" w:type="dxa"/>
            <w:noWrap w:val="0"/>
            <w:vAlign w:val="center"/>
          </w:tcPr>
          <w:p w14:paraId="01E73615">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详见</w:t>
            </w:r>
            <w:r>
              <w:rPr>
                <w:rFonts w:hint="eastAsia" w:ascii="宋体" w:hAnsi="宋体"/>
                <w:color w:val="auto"/>
                <w:szCs w:val="21"/>
                <w:highlight w:val="none"/>
                <w:lang w:eastAsia="zh-CN"/>
              </w:rPr>
              <w:t>比选</w:t>
            </w:r>
            <w:r>
              <w:rPr>
                <w:rFonts w:hint="eastAsia" w:ascii="宋体" w:hAnsi="宋体"/>
                <w:color w:val="auto"/>
                <w:szCs w:val="21"/>
                <w:highlight w:val="none"/>
              </w:rPr>
              <w:t>公告规定的投标截止时间。</w:t>
            </w:r>
          </w:p>
        </w:tc>
      </w:tr>
      <w:tr w14:paraId="18CED1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DB2E22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2.2.3</w:t>
            </w:r>
          </w:p>
        </w:tc>
        <w:tc>
          <w:tcPr>
            <w:tcW w:w="1644" w:type="dxa"/>
            <w:noWrap w:val="0"/>
            <w:vAlign w:val="center"/>
          </w:tcPr>
          <w:p w14:paraId="6F62BEC4">
            <w:pPr>
              <w:snapToGrid w:val="0"/>
              <w:spacing w:after="15" w:afterLines="5" w:line="400" w:lineRule="exact"/>
              <w:jc w:val="center"/>
              <w:rPr>
                <w:rFonts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人对</w:t>
            </w:r>
            <w:r>
              <w:rPr>
                <w:rFonts w:hint="eastAsia" w:ascii="宋体" w:hAnsi="宋体"/>
                <w:color w:val="auto"/>
                <w:kern w:val="0"/>
                <w:szCs w:val="21"/>
                <w:highlight w:val="none"/>
                <w:lang w:eastAsia="zh-CN"/>
              </w:rPr>
              <w:t>比选</w:t>
            </w:r>
            <w:r>
              <w:rPr>
                <w:rFonts w:ascii="宋体" w:hAnsi="宋体"/>
                <w:color w:val="auto"/>
                <w:kern w:val="0"/>
                <w:szCs w:val="21"/>
                <w:highlight w:val="none"/>
              </w:rPr>
              <w:t>文件进行</w:t>
            </w:r>
            <w:r>
              <w:rPr>
                <w:rFonts w:hint="eastAsia" w:ascii="宋体" w:hAnsi="宋体"/>
                <w:color w:val="auto"/>
                <w:kern w:val="0"/>
                <w:szCs w:val="21"/>
                <w:highlight w:val="none"/>
              </w:rPr>
              <w:t>修改</w:t>
            </w:r>
            <w:r>
              <w:rPr>
                <w:rFonts w:ascii="宋体" w:hAnsi="宋体"/>
                <w:color w:val="auto"/>
                <w:kern w:val="0"/>
                <w:szCs w:val="21"/>
                <w:highlight w:val="none"/>
              </w:rPr>
              <w:t>的时间</w:t>
            </w:r>
          </w:p>
        </w:tc>
        <w:tc>
          <w:tcPr>
            <w:tcW w:w="6490" w:type="dxa"/>
            <w:noWrap w:val="0"/>
            <w:vAlign w:val="center"/>
          </w:tcPr>
          <w:p w14:paraId="0C7750C7">
            <w:pPr>
              <w:snapToGrid w:val="0"/>
              <w:spacing w:line="400" w:lineRule="exact"/>
              <w:ind w:firstLine="420" w:firstLineChars="200"/>
              <w:rPr>
                <w:rFonts w:ascii="宋体" w:hAnsi="宋体"/>
                <w:color w:val="auto"/>
                <w:szCs w:val="21"/>
                <w:highlight w:val="none"/>
              </w:rPr>
            </w:pP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w:t>
            </w:r>
            <w:r>
              <w:rPr>
                <w:rFonts w:hint="eastAsia" w:ascii="宋体" w:hAnsi="宋体"/>
                <w:snapToGrid w:val="0"/>
                <w:color w:val="auto"/>
                <w:kern w:val="0"/>
                <w:szCs w:val="21"/>
                <w:highlight w:val="none"/>
                <w:lang w:val="en-US" w:eastAsia="zh-CN"/>
              </w:rPr>
              <w:t>1</w:t>
            </w:r>
            <w:r>
              <w:rPr>
                <w:rFonts w:ascii="宋体" w:hAnsi="宋体"/>
                <w:snapToGrid w:val="0"/>
                <w:color w:val="auto"/>
                <w:kern w:val="0"/>
                <w:szCs w:val="21"/>
                <w:highlight w:val="none"/>
              </w:rPr>
              <w:t>日前发布，发布时间至投标截止时间不足</w:t>
            </w:r>
            <w:r>
              <w:rPr>
                <w:rFonts w:hint="eastAsia" w:ascii="宋体" w:hAnsi="宋体"/>
                <w:snapToGrid w:val="0"/>
                <w:color w:val="auto"/>
                <w:kern w:val="0"/>
                <w:szCs w:val="21"/>
                <w:highlight w:val="none"/>
                <w:lang w:val="en-US" w:eastAsia="zh-CN"/>
              </w:rPr>
              <w:t>1</w:t>
            </w:r>
            <w:r>
              <w:rPr>
                <w:rFonts w:ascii="宋体" w:hAnsi="宋体"/>
                <w:snapToGrid w:val="0"/>
                <w:color w:val="auto"/>
                <w:kern w:val="0"/>
                <w:szCs w:val="21"/>
                <w:highlight w:val="none"/>
              </w:rPr>
              <w:t>日的，须相应延后投标截止时间。</w:t>
            </w:r>
          </w:p>
        </w:tc>
      </w:tr>
      <w:tr w14:paraId="53F0E2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F82D0C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3.1.1</w:t>
            </w:r>
          </w:p>
        </w:tc>
        <w:tc>
          <w:tcPr>
            <w:tcW w:w="1644" w:type="dxa"/>
            <w:noWrap w:val="0"/>
            <w:vAlign w:val="center"/>
          </w:tcPr>
          <w:p w14:paraId="2113F848">
            <w:pPr>
              <w:snapToGrid w:val="0"/>
              <w:spacing w:after="31" w:afterLines="10" w:line="400" w:lineRule="exact"/>
              <w:jc w:val="center"/>
              <w:rPr>
                <w:rFonts w:ascii="宋体" w:hAnsi="宋体"/>
                <w:color w:val="auto"/>
                <w:kern w:val="0"/>
                <w:szCs w:val="21"/>
                <w:highlight w:val="none"/>
              </w:rPr>
            </w:pPr>
            <w:r>
              <w:rPr>
                <w:rFonts w:ascii="宋体" w:hAnsi="宋体"/>
                <w:color w:val="auto"/>
                <w:kern w:val="0"/>
                <w:szCs w:val="21"/>
                <w:highlight w:val="none"/>
              </w:rPr>
              <w:t>构成投标文件的其他材料</w:t>
            </w:r>
          </w:p>
        </w:tc>
        <w:tc>
          <w:tcPr>
            <w:tcW w:w="6490" w:type="dxa"/>
            <w:noWrap w:val="0"/>
            <w:vAlign w:val="center"/>
          </w:tcPr>
          <w:p w14:paraId="51A723BA">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投标人的书面澄清、说明和补正（但不得改变投标文件的实质性内容）</w:t>
            </w:r>
          </w:p>
        </w:tc>
      </w:tr>
      <w:tr w14:paraId="44FE6E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BEA187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3.2</w:t>
            </w:r>
          </w:p>
        </w:tc>
        <w:tc>
          <w:tcPr>
            <w:tcW w:w="1644" w:type="dxa"/>
            <w:noWrap w:val="0"/>
            <w:vAlign w:val="center"/>
          </w:tcPr>
          <w:p w14:paraId="734CA39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投标报价</w:t>
            </w:r>
          </w:p>
        </w:tc>
        <w:tc>
          <w:tcPr>
            <w:tcW w:w="6490" w:type="dxa"/>
            <w:noWrap w:val="0"/>
            <w:vAlign w:val="center"/>
          </w:tcPr>
          <w:p w14:paraId="687836B8">
            <w:pPr>
              <w:pStyle w:val="2"/>
              <w:tabs>
                <w:tab w:val="left" w:pos="546"/>
                <w:tab w:val="left" w:pos="711"/>
              </w:tabs>
              <w:snapToGrid w:val="0"/>
              <w:spacing w:after="0" w:line="400" w:lineRule="exact"/>
              <w:ind w:firstLine="420" w:firstLineChars="200"/>
            </w:pPr>
            <w:r>
              <w:t>1.</w:t>
            </w:r>
            <w:r>
              <w:rPr>
                <w:rFonts w:hint="eastAsia"/>
                <w:lang w:eastAsia="zh-CN"/>
              </w:rPr>
              <w:t>本项目</w:t>
            </w:r>
            <w:r>
              <w:rPr>
                <w:rFonts w:hint="eastAsia"/>
              </w:rPr>
              <w:t>采用工程量清单计价。工程量清单应采用综合单价计价。</w:t>
            </w:r>
          </w:p>
          <w:p w14:paraId="6BC3172F">
            <w:pPr>
              <w:pStyle w:val="2"/>
              <w:tabs>
                <w:tab w:val="left" w:pos="546"/>
                <w:tab w:val="left" w:pos="711"/>
              </w:tabs>
              <w:snapToGrid w:val="0"/>
              <w:spacing w:after="0" w:line="400" w:lineRule="exact"/>
              <w:ind w:left="6" w:leftChars="3" w:firstLine="420" w:firstLineChars="200"/>
            </w:pPr>
            <w:r>
              <w:t>2.</w:t>
            </w:r>
            <w:r>
              <w:rPr>
                <w:rFonts w:hint="eastAsia"/>
              </w:rPr>
              <w:t>投标人应按《建设工程工程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w:t>
            </w:r>
            <w:r>
              <w:rPr>
                <w:rFonts w:hint="eastAsia"/>
                <w:lang w:eastAsia="zh-CN"/>
              </w:rPr>
              <w:t>比选</w:t>
            </w:r>
            <w:r>
              <w:rPr>
                <w:rFonts w:hint="eastAsia"/>
              </w:rPr>
              <w:t>范围内的全部工程的投标报价，并以投标人在工程量清单中提出的单价或总价</w:t>
            </w:r>
            <w:r>
              <w:footnoteReference w:id="0"/>
            </w:r>
            <w:r>
              <w:rPr>
                <w:rFonts w:hint="eastAsia"/>
              </w:rPr>
              <w:t>为依据。</w:t>
            </w:r>
          </w:p>
          <w:p w14:paraId="2D8573AB">
            <w:pPr>
              <w:tabs>
                <w:tab w:val="left" w:pos="546"/>
                <w:tab w:val="left" w:pos="711"/>
              </w:tabs>
              <w:snapToGrid w:val="0"/>
              <w:spacing w:line="400" w:lineRule="exact"/>
              <w:ind w:left="6" w:leftChars="3" w:firstLine="420" w:firstLineChars="200"/>
            </w:pPr>
            <w:r>
              <w:t>3.</w:t>
            </w:r>
            <w:r>
              <w:rPr>
                <w:rFonts w:hint="eastAsia"/>
              </w:rPr>
              <w:t>投标人应认真填写工程量清单中所列的本合同各工程子目的单价或总价。投标人没有填入单价或总价的工程子目，</w:t>
            </w:r>
            <w:r>
              <w:rPr>
                <w:rFonts w:hint="eastAsia"/>
                <w:lang w:eastAsia="zh-CN"/>
              </w:rPr>
              <w:t>比选</w:t>
            </w:r>
            <w:r>
              <w:rPr>
                <w:rFonts w:hint="eastAsia"/>
              </w:rPr>
              <w:t>人将认为该子目的价款已包括在工程量清单其他子目的单价和总价中。投标人必须按</w:t>
            </w:r>
            <w:r>
              <w:rPr>
                <w:rFonts w:hint="eastAsia"/>
                <w:lang w:eastAsia="zh-CN"/>
              </w:rPr>
              <w:t>比选</w:t>
            </w:r>
            <w:r>
              <w:rPr>
                <w:rFonts w:hint="eastAsia"/>
              </w:rPr>
              <w:t>工程量清单填报价格。项目编码、项目名称、项目特征、计量单位、工程量必须与</w:t>
            </w:r>
            <w:r>
              <w:rPr>
                <w:rFonts w:hint="eastAsia"/>
                <w:lang w:eastAsia="zh-CN"/>
              </w:rPr>
              <w:t>比选</w:t>
            </w:r>
            <w:r>
              <w:rPr>
                <w:rFonts w:hint="eastAsia"/>
              </w:rPr>
              <w:t>工程量清单一致。</w:t>
            </w:r>
          </w:p>
          <w:p w14:paraId="2FD60ED4">
            <w:pPr>
              <w:tabs>
                <w:tab w:val="left" w:pos="546"/>
                <w:tab w:val="left" w:pos="711"/>
              </w:tabs>
              <w:snapToGrid w:val="0"/>
              <w:spacing w:line="400" w:lineRule="exact"/>
              <w:ind w:left="6" w:leftChars="3" w:firstLine="420" w:firstLineChars="200"/>
              <w:rPr>
                <w:rFonts w:hint="eastAsia"/>
              </w:rPr>
            </w:pPr>
            <w:r>
              <w:t>4.</w:t>
            </w:r>
            <w:r>
              <w:rPr>
                <w:rFonts w:hint="eastAsia"/>
              </w:rPr>
              <w:t>投标函中的总报价必须与已标价工程量清单总报价一致。否则由评标委员会作否决投标处理。</w:t>
            </w:r>
          </w:p>
          <w:p w14:paraId="7FEFF05A">
            <w:pPr>
              <w:pStyle w:val="2"/>
              <w:tabs>
                <w:tab w:val="left" w:pos="546"/>
                <w:tab w:val="left" w:pos="711"/>
              </w:tabs>
              <w:snapToGrid w:val="0"/>
              <w:spacing w:after="0" w:line="400" w:lineRule="exact"/>
              <w:ind w:left="6" w:leftChars="3" w:firstLine="420" w:firstLineChars="200"/>
              <w:rPr>
                <w:rFonts w:hint="eastAsia"/>
              </w:rPr>
            </w:pPr>
            <w:r>
              <w:t>5.</w:t>
            </w:r>
            <w:r>
              <w:rPr>
                <w:rFonts w:hint="eastAsia"/>
              </w:rPr>
              <w:t>增值税计税方法由</w:t>
            </w:r>
            <w:r>
              <w:rPr>
                <w:rFonts w:hint="eastAsia"/>
                <w:lang w:eastAsia="zh-CN"/>
              </w:rPr>
              <w:t>比选</w:t>
            </w:r>
            <w:r>
              <w:rPr>
                <w:rFonts w:hint="eastAsia"/>
              </w:rPr>
              <w:t>人依据国家税法规定选择：</w:t>
            </w:r>
          </w:p>
          <w:p w14:paraId="6ED0C9CD">
            <w:pPr>
              <w:pStyle w:val="2"/>
              <w:tabs>
                <w:tab w:val="left" w:pos="546"/>
                <w:tab w:val="left" w:pos="711"/>
              </w:tabs>
              <w:snapToGrid w:val="0"/>
              <w:spacing w:after="0" w:line="400" w:lineRule="exact"/>
              <w:ind w:left="6" w:leftChars="3" w:firstLine="420" w:firstLineChars="200"/>
              <w:rPr>
                <w:rFonts w:hint="eastAsia"/>
              </w:rPr>
            </w:pPr>
            <w:r>
              <w:rPr>
                <w:rFonts w:hint="eastAsia"/>
              </w:rPr>
              <w:t>一般计税法</w:t>
            </w:r>
          </w:p>
          <w:p w14:paraId="52817653">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如发现工程量清单中的数量与图纸中数量不一致，应于本须知第2.2.1项中规定的时间前书面通知</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人核查，除非</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人以修改的形式予以更正，否则，应以工程量清单中列出的数量为准。</w:t>
            </w:r>
          </w:p>
          <w:p w14:paraId="3C7E8F3A">
            <w:pPr>
              <w:tabs>
                <w:tab w:val="left" w:pos="546"/>
                <w:tab w:val="left" w:pos="711"/>
              </w:tabs>
              <w:snapToGrid w:val="0"/>
              <w:spacing w:line="400" w:lineRule="exact"/>
              <w:ind w:firstLine="420" w:firstLineChars="200"/>
              <w:rPr>
                <w:rFonts w:ascii="宋体" w:hAnsi="宋体"/>
                <w:color w:val="auto"/>
                <w:szCs w:val="21"/>
                <w:highlight w:val="none"/>
              </w:rPr>
            </w:pPr>
            <w:r>
              <w:rPr>
                <w:rFonts w:ascii="宋体" w:hAnsi="宋体" w:cs="宋体"/>
                <w:color w:val="auto"/>
                <w:szCs w:val="21"/>
                <w:highlight w:val="none"/>
              </w:rPr>
              <w:t>7.</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人在工程量清单中所列出的价格（包括暂列金额、暂估价等），投标人不得修改</w:t>
            </w:r>
            <w:r>
              <w:rPr>
                <w:rFonts w:hint="eastAsia" w:ascii="宋体" w:hAnsi="宋体"/>
                <w:color w:val="auto"/>
                <w:szCs w:val="21"/>
                <w:highlight w:val="none"/>
              </w:rPr>
              <w:t>。</w:t>
            </w:r>
          </w:p>
          <w:p w14:paraId="064D4709">
            <w:pPr>
              <w:tabs>
                <w:tab w:val="left" w:pos="546"/>
                <w:tab w:val="left" w:pos="711"/>
              </w:tabs>
              <w:snapToGrid w:val="0"/>
              <w:spacing w:line="400" w:lineRule="exact"/>
              <w:ind w:firstLine="420" w:firstLineChars="200"/>
              <w:rPr>
                <w:rFonts w:ascii="宋体" w:hAnsi="宋体" w:cs="宋体"/>
                <w:szCs w:val="21"/>
                <w:highlight w:val="none"/>
              </w:rPr>
            </w:pPr>
            <w:r>
              <w:rPr>
                <w:rFonts w:hint="eastAsia"/>
              </w:rPr>
              <w:t>8.</w:t>
            </w:r>
            <w:r>
              <w:rPr>
                <w:rFonts w:hint="eastAsia" w:ascii="宋体" w:hAnsi="宋体" w:cs="宋体"/>
                <w:szCs w:val="21"/>
              </w:rPr>
              <w:t>本工程比选将设</w:t>
            </w:r>
            <w:r>
              <w:rPr>
                <w:rFonts w:hint="eastAsia" w:ascii="宋体" w:hAnsi="宋体" w:cs="宋体"/>
                <w:szCs w:val="21"/>
                <w:highlight w:val="none"/>
              </w:rPr>
              <w:t>置投标总报价最高限价，本工程投标总报价最高限价为</w:t>
            </w:r>
            <w:r>
              <w:rPr>
                <w:rFonts w:hint="eastAsia" w:ascii="宋体" w:hAnsi="宋体" w:cs="宋体"/>
                <w:szCs w:val="21"/>
                <w:highlight w:val="none"/>
                <w:lang w:eastAsia="zh-CN"/>
              </w:rPr>
              <w:t>250448.81</w:t>
            </w:r>
            <w:r>
              <w:rPr>
                <w:rFonts w:hint="eastAsia" w:ascii="宋体" w:hAnsi="宋体" w:cs="宋体"/>
                <w:szCs w:val="21"/>
                <w:highlight w:val="none"/>
              </w:rPr>
              <w:t>元（大写：</w:t>
            </w:r>
            <w:r>
              <w:rPr>
                <w:rFonts w:hint="eastAsia" w:ascii="宋体" w:hAnsi="宋体" w:cs="宋体"/>
                <w:szCs w:val="21"/>
                <w:highlight w:val="none"/>
                <w:lang w:val="en-US" w:eastAsia="zh-CN"/>
              </w:rPr>
              <w:t>贰拾伍万零肆佰肆拾捌元捌角壹分</w:t>
            </w:r>
            <w:r>
              <w:rPr>
                <w:rFonts w:hint="eastAsia" w:ascii="宋体" w:hAnsi="宋体" w:cs="宋体"/>
                <w:szCs w:val="21"/>
                <w:highlight w:val="none"/>
              </w:rPr>
              <w:t>），其中安全文明施工费</w:t>
            </w:r>
            <w:r>
              <w:rPr>
                <w:rFonts w:hint="eastAsia" w:ascii="宋体" w:hAnsi="宋体" w:cs="宋体"/>
                <w:szCs w:val="21"/>
                <w:highlight w:val="none"/>
                <w:lang w:eastAsia="zh-CN"/>
              </w:rPr>
              <w:t>8606.03</w:t>
            </w:r>
            <w:r>
              <w:rPr>
                <w:rFonts w:hint="eastAsia" w:ascii="宋体" w:hAnsi="宋体" w:cs="宋体"/>
                <w:szCs w:val="21"/>
                <w:highlight w:val="none"/>
              </w:rPr>
              <w:t>元；投标人的投标总报价不得超过投标总报价最高限价，否则由评标委员会作否决投标处理。</w:t>
            </w:r>
          </w:p>
          <w:p w14:paraId="3CA4E25F">
            <w:pPr>
              <w:tabs>
                <w:tab w:val="left" w:pos="546"/>
                <w:tab w:val="left" w:pos="711"/>
              </w:tabs>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本工程比选将设置全部工程量清单综合单价最高限价，随比选文件一同发布，投标人须在投标文件资格审查部分提供承诺函，承诺函包括以下内容：</w:t>
            </w:r>
          </w:p>
          <w:p w14:paraId="713389E6">
            <w:pPr>
              <w:tabs>
                <w:tab w:val="left" w:pos="546"/>
                <w:tab w:val="left" w:pos="711"/>
              </w:tabs>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（1）符合第五章“工程量清单”给出的范围及数量。</w:t>
            </w:r>
          </w:p>
          <w:p w14:paraId="2BA7034C">
            <w:pPr>
              <w:tabs>
                <w:tab w:val="left" w:pos="546"/>
                <w:tab w:val="left" w:pos="711"/>
              </w:tabs>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（2）比选文件中规定工程量清单不允许修改的内容不得修改。</w:t>
            </w:r>
          </w:p>
          <w:p w14:paraId="1EE31B19">
            <w:pPr>
              <w:tabs>
                <w:tab w:val="left" w:pos="546"/>
                <w:tab w:val="left" w:pos="711"/>
              </w:tabs>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（3）每项工程量清单综合单价报价不得高于对应工程量清单综合单价最高限价。</w:t>
            </w:r>
          </w:p>
          <w:p w14:paraId="2AE11FBA">
            <w:pPr>
              <w:pStyle w:val="2"/>
              <w:spacing w:after="0" w:line="400" w:lineRule="exact"/>
              <w:ind w:firstLine="420" w:firstLineChars="200"/>
              <w:rPr>
                <w:rFonts w:ascii="宋体" w:hAnsi="宋体" w:cs="宋体"/>
                <w:szCs w:val="21"/>
                <w:highlight w:val="none"/>
              </w:rPr>
            </w:pPr>
            <w:r>
              <w:rPr>
                <w:rFonts w:ascii="宋体" w:hAnsi="宋体" w:cs="宋体"/>
                <w:szCs w:val="21"/>
                <w:highlight w:val="none"/>
              </w:rPr>
              <w:t>9.安全文明施工费：</w:t>
            </w:r>
          </w:p>
          <w:p w14:paraId="063B7417">
            <w:pPr>
              <w:pStyle w:val="2"/>
              <w:tabs>
                <w:tab w:val="left" w:pos="546"/>
                <w:tab w:val="left" w:pos="711"/>
              </w:tabs>
              <w:snapToGrid w:val="0"/>
              <w:spacing w:after="0" w:line="400" w:lineRule="exact"/>
              <w:ind w:firstLine="420" w:firstLineChars="200"/>
              <w:rPr>
                <w:rFonts w:ascii="宋体" w:hAnsi="宋体" w:cs="宋体"/>
                <w:szCs w:val="21"/>
                <w:highlight w:val="none"/>
              </w:rPr>
            </w:pPr>
            <w:r>
              <w:rPr>
                <w:rFonts w:ascii="宋体" w:hAnsi="宋体" w:cs="宋体"/>
                <w:szCs w:val="21"/>
                <w:highlight w:val="none"/>
              </w:rPr>
              <w:t>9.1</w:t>
            </w:r>
            <w:r>
              <w:rPr>
                <w:rFonts w:hint="eastAsia" w:ascii="宋体" w:hAnsi="宋体" w:cs="宋体"/>
                <w:szCs w:val="21"/>
                <w:highlight w:val="none"/>
              </w:rPr>
              <w:t>根据《重庆城乡建设委员会关于印发</w:t>
            </w:r>
            <w:r>
              <w:rPr>
                <w:rFonts w:ascii="宋体" w:hAnsi="宋体" w:cs="宋体"/>
                <w:szCs w:val="21"/>
                <w:highlight w:val="none"/>
              </w:rPr>
              <w:t>&lt;</w:t>
            </w:r>
            <w:r>
              <w:rPr>
                <w:rFonts w:hint="eastAsia" w:ascii="宋体" w:hAnsi="宋体" w:cs="宋体"/>
                <w:szCs w:val="21"/>
                <w:highlight w:val="none"/>
              </w:rPr>
              <w:t>重庆市建设工程安全文明施工费计取及使用管理规定</w:t>
            </w:r>
            <w:r>
              <w:rPr>
                <w:rFonts w:ascii="宋体" w:hAnsi="宋体" w:cs="宋体"/>
                <w:szCs w:val="21"/>
                <w:highlight w:val="none"/>
              </w:rPr>
              <w:t>&gt;</w:t>
            </w:r>
            <w:r>
              <w:rPr>
                <w:rFonts w:hint="eastAsia" w:ascii="宋体" w:hAnsi="宋体" w:cs="宋体"/>
                <w:szCs w:val="21"/>
                <w:highlight w:val="none"/>
              </w:rPr>
              <w:t>的通知》（渝建发〔2014〕25号）规定，安全文明施工费由安全施工费、文明施工费、环境保护费及临时设施费组成。</w:t>
            </w:r>
          </w:p>
          <w:p w14:paraId="21317C74">
            <w:pPr>
              <w:pStyle w:val="97"/>
              <w:spacing w:line="400" w:lineRule="exact"/>
              <w:ind w:firstLineChars="200"/>
              <w:rPr>
                <w:sz w:val="21"/>
                <w:szCs w:val="21"/>
              </w:rPr>
            </w:pPr>
            <w:r>
              <w:rPr>
                <w:sz w:val="21"/>
                <w:szCs w:val="21"/>
                <w:highlight w:val="none"/>
              </w:rPr>
              <w:t>9.2本工程安全文明施工费由</w:t>
            </w:r>
            <w:r>
              <w:rPr>
                <w:rFonts w:hint="eastAsia"/>
                <w:sz w:val="21"/>
                <w:szCs w:val="21"/>
                <w:highlight w:val="none"/>
              </w:rPr>
              <w:t>比选</w:t>
            </w:r>
            <w:r>
              <w:rPr>
                <w:sz w:val="21"/>
                <w:szCs w:val="21"/>
                <w:highlight w:val="none"/>
              </w:rPr>
              <w:t>人根据《建设工程工程量清单计价规范》（GB50500-2013）、《重庆市建设工程工程量清单计价规则》（CQJJGZ-2013）、《</w:t>
            </w:r>
            <w:r>
              <w:rPr>
                <w:rFonts w:hint="eastAsia"/>
                <w:sz w:val="21"/>
                <w:szCs w:val="21"/>
                <w:highlight w:val="none"/>
              </w:rPr>
              <w:t>重庆市城乡建设委员会</w:t>
            </w:r>
            <w:r>
              <w:rPr>
                <w:sz w:val="21"/>
                <w:szCs w:val="21"/>
                <w:highlight w:val="none"/>
              </w:rPr>
              <w:t>关于印发&lt;重庆市建设工程安全文明施工费计取及使用管理规定&gt;的通知》（渝建发</w:t>
            </w:r>
            <w:r>
              <w:rPr>
                <w:rFonts w:hint="eastAsia"/>
                <w:sz w:val="21"/>
                <w:szCs w:val="21"/>
                <w:highlight w:val="none"/>
              </w:rPr>
              <w:t>〔</w:t>
            </w:r>
            <w:r>
              <w:rPr>
                <w:sz w:val="21"/>
                <w:szCs w:val="21"/>
                <w:highlight w:val="none"/>
              </w:rPr>
              <w:t>2014</w:t>
            </w:r>
            <w:r>
              <w:rPr>
                <w:rFonts w:hint="eastAsia"/>
                <w:sz w:val="21"/>
                <w:szCs w:val="21"/>
                <w:highlight w:val="none"/>
              </w:rPr>
              <w:t>〕</w:t>
            </w:r>
            <w:r>
              <w:rPr>
                <w:sz w:val="21"/>
                <w:szCs w:val="21"/>
                <w:highlight w:val="none"/>
              </w:rPr>
              <w:t>25号）</w:t>
            </w:r>
            <w:r>
              <w:rPr>
                <w:rFonts w:hint="eastAsia"/>
                <w:sz w:val="21"/>
                <w:szCs w:val="21"/>
                <w:highlight w:val="none"/>
              </w:rPr>
              <w:t>、《重庆市住房和城乡建设委员会关于调整建设施工现场形象品质提升安全文明施工费计取的通知》（渝建管〔2020〕97号）</w:t>
            </w:r>
            <w:r>
              <w:rPr>
                <w:sz w:val="21"/>
                <w:szCs w:val="21"/>
                <w:highlight w:val="none"/>
              </w:rPr>
              <w:t>、</w:t>
            </w:r>
            <w:r>
              <w:rPr>
                <w:rFonts w:hint="eastAsia"/>
                <w:sz w:val="21"/>
                <w:szCs w:val="21"/>
                <w:highlight w:val="none"/>
              </w:rPr>
              <w:t>《重庆市建设工程费用定额》（CQFYDE-2018）、《重庆市住房和城乡建设委员会关于适用增值税新税率调整建设工程计价依据的通知》（渝建〔2019〕143号）</w:t>
            </w:r>
            <w:r>
              <w:rPr>
                <w:sz w:val="21"/>
                <w:szCs w:val="21"/>
                <w:highlight w:val="none"/>
              </w:rPr>
              <w:t>的相关规定和费用标准单列计算，安全文明施工费为暂定金额。</w:t>
            </w:r>
            <w:r>
              <w:rPr>
                <w:rFonts w:hint="eastAsia"/>
                <w:sz w:val="21"/>
                <w:szCs w:val="21"/>
                <w:highlight w:val="none"/>
              </w:rPr>
              <w:t>本项目安全文明施工</w:t>
            </w:r>
            <w:r>
              <w:rPr>
                <w:rFonts w:hint="eastAsia"/>
                <w:kern w:val="2"/>
                <w:sz w:val="21"/>
                <w:szCs w:val="21"/>
                <w:highlight w:val="none"/>
              </w:rPr>
              <w:t>费</w:t>
            </w:r>
            <w:r>
              <w:rPr>
                <w:rFonts w:hint="eastAsia"/>
                <w:sz w:val="21"/>
                <w:szCs w:val="21"/>
                <w:highlight w:val="none"/>
              </w:rPr>
              <w:t>为</w:t>
            </w:r>
            <w:r>
              <w:rPr>
                <w:rFonts w:hint="eastAsia"/>
                <w:sz w:val="21"/>
                <w:szCs w:val="21"/>
                <w:highlight w:val="none"/>
                <w:lang w:eastAsia="zh-CN"/>
              </w:rPr>
              <w:t>8606.03</w:t>
            </w:r>
            <w:r>
              <w:rPr>
                <w:rFonts w:hint="eastAsia"/>
                <w:sz w:val="21"/>
                <w:szCs w:val="21"/>
                <w:highlight w:val="none"/>
              </w:rPr>
              <w:t>元。</w:t>
            </w:r>
            <w:r>
              <w:rPr>
                <w:sz w:val="21"/>
                <w:szCs w:val="21"/>
                <w:highlight w:val="none"/>
              </w:rPr>
              <w:t>《投标函》及工程量清单报价中的安全文明施工费必须按照</w:t>
            </w:r>
            <w:r>
              <w:rPr>
                <w:rFonts w:hint="eastAsia"/>
                <w:sz w:val="21"/>
                <w:szCs w:val="21"/>
                <w:highlight w:val="none"/>
              </w:rPr>
              <w:t>比选</w:t>
            </w:r>
            <w:r>
              <w:rPr>
                <w:sz w:val="21"/>
                <w:szCs w:val="21"/>
                <w:highlight w:val="none"/>
              </w:rPr>
              <w:t>人给出的</w:t>
            </w:r>
            <w:r>
              <w:rPr>
                <w:sz w:val="21"/>
                <w:szCs w:val="21"/>
              </w:rPr>
              <w:t>暂定金额填报，否则视为对</w:t>
            </w:r>
            <w:r>
              <w:rPr>
                <w:rFonts w:hint="eastAsia"/>
                <w:sz w:val="21"/>
                <w:szCs w:val="21"/>
              </w:rPr>
              <w:t>比选</w:t>
            </w:r>
            <w:r>
              <w:rPr>
                <w:sz w:val="21"/>
                <w:szCs w:val="21"/>
              </w:rPr>
              <w:t>文件不作实质性响应，其投标文件</w:t>
            </w:r>
            <w:r>
              <w:rPr>
                <w:rFonts w:hint="eastAsia"/>
                <w:sz w:val="21"/>
                <w:szCs w:val="21"/>
              </w:rPr>
              <w:t>由评标委员会</w:t>
            </w:r>
            <w:r>
              <w:rPr>
                <w:sz w:val="21"/>
                <w:szCs w:val="21"/>
              </w:rPr>
              <w:t>作否决投标处理。</w:t>
            </w:r>
          </w:p>
          <w:p w14:paraId="7C34A8B0">
            <w:pPr>
              <w:tabs>
                <w:tab w:val="left" w:pos="546"/>
                <w:tab w:val="left" w:pos="711"/>
              </w:tabs>
              <w:snapToGrid w:val="0"/>
              <w:spacing w:line="400" w:lineRule="exact"/>
              <w:ind w:firstLine="420" w:firstLineChars="200"/>
              <w:rPr>
                <w:rFonts w:ascii="宋体" w:hAnsi="宋体" w:cs="宋体"/>
                <w:szCs w:val="21"/>
              </w:rPr>
            </w:pPr>
            <w:r>
              <w:rPr>
                <w:rFonts w:ascii="宋体" w:hAnsi="宋体"/>
                <w:szCs w:val="21"/>
              </w:rPr>
              <w:t>10.</w:t>
            </w:r>
            <w:r>
              <w:rPr>
                <w:rFonts w:hint="eastAsia" w:ascii="宋体" w:hAnsi="宋体"/>
                <w:szCs w:val="21"/>
              </w:rPr>
              <w:t>本工程所需材料（含设备）价格由投标人参照重庆市建设工</w:t>
            </w:r>
            <w:r>
              <w:rPr>
                <w:rFonts w:hint="eastAsia" w:ascii="宋体" w:hAnsi="宋体" w:cs="宋体"/>
                <w:szCs w:val="21"/>
              </w:rPr>
              <w:t>程造价管理总站发布的《重庆工程造价信息》或工程造价管理机构发布的工程造价信息（造价信息引用时限为比选公告发布日期前一期），并结合市场行情及自身实力进行自主报价。</w:t>
            </w:r>
          </w:p>
          <w:p w14:paraId="15492A91">
            <w:pPr>
              <w:pStyle w:val="2"/>
              <w:tabs>
                <w:tab w:val="left" w:pos="546"/>
                <w:tab w:val="left" w:pos="711"/>
              </w:tabs>
              <w:snapToGrid w:val="0"/>
              <w:spacing w:after="0" w:line="400" w:lineRule="exact"/>
              <w:ind w:firstLine="420" w:firstLineChars="200"/>
              <w:rPr>
                <w:rFonts w:ascii="宋体" w:hAnsi="宋体" w:cs="宋体"/>
                <w:szCs w:val="21"/>
                <w:u w:val="single"/>
              </w:rPr>
            </w:pPr>
            <w:r>
              <w:rPr>
                <w:rFonts w:hint="eastAsia" w:ascii="宋体" w:hAnsi="宋体" w:cs="宋体"/>
                <w:szCs w:val="21"/>
              </w:rPr>
              <w:t>11.本项目材料及设备价格风险内容、范围及调整方法为：</w:t>
            </w:r>
            <w:r>
              <w:rPr>
                <w:rFonts w:hint="eastAsia" w:ascii="宋体" w:hAnsi="宋体" w:cs="宋体"/>
                <w:szCs w:val="21"/>
                <w:u w:val="single"/>
              </w:rPr>
              <w:t>不调整。</w:t>
            </w:r>
          </w:p>
          <w:p w14:paraId="74468A41">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2</w:t>
            </w:r>
            <w:r>
              <w:rPr>
                <w:rFonts w:ascii="宋体" w:hAnsi="宋体" w:cs="宋体"/>
                <w:szCs w:val="21"/>
              </w:rPr>
              <w:t>.</w:t>
            </w:r>
            <w:r>
              <w:rPr>
                <w:rFonts w:hint="eastAsia" w:ascii="宋体" w:hAnsi="宋体" w:cs="宋体"/>
                <w:szCs w:val="21"/>
              </w:rPr>
              <w:t>本项目所采用技术、工艺和产品等必须执行重庆市住房和城乡建设委员会关于发布《重庆市建设领域禁止、限制使用落后技术通告（2019年版）（渝建发〔2019〕25号）的规定。</w:t>
            </w:r>
          </w:p>
          <w:p w14:paraId="2615D3EB">
            <w:pPr>
              <w:tabs>
                <w:tab w:val="left" w:pos="546"/>
                <w:tab w:val="left" w:pos="711"/>
              </w:tabs>
              <w:snapToGrid w:val="0"/>
              <w:spacing w:line="400" w:lineRule="exact"/>
              <w:ind w:left="6" w:leftChars="3" w:firstLine="420" w:firstLineChars="200"/>
            </w:pPr>
            <w:r>
              <w:rPr>
                <w:rFonts w:hint="eastAsia" w:ascii="宋体" w:hAnsi="宋体" w:cs="宋体"/>
                <w:szCs w:val="21"/>
              </w:rPr>
              <w:t>13.本工程主体结构若需混凝土，则必须使用商品混凝土，不得自建搅拌站。</w:t>
            </w:r>
          </w:p>
        </w:tc>
      </w:tr>
      <w:tr w14:paraId="43C0BF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E901C0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3.3.1</w:t>
            </w:r>
          </w:p>
        </w:tc>
        <w:tc>
          <w:tcPr>
            <w:tcW w:w="1644" w:type="dxa"/>
            <w:noWrap w:val="0"/>
            <w:vAlign w:val="center"/>
          </w:tcPr>
          <w:p w14:paraId="260AF93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投标有效期</w:t>
            </w:r>
          </w:p>
        </w:tc>
        <w:tc>
          <w:tcPr>
            <w:tcW w:w="6490" w:type="dxa"/>
            <w:noWrap w:val="0"/>
            <w:vAlign w:val="center"/>
          </w:tcPr>
          <w:p w14:paraId="62FDC9FD">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90</w:t>
            </w:r>
            <w:r>
              <w:rPr>
                <w:rFonts w:ascii="宋体" w:hAnsi="宋体"/>
                <w:color w:val="auto"/>
                <w:szCs w:val="21"/>
                <w:highlight w:val="none"/>
                <w:u w:val="single"/>
              </w:rPr>
              <w:t xml:space="preserve"> </w:t>
            </w:r>
            <w:r>
              <w:rPr>
                <w:rFonts w:ascii="宋体" w:hAnsi="宋体"/>
                <w:color w:val="auto"/>
                <w:szCs w:val="21"/>
                <w:highlight w:val="none"/>
              </w:rPr>
              <w:t>日历天（从提交投标文件截止日起计算）</w:t>
            </w:r>
          </w:p>
        </w:tc>
      </w:tr>
      <w:tr w14:paraId="787A6A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8B42A2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3.4</w:t>
            </w:r>
          </w:p>
        </w:tc>
        <w:tc>
          <w:tcPr>
            <w:tcW w:w="1644" w:type="dxa"/>
            <w:noWrap w:val="0"/>
            <w:vAlign w:val="center"/>
          </w:tcPr>
          <w:p w14:paraId="5C25102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投标保证金</w:t>
            </w:r>
          </w:p>
        </w:tc>
        <w:tc>
          <w:tcPr>
            <w:tcW w:w="6490" w:type="dxa"/>
            <w:noWrap w:val="0"/>
            <w:vAlign w:val="center"/>
          </w:tcPr>
          <w:p w14:paraId="4AC56CA2">
            <w:pPr>
              <w:pStyle w:val="312"/>
              <w:numPr>
                <w:ilvl w:val="0"/>
                <w:numId w:val="1"/>
              </w:numPr>
              <w:snapToGrid w:val="0"/>
              <w:spacing w:line="400" w:lineRule="exact"/>
              <w:ind w:firstLineChars="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投标保证金的形式：</w:t>
            </w:r>
          </w:p>
          <w:p w14:paraId="4B1A5AB4">
            <w:pPr>
              <w:pStyle w:val="312"/>
              <w:snapToGrid w:val="0"/>
              <w:spacing w:line="400" w:lineRule="exact"/>
              <w:ind w:left="772" w:firstLine="0" w:firstLineChars="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现金。</w:t>
            </w:r>
          </w:p>
          <w:p w14:paraId="09927F09">
            <w:pPr>
              <w:snapToGrid w:val="0"/>
              <w:spacing w:line="400" w:lineRule="exact"/>
              <w:ind w:firstLine="405"/>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2、投标保证金的金额：</w:t>
            </w:r>
          </w:p>
          <w:p w14:paraId="19112C00">
            <w:pPr>
              <w:snapToGrid w:val="0"/>
              <w:spacing w:line="400" w:lineRule="exact"/>
              <w:ind w:firstLine="735" w:firstLineChars="35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保证金的金额为</w:t>
            </w:r>
            <w:r>
              <w:rPr>
                <w:rFonts w:hint="eastAsia" w:ascii="宋体" w:hAnsi="宋体" w:cs="仿宋_GB2312"/>
                <w:bCs/>
                <w:snapToGrid w:val="0"/>
                <w:color w:val="000000"/>
                <w:kern w:val="0"/>
                <w:sz w:val="21"/>
                <w:szCs w:val="21"/>
                <w:u w:val="single"/>
                <w:lang w:val="en-US" w:eastAsia="zh-CN" w:bidi="ar-SA"/>
              </w:rPr>
              <w:t>5000.00</w:t>
            </w:r>
            <w:r>
              <w:rPr>
                <w:rFonts w:hint="eastAsia" w:ascii="宋体" w:hAnsi="宋体" w:eastAsia="宋体" w:cs="仿宋_GB2312"/>
                <w:bCs/>
                <w:snapToGrid w:val="0"/>
                <w:color w:val="000000"/>
                <w:kern w:val="0"/>
                <w:sz w:val="21"/>
                <w:szCs w:val="21"/>
                <w:lang w:val="en-US" w:eastAsia="zh-CN" w:bidi="ar-SA"/>
              </w:rPr>
              <w:t>元（大写：</w:t>
            </w:r>
            <w:r>
              <w:rPr>
                <w:rFonts w:hint="eastAsia" w:ascii="宋体" w:hAnsi="宋体" w:cs="仿宋_GB2312"/>
                <w:bCs/>
                <w:snapToGrid w:val="0"/>
                <w:color w:val="000000"/>
                <w:kern w:val="0"/>
                <w:sz w:val="21"/>
                <w:szCs w:val="21"/>
                <w:lang w:val="en-US" w:eastAsia="zh-CN" w:bidi="ar-SA"/>
              </w:rPr>
              <w:t>伍仟元整</w:t>
            </w:r>
            <w:r>
              <w:rPr>
                <w:rFonts w:hint="eastAsia" w:ascii="宋体" w:hAnsi="宋体" w:eastAsia="宋体" w:cs="仿宋_GB2312"/>
                <w:bCs/>
                <w:snapToGrid w:val="0"/>
                <w:color w:val="000000"/>
                <w:kern w:val="0"/>
                <w:sz w:val="21"/>
                <w:szCs w:val="21"/>
                <w:lang w:val="en-US" w:eastAsia="zh-CN" w:bidi="ar-SA"/>
              </w:rPr>
              <w:t>）。</w:t>
            </w:r>
          </w:p>
          <w:p w14:paraId="2D4F9C39">
            <w:pPr>
              <w:snapToGrid w:val="0"/>
              <w:spacing w:line="400" w:lineRule="exact"/>
              <w:ind w:firstLine="422"/>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3、递交方式：</w:t>
            </w:r>
          </w:p>
          <w:p w14:paraId="0A215CDC">
            <w:pPr>
              <w:tabs>
                <w:tab w:val="left" w:pos="546"/>
                <w:tab w:val="left" w:pos="711"/>
              </w:tabs>
              <w:autoSpaceDE w:val="0"/>
              <w:autoSpaceDN w:val="0"/>
              <w:adjustRightInd w:val="0"/>
              <w:snapToGrid w:val="0"/>
              <w:spacing w:line="500" w:lineRule="exact"/>
              <w:ind w:firstLine="735" w:firstLineChars="35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信封递交、信封上写明单位名称并盖单位公章。</w:t>
            </w:r>
          </w:p>
          <w:p w14:paraId="3455BE81">
            <w:pPr>
              <w:tabs>
                <w:tab w:val="left" w:pos="546"/>
                <w:tab w:val="left" w:pos="711"/>
              </w:tabs>
              <w:autoSpaceDE w:val="0"/>
              <w:autoSpaceDN w:val="0"/>
              <w:adjustRightInd w:val="0"/>
              <w:snapToGrid w:val="0"/>
              <w:spacing w:line="500" w:lineRule="exact"/>
              <w:ind w:firstLine="42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4、递交时间：</w:t>
            </w:r>
          </w:p>
          <w:p w14:paraId="6DCE18EB">
            <w:pPr>
              <w:tabs>
                <w:tab w:val="left" w:pos="546"/>
                <w:tab w:val="left" w:pos="711"/>
              </w:tabs>
              <w:autoSpaceDE w:val="0"/>
              <w:autoSpaceDN w:val="0"/>
              <w:adjustRightInd w:val="0"/>
              <w:snapToGrid w:val="0"/>
              <w:spacing w:line="500" w:lineRule="exact"/>
              <w:ind w:firstLine="735" w:firstLineChars="35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递交投标文件时，同时递交。</w:t>
            </w:r>
          </w:p>
          <w:p w14:paraId="1DD3E53D">
            <w:pPr>
              <w:tabs>
                <w:tab w:val="left" w:pos="546"/>
                <w:tab w:val="left" w:pos="711"/>
              </w:tabs>
              <w:autoSpaceDE w:val="0"/>
              <w:autoSpaceDN w:val="0"/>
              <w:adjustRightInd w:val="0"/>
              <w:snapToGrid w:val="0"/>
              <w:spacing w:line="500" w:lineRule="exact"/>
              <w:ind w:firstLine="42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5、投标保证金退还：</w:t>
            </w:r>
          </w:p>
          <w:p w14:paraId="4D1706BB">
            <w:pPr>
              <w:snapToGrid w:val="0"/>
              <w:spacing w:line="400" w:lineRule="exact"/>
              <w:ind w:firstLine="420" w:firstLineChars="200"/>
              <w:jc w:val="left"/>
              <w:rPr>
                <w:rFonts w:hint="eastAsia" w:ascii="宋体" w:hAnsi="宋体" w:eastAsia="宋体" w:cs="仿宋_GB2312"/>
                <w:bCs/>
                <w:snapToGrid w:val="0"/>
                <w:color w:val="000000"/>
                <w:kern w:val="0"/>
                <w:sz w:val="21"/>
                <w:szCs w:val="21"/>
                <w:lang w:val="en-US" w:eastAsia="zh-CN" w:bidi="ar-SA"/>
              </w:rPr>
            </w:pPr>
            <w:r>
              <w:rPr>
                <w:rFonts w:hint="eastAsia" w:ascii="宋体" w:hAnsi="宋体" w:cs="仿宋_GB2312"/>
                <w:bCs/>
                <w:snapToGrid w:val="0"/>
                <w:color w:val="000000"/>
                <w:kern w:val="0"/>
                <w:sz w:val="21"/>
                <w:szCs w:val="21"/>
                <w:lang w:val="en-US" w:eastAsia="zh-CN" w:bidi="ar-SA"/>
              </w:rPr>
              <w:t>①</w:t>
            </w:r>
            <w:r>
              <w:rPr>
                <w:rFonts w:hint="eastAsia" w:ascii="宋体" w:hAnsi="宋体" w:eastAsia="宋体" w:cs="仿宋_GB2312"/>
                <w:bCs/>
                <w:snapToGrid w:val="0"/>
                <w:color w:val="000000"/>
                <w:kern w:val="0"/>
                <w:sz w:val="21"/>
                <w:szCs w:val="21"/>
                <w:lang w:val="en-US" w:eastAsia="zh-CN" w:bidi="ar-SA"/>
              </w:rPr>
              <w:t>开标结束后当场退还除中标候选人外其他投标人的投标保证金。</w:t>
            </w:r>
          </w:p>
          <w:p w14:paraId="503F2A39">
            <w:pPr>
              <w:snapToGrid w:val="0"/>
              <w:spacing w:line="400" w:lineRule="exact"/>
              <w:ind w:firstLine="420" w:firstLineChars="200"/>
              <w:jc w:val="left"/>
              <w:rPr>
                <w:rFonts w:hint="default" w:ascii="宋体" w:hAnsi="宋体" w:eastAsia="宋体" w:cs="仿宋_GB2312"/>
                <w:bCs/>
                <w:snapToGrid w:val="0"/>
                <w:color w:val="000000"/>
                <w:kern w:val="0"/>
                <w:sz w:val="21"/>
                <w:szCs w:val="21"/>
                <w:lang w:val="en-US" w:eastAsia="zh-CN" w:bidi="ar-SA"/>
              </w:rPr>
            </w:pPr>
            <w:r>
              <w:rPr>
                <w:rFonts w:hint="eastAsia" w:ascii="宋体" w:hAnsi="宋体" w:eastAsia="宋体" w:cs="仿宋_GB2312"/>
                <w:bCs/>
                <w:snapToGrid w:val="0"/>
                <w:color w:val="000000"/>
                <w:kern w:val="0"/>
                <w:sz w:val="21"/>
                <w:szCs w:val="21"/>
                <w:lang w:val="en-US" w:eastAsia="zh-CN" w:bidi="ar-SA"/>
              </w:rPr>
              <w:t>②</w:t>
            </w:r>
            <w:r>
              <w:rPr>
                <w:rFonts w:hint="eastAsia" w:ascii="宋体" w:hAnsi="宋体" w:cs="仿宋_GB2312"/>
                <w:bCs/>
                <w:snapToGrid w:val="0"/>
                <w:color w:val="000000"/>
                <w:kern w:val="0"/>
                <w:sz w:val="21"/>
                <w:szCs w:val="21"/>
                <w:lang w:val="en-US" w:eastAsia="zh-CN" w:bidi="ar-SA"/>
              </w:rPr>
              <w:t>中标</w:t>
            </w:r>
            <w:r>
              <w:rPr>
                <w:rFonts w:hint="eastAsia" w:ascii="宋体" w:hAnsi="宋体" w:eastAsia="宋体" w:cs="仿宋_GB2312"/>
                <w:bCs/>
                <w:snapToGrid w:val="0"/>
                <w:color w:val="000000"/>
                <w:kern w:val="0"/>
                <w:sz w:val="21"/>
                <w:szCs w:val="21"/>
                <w:lang w:val="en-US" w:eastAsia="zh-CN" w:bidi="ar-SA"/>
              </w:rPr>
              <w:t>人及其他</w:t>
            </w:r>
            <w:r>
              <w:rPr>
                <w:rFonts w:hint="eastAsia" w:ascii="宋体" w:hAnsi="宋体" w:cs="仿宋_GB2312"/>
                <w:bCs/>
                <w:snapToGrid w:val="0"/>
                <w:color w:val="000000"/>
                <w:kern w:val="0"/>
                <w:sz w:val="21"/>
                <w:szCs w:val="21"/>
                <w:lang w:val="en-US" w:eastAsia="zh-CN" w:bidi="ar-SA"/>
              </w:rPr>
              <w:t>中标候</w:t>
            </w:r>
            <w:r>
              <w:rPr>
                <w:rFonts w:hint="eastAsia" w:ascii="宋体" w:hAnsi="宋体" w:eastAsia="宋体" w:cs="仿宋_GB2312"/>
                <w:bCs/>
                <w:snapToGrid w:val="0"/>
                <w:color w:val="000000"/>
                <w:kern w:val="0"/>
                <w:sz w:val="21"/>
                <w:szCs w:val="21"/>
                <w:lang w:val="en-US" w:eastAsia="zh-CN" w:bidi="ar-SA"/>
              </w:rPr>
              <w:t>选人交纳的投标保证金，将于本项目合同签订后5个工作日内全额退还（不计息）</w:t>
            </w:r>
            <w:r>
              <w:rPr>
                <w:rFonts w:hint="eastAsia" w:ascii="宋体" w:hAnsi="宋体" w:cs="仿宋_GB2312"/>
                <w:bCs/>
                <w:snapToGrid w:val="0"/>
                <w:color w:val="000000"/>
                <w:kern w:val="0"/>
                <w:sz w:val="21"/>
                <w:szCs w:val="21"/>
                <w:lang w:val="en-US" w:eastAsia="zh-CN" w:bidi="ar-SA"/>
              </w:rPr>
              <w:t>。</w:t>
            </w:r>
          </w:p>
          <w:p w14:paraId="3AF56100">
            <w:pPr>
              <w:snapToGrid w:val="0"/>
              <w:spacing w:line="400" w:lineRule="exact"/>
              <w:ind w:firstLine="420" w:firstLineChars="200"/>
              <w:rPr>
                <w:rFonts w:hint="eastAsia" w:ascii="宋体" w:hAnsi="宋体"/>
                <w:color w:val="auto"/>
                <w:kern w:val="0"/>
                <w:szCs w:val="21"/>
                <w:highlight w:val="none"/>
              </w:rPr>
            </w:pPr>
            <w:r>
              <w:rPr>
                <w:rFonts w:hint="eastAsia" w:ascii="宋体" w:hAnsi="宋体" w:eastAsia="宋体" w:cs="仿宋_GB2312"/>
                <w:bCs/>
                <w:snapToGrid w:val="0"/>
                <w:color w:val="000000"/>
                <w:kern w:val="0"/>
                <w:sz w:val="21"/>
                <w:szCs w:val="21"/>
                <w:lang w:val="en-US" w:eastAsia="zh-CN" w:bidi="ar-SA"/>
              </w:rPr>
              <w:t>特别提示：本工程投标人比选过程中有串标、围标等违法行为的按相关法律法规处理且投标保证金不予退还。本工程中选人无故放弃中选的按相关法律法规处理且投标保证金不予退还。本工程投标人报名后，无故放弃投标的按相关法律法规处理且投标保证金不予退还。</w:t>
            </w:r>
          </w:p>
        </w:tc>
      </w:tr>
      <w:tr w14:paraId="417A7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045E71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3.6</w:t>
            </w:r>
          </w:p>
        </w:tc>
        <w:tc>
          <w:tcPr>
            <w:tcW w:w="1644" w:type="dxa"/>
            <w:noWrap w:val="0"/>
            <w:vAlign w:val="center"/>
          </w:tcPr>
          <w:p w14:paraId="21CD4CED">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是否允许递交</w:t>
            </w:r>
          </w:p>
          <w:p w14:paraId="489E0D20">
            <w:pPr>
              <w:snapToGrid w:val="0"/>
              <w:spacing w:after="93" w:afterLines="30" w:line="400" w:lineRule="exact"/>
              <w:jc w:val="center"/>
              <w:rPr>
                <w:rFonts w:ascii="宋体" w:hAnsi="宋体"/>
                <w:color w:val="auto"/>
                <w:kern w:val="0"/>
                <w:szCs w:val="21"/>
                <w:highlight w:val="none"/>
              </w:rPr>
            </w:pPr>
            <w:r>
              <w:rPr>
                <w:rFonts w:ascii="宋体" w:hAnsi="宋体"/>
                <w:color w:val="auto"/>
                <w:kern w:val="0"/>
                <w:szCs w:val="21"/>
                <w:highlight w:val="none"/>
              </w:rPr>
              <w:t>备选投标方案</w:t>
            </w:r>
          </w:p>
        </w:tc>
        <w:tc>
          <w:tcPr>
            <w:tcW w:w="6490" w:type="dxa"/>
            <w:noWrap w:val="0"/>
            <w:vAlign w:val="center"/>
          </w:tcPr>
          <w:p w14:paraId="2513F76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不允许</w:t>
            </w:r>
          </w:p>
        </w:tc>
      </w:tr>
      <w:tr w14:paraId="516B54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C2E961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3.7.1</w:t>
            </w:r>
          </w:p>
        </w:tc>
        <w:tc>
          <w:tcPr>
            <w:tcW w:w="1644" w:type="dxa"/>
            <w:noWrap w:val="0"/>
            <w:vAlign w:val="center"/>
          </w:tcPr>
          <w:p w14:paraId="1886CE89">
            <w:pPr>
              <w:snapToGrid w:val="0"/>
              <w:spacing w:after="93" w:afterLines="30"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投标文件格式要求</w:t>
            </w:r>
          </w:p>
        </w:tc>
        <w:tc>
          <w:tcPr>
            <w:tcW w:w="6490" w:type="dxa"/>
            <w:noWrap w:val="0"/>
            <w:vAlign w:val="center"/>
          </w:tcPr>
          <w:p w14:paraId="0A2A732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编制投标文件时不得对第八章“投标文件格式”的相应要素作实质性修改，否则由评标委员会作否决投标处理。</w:t>
            </w:r>
          </w:p>
        </w:tc>
      </w:tr>
      <w:tr w14:paraId="2BD45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E27562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3.7.3</w:t>
            </w:r>
          </w:p>
        </w:tc>
        <w:tc>
          <w:tcPr>
            <w:tcW w:w="1644" w:type="dxa"/>
            <w:noWrap w:val="0"/>
            <w:vAlign w:val="center"/>
          </w:tcPr>
          <w:p w14:paraId="4A6CF81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签字盖章要求</w:t>
            </w:r>
          </w:p>
        </w:tc>
        <w:tc>
          <w:tcPr>
            <w:tcW w:w="6490" w:type="dxa"/>
            <w:noWrap w:val="0"/>
            <w:vAlign w:val="center"/>
          </w:tcPr>
          <w:p w14:paraId="6588C77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投标文件应用不褪色的材料书写或打印，并由投标人的法定代表人或其委托代理人在</w:t>
            </w:r>
            <w:r>
              <w:rPr>
                <w:rFonts w:hint="eastAsia" w:ascii="宋体" w:hAnsi="宋体"/>
                <w:color w:val="auto"/>
                <w:szCs w:val="21"/>
                <w:highlight w:val="none"/>
                <w:lang w:eastAsia="zh-CN"/>
              </w:rPr>
              <w:t>比选</w:t>
            </w:r>
            <w:r>
              <w:rPr>
                <w:rFonts w:hint="eastAsia" w:ascii="宋体" w:hAnsi="宋体"/>
                <w:color w:val="auto"/>
                <w:szCs w:val="21"/>
                <w:highlight w:val="none"/>
              </w:rPr>
              <w:t>文件规定的位置按</w:t>
            </w:r>
            <w:r>
              <w:rPr>
                <w:rFonts w:hint="eastAsia" w:ascii="宋体" w:hAnsi="宋体"/>
                <w:color w:val="auto"/>
                <w:szCs w:val="21"/>
                <w:highlight w:val="none"/>
                <w:lang w:eastAsia="zh-CN"/>
              </w:rPr>
              <w:t>比选</w:t>
            </w:r>
            <w:r>
              <w:rPr>
                <w:rFonts w:hint="eastAsia" w:ascii="宋体" w:hAnsi="宋体"/>
                <w:color w:val="auto"/>
                <w:szCs w:val="21"/>
                <w:highlight w:val="none"/>
              </w:rPr>
              <w:t>文件要求签字或盖章、盖单位法人章。委托代理人签字的，投标文件应附法定代表人签署的授权委托书。投标文件应尽量避免涂改、行间插字或删除。如果出现上述情况，改动之处应加盖单位法人章或由投标人的法定代表人或其授权的代理人签字确认。</w:t>
            </w:r>
          </w:p>
          <w:p w14:paraId="603896F2">
            <w:pPr>
              <w:snapToGrid w:val="0"/>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未按上述规定执行的，交由评标委员会作否决投标处理。</w:t>
            </w:r>
          </w:p>
        </w:tc>
      </w:tr>
      <w:tr w14:paraId="2E82B1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24E828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3.7.4</w:t>
            </w:r>
          </w:p>
        </w:tc>
        <w:tc>
          <w:tcPr>
            <w:tcW w:w="1644" w:type="dxa"/>
            <w:noWrap w:val="0"/>
            <w:vAlign w:val="center"/>
          </w:tcPr>
          <w:p w14:paraId="20762498">
            <w:pPr>
              <w:snapToGrid w:val="0"/>
              <w:spacing w:line="400" w:lineRule="exact"/>
              <w:rPr>
                <w:rFonts w:ascii="宋体" w:hAnsi="宋体"/>
                <w:color w:val="auto"/>
                <w:spacing w:val="-6"/>
                <w:kern w:val="0"/>
                <w:szCs w:val="21"/>
                <w:highlight w:val="none"/>
              </w:rPr>
            </w:pPr>
            <w:r>
              <w:rPr>
                <w:rFonts w:ascii="宋体" w:hAnsi="宋体"/>
                <w:color w:val="auto"/>
                <w:spacing w:val="-6"/>
                <w:kern w:val="0"/>
                <w:szCs w:val="21"/>
                <w:highlight w:val="none"/>
              </w:rPr>
              <w:t>投标文件的份数</w:t>
            </w:r>
          </w:p>
        </w:tc>
        <w:tc>
          <w:tcPr>
            <w:tcW w:w="6490" w:type="dxa"/>
            <w:noWrap w:val="0"/>
            <w:vAlign w:val="center"/>
          </w:tcPr>
          <w:p w14:paraId="0872CA2F">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投标文件正本</w:t>
            </w:r>
            <w:r>
              <w:rPr>
                <w:rFonts w:hint="eastAsia" w:ascii="宋体" w:hAnsi="宋体"/>
                <w:color w:val="auto"/>
                <w:kern w:val="0"/>
                <w:szCs w:val="21"/>
                <w:highlight w:val="none"/>
              </w:rPr>
              <w:t>1份、副本2份，电子版形式（光盘）1份。当副本和正本不一致时，以正本为准。否则由评标委员会作否决投标处理。</w:t>
            </w:r>
          </w:p>
          <w:p w14:paraId="6EC255C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电子版形式（光盘）中的经济部分：应包含经济部分全部excel格式预算表格，工程量清单综合单价分析表无须装订入投标文件纸质版中，但清单项目的综合单价分析表（excel格式）必须刻入光盘中。</w:t>
            </w:r>
          </w:p>
        </w:tc>
      </w:tr>
      <w:tr w14:paraId="6590E0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94C5FE3">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3.7.5</w:t>
            </w:r>
          </w:p>
        </w:tc>
        <w:tc>
          <w:tcPr>
            <w:tcW w:w="1644" w:type="dxa"/>
            <w:noWrap w:val="0"/>
            <w:vAlign w:val="center"/>
          </w:tcPr>
          <w:p w14:paraId="526FB7A5">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装订要求</w:t>
            </w:r>
          </w:p>
        </w:tc>
        <w:tc>
          <w:tcPr>
            <w:tcW w:w="6490" w:type="dxa"/>
            <w:noWrap w:val="0"/>
            <w:vAlign w:val="center"/>
          </w:tcPr>
          <w:p w14:paraId="285D4271">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w:t>
            </w:r>
            <w:r>
              <w:rPr>
                <w:rFonts w:ascii="宋体" w:hAnsi="宋体"/>
                <w:color w:val="auto"/>
                <w:szCs w:val="21"/>
                <w:highlight w:val="none"/>
              </w:rPr>
              <w:t>应将投标函部分、</w:t>
            </w:r>
            <w:r>
              <w:rPr>
                <w:rFonts w:hint="eastAsia" w:ascii="宋体" w:hAnsi="宋体"/>
                <w:color w:val="auto"/>
                <w:szCs w:val="21"/>
                <w:highlight w:val="none"/>
              </w:rPr>
              <w:t>经济</w:t>
            </w:r>
            <w:r>
              <w:rPr>
                <w:rFonts w:ascii="宋体" w:hAnsi="宋体"/>
                <w:color w:val="auto"/>
                <w:szCs w:val="21"/>
                <w:highlight w:val="none"/>
              </w:rPr>
              <w:t>部分、</w:t>
            </w:r>
            <w:r>
              <w:rPr>
                <w:rFonts w:hint="eastAsia" w:ascii="宋体" w:hAnsi="宋体"/>
                <w:color w:val="auto"/>
                <w:szCs w:val="21"/>
                <w:highlight w:val="none"/>
              </w:rPr>
              <w:t>资格审查部分</w:t>
            </w:r>
            <w:r>
              <w:rPr>
                <w:rFonts w:ascii="宋体" w:hAnsi="宋体"/>
                <w:color w:val="auto"/>
                <w:szCs w:val="21"/>
                <w:highlight w:val="none"/>
              </w:rPr>
              <w:t>各自分别装订成册</w:t>
            </w:r>
            <w:r>
              <w:rPr>
                <w:rFonts w:hint="eastAsia" w:ascii="宋体" w:hAnsi="宋体"/>
                <w:color w:val="auto"/>
                <w:szCs w:val="21"/>
                <w:highlight w:val="none"/>
              </w:rPr>
              <w:t>，投标保函部分（如有）无需装订</w:t>
            </w:r>
            <w:r>
              <w:rPr>
                <w:rFonts w:ascii="宋体" w:hAnsi="宋体"/>
                <w:color w:val="auto"/>
                <w:szCs w:val="21"/>
                <w:highlight w:val="none"/>
              </w:rPr>
              <w:t>。</w:t>
            </w:r>
          </w:p>
          <w:p w14:paraId="04F91752">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装订</w:t>
            </w:r>
          </w:p>
          <w:p w14:paraId="21528042">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1</w:t>
            </w:r>
            <w:r>
              <w:rPr>
                <w:rFonts w:ascii="宋体" w:hAnsi="宋体"/>
                <w:color w:val="auto"/>
                <w:szCs w:val="21"/>
                <w:highlight w:val="none"/>
              </w:rPr>
              <w:t>）投标函部分的装订要求</w:t>
            </w:r>
          </w:p>
          <w:p w14:paraId="79FB522A">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w:t>
            </w:r>
          </w:p>
          <w:p w14:paraId="37A00D6F">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rPr>
              <w:t>经济</w:t>
            </w:r>
            <w:r>
              <w:rPr>
                <w:rFonts w:ascii="宋体" w:hAnsi="宋体"/>
                <w:color w:val="auto"/>
                <w:szCs w:val="21"/>
                <w:highlight w:val="none"/>
              </w:rPr>
              <w:t>部分的装订要求</w:t>
            </w:r>
          </w:p>
          <w:p w14:paraId="34977430">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w:t>
            </w:r>
          </w:p>
          <w:p w14:paraId="2296F3B7">
            <w:pPr>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kern w:val="0"/>
                <w:szCs w:val="21"/>
                <w:highlight w:val="none"/>
              </w:rPr>
              <w:t>资格审查部分</w:t>
            </w:r>
            <w:r>
              <w:rPr>
                <w:rFonts w:ascii="宋体" w:hAnsi="宋体"/>
                <w:color w:val="auto"/>
                <w:kern w:val="0"/>
                <w:szCs w:val="21"/>
                <w:highlight w:val="none"/>
              </w:rPr>
              <w:t>的装订要求</w:t>
            </w:r>
          </w:p>
          <w:p w14:paraId="6B016EA8">
            <w:pPr>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应按照第八章规定格式装订成册</w:t>
            </w:r>
            <w:r>
              <w:rPr>
                <w:rFonts w:ascii="宋体" w:hAnsi="宋体"/>
                <w:color w:val="auto"/>
                <w:kern w:val="0"/>
                <w:szCs w:val="21"/>
                <w:highlight w:val="none"/>
              </w:rPr>
              <w:t>。</w:t>
            </w:r>
          </w:p>
        </w:tc>
      </w:tr>
      <w:tr w14:paraId="40DBB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BBC6E41">
            <w:pPr>
              <w:snapToGrid w:val="0"/>
              <w:spacing w:line="400" w:lineRule="exact"/>
              <w:jc w:val="center"/>
              <w:rPr>
                <w:rFonts w:hint="eastAsia" w:ascii="宋体" w:hAnsi="宋体"/>
                <w:color w:val="auto"/>
                <w:kern w:val="0"/>
                <w:szCs w:val="21"/>
                <w:highlight w:val="none"/>
              </w:rPr>
            </w:pPr>
            <w:r>
              <w:rPr>
                <w:rFonts w:ascii="宋体" w:hAnsi="宋体"/>
                <w:color w:val="auto"/>
                <w:kern w:val="0"/>
                <w:szCs w:val="21"/>
                <w:highlight w:val="none"/>
              </w:rPr>
              <w:t>4.1.1</w:t>
            </w:r>
          </w:p>
        </w:tc>
        <w:tc>
          <w:tcPr>
            <w:tcW w:w="1644" w:type="dxa"/>
            <w:noWrap w:val="0"/>
            <w:vAlign w:val="center"/>
          </w:tcPr>
          <w:p w14:paraId="11A6742C">
            <w:pPr>
              <w:snapToGrid w:val="0"/>
              <w:spacing w:line="400" w:lineRule="exact"/>
              <w:jc w:val="center"/>
              <w:rPr>
                <w:rFonts w:hint="eastAsia" w:ascii="宋体" w:hAnsi="宋体"/>
                <w:color w:val="auto"/>
                <w:spacing w:val="-6"/>
                <w:kern w:val="0"/>
                <w:szCs w:val="21"/>
                <w:highlight w:val="none"/>
              </w:rPr>
            </w:pPr>
            <w:r>
              <w:rPr>
                <w:rFonts w:ascii="宋体" w:hAnsi="宋体"/>
                <w:color w:val="auto"/>
                <w:spacing w:val="-6"/>
                <w:kern w:val="0"/>
                <w:szCs w:val="21"/>
                <w:highlight w:val="none"/>
              </w:rPr>
              <w:t>投标文件的密封</w:t>
            </w:r>
          </w:p>
        </w:tc>
        <w:tc>
          <w:tcPr>
            <w:tcW w:w="6490" w:type="dxa"/>
            <w:noWrap w:val="0"/>
            <w:vAlign w:val="center"/>
          </w:tcPr>
          <w:p w14:paraId="523160A8">
            <w:pPr>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 xml:space="preserve"> </w:t>
            </w:r>
            <w:r>
              <w:rPr>
                <w:rFonts w:ascii="宋体" w:hAnsi="宋体"/>
                <w:color w:val="auto"/>
                <w:szCs w:val="21"/>
                <w:highlight w:val="none"/>
              </w:rPr>
              <w:t>投标文件袋使用“投标函部分”袋、“</w:t>
            </w:r>
            <w:r>
              <w:rPr>
                <w:rFonts w:hint="eastAsia" w:ascii="宋体" w:hAnsi="宋体"/>
                <w:color w:val="auto"/>
                <w:szCs w:val="21"/>
                <w:highlight w:val="none"/>
              </w:rPr>
              <w:t>经济</w:t>
            </w:r>
            <w:r>
              <w:rPr>
                <w:rFonts w:ascii="宋体" w:hAnsi="宋体"/>
                <w:color w:val="auto"/>
                <w:szCs w:val="21"/>
                <w:highlight w:val="none"/>
              </w:rPr>
              <w:t>部分”袋、“</w:t>
            </w:r>
            <w:r>
              <w:rPr>
                <w:rFonts w:hint="eastAsia" w:ascii="宋体" w:hAnsi="宋体"/>
                <w:color w:val="auto"/>
                <w:szCs w:val="21"/>
                <w:highlight w:val="none"/>
              </w:rPr>
              <w:t>资格审查部分</w:t>
            </w:r>
            <w:r>
              <w:rPr>
                <w:rFonts w:ascii="宋体" w:hAnsi="宋体"/>
                <w:color w:val="auto"/>
                <w:szCs w:val="21"/>
                <w:highlight w:val="none"/>
              </w:rPr>
              <w:t>”袋。</w:t>
            </w:r>
          </w:p>
          <w:p w14:paraId="3A1CE7D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rPr>
              <w:t xml:space="preserve"> </w:t>
            </w:r>
            <w:r>
              <w:rPr>
                <w:rFonts w:ascii="宋体" w:hAnsi="宋体"/>
                <w:color w:val="auto"/>
                <w:szCs w:val="21"/>
                <w:highlight w:val="none"/>
              </w:rPr>
              <w:t>投标函部分</w:t>
            </w:r>
            <w:r>
              <w:rPr>
                <w:rFonts w:hint="eastAsia" w:ascii="宋体" w:hAnsi="宋体"/>
                <w:color w:val="auto"/>
                <w:szCs w:val="21"/>
                <w:highlight w:val="none"/>
              </w:rPr>
              <w:t>和电子版形式（光盘）</w:t>
            </w:r>
            <w:r>
              <w:rPr>
                <w:rFonts w:ascii="宋体" w:hAnsi="宋体"/>
                <w:color w:val="auto"/>
                <w:szCs w:val="21"/>
                <w:highlight w:val="none"/>
              </w:rPr>
              <w:t>装入“投标函部分”袋中，密封并在袋上加盖投标人单位</w:t>
            </w:r>
            <w:r>
              <w:rPr>
                <w:rFonts w:hint="eastAsia" w:ascii="宋体" w:hAnsi="宋体"/>
                <w:color w:val="auto"/>
                <w:szCs w:val="21"/>
                <w:highlight w:val="none"/>
                <w:lang w:eastAsia="zh-CN"/>
              </w:rPr>
              <w:t>公章</w:t>
            </w:r>
            <w:r>
              <w:rPr>
                <w:rFonts w:ascii="宋体" w:hAnsi="宋体"/>
                <w:color w:val="auto"/>
                <w:szCs w:val="21"/>
                <w:highlight w:val="none"/>
              </w:rPr>
              <w:t>。</w:t>
            </w:r>
          </w:p>
          <w:p w14:paraId="359FB7F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 xml:space="preserve"> </w:t>
            </w:r>
            <w:r>
              <w:rPr>
                <w:rFonts w:hint="eastAsia" w:ascii="宋体" w:hAnsi="宋体"/>
                <w:color w:val="auto"/>
                <w:spacing w:val="4"/>
                <w:szCs w:val="21"/>
                <w:highlight w:val="none"/>
              </w:rPr>
              <w:t>经济</w:t>
            </w:r>
            <w:r>
              <w:rPr>
                <w:rFonts w:ascii="宋体" w:hAnsi="宋体"/>
                <w:color w:val="auto"/>
                <w:spacing w:val="4"/>
                <w:szCs w:val="21"/>
                <w:highlight w:val="none"/>
              </w:rPr>
              <w:t>部分装入“</w:t>
            </w:r>
            <w:r>
              <w:rPr>
                <w:rFonts w:hint="eastAsia" w:ascii="宋体" w:hAnsi="宋体"/>
                <w:color w:val="auto"/>
                <w:spacing w:val="4"/>
                <w:szCs w:val="21"/>
                <w:highlight w:val="none"/>
              </w:rPr>
              <w:t>经济</w:t>
            </w:r>
            <w:r>
              <w:rPr>
                <w:rFonts w:ascii="宋体" w:hAnsi="宋体"/>
                <w:color w:val="auto"/>
                <w:spacing w:val="4"/>
                <w:szCs w:val="21"/>
                <w:highlight w:val="none"/>
              </w:rPr>
              <w:t>部分”袋中，密封并在袋上加盖投标人单</w:t>
            </w:r>
            <w:r>
              <w:rPr>
                <w:rFonts w:ascii="宋体" w:hAnsi="宋体"/>
                <w:color w:val="auto"/>
                <w:szCs w:val="21"/>
                <w:highlight w:val="none"/>
              </w:rPr>
              <w:t>位</w:t>
            </w:r>
            <w:r>
              <w:rPr>
                <w:rFonts w:hint="eastAsia" w:ascii="宋体" w:hAnsi="宋体"/>
                <w:color w:val="auto"/>
                <w:szCs w:val="21"/>
                <w:highlight w:val="none"/>
                <w:lang w:eastAsia="zh-CN"/>
              </w:rPr>
              <w:t>公章</w:t>
            </w:r>
            <w:r>
              <w:rPr>
                <w:rFonts w:ascii="宋体" w:hAnsi="宋体"/>
                <w:color w:val="auto"/>
                <w:szCs w:val="21"/>
                <w:highlight w:val="none"/>
              </w:rPr>
              <w:t>。</w:t>
            </w:r>
          </w:p>
          <w:p w14:paraId="6A88516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资格审查部分装入“资格审查部分”袋中，密封并在袋上加盖投标人单位</w:t>
            </w:r>
            <w:r>
              <w:rPr>
                <w:rFonts w:hint="eastAsia" w:ascii="宋体" w:hAnsi="宋体"/>
                <w:color w:val="auto"/>
                <w:szCs w:val="21"/>
                <w:highlight w:val="none"/>
                <w:lang w:eastAsia="zh-CN"/>
              </w:rPr>
              <w:t>公章</w:t>
            </w:r>
            <w:r>
              <w:rPr>
                <w:rFonts w:hint="eastAsia" w:ascii="宋体" w:hAnsi="宋体"/>
                <w:color w:val="auto"/>
                <w:szCs w:val="21"/>
                <w:highlight w:val="none"/>
              </w:rPr>
              <w:t>。</w:t>
            </w:r>
          </w:p>
          <w:p w14:paraId="1498D9D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5</w:t>
            </w:r>
            <w:r>
              <w:rPr>
                <w:rFonts w:ascii="宋体" w:hAnsi="宋体"/>
                <w:color w:val="auto"/>
                <w:szCs w:val="21"/>
                <w:highlight w:val="none"/>
              </w:rPr>
              <w:t>.“投标函部分”、“</w:t>
            </w:r>
            <w:r>
              <w:rPr>
                <w:rFonts w:hint="eastAsia" w:ascii="宋体" w:hAnsi="宋体"/>
                <w:color w:val="auto"/>
                <w:szCs w:val="21"/>
                <w:highlight w:val="none"/>
              </w:rPr>
              <w:t>经济</w:t>
            </w:r>
            <w:r>
              <w:rPr>
                <w:rFonts w:ascii="宋体" w:hAnsi="宋体"/>
                <w:color w:val="auto"/>
                <w:szCs w:val="21"/>
                <w:highlight w:val="none"/>
              </w:rPr>
              <w:t>部分”、</w:t>
            </w:r>
            <w:r>
              <w:rPr>
                <w:rFonts w:hint="eastAsia" w:ascii="宋体" w:hAnsi="宋体"/>
                <w:color w:val="auto"/>
                <w:szCs w:val="21"/>
                <w:highlight w:val="none"/>
              </w:rPr>
              <w:t>“资格审查部分”</w:t>
            </w:r>
            <w:r>
              <w:rPr>
                <w:rFonts w:ascii="宋体" w:hAnsi="宋体"/>
                <w:color w:val="auto"/>
                <w:szCs w:val="21"/>
                <w:highlight w:val="none"/>
              </w:rPr>
              <w:t>等小袋装入“投标文件”大袋中，密封并在大袋上加盖投标人单位</w:t>
            </w:r>
            <w:r>
              <w:rPr>
                <w:rFonts w:hint="eastAsia" w:ascii="宋体" w:hAnsi="宋体"/>
                <w:color w:val="auto"/>
                <w:szCs w:val="21"/>
                <w:highlight w:val="none"/>
                <w:lang w:eastAsia="zh-CN"/>
              </w:rPr>
              <w:t>公章</w:t>
            </w:r>
            <w:r>
              <w:rPr>
                <w:rFonts w:ascii="宋体" w:hAnsi="宋体"/>
                <w:color w:val="auto"/>
                <w:szCs w:val="21"/>
                <w:highlight w:val="none"/>
              </w:rPr>
              <w:t>，同时“投标文件”大袋应按本表第4.1.2项的规定写明相应内容。</w:t>
            </w:r>
            <w:r>
              <w:rPr>
                <w:rFonts w:hint="eastAsia" w:ascii="宋体" w:hAnsi="宋体"/>
                <w:color w:val="auto"/>
                <w:szCs w:val="21"/>
                <w:highlight w:val="none"/>
              </w:rPr>
              <w:t>一个大袋装不下的，可使用多个大袋分册封装。大袋未按要求密封的，</w:t>
            </w:r>
            <w:r>
              <w:rPr>
                <w:rFonts w:hint="eastAsia" w:ascii="宋体" w:hAnsi="宋体"/>
                <w:color w:val="auto"/>
                <w:szCs w:val="21"/>
                <w:highlight w:val="none"/>
                <w:lang w:eastAsia="zh-CN"/>
              </w:rPr>
              <w:t>比选</w:t>
            </w:r>
            <w:r>
              <w:rPr>
                <w:rFonts w:hint="eastAsia" w:ascii="宋体" w:hAnsi="宋体"/>
                <w:color w:val="auto"/>
                <w:szCs w:val="21"/>
                <w:highlight w:val="none"/>
              </w:rPr>
              <w:t>人或代理机构应该拒收。</w:t>
            </w:r>
          </w:p>
          <w:p w14:paraId="14AF4161">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注：“投标函部分”袋、“经济部分”袋、“资格审查部分”袋只为方便投标文件分装，不作为判定密封合格与否的条件。但为了方便开标，请各投标人主动配合，按要求分装。</w:t>
            </w:r>
          </w:p>
        </w:tc>
      </w:tr>
      <w:tr w14:paraId="2B0F2C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6CFFA7F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4.1.2</w:t>
            </w:r>
          </w:p>
        </w:tc>
        <w:tc>
          <w:tcPr>
            <w:tcW w:w="1644" w:type="dxa"/>
            <w:noWrap w:val="0"/>
            <w:vAlign w:val="center"/>
          </w:tcPr>
          <w:p w14:paraId="32A4F18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封套上写明</w:t>
            </w:r>
          </w:p>
        </w:tc>
        <w:tc>
          <w:tcPr>
            <w:tcW w:w="6490" w:type="dxa"/>
            <w:noWrap w:val="0"/>
            <w:vAlign w:val="center"/>
          </w:tcPr>
          <w:p w14:paraId="637F4EA8">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应在“投标文件”大袋封套上写明如下内容：</w:t>
            </w:r>
          </w:p>
          <w:p w14:paraId="5637BB58">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eastAsia="zh-CN"/>
              </w:rPr>
              <w:t>比选</w:t>
            </w:r>
            <w:r>
              <w:rPr>
                <w:rFonts w:ascii="宋体" w:hAnsi="宋体"/>
                <w:color w:val="auto"/>
                <w:kern w:val="0"/>
                <w:szCs w:val="21"/>
                <w:highlight w:val="none"/>
              </w:rPr>
              <w:t>人名称：</w:t>
            </w:r>
            <w:r>
              <w:rPr>
                <w:rFonts w:hint="eastAsia" w:ascii="宋体" w:hAnsi="宋体" w:cs="Times New Roman"/>
                <w:color w:val="auto"/>
                <w:kern w:val="0"/>
                <w:szCs w:val="21"/>
                <w:highlight w:val="none"/>
                <w:u w:val="single"/>
                <w:lang w:val="zh-CN"/>
              </w:rPr>
              <w:t>重庆市铜梁区土桥镇人民政府</w:t>
            </w:r>
          </w:p>
          <w:p w14:paraId="4FB2656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投标人名称：</w:t>
            </w:r>
            <w:r>
              <w:rPr>
                <w:rFonts w:hint="eastAsia" w:ascii="宋体" w:hAnsi="宋体"/>
                <w:color w:val="auto"/>
                <w:kern w:val="0"/>
                <w:szCs w:val="21"/>
                <w:highlight w:val="none"/>
                <w:u w:val="single"/>
              </w:rPr>
              <w:t xml:space="preserve">            </w:t>
            </w:r>
          </w:p>
          <w:p w14:paraId="17B8AB64">
            <w:pPr>
              <w:snapToGrid w:val="0"/>
              <w:spacing w:line="400" w:lineRule="exact"/>
              <w:ind w:firstLine="420" w:firstLineChars="200"/>
              <w:rPr>
                <w:rFonts w:ascii="宋体" w:hAnsi="宋体"/>
                <w:color w:val="auto"/>
                <w:kern w:val="0"/>
                <w:szCs w:val="21"/>
                <w:highlight w:val="none"/>
              </w:rPr>
            </w:pPr>
            <w:r>
              <w:rPr>
                <w:rFonts w:hint="eastAsia" w:ascii="宋体" w:hAnsi="宋体" w:cs="Times New Roman"/>
                <w:color w:val="auto"/>
                <w:kern w:val="0"/>
                <w:szCs w:val="21"/>
                <w:highlight w:val="none"/>
                <w:u w:val="single"/>
                <w:lang w:val="zh-CN"/>
              </w:rPr>
              <w:t>铜梁区土桥镇黄沙村党群服务中心新建项目</w:t>
            </w:r>
            <w:r>
              <w:rPr>
                <w:rFonts w:ascii="宋体" w:hAnsi="宋体"/>
                <w:color w:val="auto"/>
                <w:kern w:val="0"/>
                <w:szCs w:val="21"/>
                <w:highlight w:val="none"/>
              </w:rPr>
              <w:t>投标文件</w:t>
            </w:r>
          </w:p>
          <w:p w14:paraId="58044DF0">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在</w:t>
            </w:r>
            <w:r>
              <w:rPr>
                <w:rFonts w:hint="eastAsia" w:ascii="宋体" w:hAnsi="宋体"/>
                <w:color w:val="auto"/>
                <w:kern w:val="0"/>
                <w:szCs w:val="21"/>
                <w:highlight w:val="none"/>
                <w:u w:val="single"/>
                <w:lang w:val="en-US" w:eastAsia="zh-CN"/>
              </w:rPr>
              <w:t>2024</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ascii="宋体" w:hAnsi="宋体"/>
                <w:color w:val="auto"/>
                <w:kern w:val="0"/>
                <w:szCs w:val="21"/>
                <w:highlight w:val="none"/>
              </w:rPr>
              <w:t>分前不得开启</w:t>
            </w:r>
          </w:p>
        </w:tc>
      </w:tr>
      <w:tr w14:paraId="40D385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58AD5A6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4.2.2</w:t>
            </w:r>
          </w:p>
        </w:tc>
        <w:tc>
          <w:tcPr>
            <w:tcW w:w="1644" w:type="dxa"/>
            <w:noWrap w:val="0"/>
            <w:vAlign w:val="center"/>
          </w:tcPr>
          <w:p w14:paraId="3441AAC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递交投标文件地点</w:t>
            </w:r>
          </w:p>
        </w:tc>
        <w:tc>
          <w:tcPr>
            <w:tcW w:w="6490" w:type="dxa"/>
            <w:noWrap w:val="0"/>
            <w:vAlign w:val="center"/>
          </w:tcPr>
          <w:p w14:paraId="4E74C936">
            <w:pPr>
              <w:snapToGrid w:val="0"/>
              <w:spacing w:line="400" w:lineRule="exact"/>
              <w:ind w:firstLine="420" w:firstLineChars="200"/>
              <w:rPr>
                <w:rFonts w:hint="default" w:ascii="宋体" w:hAnsi="宋体" w:eastAsia="宋体"/>
                <w:bCs/>
                <w:i/>
                <w:color w:val="auto"/>
                <w:szCs w:val="21"/>
                <w:highlight w:val="none"/>
                <w:lang w:val="en-US" w:eastAsia="zh-CN"/>
              </w:rPr>
            </w:pPr>
            <w:r>
              <w:rPr>
                <w:rFonts w:hint="eastAsia" w:ascii="宋体" w:hAnsi="宋体"/>
                <w:bCs/>
                <w:color w:val="auto"/>
                <w:szCs w:val="21"/>
                <w:highlight w:val="none"/>
                <w:lang w:eastAsia="zh-CN"/>
              </w:rPr>
              <w:t>重庆市铜梁区土桥镇人民政府会议室</w:t>
            </w:r>
            <w:r>
              <w:rPr>
                <w:rFonts w:hint="eastAsia" w:ascii="宋体" w:hAnsi="宋体"/>
                <w:bCs/>
                <w:color w:val="auto"/>
                <w:szCs w:val="21"/>
                <w:highlight w:val="none"/>
                <w:lang w:val="en-US" w:eastAsia="zh-CN"/>
              </w:rPr>
              <w:t>。</w:t>
            </w:r>
          </w:p>
        </w:tc>
      </w:tr>
      <w:tr w14:paraId="4D3C0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96CF93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4.2.3</w:t>
            </w:r>
          </w:p>
        </w:tc>
        <w:tc>
          <w:tcPr>
            <w:tcW w:w="1644" w:type="dxa"/>
            <w:noWrap w:val="0"/>
            <w:vAlign w:val="center"/>
          </w:tcPr>
          <w:p w14:paraId="74F1770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是否退还投标文件</w:t>
            </w:r>
          </w:p>
        </w:tc>
        <w:tc>
          <w:tcPr>
            <w:tcW w:w="6490" w:type="dxa"/>
            <w:noWrap w:val="0"/>
            <w:vAlign w:val="center"/>
          </w:tcPr>
          <w:p w14:paraId="3AA1443E">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否</w:t>
            </w:r>
          </w:p>
        </w:tc>
      </w:tr>
      <w:tr w14:paraId="43C41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179D02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5.1</w:t>
            </w:r>
            <w:r>
              <w:rPr>
                <w:rFonts w:hint="eastAsia" w:ascii="宋体" w:hAnsi="宋体"/>
                <w:color w:val="auto"/>
                <w:kern w:val="0"/>
                <w:szCs w:val="21"/>
                <w:highlight w:val="none"/>
              </w:rPr>
              <w:t>.1</w:t>
            </w:r>
          </w:p>
        </w:tc>
        <w:tc>
          <w:tcPr>
            <w:tcW w:w="1644" w:type="dxa"/>
            <w:noWrap w:val="0"/>
            <w:vAlign w:val="center"/>
          </w:tcPr>
          <w:p w14:paraId="051A3A0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开标时间和</w:t>
            </w:r>
          </w:p>
          <w:p w14:paraId="1F2D4C1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地点</w:t>
            </w:r>
          </w:p>
        </w:tc>
        <w:tc>
          <w:tcPr>
            <w:tcW w:w="6490" w:type="dxa"/>
            <w:noWrap w:val="0"/>
            <w:vAlign w:val="center"/>
          </w:tcPr>
          <w:p w14:paraId="6D1693E5">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开标时间：同投标截止时间</w:t>
            </w:r>
          </w:p>
          <w:p w14:paraId="57235378">
            <w:pPr>
              <w:snapToGrid w:val="0"/>
              <w:spacing w:line="400" w:lineRule="exact"/>
              <w:ind w:firstLine="420" w:firstLineChars="200"/>
              <w:rPr>
                <w:rFonts w:ascii="宋体" w:hAnsi="宋体"/>
                <w:bCs/>
                <w:i/>
                <w:color w:val="auto"/>
                <w:szCs w:val="21"/>
                <w:highlight w:val="none"/>
              </w:rPr>
            </w:pPr>
            <w:r>
              <w:rPr>
                <w:rFonts w:ascii="宋体" w:hAnsi="宋体"/>
                <w:color w:val="auto"/>
                <w:kern w:val="0"/>
                <w:szCs w:val="21"/>
                <w:highlight w:val="none"/>
              </w:rPr>
              <w:t>开标地点：</w:t>
            </w:r>
            <w:r>
              <w:rPr>
                <w:rFonts w:hint="eastAsia" w:ascii="宋体" w:hAnsi="宋体"/>
                <w:bCs/>
                <w:color w:val="auto"/>
                <w:szCs w:val="21"/>
                <w:highlight w:val="none"/>
                <w:lang w:eastAsia="zh-CN"/>
              </w:rPr>
              <w:t>重庆市铜梁区土桥镇人民政府会议室</w:t>
            </w:r>
            <w:r>
              <w:rPr>
                <w:rFonts w:hint="eastAsia" w:ascii="宋体" w:hAnsi="宋体"/>
                <w:bCs/>
                <w:color w:val="auto"/>
                <w:szCs w:val="21"/>
                <w:highlight w:val="none"/>
                <w:lang w:val="en-US" w:eastAsia="zh-CN"/>
              </w:rPr>
              <w:t>。</w:t>
            </w:r>
          </w:p>
        </w:tc>
      </w:tr>
      <w:tr w14:paraId="017631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237250E">
            <w:pPr>
              <w:snapToGrid w:val="0"/>
              <w:spacing w:line="400" w:lineRule="exact"/>
              <w:jc w:val="center"/>
              <w:rPr>
                <w:rFonts w:hint="eastAsia" w:ascii="宋体" w:hAnsi="宋体"/>
                <w:color w:val="auto"/>
                <w:szCs w:val="21"/>
                <w:highlight w:val="none"/>
              </w:rPr>
            </w:pPr>
            <w:r>
              <w:rPr>
                <w:rFonts w:ascii="宋体" w:hAnsi="宋体"/>
                <w:color w:val="auto"/>
                <w:szCs w:val="21"/>
                <w:highlight w:val="none"/>
              </w:rPr>
              <w:t>5.2</w:t>
            </w:r>
          </w:p>
        </w:tc>
        <w:tc>
          <w:tcPr>
            <w:tcW w:w="1644" w:type="dxa"/>
            <w:noWrap w:val="0"/>
            <w:vAlign w:val="center"/>
          </w:tcPr>
          <w:p w14:paraId="6273E8FE">
            <w:pPr>
              <w:snapToGrid w:val="0"/>
              <w:spacing w:line="400" w:lineRule="exact"/>
              <w:jc w:val="center"/>
              <w:rPr>
                <w:rFonts w:hint="eastAsia" w:ascii="宋体" w:hAnsi="宋体"/>
                <w:color w:val="auto"/>
                <w:szCs w:val="21"/>
                <w:highlight w:val="none"/>
              </w:rPr>
            </w:pPr>
            <w:r>
              <w:rPr>
                <w:rFonts w:ascii="宋体" w:hAnsi="宋体"/>
                <w:color w:val="auto"/>
                <w:szCs w:val="21"/>
                <w:highlight w:val="none"/>
              </w:rPr>
              <w:t>开标程序</w:t>
            </w:r>
          </w:p>
        </w:tc>
        <w:tc>
          <w:tcPr>
            <w:tcW w:w="6490" w:type="dxa"/>
            <w:noWrap w:val="0"/>
            <w:vAlign w:val="center"/>
          </w:tcPr>
          <w:p w14:paraId="626857AB">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主持人按下列程序进行开标：</w:t>
            </w:r>
          </w:p>
          <w:p w14:paraId="3D4FC19C">
            <w:pPr>
              <w:numPr>
                <w:ilvl w:val="0"/>
                <w:numId w:val="2"/>
              </w:num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核验参加开标会议的投标人的法定代表人或</w:t>
            </w:r>
            <w:r>
              <w:rPr>
                <w:rFonts w:hint="eastAsia" w:ascii="宋体" w:hAnsi="宋体"/>
                <w:color w:val="auto"/>
                <w:szCs w:val="21"/>
                <w:highlight w:val="none"/>
              </w:rPr>
              <w:t>委托代理人</w:t>
            </w:r>
            <w:r>
              <w:rPr>
                <w:rFonts w:ascii="宋体" w:hAnsi="宋体"/>
                <w:color w:val="auto"/>
                <w:szCs w:val="21"/>
                <w:highlight w:val="none"/>
              </w:rPr>
              <w:t>本人身份证（原件），</w:t>
            </w:r>
            <w:r>
              <w:rPr>
                <w:rFonts w:hint="eastAsia" w:ascii="宋体" w:hAnsi="宋体"/>
                <w:color w:val="auto"/>
                <w:szCs w:val="21"/>
                <w:highlight w:val="none"/>
                <w:lang w:eastAsia="zh-CN"/>
              </w:rPr>
              <w:t>核验</w:t>
            </w:r>
            <w:r>
              <w:rPr>
                <w:rFonts w:ascii="宋体" w:hAnsi="宋体"/>
                <w:color w:val="auto"/>
                <w:szCs w:val="21"/>
                <w:highlight w:val="none"/>
              </w:rPr>
              <w:t>委托代理人的授权委托书，以确认其身份合法有效；</w:t>
            </w:r>
            <w:r>
              <w:rPr>
                <w:rFonts w:hint="eastAsia" w:ascii="宋体" w:hAnsi="宋体"/>
                <w:color w:val="auto"/>
                <w:szCs w:val="21"/>
                <w:highlight w:val="none"/>
                <w:lang w:eastAsia="zh-CN"/>
              </w:rPr>
              <w:t>不参加身份核验或</w:t>
            </w:r>
            <w:r>
              <w:rPr>
                <w:rFonts w:hint="eastAsia" w:ascii="宋体" w:hAnsi="宋体"/>
                <w:color w:val="auto"/>
                <w:szCs w:val="21"/>
                <w:highlight w:val="none"/>
              </w:rPr>
              <w:t>经核实提供资料与实际不符的，</w:t>
            </w:r>
            <w:r>
              <w:rPr>
                <w:rFonts w:hint="eastAsia" w:ascii="宋体" w:hAnsi="宋体"/>
                <w:color w:val="auto"/>
                <w:szCs w:val="21"/>
                <w:highlight w:val="none"/>
                <w:lang w:eastAsia="zh-CN"/>
              </w:rPr>
              <w:t>当场退还投标文件，按否决投标处理</w:t>
            </w:r>
            <w:r>
              <w:rPr>
                <w:rFonts w:hint="eastAsia" w:ascii="宋体" w:hAnsi="宋体"/>
                <w:color w:val="auto"/>
                <w:szCs w:val="21"/>
                <w:highlight w:val="none"/>
              </w:rPr>
              <w:t>。</w:t>
            </w:r>
          </w:p>
          <w:p w14:paraId="727C5CAB">
            <w:pPr>
              <w:numPr>
                <w:ilvl w:val="0"/>
                <w:numId w:val="2"/>
              </w:num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宣布开标纪律</w:t>
            </w:r>
            <w:r>
              <w:rPr>
                <w:rFonts w:hint="eastAsia" w:ascii="宋体" w:hAnsi="宋体"/>
                <w:color w:val="auto"/>
                <w:szCs w:val="21"/>
                <w:highlight w:val="none"/>
              </w:rPr>
              <w:t>。</w:t>
            </w:r>
          </w:p>
          <w:p w14:paraId="75533365">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3. 宣布开标人、唱标人、记录人、监标人等有关人员姓名</w:t>
            </w:r>
            <w:r>
              <w:rPr>
                <w:rFonts w:hint="eastAsia" w:ascii="宋体" w:hAnsi="宋体"/>
                <w:color w:val="auto"/>
                <w:szCs w:val="21"/>
                <w:highlight w:val="none"/>
              </w:rPr>
              <w:t>。</w:t>
            </w:r>
          </w:p>
          <w:p w14:paraId="6EF7E8EB">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4. 公布在投标截止时间前递交投标文件的投标人名称</w:t>
            </w:r>
            <w:r>
              <w:rPr>
                <w:rFonts w:hint="eastAsia" w:ascii="宋体" w:hAnsi="宋体"/>
                <w:color w:val="auto"/>
                <w:szCs w:val="21"/>
                <w:highlight w:val="none"/>
              </w:rPr>
              <w:t>。</w:t>
            </w:r>
          </w:p>
          <w:p w14:paraId="48E56C2A">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 xml:space="preserve">5. </w:t>
            </w:r>
            <w:r>
              <w:rPr>
                <w:rFonts w:hint="eastAsia" w:ascii="宋体" w:hAnsi="宋体"/>
                <w:color w:val="auto"/>
                <w:szCs w:val="21"/>
                <w:highlight w:val="none"/>
              </w:rPr>
              <w:t>投标文件的密封检查：投标人可对自己的投标文件封装情况进行检查，以确认其投标文件密封完好。</w:t>
            </w:r>
          </w:p>
          <w:p w14:paraId="06F7B391">
            <w:pPr>
              <w:snapToGrid w:val="0"/>
              <w:spacing w:line="400" w:lineRule="exact"/>
              <w:ind w:firstLine="420" w:firstLineChars="200"/>
              <w:rPr>
                <w:rFonts w:hint="eastAsia" w:ascii="宋体" w:hAnsi="宋体" w:cs="Times New Roman"/>
                <w:color w:val="auto"/>
                <w:szCs w:val="21"/>
                <w:highlight w:val="none"/>
                <w:lang w:eastAsia="zh-CN"/>
              </w:rPr>
            </w:pPr>
            <w:r>
              <w:rPr>
                <w:rFonts w:hint="eastAsia" w:ascii="宋体" w:hAnsi="宋体" w:cs="Times New Roman"/>
                <w:color w:val="auto"/>
                <w:szCs w:val="21"/>
                <w:highlight w:val="none"/>
              </w:rPr>
              <w:t>6. 核验投标保证金缴款情况，未在规定时间</w:t>
            </w:r>
            <w:r>
              <w:rPr>
                <w:rFonts w:hint="eastAsia" w:ascii="宋体" w:hAnsi="宋体" w:cs="Times New Roman"/>
                <w:color w:val="auto"/>
                <w:szCs w:val="21"/>
                <w:highlight w:val="none"/>
                <w:lang w:eastAsia="zh-CN"/>
              </w:rPr>
              <w:t>缴纳投标保证金</w:t>
            </w:r>
            <w:r>
              <w:rPr>
                <w:rFonts w:hint="eastAsia" w:ascii="宋体" w:hAnsi="宋体" w:cs="Times New Roman"/>
                <w:color w:val="auto"/>
                <w:szCs w:val="21"/>
                <w:highlight w:val="none"/>
              </w:rPr>
              <w:t>，当场退还其投标文件</w:t>
            </w:r>
            <w:r>
              <w:rPr>
                <w:rFonts w:hint="eastAsia" w:ascii="宋体" w:hAnsi="宋体" w:cs="Times New Roman"/>
                <w:color w:val="auto"/>
                <w:szCs w:val="21"/>
                <w:highlight w:val="none"/>
                <w:lang w:eastAsia="zh-CN"/>
              </w:rPr>
              <w:t>。</w:t>
            </w:r>
          </w:p>
          <w:p w14:paraId="23F7BB0A">
            <w:pPr>
              <w:snapToGrid w:val="0"/>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7. 公布最高限价。</w:t>
            </w:r>
          </w:p>
          <w:p w14:paraId="71067A11">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w:t>
            </w:r>
            <w:r>
              <w:rPr>
                <w:rFonts w:ascii="宋体" w:hAnsi="宋体"/>
                <w:color w:val="auto"/>
                <w:szCs w:val="21"/>
                <w:highlight w:val="none"/>
              </w:rPr>
              <w:t>.</w:t>
            </w:r>
            <w:r>
              <w:rPr>
                <w:rFonts w:hint="eastAsia" w:ascii="宋体" w:hAnsi="宋体"/>
                <w:color w:val="auto"/>
                <w:szCs w:val="21"/>
                <w:highlight w:val="none"/>
              </w:rPr>
              <w:t xml:space="preserve"> </w:t>
            </w:r>
            <w:r>
              <w:rPr>
                <w:rFonts w:ascii="宋体" w:hAnsi="宋体"/>
                <w:color w:val="auto"/>
                <w:szCs w:val="21"/>
                <w:highlight w:val="none"/>
              </w:rPr>
              <w:t>逐单位随机开启投标文件。开启投标文件大袋及投标函部分袋、</w:t>
            </w:r>
            <w:r>
              <w:rPr>
                <w:rFonts w:hint="eastAsia" w:ascii="宋体" w:hAnsi="宋体"/>
                <w:color w:val="auto"/>
                <w:szCs w:val="21"/>
                <w:highlight w:val="none"/>
              </w:rPr>
              <w:t>经济</w:t>
            </w:r>
            <w:r>
              <w:rPr>
                <w:rFonts w:ascii="宋体" w:hAnsi="宋体"/>
                <w:color w:val="auto"/>
                <w:szCs w:val="21"/>
                <w:highlight w:val="none"/>
              </w:rPr>
              <w:t>部分袋、</w:t>
            </w:r>
            <w:r>
              <w:rPr>
                <w:rFonts w:hint="eastAsia" w:ascii="宋体" w:hAnsi="宋体"/>
                <w:color w:val="auto"/>
                <w:szCs w:val="21"/>
                <w:highlight w:val="none"/>
              </w:rPr>
              <w:t>资格审查部分袋</w:t>
            </w:r>
            <w:r>
              <w:rPr>
                <w:rFonts w:ascii="宋体" w:hAnsi="宋体"/>
                <w:color w:val="auto"/>
                <w:szCs w:val="21"/>
                <w:highlight w:val="none"/>
              </w:rPr>
              <w:t>；公布投标人名称、投标报价、质量要求、工期及其他内容并记录在案</w:t>
            </w:r>
            <w:r>
              <w:rPr>
                <w:rFonts w:hint="eastAsia" w:ascii="宋体" w:hAnsi="宋体"/>
                <w:color w:val="auto"/>
                <w:szCs w:val="21"/>
                <w:highlight w:val="none"/>
              </w:rPr>
              <w:t>。</w:t>
            </w:r>
          </w:p>
          <w:p w14:paraId="55E49D7F">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9.  投标人对开标有异议的，应当场提出，由</w:t>
            </w:r>
            <w:r>
              <w:rPr>
                <w:rFonts w:hint="eastAsia" w:ascii="宋体" w:hAnsi="宋体"/>
                <w:color w:val="auto"/>
                <w:szCs w:val="21"/>
                <w:highlight w:val="none"/>
                <w:lang w:eastAsia="zh-CN"/>
              </w:rPr>
              <w:t>比选</w:t>
            </w:r>
            <w:r>
              <w:rPr>
                <w:rFonts w:hint="eastAsia" w:ascii="宋体" w:hAnsi="宋体"/>
                <w:color w:val="auto"/>
                <w:szCs w:val="21"/>
                <w:highlight w:val="none"/>
              </w:rPr>
              <w:t>人或代理机构当场答复，并记录到开标记录表中。异议处理完毕后，汇总开标情况，打印开标记录表。</w:t>
            </w:r>
          </w:p>
          <w:p w14:paraId="1197517D">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0</w:t>
            </w:r>
            <w:r>
              <w:rPr>
                <w:rFonts w:ascii="宋体" w:hAnsi="宋体"/>
                <w:color w:val="auto"/>
                <w:szCs w:val="21"/>
                <w:highlight w:val="none"/>
              </w:rPr>
              <w:t>. 投标人代表、</w:t>
            </w:r>
            <w:r>
              <w:rPr>
                <w:rFonts w:hint="eastAsia" w:ascii="宋体" w:hAnsi="宋体"/>
                <w:color w:val="auto"/>
                <w:szCs w:val="21"/>
                <w:highlight w:val="none"/>
                <w:lang w:eastAsia="zh-CN"/>
              </w:rPr>
              <w:t>比选</w:t>
            </w:r>
            <w:r>
              <w:rPr>
                <w:rFonts w:ascii="宋体" w:hAnsi="宋体"/>
                <w:color w:val="auto"/>
                <w:szCs w:val="21"/>
                <w:highlight w:val="none"/>
              </w:rPr>
              <w:t>人代表、监标人、</w:t>
            </w:r>
            <w:r>
              <w:rPr>
                <w:rFonts w:hint="eastAsia" w:ascii="宋体" w:hAnsi="宋体"/>
                <w:color w:val="auto"/>
                <w:szCs w:val="21"/>
                <w:highlight w:val="none"/>
              </w:rPr>
              <w:t>主持人、</w:t>
            </w:r>
            <w:r>
              <w:rPr>
                <w:rFonts w:ascii="宋体" w:hAnsi="宋体"/>
                <w:color w:val="auto"/>
                <w:szCs w:val="21"/>
                <w:highlight w:val="none"/>
              </w:rPr>
              <w:t>记录人等有关人员在开标记录上签字确认</w:t>
            </w:r>
            <w:r>
              <w:rPr>
                <w:rFonts w:hint="eastAsia" w:ascii="宋体" w:hAnsi="宋体"/>
                <w:color w:val="auto"/>
                <w:szCs w:val="21"/>
                <w:highlight w:val="none"/>
              </w:rPr>
              <w:t>。因其他原因未能签字的，视为默认开标结果。</w:t>
            </w:r>
          </w:p>
          <w:p w14:paraId="00CA4D74">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val="en-US" w:eastAsia="zh-CN"/>
              </w:rPr>
              <w:t>1</w:t>
            </w:r>
            <w:r>
              <w:rPr>
                <w:rFonts w:ascii="宋体" w:hAnsi="宋体"/>
                <w:color w:val="auto"/>
                <w:szCs w:val="21"/>
                <w:highlight w:val="none"/>
              </w:rPr>
              <w:t>. 开标结束。</w:t>
            </w:r>
          </w:p>
        </w:tc>
      </w:tr>
      <w:tr w14:paraId="18CC34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A39F8B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6.1.1</w:t>
            </w:r>
          </w:p>
        </w:tc>
        <w:tc>
          <w:tcPr>
            <w:tcW w:w="1644" w:type="dxa"/>
            <w:noWrap w:val="0"/>
            <w:vAlign w:val="center"/>
          </w:tcPr>
          <w:p w14:paraId="6112BE1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评标委员会的组建</w:t>
            </w:r>
          </w:p>
        </w:tc>
        <w:tc>
          <w:tcPr>
            <w:tcW w:w="6490" w:type="dxa"/>
            <w:noWrap w:val="0"/>
            <w:vAlign w:val="center"/>
          </w:tcPr>
          <w:p w14:paraId="4EAFBF56">
            <w:pPr>
              <w:autoSpaceDE w:val="0"/>
              <w:autoSpaceDN w:val="0"/>
              <w:adjustRightInd w:val="0"/>
              <w:snapToGrid w:val="0"/>
              <w:spacing w:line="400" w:lineRule="exact"/>
              <w:ind w:firstLine="436" w:firstLineChars="200"/>
              <w:rPr>
                <w:rFonts w:ascii="宋体" w:hAnsi="宋体"/>
                <w:color w:val="auto"/>
                <w:kern w:val="0"/>
                <w:szCs w:val="21"/>
                <w:highlight w:val="none"/>
              </w:rPr>
            </w:pPr>
            <w:r>
              <w:rPr>
                <w:rFonts w:hint="eastAsia" w:ascii="宋体" w:hAnsi="宋体"/>
                <w:color w:val="auto"/>
                <w:spacing w:val="4"/>
                <w:kern w:val="0"/>
                <w:szCs w:val="21"/>
                <w:highlight w:val="none"/>
              </w:rPr>
              <w:t>由</w:t>
            </w:r>
            <w:r>
              <w:rPr>
                <w:rFonts w:hint="eastAsia" w:ascii="宋体" w:hAnsi="宋体"/>
                <w:color w:val="auto"/>
                <w:spacing w:val="4"/>
                <w:kern w:val="0"/>
                <w:szCs w:val="21"/>
                <w:highlight w:val="none"/>
                <w:lang w:eastAsia="zh-CN"/>
              </w:rPr>
              <w:t>比选</w:t>
            </w:r>
            <w:r>
              <w:rPr>
                <w:rFonts w:hint="eastAsia" w:ascii="宋体" w:hAnsi="宋体"/>
                <w:color w:val="auto"/>
                <w:spacing w:val="4"/>
                <w:kern w:val="0"/>
                <w:szCs w:val="21"/>
                <w:highlight w:val="none"/>
              </w:rPr>
              <w:t>人按法律法规及相关规定依法组建评标委员会</w:t>
            </w:r>
            <w:r>
              <w:rPr>
                <w:rFonts w:hint="eastAsia" w:ascii="宋体" w:hAnsi="宋体"/>
                <w:color w:val="auto"/>
                <w:kern w:val="0"/>
                <w:szCs w:val="21"/>
                <w:highlight w:val="none"/>
              </w:rPr>
              <w:t>。</w:t>
            </w:r>
          </w:p>
        </w:tc>
      </w:tr>
      <w:tr w14:paraId="306C3D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335" w:type="dxa"/>
            <w:noWrap w:val="0"/>
            <w:vAlign w:val="center"/>
          </w:tcPr>
          <w:p w14:paraId="3AA0D7D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7.1</w:t>
            </w:r>
          </w:p>
        </w:tc>
        <w:tc>
          <w:tcPr>
            <w:tcW w:w="1644" w:type="dxa"/>
            <w:noWrap w:val="0"/>
            <w:vAlign w:val="center"/>
          </w:tcPr>
          <w:p w14:paraId="54389673">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是否授权评标委员会确定中标人</w:t>
            </w:r>
          </w:p>
        </w:tc>
        <w:tc>
          <w:tcPr>
            <w:tcW w:w="6490" w:type="dxa"/>
            <w:noWrap w:val="0"/>
            <w:vAlign w:val="center"/>
          </w:tcPr>
          <w:p w14:paraId="588CB20C">
            <w:pPr>
              <w:snapToGrid w:val="0"/>
              <w:spacing w:line="400" w:lineRule="exact"/>
              <w:ind w:firstLine="420" w:firstLineChars="200"/>
              <w:rPr>
                <w:rFonts w:ascii="宋体" w:hAnsi="宋体"/>
                <w:i/>
                <w:color w:val="auto"/>
                <w:kern w:val="0"/>
                <w:szCs w:val="21"/>
                <w:highlight w:val="none"/>
              </w:rPr>
            </w:pPr>
            <w:r>
              <w:rPr>
                <w:rFonts w:ascii="宋体" w:hAnsi="宋体"/>
                <w:color w:val="auto"/>
                <w:kern w:val="0"/>
                <w:szCs w:val="21"/>
                <w:highlight w:val="none"/>
              </w:rPr>
              <w:t>否，</w:t>
            </w:r>
            <w:r>
              <w:rPr>
                <w:rFonts w:hint="eastAsia" w:ascii="宋体" w:hAnsi="宋体"/>
                <w:kern w:val="0"/>
                <w:szCs w:val="21"/>
              </w:rPr>
              <w:t>经评审的最低投标价法</w:t>
            </w:r>
            <w:r>
              <w:rPr>
                <w:rFonts w:ascii="宋体" w:hAnsi="宋体"/>
                <w:kern w:val="0"/>
                <w:szCs w:val="21"/>
              </w:rPr>
              <w:t>推荐中标候选人</w:t>
            </w:r>
            <w:r>
              <w:rPr>
                <w:rFonts w:ascii="宋体" w:hAnsi="宋体"/>
                <w:color w:val="auto"/>
                <w:kern w:val="0"/>
                <w:szCs w:val="21"/>
                <w:highlight w:val="none"/>
              </w:rPr>
              <w:t>。</w:t>
            </w:r>
          </w:p>
        </w:tc>
      </w:tr>
      <w:tr w14:paraId="5C1EA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821FADE">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7.2</w:t>
            </w:r>
          </w:p>
        </w:tc>
        <w:tc>
          <w:tcPr>
            <w:tcW w:w="1644" w:type="dxa"/>
            <w:noWrap w:val="0"/>
            <w:vAlign w:val="center"/>
          </w:tcPr>
          <w:p w14:paraId="32371D47">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中标公示</w:t>
            </w:r>
          </w:p>
        </w:tc>
        <w:tc>
          <w:tcPr>
            <w:tcW w:w="6490" w:type="dxa"/>
            <w:noWrap w:val="0"/>
            <w:vAlign w:val="center"/>
          </w:tcPr>
          <w:p w14:paraId="228B4267">
            <w:pPr>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szCs w:val="21"/>
              </w:rPr>
              <w:t>比选人在收到评标报告后3日内将评标结果在</w:t>
            </w:r>
            <w:r>
              <w:rPr>
                <w:rFonts w:hint="eastAsia" w:ascii="宋体" w:hAnsi="宋体" w:cs="宋体"/>
                <w:szCs w:val="21"/>
                <w:u w:val="single"/>
              </w:rPr>
              <w:t xml:space="preserve"> </w:t>
            </w:r>
            <w:r>
              <w:rPr>
                <w:rFonts w:hint="eastAsia" w:ascii="宋体" w:hAnsi="宋体"/>
                <w:color w:val="000000" w:themeColor="text1"/>
                <w:kern w:val="0"/>
                <w:szCs w:val="21"/>
                <w:u w:val="single"/>
                <w:lang w:eastAsia="zh-CN"/>
                <w14:textFill>
                  <w14:solidFill>
                    <w14:schemeClr w14:val="tx1"/>
                  </w14:solidFill>
                </w14:textFill>
              </w:rPr>
              <w:t>重庆市铜梁区人民政府网（https://www.cqstl.gov.cn/）</w:t>
            </w:r>
            <w:r>
              <w:rPr>
                <w:rFonts w:hint="eastAsia" w:ascii="宋体" w:hAnsi="宋体" w:cs="宋体"/>
                <w:szCs w:val="21"/>
                <w:u w:val="single"/>
              </w:rPr>
              <w:t xml:space="preserve"> </w:t>
            </w:r>
            <w:r>
              <w:rPr>
                <w:rFonts w:hint="eastAsia" w:ascii="宋体" w:hAnsi="宋体" w:cs="宋体"/>
                <w:szCs w:val="21"/>
              </w:rPr>
              <w:t>上进行公示，公示期为3日。</w:t>
            </w:r>
            <w:r>
              <w:rPr>
                <w:rFonts w:hint="eastAsia" w:ascii="宋体" w:hAnsi="宋体" w:cs="宋体"/>
                <w:color w:val="000000" w:themeColor="text1"/>
                <w:szCs w:val="21"/>
                <w14:textFill>
                  <w14:solidFill>
                    <w14:schemeClr w14:val="tx1"/>
                  </w14:solidFill>
                </w14:textFill>
              </w:rPr>
              <w:t>为深化信息公开，接受社会监督，本项目将按照《比选公告和公示信息发布管理办法》（国家发改委令第10号）的要求，公示内容包括中标候选人名称、排序、投标报价、质量、工期；中标候选人资质，中标候选人项目经理姓名及其相关证书名称和编号；否决投标情况及理由；提出异议、投诉的渠道和方式。</w:t>
            </w:r>
          </w:p>
        </w:tc>
      </w:tr>
      <w:tr w14:paraId="61894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3F4871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7.3.1</w:t>
            </w:r>
          </w:p>
        </w:tc>
        <w:tc>
          <w:tcPr>
            <w:tcW w:w="1644" w:type="dxa"/>
            <w:noWrap w:val="0"/>
            <w:vAlign w:val="center"/>
          </w:tcPr>
          <w:p w14:paraId="34B777A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履约担保</w:t>
            </w:r>
          </w:p>
        </w:tc>
        <w:tc>
          <w:tcPr>
            <w:tcW w:w="6490" w:type="dxa"/>
            <w:noWrap w:val="0"/>
            <w:vAlign w:val="center"/>
          </w:tcPr>
          <w:p w14:paraId="7E724B08">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1、中标人是否提供履约担保：</w:t>
            </w:r>
            <w:r>
              <w:rPr>
                <w:rFonts w:hint="eastAsia" w:ascii="宋体" w:hAnsi="宋体"/>
                <w:color w:val="000000" w:themeColor="text1"/>
                <w:kern w:val="0"/>
                <w:szCs w:val="21"/>
                <w:highlight w:val="none"/>
                <w:u w:val="single"/>
                <w14:textFill>
                  <w14:solidFill>
                    <w14:schemeClr w14:val="tx1"/>
                  </w14:solidFill>
                </w14:textFill>
              </w:rPr>
              <w:t>提供</w:t>
            </w:r>
            <w:r>
              <w:rPr>
                <w:rFonts w:hint="eastAsia" w:ascii="宋体" w:hAnsi="宋体"/>
                <w:color w:val="000000" w:themeColor="text1"/>
                <w:kern w:val="0"/>
                <w:szCs w:val="21"/>
                <w:highlight w:val="none"/>
                <w14:textFill>
                  <w14:solidFill>
                    <w14:schemeClr w14:val="tx1"/>
                  </w14:solidFill>
                </w14:textFill>
              </w:rPr>
              <w:t>。</w:t>
            </w:r>
          </w:p>
          <w:p w14:paraId="2F5F2082">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2、中标人提供履约担保的形式、金额及期限：</w:t>
            </w:r>
          </w:p>
          <w:p w14:paraId="2CF280CF">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（1）履约担保的形式：</w:t>
            </w:r>
            <w:r>
              <w:rPr>
                <w:rFonts w:hint="eastAsia" w:ascii="宋体" w:hAnsi="宋体"/>
                <w:color w:val="000000" w:themeColor="text1"/>
                <w:kern w:val="0"/>
                <w:szCs w:val="21"/>
                <w14:textFill>
                  <w14:solidFill>
                    <w14:schemeClr w14:val="tx1"/>
                  </w14:solidFill>
                </w14:textFill>
              </w:rPr>
              <w:t>现金</w:t>
            </w:r>
            <w:r>
              <w:rPr>
                <w:rFonts w:hint="eastAsia" w:ascii="宋体" w:hAnsi="宋体"/>
                <w:color w:val="000000" w:themeColor="text1"/>
                <w:kern w:val="0"/>
                <w:szCs w:val="21"/>
                <w:lang w:eastAsia="zh-CN"/>
                <w14:textFill>
                  <w14:solidFill>
                    <w14:schemeClr w14:val="tx1"/>
                  </w14:solidFill>
                </w14:textFill>
              </w:rPr>
              <w:t>、商业保函</w:t>
            </w:r>
            <w:r>
              <w:rPr>
                <w:rFonts w:hint="eastAsia" w:ascii="宋体" w:hAnsi="宋体"/>
                <w:color w:val="000000" w:themeColor="text1"/>
                <w:kern w:val="0"/>
                <w:szCs w:val="21"/>
                <w14:textFill>
                  <w14:solidFill>
                    <w14:schemeClr w14:val="tx1"/>
                  </w14:solidFill>
                </w14:textFill>
              </w:rPr>
              <w:t>或银行保函或现金+银行保函的组合；采用银行保函形式的，保函必须为不可撤销且见索即付</w:t>
            </w:r>
            <w:r>
              <w:rPr>
                <w:rFonts w:hint="eastAsia" w:ascii="宋体" w:hAnsi="宋体"/>
                <w:color w:val="000000" w:themeColor="text1"/>
                <w:kern w:val="0"/>
                <w:szCs w:val="21"/>
                <w:highlight w:val="none"/>
                <w14:textFill>
                  <w14:solidFill>
                    <w14:schemeClr w14:val="tx1"/>
                  </w14:solidFill>
                </w14:textFill>
              </w:rPr>
              <w:t>；</w:t>
            </w:r>
          </w:p>
          <w:p w14:paraId="16C093EB">
            <w:pPr>
              <w:snapToGrid w:val="0"/>
              <w:spacing w:line="400" w:lineRule="exact"/>
              <w:ind w:firstLine="420" w:firstLineChars="200"/>
              <w:rPr>
                <w:rFonts w:hint="eastAsia" w:ascii="宋体" w:hAnsi="宋体"/>
                <w:i/>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（2）履约担保的金额：</w:t>
            </w:r>
            <w:r>
              <w:rPr>
                <w:rFonts w:hint="eastAsia" w:ascii="宋体" w:hAnsi="宋体"/>
                <w:color w:val="000000" w:themeColor="text1"/>
                <w:kern w:val="0"/>
                <w:szCs w:val="21"/>
                <w:u w:val="single"/>
                <w14:textFill>
                  <w14:solidFill>
                    <w14:schemeClr w14:val="tx1"/>
                  </w14:solidFill>
                </w14:textFill>
              </w:rPr>
              <w:t>中标合同金额的10%</w:t>
            </w:r>
            <w:r>
              <w:rPr>
                <w:rFonts w:hint="eastAsia" w:ascii="宋体" w:hAnsi="宋体"/>
                <w:color w:val="000000" w:themeColor="text1"/>
                <w:kern w:val="0"/>
                <w:szCs w:val="21"/>
                <w:highlight w:val="none"/>
                <w14:textFill>
                  <w14:solidFill>
                    <w14:schemeClr w14:val="tx1"/>
                  </w14:solidFill>
                </w14:textFill>
              </w:rPr>
              <w:t>；</w:t>
            </w:r>
          </w:p>
          <w:p w14:paraId="22E8F7CA">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（3）履约担保的提交时间：见专用合同条款。</w:t>
            </w:r>
          </w:p>
          <w:p w14:paraId="6A5D7D74">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（4）履约担保的期限：见专用合同条款。</w:t>
            </w:r>
          </w:p>
          <w:p w14:paraId="7CC73B5C">
            <w:pPr>
              <w:snapToGrid w:val="0"/>
              <w:spacing w:after="62" w:afterLines="20" w:line="400" w:lineRule="exact"/>
              <w:ind w:firstLine="420" w:firstLineChars="200"/>
              <w:rPr>
                <w:rFonts w:ascii="宋体" w:hAnsi="宋体"/>
                <w:color w:val="auto"/>
                <w:kern w:val="0"/>
                <w:szCs w:val="21"/>
                <w:highlight w:val="none"/>
              </w:rPr>
            </w:pPr>
            <w:r>
              <w:rPr>
                <w:rFonts w:hint="eastAsia" w:ascii="宋体" w:hAnsi="宋体"/>
                <w:color w:val="000000" w:themeColor="text1"/>
                <w:kern w:val="0"/>
                <w:szCs w:val="21"/>
                <w:highlight w:val="none"/>
                <w14:textFill>
                  <w14:solidFill>
                    <w14:schemeClr w14:val="tx1"/>
                  </w14:solidFill>
                </w14:textFill>
              </w:rPr>
              <w:t>（5）履约担保的退还时间：见专用合同条款。</w:t>
            </w:r>
          </w:p>
        </w:tc>
      </w:tr>
      <w:tr w14:paraId="367402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ED1119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7.4.1</w:t>
            </w:r>
          </w:p>
        </w:tc>
        <w:tc>
          <w:tcPr>
            <w:tcW w:w="1644" w:type="dxa"/>
            <w:noWrap w:val="0"/>
            <w:vAlign w:val="center"/>
          </w:tcPr>
          <w:p w14:paraId="71B84686">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签订合同</w:t>
            </w:r>
          </w:p>
        </w:tc>
        <w:tc>
          <w:tcPr>
            <w:tcW w:w="6490" w:type="dxa"/>
            <w:noWrap w:val="0"/>
            <w:vAlign w:val="center"/>
          </w:tcPr>
          <w:p w14:paraId="74A26D76">
            <w:pPr>
              <w:snapToGrid w:val="0"/>
              <w:spacing w:after="62" w:afterLines="20"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依法必须进行</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的项目，中标人有《</w:t>
            </w:r>
            <w:r>
              <w:rPr>
                <w:rFonts w:hint="eastAsia" w:ascii="宋体" w:hAnsi="宋体"/>
                <w:color w:val="auto"/>
                <w:kern w:val="0"/>
                <w:szCs w:val="21"/>
                <w:highlight w:val="none"/>
                <w:lang w:eastAsia="zh-CN"/>
              </w:rPr>
              <w:t>招标</w:t>
            </w:r>
            <w:r>
              <w:rPr>
                <w:rFonts w:hint="eastAsia" w:ascii="宋体" w:hAnsi="宋体"/>
                <w:color w:val="auto"/>
                <w:kern w:val="0"/>
                <w:szCs w:val="21"/>
                <w:highlight w:val="none"/>
              </w:rPr>
              <w:t>投标法实施条例》第七十四条规定行为的，视为特别严重信用不良行为且情节特别严重，按信用记分上限一次性记12分，纳入黑名单管理；中标人有《</w:t>
            </w:r>
            <w:r>
              <w:rPr>
                <w:rFonts w:hint="eastAsia" w:ascii="宋体" w:hAnsi="宋体"/>
                <w:color w:val="auto"/>
                <w:kern w:val="0"/>
                <w:szCs w:val="21"/>
                <w:highlight w:val="none"/>
                <w:lang w:eastAsia="zh-CN"/>
              </w:rPr>
              <w:t>招标</w:t>
            </w:r>
            <w:r>
              <w:rPr>
                <w:rFonts w:hint="eastAsia" w:ascii="宋体" w:hAnsi="宋体"/>
                <w:color w:val="auto"/>
                <w:kern w:val="0"/>
                <w:szCs w:val="21"/>
                <w:highlight w:val="none"/>
              </w:rPr>
              <w:t>投标法实施条例》第七十四条规定行为的，按中标项目金额10‰罚款上限予以行政处罚，按信用记分上限一次性并处记12分，纳入黑名单管理。</w:t>
            </w:r>
          </w:p>
        </w:tc>
      </w:tr>
      <w:tr w14:paraId="59A07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183C100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8.1</w:t>
            </w:r>
          </w:p>
        </w:tc>
        <w:tc>
          <w:tcPr>
            <w:tcW w:w="1644" w:type="dxa"/>
            <w:noWrap w:val="0"/>
            <w:vAlign w:val="center"/>
          </w:tcPr>
          <w:p w14:paraId="6294E47E">
            <w:pPr>
              <w:snapToGrid w:val="0"/>
              <w:spacing w:line="400" w:lineRule="exact"/>
              <w:jc w:val="center"/>
              <w:rPr>
                <w:rFonts w:hint="eastAsia" w:ascii="宋体" w:hAnsi="宋体" w:eastAsia="宋体"/>
                <w:color w:val="auto"/>
                <w:kern w:val="0"/>
                <w:szCs w:val="21"/>
                <w:highlight w:val="none"/>
                <w:lang w:eastAsia="zh-CN"/>
              </w:rPr>
            </w:pPr>
            <w:r>
              <w:rPr>
                <w:rFonts w:ascii="宋体" w:hAnsi="宋体"/>
                <w:color w:val="auto"/>
                <w:kern w:val="0"/>
                <w:szCs w:val="21"/>
                <w:highlight w:val="none"/>
              </w:rPr>
              <w:t>重新</w:t>
            </w:r>
            <w:r>
              <w:rPr>
                <w:rFonts w:hint="eastAsia" w:ascii="宋体" w:hAnsi="宋体"/>
                <w:color w:val="auto"/>
                <w:kern w:val="0"/>
                <w:szCs w:val="21"/>
                <w:highlight w:val="none"/>
                <w:lang w:eastAsia="zh-CN"/>
              </w:rPr>
              <w:t>比选</w:t>
            </w:r>
          </w:p>
        </w:tc>
        <w:tc>
          <w:tcPr>
            <w:tcW w:w="6490" w:type="dxa"/>
            <w:noWrap w:val="0"/>
            <w:vAlign w:val="center"/>
          </w:tcPr>
          <w:p w14:paraId="4A1ADE6E">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1.按投标人须知第8.1（1）执行；</w:t>
            </w:r>
          </w:p>
          <w:p w14:paraId="19720CB1">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2.按投标人须知第8.1（2）执行；</w:t>
            </w:r>
          </w:p>
          <w:p w14:paraId="423331FD">
            <w:pPr>
              <w:widowControl/>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ascii="宋体" w:hAnsi="宋体"/>
                <w:color w:val="auto"/>
                <w:kern w:val="0"/>
                <w:szCs w:val="21"/>
                <w:highlight w:val="none"/>
              </w:rPr>
              <w:t>按投标人须知第8.1（3）执行；</w:t>
            </w:r>
          </w:p>
          <w:p w14:paraId="09C4C8A8">
            <w:pPr>
              <w:widowControl/>
              <w:spacing w:after="62" w:afterLines="20" w:line="400" w:lineRule="exact"/>
              <w:ind w:firstLine="420" w:firstLineChars="200"/>
              <w:rPr>
                <w:rFonts w:ascii="宋体" w:hAnsi="宋体"/>
                <w:color w:val="auto"/>
                <w:kern w:val="0"/>
                <w:szCs w:val="21"/>
                <w:highlight w:val="none"/>
              </w:rPr>
            </w:pPr>
            <w:r>
              <w:rPr>
                <w:rFonts w:ascii="宋体" w:hAnsi="宋体"/>
                <w:snapToGrid w:val="0"/>
                <w:color w:val="auto"/>
                <w:kern w:val="0"/>
                <w:szCs w:val="21"/>
                <w:highlight w:val="none"/>
              </w:rPr>
              <w:t>4.</w:t>
            </w:r>
            <w:r>
              <w:rPr>
                <w:rFonts w:ascii="宋体" w:hAnsi="宋体"/>
                <w:color w:val="auto"/>
                <w:kern w:val="0"/>
                <w:szCs w:val="21"/>
                <w:highlight w:val="none"/>
              </w:rPr>
              <w:t>按投标人须知第8.1（4）执行</w:t>
            </w:r>
            <w:r>
              <w:rPr>
                <w:rFonts w:hint="eastAsia" w:ascii="宋体" w:hAnsi="宋体"/>
                <w:color w:val="auto"/>
                <w:kern w:val="0"/>
                <w:szCs w:val="21"/>
                <w:highlight w:val="none"/>
              </w:rPr>
              <w:t>。</w:t>
            </w:r>
          </w:p>
        </w:tc>
      </w:tr>
      <w:tr w14:paraId="0718B7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C91E78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8.2</w:t>
            </w:r>
          </w:p>
        </w:tc>
        <w:tc>
          <w:tcPr>
            <w:tcW w:w="1644" w:type="dxa"/>
            <w:noWrap w:val="0"/>
            <w:vAlign w:val="center"/>
          </w:tcPr>
          <w:p w14:paraId="7806F881">
            <w:pPr>
              <w:snapToGrid w:val="0"/>
              <w:spacing w:line="400" w:lineRule="exact"/>
              <w:jc w:val="center"/>
              <w:rPr>
                <w:rFonts w:hint="eastAsia" w:eastAsia="宋体"/>
                <w:color w:val="auto"/>
                <w:highlight w:val="none"/>
                <w:lang w:eastAsia="zh-CN"/>
              </w:rPr>
            </w:pPr>
            <w:bookmarkStart w:id="110" w:name="_Toc430530434"/>
            <w:bookmarkStart w:id="111" w:name="_Toc536628250"/>
            <w:bookmarkStart w:id="112" w:name="_Toc13210670"/>
            <w:bookmarkStart w:id="113" w:name="_Toc16930431"/>
            <w:bookmarkStart w:id="114" w:name="_Toc509218709"/>
            <w:r>
              <w:rPr>
                <w:rFonts w:ascii="宋体" w:hAnsi="宋体"/>
                <w:color w:val="auto"/>
                <w:kern w:val="0"/>
                <w:szCs w:val="21"/>
                <w:highlight w:val="none"/>
              </w:rPr>
              <w:t>二次</w:t>
            </w:r>
            <w:r>
              <w:rPr>
                <w:rFonts w:hint="eastAsia" w:ascii="宋体" w:hAnsi="宋体"/>
                <w:color w:val="auto"/>
                <w:kern w:val="0"/>
                <w:szCs w:val="21"/>
                <w:highlight w:val="none"/>
                <w:lang w:eastAsia="zh-CN"/>
              </w:rPr>
              <w:t>比选</w:t>
            </w:r>
            <w:r>
              <w:rPr>
                <w:rFonts w:ascii="宋体" w:hAnsi="宋体"/>
                <w:color w:val="auto"/>
                <w:kern w:val="0"/>
                <w:szCs w:val="21"/>
                <w:highlight w:val="none"/>
              </w:rPr>
              <w:t>和不再</w:t>
            </w:r>
            <w:bookmarkEnd w:id="110"/>
            <w:bookmarkEnd w:id="111"/>
            <w:bookmarkEnd w:id="112"/>
            <w:bookmarkEnd w:id="113"/>
            <w:bookmarkEnd w:id="114"/>
            <w:r>
              <w:rPr>
                <w:rFonts w:hint="eastAsia" w:ascii="宋体" w:hAnsi="宋体"/>
                <w:color w:val="auto"/>
                <w:kern w:val="0"/>
                <w:szCs w:val="21"/>
                <w:highlight w:val="none"/>
                <w:lang w:eastAsia="zh-CN"/>
              </w:rPr>
              <w:t>比选</w:t>
            </w:r>
          </w:p>
        </w:tc>
        <w:tc>
          <w:tcPr>
            <w:tcW w:w="6490" w:type="dxa"/>
            <w:noWrap w:val="0"/>
            <w:vAlign w:val="center"/>
          </w:tcPr>
          <w:p w14:paraId="2EC1D9AC">
            <w:pPr>
              <w:autoSpaceDE w:val="0"/>
              <w:autoSpaceDN w:val="0"/>
              <w:adjustRightInd w:val="0"/>
              <w:snapToGrid w:val="0"/>
              <w:spacing w:after="62" w:afterLines="20" w:line="40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重新</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的投标人仍然少于三个的，按照</w:t>
            </w:r>
            <w:r>
              <w:rPr>
                <w:rFonts w:hint="eastAsia" w:ascii="宋体" w:hAnsi="宋体"/>
                <w:color w:val="auto"/>
                <w:kern w:val="0"/>
                <w:szCs w:val="21"/>
                <w:highlight w:val="none"/>
                <w:lang w:eastAsia="zh-CN"/>
              </w:rPr>
              <w:t>招标</w:t>
            </w:r>
            <w:r>
              <w:rPr>
                <w:rFonts w:hint="eastAsia" w:ascii="宋体" w:hAnsi="宋体"/>
                <w:snapToGrid w:val="0"/>
                <w:color w:val="auto"/>
                <w:kern w:val="0"/>
                <w:szCs w:val="21"/>
                <w:highlight w:val="none"/>
              </w:rPr>
              <w:t>投标法律法规规定的程序开标和评标。重新</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经评审有有效投标人的，应当依法确定中标候选人；无有效投标人的，可以不再进行</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，但是按照国家有关规定需要履行审批、核准、备案手续的依法必须进行</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的项目，应当报原项目投资主管部门审批、核准、备案</w:t>
            </w:r>
            <w:r>
              <w:rPr>
                <w:rFonts w:ascii="宋体" w:hAnsi="宋体"/>
                <w:snapToGrid w:val="0"/>
                <w:color w:val="auto"/>
                <w:kern w:val="0"/>
                <w:szCs w:val="21"/>
                <w:highlight w:val="none"/>
              </w:rPr>
              <w:t>。</w:t>
            </w:r>
          </w:p>
        </w:tc>
      </w:tr>
      <w:tr w14:paraId="53F7D4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75DE89C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w:t>
            </w:r>
          </w:p>
        </w:tc>
        <w:tc>
          <w:tcPr>
            <w:tcW w:w="8134" w:type="dxa"/>
            <w:gridSpan w:val="2"/>
            <w:noWrap w:val="0"/>
            <w:vAlign w:val="center"/>
          </w:tcPr>
          <w:p w14:paraId="55AB579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需要补充的其他内容</w:t>
            </w:r>
          </w:p>
        </w:tc>
      </w:tr>
      <w:tr w14:paraId="1DE8E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4973A304">
            <w:pPr>
              <w:snapToGrid w:val="0"/>
              <w:spacing w:line="400" w:lineRule="exact"/>
              <w:jc w:val="center"/>
              <w:rPr>
                <w:rFonts w:hint="eastAsia" w:ascii="宋体" w:hAnsi="宋体" w:eastAsia="宋体"/>
                <w:color w:val="auto"/>
                <w:kern w:val="0"/>
                <w:szCs w:val="21"/>
                <w:highlight w:val="none"/>
                <w:lang w:eastAsia="zh-CN"/>
              </w:rPr>
            </w:pPr>
            <w:r>
              <w:rPr>
                <w:rFonts w:ascii="宋体" w:hAnsi="宋体"/>
                <w:color w:val="auto"/>
                <w:kern w:val="0"/>
                <w:szCs w:val="21"/>
                <w:highlight w:val="none"/>
              </w:rPr>
              <w:t>10.</w:t>
            </w:r>
            <w:r>
              <w:rPr>
                <w:rFonts w:hint="eastAsia" w:ascii="宋体" w:hAnsi="宋体"/>
                <w:color w:val="auto"/>
                <w:kern w:val="0"/>
                <w:szCs w:val="21"/>
                <w:highlight w:val="none"/>
                <w:lang w:val="en-US" w:eastAsia="zh-CN"/>
              </w:rPr>
              <w:t>1</w:t>
            </w:r>
          </w:p>
        </w:tc>
        <w:tc>
          <w:tcPr>
            <w:tcW w:w="1644" w:type="dxa"/>
            <w:noWrap w:val="0"/>
            <w:vAlign w:val="center"/>
          </w:tcPr>
          <w:p w14:paraId="109C4884">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异议、</w:t>
            </w:r>
            <w:r>
              <w:rPr>
                <w:rFonts w:ascii="宋体" w:hAnsi="宋体"/>
                <w:color w:val="auto"/>
                <w:kern w:val="0"/>
                <w:szCs w:val="21"/>
                <w:highlight w:val="none"/>
              </w:rPr>
              <w:t>投诉处理</w:t>
            </w:r>
          </w:p>
        </w:tc>
        <w:tc>
          <w:tcPr>
            <w:tcW w:w="6490" w:type="dxa"/>
            <w:noWrap w:val="0"/>
            <w:vAlign w:val="center"/>
          </w:tcPr>
          <w:p w14:paraId="2358AC79">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投标人或者其他利害关系人就本项目的</w:t>
            </w:r>
            <w:r>
              <w:rPr>
                <w:rFonts w:hint="eastAsia" w:ascii="宋体" w:hAnsi="宋体"/>
                <w:color w:val="auto"/>
                <w:kern w:val="0"/>
                <w:szCs w:val="21"/>
                <w:highlight w:val="none"/>
                <w:lang w:eastAsia="zh-CN"/>
              </w:rPr>
              <w:t>比选</w:t>
            </w:r>
            <w:r>
              <w:rPr>
                <w:rFonts w:ascii="宋体" w:hAnsi="宋体"/>
                <w:color w:val="auto"/>
                <w:kern w:val="0"/>
                <w:szCs w:val="21"/>
                <w:highlight w:val="none"/>
              </w:rPr>
              <w:t>文件</w:t>
            </w:r>
            <w:r>
              <w:rPr>
                <w:rFonts w:hint="eastAsia" w:ascii="宋体" w:hAnsi="宋体"/>
                <w:color w:val="auto"/>
                <w:kern w:val="0"/>
                <w:szCs w:val="21"/>
                <w:highlight w:val="none"/>
              </w:rPr>
              <w:t>（含澄清修改）、开标情况、</w:t>
            </w:r>
            <w:r>
              <w:rPr>
                <w:rFonts w:ascii="宋体" w:hAnsi="宋体"/>
                <w:color w:val="auto"/>
                <w:kern w:val="0"/>
                <w:szCs w:val="21"/>
                <w:highlight w:val="none"/>
              </w:rPr>
              <w:t>评标结果等事项提出异议或投诉</w:t>
            </w:r>
            <w:r>
              <w:rPr>
                <w:rFonts w:hint="eastAsia" w:ascii="宋体" w:hAnsi="宋体"/>
                <w:color w:val="auto"/>
                <w:kern w:val="0"/>
                <w:szCs w:val="21"/>
                <w:highlight w:val="none"/>
              </w:rPr>
              <w:t>的</w:t>
            </w:r>
            <w:r>
              <w:rPr>
                <w:rFonts w:ascii="宋体" w:hAnsi="宋体"/>
                <w:color w:val="auto"/>
                <w:kern w:val="0"/>
                <w:szCs w:val="21"/>
                <w:highlight w:val="none"/>
              </w:rPr>
              <w:t>，应当先向</w:t>
            </w:r>
            <w:r>
              <w:rPr>
                <w:rFonts w:hint="eastAsia" w:ascii="宋体" w:hAnsi="宋体"/>
                <w:color w:val="auto"/>
                <w:kern w:val="0"/>
                <w:szCs w:val="21"/>
                <w:highlight w:val="none"/>
                <w:lang w:eastAsia="zh-CN"/>
              </w:rPr>
              <w:t>比选</w:t>
            </w:r>
            <w:r>
              <w:rPr>
                <w:rFonts w:ascii="宋体" w:hAnsi="宋体"/>
                <w:color w:val="auto"/>
                <w:kern w:val="0"/>
                <w:szCs w:val="21"/>
                <w:highlight w:val="none"/>
              </w:rPr>
              <w:t>人提出异议；</w:t>
            </w:r>
            <w:r>
              <w:rPr>
                <w:rFonts w:hint="eastAsia" w:ascii="宋体" w:hAnsi="宋体"/>
                <w:color w:val="auto"/>
                <w:kern w:val="0"/>
                <w:szCs w:val="21"/>
                <w:highlight w:val="none"/>
                <w:lang w:eastAsia="zh-CN"/>
              </w:rPr>
              <w:t>比选</w:t>
            </w:r>
            <w:r>
              <w:rPr>
                <w:rFonts w:ascii="宋体" w:hAnsi="宋体"/>
                <w:color w:val="auto"/>
                <w:kern w:val="0"/>
                <w:szCs w:val="21"/>
                <w:highlight w:val="none"/>
              </w:rPr>
              <w:t>人应当在规定时间内答复；对</w:t>
            </w:r>
            <w:r>
              <w:rPr>
                <w:rFonts w:hint="eastAsia" w:ascii="宋体" w:hAnsi="宋体"/>
                <w:color w:val="auto"/>
                <w:kern w:val="0"/>
                <w:szCs w:val="21"/>
                <w:highlight w:val="none"/>
                <w:lang w:eastAsia="zh-CN"/>
              </w:rPr>
              <w:t>比选</w:t>
            </w:r>
            <w:r>
              <w:rPr>
                <w:rFonts w:ascii="宋体" w:hAnsi="宋体"/>
                <w:color w:val="auto"/>
                <w:kern w:val="0"/>
                <w:szCs w:val="21"/>
                <w:highlight w:val="none"/>
              </w:rPr>
              <w:t>人的答复不满意，可向行政监督部门投诉。</w:t>
            </w:r>
          </w:p>
          <w:p w14:paraId="3A02773B">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提出异议或投诉时应当包括下列内容：</w:t>
            </w:r>
          </w:p>
          <w:p w14:paraId="3A363929">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（1）异议或投诉人的名称、地址及有效联系方式；</w:t>
            </w:r>
          </w:p>
          <w:p w14:paraId="67D1EA13">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（2）被异议或投诉人的名称、地址及有效联系方式；</w:t>
            </w:r>
          </w:p>
          <w:p w14:paraId="3529A6B3">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（3）异议或投诉事项的基本事实；</w:t>
            </w:r>
          </w:p>
          <w:p w14:paraId="016E8598">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（4）请求及主张；</w:t>
            </w:r>
          </w:p>
          <w:p w14:paraId="0C7BCE04">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（5）涉及事项的证据、证明材料。</w:t>
            </w:r>
          </w:p>
          <w:p w14:paraId="7581905E">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异议或投诉的主体必须为法人，异议书必须由其法定代表人和委托代理人签字并加盖单位公章。如有关材料是外文，应当同时提供中文译本。</w:t>
            </w:r>
          </w:p>
          <w:p w14:paraId="1B746F54">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ascii="宋体" w:hAnsi="宋体"/>
                <w:color w:val="auto"/>
                <w:kern w:val="0"/>
                <w:szCs w:val="21"/>
                <w:highlight w:val="none"/>
              </w:rPr>
              <w:t>行政监督部门依照《</w:t>
            </w:r>
            <w:r>
              <w:rPr>
                <w:rFonts w:hint="eastAsia" w:ascii="宋体" w:hAnsi="宋体"/>
                <w:color w:val="auto"/>
                <w:kern w:val="0"/>
                <w:szCs w:val="21"/>
                <w:highlight w:val="none"/>
              </w:rPr>
              <w:t>中华人民共和国</w:t>
            </w:r>
            <w:r>
              <w:rPr>
                <w:rFonts w:hint="eastAsia" w:ascii="宋体" w:hAnsi="宋体"/>
                <w:color w:val="auto"/>
                <w:kern w:val="0"/>
                <w:szCs w:val="21"/>
                <w:highlight w:val="none"/>
                <w:lang w:eastAsia="zh-CN"/>
              </w:rPr>
              <w:t>招标</w:t>
            </w:r>
            <w:r>
              <w:rPr>
                <w:rFonts w:ascii="宋体" w:hAnsi="宋体"/>
                <w:color w:val="auto"/>
                <w:kern w:val="0"/>
                <w:szCs w:val="21"/>
                <w:highlight w:val="none"/>
              </w:rPr>
              <w:t>投标法》、《</w:t>
            </w:r>
            <w:r>
              <w:rPr>
                <w:rFonts w:hint="eastAsia" w:ascii="宋体" w:hAnsi="宋体"/>
                <w:color w:val="auto"/>
                <w:kern w:val="0"/>
                <w:szCs w:val="21"/>
                <w:highlight w:val="none"/>
              </w:rPr>
              <w:t>中华人民共和国</w:t>
            </w:r>
            <w:r>
              <w:rPr>
                <w:rFonts w:hint="eastAsia" w:ascii="宋体" w:hAnsi="宋体"/>
                <w:color w:val="auto"/>
                <w:kern w:val="0"/>
                <w:szCs w:val="21"/>
                <w:highlight w:val="none"/>
                <w:lang w:eastAsia="zh-CN"/>
              </w:rPr>
              <w:t>招标</w:t>
            </w:r>
            <w:r>
              <w:rPr>
                <w:rFonts w:ascii="宋体" w:hAnsi="宋体"/>
                <w:color w:val="auto"/>
                <w:kern w:val="0"/>
                <w:szCs w:val="21"/>
                <w:highlight w:val="none"/>
              </w:rPr>
              <w:t>投标法实施条例》、《重庆市</w:t>
            </w:r>
            <w:r>
              <w:rPr>
                <w:rFonts w:hint="eastAsia" w:ascii="宋体" w:hAnsi="宋体"/>
                <w:color w:val="auto"/>
                <w:kern w:val="0"/>
                <w:szCs w:val="21"/>
                <w:highlight w:val="none"/>
                <w:lang w:eastAsia="zh-CN"/>
              </w:rPr>
              <w:t>比选</w:t>
            </w:r>
            <w:r>
              <w:rPr>
                <w:rFonts w:ascii="宋体" w:hAnsi="宋体"/>
                <w:color w:val="auto"/>
                <w:kern w:val="0"/>
                <w:szCs w:val="21"/>
                <w:highlight w:val="none"/>
              </w:rPr>
              <w:t>投标条例》、《工程建设项目</w:t>
            </w:r>
            <w:r>
              <w:rPr>
                <w:rFonts w:hint="eastAsia" w:ascii="宋体" w:hAnsi="宋体"/>
                <w:color w:val="auto"/>
                <w:kern w:val="0"/>
                <w:szCs w:val="21"/>
                <w:highlight w:val="none"/>
                <w:lang w:eastAsia="zh-CN"/>
              </w:rPr>
              <w:t>比选</w:t>
            </w:r>
            <w:r>
              <w:rPr>
                <w:rFonts w:ascii="宋体" w:hAnsi="宋体"/>
                <w:color w:val="auto"/>
                <w:kern w:val="0"/>
                <w:szCs w:val="21"/>
                <w:highlight w:val="none"/>
              </w:rPr>
              <w:t>投标活动投诉处理办法》（七部委令第11号（根据九部门2013年第23号令修正））、《重庆市</w:t>
            </w:r>
            <w:r>
              <w:rPr>
                <w:rFonts w:hint="eastAsia" w:ascii="宋体" w:hAnsi="宋体"/>
                <w:color w:val="auto"/>
                <w:kern w:val="0"/>
                <w:szCs w:val="21"/>
                <w:highlight w:val="none"/>
                <w:lang w:eastAsia="zh-CN"/>
              </w:rPr>
              <w:t>比选</w:t>
            </w:r>
            <w:r>
              <w:rPr>
                <w:rFonts w:ascii="宋体" w:hAnsi="宋体"/>
                <w:color w:val="auto"/>
                <w:kern w:val="0"/>
                <w:szCs w:val="21"/>
                <w:highlight w:val="none"/>
              </w:rPr>
              <w:t>投标活动投诉处理实施细则》（渝发改标</w:t>
            </w:r>
            <w:r>
              <w:rPr>
                <w:rFonts w:hint="eastAsia" w:ascii="宋体" w:hAnsi="宋体"/>
                <w:color w:val="auto"/>
                <w:kern w:val="0"/>
                <w:szCs w:val="21"/>
                <w:highlight w:val="none"/>
              </w:rPr>
              <w:t>〔</w:t>
            </w:r>
            <w:r>
              <w:rPr>
                <w:rFonts w:ascii="宋体" w:hAnsi="宋体"/>
                <w:color w:val="auto"/>
                <w:kern w:val="0"/>
                <w:szCs w:val="21"/>
                <w:highlight w:val="none"/>
              </w:rPr>
              <w:t>2014</w:t>
            </w:r>
            <w:r>
              <w:rPr>
                <w:rFonts w:hint="eastAsia" w:ascii="宋体" w:hAnsi="宋体"/>
                <w:color w:val="auto"/>
                <w:kern w:val="0"/>
                <w:szCs w:val="21"/>
                <w:highlight w:val="none"/>
              </w:rPr>
              <w:t>〕</w:t>
            </w:r>
            <w:r>
              <w:rPr>
                <w:rFonts w:ascii="宋体" w:hAnsi="宋体"/>
                <w:color w:val="auto"/>
                <w:kern w:val="0"/>
                <w:szCs w:val="21"/>
                <w:highlight w:val="none"/>
              </w:rPr>
              <w:t>1168号）等法律法规文件处理投诉。</w:t>
            </w:r>
          </w:p>
          <w:p w14:paraId="3613043B">
            <w:pPr>
              <w:snapToGrid w:val="0"/>
              <w:spacing w:after="124" w:afterLines="4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 根据《重庆市工程建设领域</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投标信用管理暂行办法》的规定，投标人捏造事实、伪造材料，或者以非法手段获取证明材料进行质疑或者投诉的，将被列入黑名单管理；</w:t>
            </w:r>
            <w:r>
              <w:rPr>
                <w:rFonts w:ascii="宋体" w:hAnsi="宋体"/>
                <w:color w:val="auto"/>
                <w:kern w:val="0"/>
                <w:szCs w:val="21"/>
                <w:highlight w:val="none"/>
              </w:rPr>
              <w:t>给他人造成损失的，依法承担赔偿责任。</w:t>
            </w:r>
          </w:p>
        </w:tc>
      </w:tr>
      <w:tr w14:paraId="731452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2D420DFC">
            <w:pPr>
              <w:snapToGrid w:val="0"/>
              <w:spacing w:line="400" w:lineRule="exact"/>
              <w:jc w:val="center"/>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2</w:t>
            </w:r>
          </w:p>
        </w:tc>
        <w:tc>
          <w:tcPr>
            <w:tcW w:w="1644" w:type="dxa"/>
            <w:noWrap w:val="0"/>
            <w:vAlign w:val="center"/>
          </w:tcPr>
          <w:p w14:paraId="40547E2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工程量清单</w:t>
            </w:r>
          </w:p>
          <w:p w14:paraId="54192FA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编制说明</w:t>
            </w:r>
          </w:p>
        </w:tc>
        <w:tc>
          <w:tcPr>
            <w:tcW w:w="6490" w:type="dxa"/>
            <w:noWrap w:val="0"/>
            <w:vAlign w:val="center"/>
          </w:tcPr>
          <w:p w14:paraId="77076263">
            <w:pPr>
              <w:widowControl/>
              <w:spacing w:line="400" w:lineRule="exact"/>
              <w:ind w:firstLine="420" w:firstLineChars="200"/>
              <w:rPr>
                <w:rFonts w:ascii="宋体" w:hAnsi="宋体"/>
                <w:color w:val="auto"/>
                <w:kern w:val="0"/>
                <w:szCs w:val="21"/>
                <w:highlight w:val="none"/>
              </w:rPr>
            </w:pPr>
            <w:r>
              <w:rPr>
                <w:rFonts w:hint="eastAsia" w:ascii="宋体"/>
                <w:color w:val="auto"/>
              </w:rPr>
              <w:t>详见第五章工程量清单。</w:t>
            </w:r>
          </w:p>
        </w:tc>
      </w:tr>
      <w:tr w14:paraId="0E84CA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0FC500E">
            <w:pPr>
              <w:snapToGrid w:val="0"/>
              <w:spacing w:line="400" w:lineRule="exact"/>
              <w:jc w:val="center"/>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3</w:t>
            </w:r>
          </w:p>
        </w:tc>
        <w:tc>
          <w:tcPr>
            <w:tcW w:w="1644" w:type="dxa"/>
            <w:noWrap w:val="0"/>
            <w:vAlign w:val="center"/>
          </w:tcPr>
          <w:p w14:paraId="69F49A67">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关于对</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文件及投标争议的解释</w:t>
            </w:r>
          </w:p>
        </w:tc>
        <w:tc>
          <w:tcPr>
            <w:tcW w:w="6490" w:type="dxa"/>
            <w:noWrap w:val="0"/>
            <w:vAlign w:val="center"/>
          </w:tcPr>
          <w:p w14:paraId="3CB29799">
            <w:pPr>
              <w:autoSpaceDE w:val="0"/>
              <w:autoSpaceDN w:val="0"/>
              <w:adjustRightInd w:val="0"/>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对资格预审文件或者</w:t>
            </w:r>
            <w:r>
              <w:rPr>
                <w:rFonts w:hint="eastAsia" w:ascii="宋体" w:hAnsi="宋体"/>
                <w:color w:val="000000" w:themeColor="text1"/>
                <w:kern w:val="0"/>
                <w:szCs w:val="21"/>
                <w:highlight w:val="none"/>
                <w:lang w:eastAsia="zh-CN"/>
                <w14:textFill>
                  <w14:solidFill>
                    <w14:schemeClr w14:val="tx1"/>
                  </w14:solidFill>
                </w14:textFill>
              </w:rPr>
              <w:t>比选</w:t>
            </w:r>
            <w:r>
              <w:rPr>
                <w:rFonts w:hint="eastAsia" w:ascii="宋体" w:hAnsi="宋体"/>
                <w:color w:val="000000" w:themeColor="text1"/>
                <w:kern w:val="0"/>
                <w:szCs w:val="21"/>
                <w:highlight w:val="none"/>
                <w14:textFill>
                  <w14:solidFill>
                    <w14:schemeClr w14:val="tx1"/>
                  </w14:solidFill>
                </w14:textFill>
              </w:rPr>
              <w:t>文件的评标标准和方法，以及资格审查和否决投标条款理解有争议的，应当作出不利于</w:t>
            </w:r>
            <w:r>
              <w:rPr>
                <w:rFonts w:hint="eastAsia" w:ascii="宋体" w:hAnsi="宋体"/>
                <w:color w:val="000000" w:themeColor="text1"/>
                <w:kern w:val="0"/>
                <w:szCs w:val="21"/>
                <w:highlight w:val="none"/>
                <w:lang w:eastAsia="zh-CN"/>
                <w14:textFill>
                  <w14:solidFill>
                    <w14:schemeClr w14:val="tx1"/>
                  </w14:solidFill>
                </w14:textFill>
              </w:rPr>
              <w:t>比选</w:t>
            </w:r>
            <w:r>
              <w:rPr>
                <w:rFonts w:hint="eastAsia" w:ascii="宋体" w:hAnsi="宋体"/>
                <w:color w:val="000000" w:themeColor="text1"/>
                <w:kern w:val="0"/>
                <w:szCs w:val="21"/>
                <w:highlight w:val="none"/>
                <w14:textFill>
                  <w14:solidFill>
                    <w14:schemeClr w14:val="tx1"/>
                  </w14:solidFill>
                </w14:textFill>
              </w:rPr>
              <w:t>人的解释，但违背国家利益、社会公共利益的除外。</w:t>
            </w:r>
          </w:p>
          <w:p w14:paraId="409A9A47">
            <w:pPr>
              <w:autoSpaceDE w:val="0"/>
              <w:autoSpaceDN w:val="0"/>
              <w:adjustRightInd w:val="0"/>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对投标文件理解有争议的，应当作出不利于提交该投标文件的投标人的解释。</w:t>
            </w:r>
          </w:p>
        </w:tc>
      </w:tr>
      <w:tr w14:paraId="3DB2A6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0635699F">
            <w:pPr>
              <w:snapToGrid w:val="0"/>
              <w:spacing w:line="400" w:lineRule="exact"/>
              <w:jc w:val="center"/>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10.4</w:t>
            </w:r>
          </w:p>
        </w:tc>
        <w:tc>
          <w:tcPr>
            <w:tcW w:w="1644" w:type="dxa"/>
            <w:noWrap w:val="0"/>
            <w:vAlign w:val="center"/>
          </w:tcPr>
          <w:p w14:paraId="00F1F8DE">
            <w:pPr>
              <w:snapToGrid w:val="0"/>
              <w:spacing w:line="400" w:lineRule="exact"/>
              <w:jc w:val="center"/>
              <w:rPr>
                <w:rFonts w:hint="eastAsia" w:ascii="宋体" w:hAnsi="宋体" w:eastAsia="宋体"/>
                <w:color w:val="auto"/>
                <w:kern w:val="0"/>
                <w:szCs w:val="21"/>
                <w:highlight w:val="none"/>
                <w:lang w:eastAsia="zh-CN"/>
              </w:rPr>
            </w:pPr>
            <w:r>
              <w:rPr>
                <w:rFonts w:hint="eastAsia" w:ascii="宋体" w:hAnsi="宋体"/>
                <w:color w:val="auto"/>
                <w:kern w:val="0"/>
                <w:szCs w:val="21"/>
                <w:highlight w:val="none"/>
                <w:lang w:eastAsia="zh-CN"/>
              </w:rPr>
              <w:t>工程款支付</w:t>
            </w:r>
          </w:p>
        </w:tc>
        <w:tc>
          <w:tcPr>
            <w:tcW w:w="6490" w:type="dxa"/>
            <w:noWrap w:val="0"/>
            <w:vAlign w:val="center"/>
          </w:tcPr>
          <w:p w14:paraId="000D5ECA">
            <w:pPr>
              <w:keepNext w:val="0"/>
              <w:keepLines w:val="0"/>
              <w:pageBreakBefore w:val="0"/>
              <w:numPr>
                <w:ilvl w:val="0"/>
                <w:numId w:val="0"/>
              </w:numPr>
              <w:tabs>
                <w:tab w:val="center" w:pos="4737"/>
              </w:tabs>
              <w:kinsoku/>
              <w:wordWrap/>
              <w:overflowPunct/>
              <w:topLinePunct w:val="0"/>
              <w:autoSpaceDE/>
              <w:autoSpaceDN/>
              <w:bidi w:val="0"/>
              <w:adjustRightInd/>
              <w:snapToGrid/>
              <w:spacing w:line="440" w:lineRule="exact"/>
              <w:ind w:firstLine="420" w:firstLineChars="200"/>
              <w:textAlignment w:val="auto"/>
              <w:rPr>
                <w:rFonts w:hint="eastAsia"/>
              </w:rPr>
            </w:pPr>
            <w:r>
              <w:rPr>
                <w:rFonts w:hint="eastAsia" w:ascii="宋体" w:hAnsi="宋体"/>
                <w:color w:val="000000" w:themeColor="text1"/>
                <w:kern w:val="0"/>
                <w:szCs w:val="21"/>
                <w:highlight w:val="none"/>
                <w:lang w:eastAsia="zh-CN"/>
                <w14:textFill>
                  <w14:solidFill>
                    <w14:schemeClr w14:val="tx1"/>
                  </w14:solidFill>
                </w14:textFill>
              </w:rPr>
              <w:t>工程竣工验收合格后付合同金额的</w:t>
            </w:r>
            <w:r>
              <w:rPr>
                <w:rFonts w:hint="eastAsia" w:ascii="宋体" w:hAnsi="宋体"/>
                <w:color w:val="000000" w:themeColor="text1"/>
                <w:kern w:val="0"/>
                <w:szCs w:val="21"/>
                <w:highlight w:val="none"/>
                <w:lang w:val="en-US" w:eastAsia="zh-CN"/>
                <w14:textFill>
                  <w14:solidFill>
                    <w14:schemeClr w14:val="tx1"/>
                  </w14:solidFill>
                </w14:textFill>
              </w:rPr>
              <w:t>7</w:t>
            </w:r>
            <w:r>
              <w:rPr>
                <w:rFonts w:hint="eastAsia" w:ascii="宋体" w:hAnsi="宋体"/>
                <w:color w:val="000000" w:themeColor="text1"/>
                <w:kern w:val="0"/>
                <w:szCs w:val="21"/>
                <w:highlight w:val="none"/>
                <w:lang w:eastAsia="zh-CN"/>
                <w14:textFill>
                  <w14:solidFill>
                    <w14:schemeClr w14:val="tx1"/>
                  </w14:solidFill>
                </w14:textFill>
              </w:rPr>
              <w:t>0%，结算审计后付至审计金额的97%，余3%为工程质保金（质保期两年，质保期自竣工验收合格之日起计算）。</w:t>
            </w:r>
          </w:p>
        </w:tc>
      </w:tr>
      <w:tr w14:paraId="07CE6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14:paraId="371ACAE2">
            <w:pPr>
              <w:snapToGrid w:val="0"/>
              <w:spacing w:line="400" w:lineRule="exact"/>
              <w:jc w:val="center"/>
              <w:rPr>
                <w:rFonts w:hint="eastAsia" w:ascii="宋体" w:hAnsi="宋体" w:eastAsia="宋体" w:cs="Times New Roman"/>
                <w:color w:val="auto"/>
                <w:kern w:val="0"/>
                <w:sz w:val="21"/>
                <w:szCs w:val="21"/>
                <w:highlight w:val="none"/>
                <w:lang w:val="en-US" w:eastAsia="zh-CN" w:bidi="ar-SA"/>
              </w:rPr>
            </w:pPr>
            <w:bookmarkStart w:id="115" w:name="_Toc287607746"/>
            <w:bookmarkStart w:id="116" w:name="_Toc200513126"/>
            <w:bookmarkStart w:id="117" w:name="_Toc277082552"/>
            <w:bookmarkStart w:id="118" w:name="_Toc224103317"/>
            <w:bookmarkStart w:id="119" w:name="_Toc287620685"/>
            <w:bookmarkStart w:id="120" w:name="_Toc430530435"/>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5</w:t>
            </w:r>
          </w:p>
        </w:tc>
        <w:tc>
          <w:tcPr>
            <w:tcW w:w="1644" w:type="dxa"/>
            <w:noWrap w:val="0"/>
            <w:vAlign w:val="center"/>
          </w:tcPr>
          <w:p w14:paraId="7AC008F2">
            <w:pPr>
              <w:snapToGrid w:val="0"/>
              <w:spacing w:line="400" w:lineRule="exact"/>
              <w:jc w:val="center"/>
              <w:rPr>
                <w:rFonts w:hint="eastAsia" w:ascii="宋体" w:hAnsi="宋体" w:eastAsia="宋体" w:cs="Times New Roman"/>
                <w:color w:val="auto"/>
                <w:kern w:val="0"/>
                <w:sz w:val="21"/>
                <w:szCs w:val="21"/>
                <w:highlight w:val="none"/>
                <w:lang w:val="en-US" w:eastAsia="zh-CN" w:bidi="ar-SA"/>
              </w:rPr>
            </w:pPr>
            <w:r>
              <w:rPr>
                <w:rFonts w:hint="eastAsia" w:ascii="宋体"/>
                <w:kern w:val="0"/>
                <w:szCs w:val="21"/>
              </w:rPr>
              <w:t>代理服务费</w:t>
            </w:r>
          </w:p>
        </w:tc>
        <w:tc>
          <w:tcPr>
            <w:tcW w:w="6490" w:type="dxa"/>
            <w:noWrap w:val="0"/>
            <w:vAlign w:val="center"/>
          </w:tcPr>
          <w:p w14:paraId="7C5A0B82">
            <w:pPr>
              <w:autoSpaceDE w:val="0"/>
              <w:autoSpaceDN w:val="0"/>
              <w:adjustRightInd w:val="0"/>
              <w:snapToGrid w:val="0"/>
              <w:spacing w:line="400" w:lineRule="exact"/>
              <w:ind w:firstLine="420" w:firstLineChars="200"/>
              <w:rPr>
                <w:rFonts w:hint="eastAsia" w:ascii="宋体" w:hAnsi="宋体" w:cs="Times New Roman"/>
                <w:color w:val="auto"/>
                <w:kern w:val="0"/>
                <w:szCs w:val="21"/>
                <w:highlight w:val="none"/>
              </w:rPr>
            </w:pPr>
            <w:r>
              <w:rPr>
                <w:rFonts w:hint="eastAsia" w:ascii="宋体" w:hAnsi="宋体" w:cs="Times New Roman"/>
                <w:color w:val="auto"/>
                <w:kern w:val="0"/>
                <w:szCs w:val="21"/>
                <w:highlight w:val="none"/>
              </w:rPr>
              <w:t>1</w:t>
            </w:r>
            <w:r>
              <w:rPr>
                <w:rFonts w:hint="eastAsia" w:ascii="宋体" w:hAnsi="宋体" w:cs="Times New Roman"/>
                <w:color w:val="auto"/>
                <w:kern w:val="0"/>
                <w:szCs w:val="21"/>
                <w:highlight w:val="none"/>
                <w:lang w:eastAsia="zh-CN"/>
              </w:rPr>
              <w:t>、</w:t>
            </w:r>
            <w:r>
              <w:rPr>
                <w:rFonts w:hint="eastAsia" w:ascii="宋体" w:hAnsi="宋体" w:cs="Times New Roman"/>
                <w:color w:val="auto"/>
                <w:kern w:val="0"/>
                <w:szCs w:val="21"/>
                <w:highlight w:val="none"/>
              </w:rPr>
              <w:t>本项目比选代理服务费由中标单位支付。</w:t>
            </w:r>
          </w:p>
          <w:p w14:paraId="2AC27E70">
            <w:pPr>
              <w:autoSpaceDE w:val="0"/>
              <w:autoSpaceDN w:val="0"/>
              <w:adjustRightInd w:val="0"/>
              <w:snapToGrid w:val="0"/>
              <w:spacing w:line="400" w:lineRule="exact"/>
              <w:ind w:firstLine="420" w:firstLineChars="200"/>
              <w:rPr>
                <w:rFonts w:hint="eastAsia" w:ascii="宋体" w:hAnsi="宋体" w:cs="Times New Roman"/>
                <w:color w:val="auto"/>
                <w:kern w:val="0"/>
                <w:szCs w:val="21"/>
                <w:highlight w:val="none"/>
              </w:rPr>
            </w:pPr>
            <w:r>
              <w:rPr>
                <w:rFonts w:hint="eastAsia" w:ascii="宋体" w:hAnsi="宋体" w:cs="Times New Roman"/>
                <w:color w:val="auto"/>
                <w:kern w:val="0"/>
                <w:szCs w:val="21"/>
                <w:highlight w:val="none"/>
              </w:rPr>
              <w:t>2</w:t>
            </w:r>
            <w:r>
              <w:rPr>
                <w:rFonts w:hint="eastAsia" w:ascii="宋体" w:hAnsi="宋体" w:cs="Times New Roman"/>
                <w:color w:val="auto"/>
                <w:kern w:val="0"/>
                <w:szCs w:val="21"/>
                <w:highlight w:val="none"/>
                <w:lang w:eastAsia="zh-CN"/>
              </w:rPr>
              <w:t>、</w:t>
            </w:r>
            <w:r>
              <w:rPr>
                <w:rFonts w:hint="eastAsia" w:ascii="宋体" w:hAnsi="宋体" w:cs="Times New Roman"/>
                <w:color w:val="auto"/>
                <w:kern w:val="0"/>
                <w:szCs w:val="21"/>
                <w:highlight w:val="none"/>
              </w:rPr>
              <w:t>比选代理服务费金额：</w:t>
            </w:r>
            <w:r>
              <w:rPr>
                <w:rFonts w:hint="eastAsia" w:ascii="宋体" w:hAnsi="宋体" w:cs="Times New Roman"/>
                <w:color w:val="auto"/>
                <w:kern w:val="0"/>
                <w:szCs w:val="21"/>
                <w:highlight w:val="none"/>
                <w:lang w:val="en-US" w:eastAsia="zh-CN"/>
              </w:rPr>
              <w:t>3000.</w:t>
            </w:r>
            <w:r>
              <w:rPr>
                <w:rFonts w:hint="eastAsia" w:ascii="宋体" w:hAnsi="宋体" w:cs="Times New Roman"/>
                <w:color w:val="auto"/>
                <w:kern w:val="0"/>
                <w:szCs w:val="21"/>
                <w:highlight w:val="none"/>
              </w:rPr>
              <w:t>00元。</w:t>
            </w:r>
          </w:p>
          <w:p w14:paraId="7F294010">
            <w:pPr>
              <w:autoSpaceDE w:val="0"/>
              <w:autoSpaceDN w:val="0"/>
              <w:adjustRightInd w:val="0"/>
              <w:snapToGrid w:val="0"/>
              <w:spacing w:line="400" w:lineRule="exact"/>
              <w:ind w:firstLine="420" w:firstLineChars="200"/>
              <w:rPr>
                <w:rFonts w:hint="eastAsia" w:ascii="宋体" w:hAnsi="宋体" w:eastAsia="宋体" w:cs="Times New Roman"/>
                <w:color w:val="auto"/>
                <w:kern w:val="0"/>
                <w:sz w:val="21"/>
                <w:szCs w:val="21"/>
                <w:highlight w:val="none"/>
                <w:lang w:val="en-US" w:eastAsia="zh-CN" w:bidi="ar-SA"/>
              </w:rPr>
            </w:pPr>
            <w:r>
              <w:rPr>
                <w:rFonts w:hint="eastAsia" w:ascii="宋体" w:hAnsi="宋体" w:cs="Times New Roman"/>
                <w:color w:val="auto"/>
                <w:kern w:val="0"/>
                <w:szCs w:val="21"/>
                <w:highlight w:val="none"/>
              </w:rPr>
              <w:t>3</w:t>
            </w:r>
            <w:r>
              <w:rPr>
                <w:rFonts w:hint="eastAsia" w:ascii="宋体" w:hAnsi="宋体" w:cs="Times New Roman"/>
                <w:color w:val="auto"/>
                <w:kern w:val="0"/>
                <w:szCs w:val="21"/>
                <w:highlight w:val="none"/>
                <w:lang w:eastAsia="zh-CN"/>
              </w:rPr>
              <w:t>、</w:t>
            </w:r>
            <w:r>
              <w:rPr>
                <w:rFonts w:hint="eastAsia" w:ascii="宋体" w:hAnsi="宋体" w:cs="Times New Roman"/>
                <w:color w:val="auto"/>
                <w:kern w:val="0"/>
                <w:szCs w:val="21"/>
                <w:highlight w:val="none"/>
              </w:rPr>
              <w:t>支付时间：在中标通知书发出前由中标单位一次性向比选代理机构支付。</w:t>
            </w:r>
          </w:p>
        </w:tc>
      </w:tr>
    </w:tbl>
    <w:p w14:paraId="6D0CF2AB">
      <w:pPr>
        <w:pStyle w:val="4"/>
        <w:spacing w:before="0" w:after="0" w:line="20" w:lineRule="exact"/>
        <w:rPr>
          <w:rFonts w:ascii="宋体" w:hAnsi="宋体"/>
          <w:b w:val="0"/>
          <w:snapToGrid w:val="0"/>
          <w:color w:val="auto"/>
          <w:highlight w:val="none"/>
        </w:rPr>
      </w:pPr>
    </w:p>
    <w:p w14:paraId="79FF7C43">
      <w:pPr>
        <w:pStyle w:val="4"/>
        <w:spacing w:before="0" w:after="0" w:line="200" w:lineRule="exact"/>
        <w:rPr>
          <w:rFonts w:hint="eastAsia" w:ascii="宋体" w:hAnsi="宋体"/>
          <w:b w:val="0"/>
          <w:snapToGrid w:val="0"/>
          <w:color w:val="auto"/>
          <w:highlight w:val="none"/>
        </w:rPr>
      </w:pPr>
      <w:r>
        <w:rPr>
          <w:rFonts w:ascii="宋体" w:hAnsi="宋体"/>
          <w:b w:val="0"/>
          <w:snapToGrid w:val="0"/>
          <w:color w:val="auto"/>
          <w:highlight w:val="none"/>
        </w:rPr>
        <w:br w:type="page"/>
      </w:r>
    </w:p>
    <w:p w14:paraId="6AF7985C">
      <w:pPr>
        <w:pStyle w:val="4"/>
        <w:spacing w:before="0" w:after="0" w:line="360" w:lineRule="auto"/>
        <w:rPr>
          <w:rFonts w:ascii="宋体" w:hAnsi="宋体"/>
          <w:b w:val="0"/>
          <w:snapToGrid w:val="0"/>
          <w:color w:val="auto"/>
          <w:highlight w:val="none"/>
        </w:rPr>
      </w:pPr>
      <w:bookmarkStart w:id="121" w:name="_Toc840"/>
      <w:bookmarkStart w:id="122" w:name="_Toc26233"/>
      <w:bookmarkStart w:id="123" w:name="_Toc509218710"/>
      <w:r>
        <w:rPr>
          <w:rFonts w:ascii="宋体" w:hAnsi="宋体"/>
          <w:b w:val="0"/>
          <w:snapToGrid w:val="0"/>
          <w:color w:val="auto"/>
          <w:highlight w:val="none"/>
        </w:rPr>
        <w:t>1.  总则</w:t>
      </w:r>
      <w:bookmarkEnd w:id="115"/>
      <w:bookmarkEnd w:id="116"/>
      <w:bookmarkEnd w:id="117"/>
      <w:bookmarkEnd w:id="118"/>
      <w:bookmarkEnd w:id="119"/>
      <w:bookmarkEnd w:id="120"/>
      <w:bookmarkEnd w:id="121"/>
      <w:bookmarkEnd w:id="122"/>
      <w:bookmarkEnd w:id="123"/>
    </w:p>
    <w:p w14:paraId="315103A6">
      <w:pPr>
        <w:pStyle w:val="5"/>
        <w:snapToGrid w:val="0"/>
        <w:spacing w:before="0" w:after="0" w:line="360" w:lineRule="auto"/>
        <w:rPr>
          <w:rFonts w:ascii="宋体" w:hAnsi="宋体"/>
          <w:b w:val="0"/>
          <w:snapToGrid w:val="0"/>
          <w:color w:val="auto"/>
          <w:sz w:val="24"/>
          <w:szCs w:val="24"/>
          <w:highlight w:val="none"/>
        </w:rPr>
      </w:pPr>
      <w:bookmarkStart w:id="124" w:name="_Toc277082553"/>
      <w:bookmarkStart w:id="125" w:name="_Toc200513127"/>
      <w:bookmarkStart w:id="126" w:name="_Toc287607747"/>
      <w:bookmarkStart w:id="127" w:name="_Toc287620686"/>
      <w:bookmarkStart w:id="128" w:name="_Toc509218711"/>
      <w:bookmarkStart w:id="129" w:name="_Toc2795"/>
      <w:bookmarkStart w:id="130" w:name="_Toc32232"/>
      <w:bookmarkStart w:id="131" w:name="_Toc224103318"/>
      <w:bookmarkStart w:id="132" w:name="_Toc430530436"/>
      <w:r>
        <w:rPr>
          <w:rFonts w:ascii="宋体" w:hAnsi="宋体"/>
          <w:b w:val="0"/>
          <w:snapToGrid w:val="0"/>
          <w:color w:val="auto"/>
          <w:sz w:val="24"/>
          <w:szCs w:val="24"/>
          <w:highlight w:val="none"/>
        </w:rPr>
        <w:t>1.1  项目概况</w:t>
      </w:r>
      <w:bookmarkEnd w:id="124"/>
      <w:bookmarkEnd w:id="125"/>
      <w:bookmarkEnd w:id="126"/>
      <w:bookmarkEnd w:id="127"/>
      <w:bookmarkEnd w:id="128"/>
      <w:bookmarkEnd w:id="129"/>
      <w:bookmarkEnd w:id="130"/>
      <w:bookmarkEnd w:id="131"/>
      <w:bookmarkEnd w:id="132"/>
    </w:p>
    <w:p w14:paraId="6AF8805F">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1.1.1  根据《中华人民共和国</w:t>
      </w:r>
      <w:r>
        <w:rPr>
          <w:rFonts w:hint="eastAsia" w:ascii="宋体" w:hAnsi="宋体"/>
          <w:color w:val="auto"/>
          <w:kern w:val="0"/>
          <w:szCs w:val="21"/>
          <w:highlight w:val="none"/>
          <w:lang w:eastAsia="zh-CN"/>
        </w:rPr>
        <w:t>招标</w:t>
      </w:r>
      <w:r>
        <w:rPr>
          <w:rFonts w:ascii="宋体" w:hAnsi="宋体"/>
          <w:snapToGrid w:val="0"/>
          <w:color w:val="auto"/>
          <w:kern w:val="0"/>
          <w:szCs w:val="21"/>
          <w:highlight w:val="none"/>
        </w:rPr>
        <w:t>投标法》等有关法律、法规和规章的规定，本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项目已具备</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条件，现对本</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施工进行</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w:t>
      </w:r>
    </w:p>
    <w:p w14:paraId="2E550B64">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1.1.2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人：见投标人须知前附表。</w:t>
      </w:r>
    </w:p>
    <w:p w14:paraId="7020A4A7">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1.1.3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代理机构：见投标人须知前附表。</w:t>
      </w:r>
    </w:p>
    <w:p w14:paraId="1605EF8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 xml:space="preserve">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项目名称：见投标人须知前附表。</w:t>
      </w:r>
    </w:p>
    <w:p w14:paraId="5EC01649">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1.1.5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项目建设地点：见投标人须知前附表。</w:t>
      </w:r>
    </w:p>
    <w:p w14:paraId="009D4C0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1.1.6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项目建设规模：见投标人须知前附表。</w:t>
      </w:r>
    </w:p>
    <w:p w14:paraId="1B44AE75">
      <w:pPr>
        <w:pStyle w:val="5"/>
        <w:snapToGrid w:val="0"/>
        <w:spacing w:before="0" w:after="0" w:line="360" w:lineRule="auto"/>
        <w:rPr>
          <w:rFonts w:ascii="宋体" w:hAnsi="宋体"/>
          <w:b w:val="0"/>
          <w:snapToGrid w:val="0"/>
          <w:color w:val="auto"/>
          <w:sz w:val="24"/>
          <w:szCs w:val="24"/>
          <w:highlight w:val="none"/>
        </w:rPr>
      </w:pPr>
      <w:bookmarkStart w:id="133" w:name="_Toc509218712"/>
      <w:bookmarkStart w:id="134" w:name="_Toc287607748"/>
      <w:bookmarkStart w:id="135" w:name="_Toc224103319"/>
      <w:bookmarkStart w:id="136" w:name="_Toc200513128"/>
      <w:bookmarkStart w:id="137" w:name="_Toc277082554"/>
      <w:bookmarkStart w:id="138" w:name="_Toc21567"/>
      <w:bookmarkStart w:id="139" w:name="_Toc287620687"/>
      <w:bookmarkStart w:id="140" w:name="_Toc5526"/>
      <w:bookmarkStart w:id="141" w:name="_Toc430530437"/>
      <w:r>
        <w:rPr>
          <w:rFonts w:ascii="宋体" w:hAnsi="宋体"/>
          <w:b w:val="0"/>
          <w:snapToGrid w:val="0"/>
          <w:color w:val="auto"/>
          <w:sz w:val="24"/>
          <w:szCs w:val="24"/>
          <w:highlight w:val="none"/>
        </w:rPr>
        <w:t>1.2  资金来源和落实情况</w:t>
      </w:r>
      <w:bookmarkEnd w:id="133"/>
      <w:bookmarkEnd w:id="134"/>
      <w:bookmarkEnd w:id="135"/>
      <w:bookmarkEnd w:id="136"/>
      <w:bookmarkEnd w:id="137"/>
      <w:bookmarkEnd w:id="138"/>
      <w:bookmarkEnd w:id="139"/>
      <w:bookmarkEnd w:id="140"/>
      <w:bookmarkEnd w:id="141"/>
    </w:p>
    <w:p w14:paraId="14B791B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1.2.1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项目的资金来源：见投标人须知前附表。</w:t>
      </w:r>
    </w:p>
    <w:p w14:paraId="0A28743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1.2.2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项目的出资比例：见投标人须知前附表。</w:t>
      </w:r>
    </w:p>
    <w:p w14:paraId="112AE57E">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1.2.3  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项目的资金落实情况：见投标人须知前附表。</w:t>
      </w:r>
    </w:p>
    <w:p w14:paraId="10CD47D1">
      <w:pPr>
        <w:pStyle w:val="5"/>
        <w:snapToGrid w:val="0"/>
        <w:spacing w:before="0" w:after="0" w:line="360" w:lineRule="auto"/>
        <w:rPr>
          <w:rFonts w:ascii="宋体" w:hAnsi="宋体"/>
          <w:b w:val="0"/>
          <w:snapToGrid w:val="0"/>
          <w:color w:val="auto"/>
          <w:sz w:val="24"/>
          <w:szCs w:val="24"/>
          <w:highlight w:val="none"/>
        </w:rPr>
      </w:pPr>
      <w:bookmarkStart w:id="142" w:name="_Toc224103320"/>
      <w:bookmarkStart w:id="143" w:name="_Toc430530438"/>
      <w:bookmarkStart w:id="144" w:name="_Toc200513129"/>
      <w:bookmarkStart w:id="145" w:name="_Toc277082555"/>
      <w:bookmarkStart w:id="146" w:name="_Toc287620688"/>
      <w:bookmarkStart w:id="147" w:name="_Toc509218713"/>
      <w:bookmarkStart w:id="148" w:name="_Toc28283"/>
      <w:bookmarkStart w:id="149" w:name="_Toc287607749"/>
      <w:bookmarkStart w:id="150" w:name="_Toc4104"/>
      <w:r>
        <w:rPr>
          <w:rFonts w:ascii="宋体" w:hAnsi="宋体"/>
          <w:b w:val="0"/>
          <w:snapToGrid w:val="0"/>
          <w:color w:val="auto"/>
          <w:sz w:val="24"/>
          <w:szCs w:val="24"/>
          <w:highlight w:val="none"/>
        </w:rPr>
        <w:t xml:space="preserve">1.3  </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范围、计划工期和质量要求</w:t>
      </w:r>
      <w:bookmarkEnd w:id="142"/>
      <w:bookmarkEnd w:id="143"/>
      <w:bookmarkEnd w:id="144"/>
      <w:bookmarkEnd w:id="145"/>
      <w:bookmarkEnd w:id="146"/>
      <w:bookmarkEnd w:id="147"/>
      <w:bookmarkEnd w:id="148"/>
      <w:bookmarkEnd w:id="149"/>
      <w:bookmarkEnd w:id="150"/>
    </w:p>
    <w:p w14:paraId="75D2A15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 xml:space="preserve">1.3.1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范围：见投标人须知前附表。</w:t>
      </w:r>
    </w:p>
    <w:p w14:paraId="13B6538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1.3.2  计划工期：见投标人须知前附表。</w:t>
      </w:r>
    </w:p>
    <w:p w14:paraId="7696D07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1.3.3  质量要求：见投标人须知前附表。</w:t>
      </w:r>
    </w:p>
    <w:p w14:paraId="40DD0F58">
      <w:pPr>
        <w:pStyle w:val="5"/>
        <w:snapToGrid w:val="0"/>
        <w:spacing w:before="0" w:after="0" w:line="360" w:lineRule="auto"/>
        <w:rPr>
          <w:rFonts w:ascii="宋体" w:hAnsi="宋体"/>
          <w:b w:val="0"/>
          <w:snapToGrid w:val="0"/>
          <w:color w:val="auto"/>
          <w:sz w:val="24"/>
          <w:szCs w:val="24"/>
          <w:highlight w:val="none"/>
        </w:rPr>
      </w:pPr>
      <w:bookmarkStart w:id="151" w:name="_Toc5709"/>
      <w:bookmarkStart w:id="152" w:name="_Toc1894"/>
      <w:bookmarkStart w:id="153" w:name="_Toc287620690"/>
      <w:bookmarkStart w:id="154" w:name="_Toc287607751"/>
      <w:bookmarkStart w:id="155" w:name="_Toc509218715"/>
      <w:bookmarkStart w:id="156" w:name="_Toc430530440"/>
      <w:bookmarkStart w:id="157" w:name="_Toc277082557"/>
      <w:bookmarkStart w:id="158" w:name="_Toc200513131"/>
      <w:bookmarkStart w:id="159" w:name="_Toc224103322"/>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lang w:val="en-US" w:eastAsia="zh-CN"/>
        </w:rPr>
        <w:t xml:space="preserve">  </w:t>
      </w:r>
      <w:r>
        <w:rPr>
          <w:rFonts w:ascii="宋体" w:hAnsi="宋体"/>
          <w:b w:val="0"/>
          <w:snapToGrid w:val="0"/>
          <w:color w:val="auto"/>
          <w:sz w:val="24"/>
          <w:szCs w:val="24"/>
          <w:highlight w:val="none"/>
        </w:rPr>
        <w:t>投标人资格要求</w:t>
      </w:r>
      <w:bookmarkEnd w:id="151"/>
      <w:bookmarkEnd w:id="152"/>
      <w:bookmarkEnd w:id="153"/>
      <w:bookmarkEnd w:id="154"/>
      <w:bookmarkEnd w:id="155"/>
      <w:bookmarkEnd w:id="156"/>
      <w:bookmarkEnd w:id="157"/>
      <w:bookmarkEnd w:id="158"/>
      <w:bookmarkEnd w:id="159"/>
    </w:p>
    <w:p w14:paraId="4A65D060">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投标人应具备承担本标段施工的资质条件、能力和信誉。</w:t>
      </w:r>
    </w:p>
    <w:p w14:paraId="716087C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资质条件、营业执照及安全生产条件</w:t>
      </w:r>
      <w:r>
        <w:rPr>
          <w:rFonts w:ascii="宋体" w:hAnsi="宋体"/>
          <w:snapToGrid w:val="0"/>
          <w:color w:val="auto"/>
          <w:kern w:val="0"/>
          <w:szCs w:val="21"/>
          <w:highlight w:val="none"/>
        </w:rPr>
        <w:t>：见投标人须知前附表；</w:t>
      </w:r>
    </w:p>
    <w:p w14:paraId="30CEF753">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（2）财务要求：见投标人须知前附表；</w:t>
      </w:r>
    </w:p>
    <w:p w14:paraId="5E088E2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（3）业绩要求：见投标人须知前附表；</w:t>
      </w:r>
    </w:p>
    <w:p w14:paraId="49F94B9A">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投标截止日投标资格情况</w:t>
      </w:r>
      <w:r>
        <w:rPr>
          <w:rFonts w:ascii="宋体" w:hAnsi="宋体"/>
          <w:snapToGrid w:val="0"/>
          <w:color w:val="auto"/>
          <w:kern w:val="0"/>
          <w:szCs w:val="21"/>
          <w:highlight w:val="none"/>
        </w:rPr>
        <w:t>：见投标人须知前附表；</w:t>
      </w:r>
    </w:p>
    <w:p w14:paraId="2067046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（5）项目经理资格</w:t>
      </w:r>
      <w:r>
        <w:rPr>
          <w:rFonts w:hint="eastAsia" w:ascii="宋体" w:hAnsi="宋体"/>
          <w:snapToGrid w:val="0"/>
          <w:color w:val="auto"/>
          <w:kern w:val="0"/>
          <w:szCs w:val="21"/>
          <w:highlight w:val="none"/>
        </w:rPr>
        <w:t>要求</w:t>
      </w:r>
      <w:r>
        <w:rPr>
          <w:rFonts w:ascii="宋体" w:hAnsi="宋体"/>
          <w:snapToGrid w:val="0"/>
          <w:color w:val="auto"/>
          <w:kern w:val="0"/>
          <w:szCs w:val="21"/>
          <w:highlight w:val="none"/>
        </w:rPr>
        <w:t>：见投标人须知前附表；</w:t>
      </w:r>
    </w:p>
    <w:p w14:paraId="26874614">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（6）其他要求：见投标人须知前附表。</w:t>
      </w:r>
    </w:p>
    <w:p w14:paraId="2FD70D4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1.4.2  投标人须知前附表规定接受联合体投标的，除应符合本章第1.4.1项和投标人须知前附表的要求外，还应遵守以下规定：</w:t>
      </w:r>
    </w:p>
    <w:p w14:paraId="6B10EB72">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（1）联合体各方应按</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文件提供的格式签订联合体协议书，明确联合体牵头人和各方权利义务；</w:t>
      </w:r>
    </w:p>
    <w:p w14:paraId="29CCE440">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（2）联合体各方均应当具备承担</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项目的相应能力；联合体协议约定同一专业分工由两个及以上单位共同承担的，</w:t>
      </w:r>
      <w:r>
        <w:rPr>
          <w:rFonts w:hint="eastAsia" w:ascii="宋体" w:hAnsi="宋体"/>
          <w:snapToGrid w:val="0"/>
          <w:color w:val="auto"/>
          <w:kern w:val="0"/>
          <w:szCs w:val="21"/>
          <w:highlight w:val="none"/>
        </w:rPr>
        <w:t>按照资质等级较低的单位确定资质等级</w:t>
      </w:r>
      <w:r>
        <w:rPr>
          <w:rFonts w:ascii="宋体" w:hAnsi="宋体"/>
          <w:snapToGrid w:val="0"/>
          <w:color w:val="auto"/>
          <w:kern w:val="0"/>
          <w:szCs w:val="21"/>
          <w:highlight w:val="none"/>
        </w:rPr>
        <w:t>；</w:t>
      </w:r>
    </w:p>
    <w:p w14:paraId="4F1A65A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（3）联合体各方不得再以自己名义单独或参加其他联合体在同一标段中投标。</w:t>
      </w:r>
    </w:p>
    <w:p w14:paraId="3CDAEA3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投标人不得存在下列情形之一：</w:t>
      </w:r>
    </w:p>
    <w:p w14:paraId="5D9267C1">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position w:val="-2"/>
          <w:szCs w:val="21"/>
          <w:highlight w:val="none"/>
        </w:rPr>
        <w:t>（1）与</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人存在利害关系可能影响</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公正性的法人、其他组织或者个人；</w:t>
      </w:r>
    </w:p>
    <w:p w14:paraId="6159A173">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（2）为本标段前期准备提供设计或咨询服务的，但设计施工总承包的除外；</w:t>
      </w:r>
    </w:p>
    <w:p w14:paraId="0C45E258">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（3）为本标段的监理人；</w:t>
      </w:r>
    </w:p>
    <w:p w14:paraId="0DA8893F">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（4）为本标段的代建人；</w:t>
      </w:r>
    </w:p>
    <w:p w14:paraId="638BFD04">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（5）为本标段提供</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代理服务的；</w:t>
      </w:r>
    </w:p>
    <w:p w14:paraId="5FC8958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（6）与本标段的监理人或代建人或</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代理机构同为一个法定代表人的；</w:t>
      </w:r>
    </w:p>
    <w:p w14:paraId="58BEAA44">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（7）与本标段的监理人或代建人或</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代理机构相互控股或参股的；</w:t>
      </w:r>
    </w:p>
    <w:p w14:paraId="65B4692F">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（8）与本标段的监理人或代建人或</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代理机构相互任职或工作的；</w:t>
      </w:r>
    </w:p>
    <w:p w14:paraId="2DDF05F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（9）被责令停业的；</w:t>
      </w:r>
    </w:p>
    <w:p w14:paraId="2AF9E9E8">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（10）</w:t>
      </w:r>
      <w:r>
        <w:rPr>
          <w:rFonts w:hint="eastAsia" w:ascii="宋体" w:hAnsi="宋体"/>
          <w:snapToGrid w:val="0"/>
          <w:color w:val="auto"/>
          <w:kern w:val="0"/>
          <w:szCs w:val="21"/>
          <w:highlight w:val="none"/>
        </w:rPr>
        <w:t>被国家、重庆市（含市或任意区县）有关行政部门处以暂停投标资格行政处罚，且在处罚期限内的</w:t>
      </w:r>
      <w:r>
        <w:rPr>
          <w:rFonts w:ascii="宋体" w:hAnsi="宋体"/>
          <w:snapToGrid w:val="0"/>
          <w:color w:val="auto"/>
          <w:kern w:val="0"/>
          <w:szCs w:val="21"/>
          <w:highlight w:val="none"/>
        </w:rPr>
        <w:t>；</w:t>
      </w:r>
    </w:p>
    <w:p w14:paraId="5DBCBBEB">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（11）财产被接管或冻结的；</w:t>
      </w:r>
    </w:p>
    <w:p w14:paraId="03D8C70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（12）</w:t>
      </w:r>
      <w:r>
        <w:rPr>
          <w:rFonts w:ascii="宋体" w:hAnsi="宋体"/>
          <w:color w:val="auto"/>
          <w:sz w:val="22"/>
          <w:szCs w:val="22"/>
          <w:highlight w:val="none"/>
        </w:rPr>
        <w:t>单位负责人为同一人或者存在控股、管理关系的不同单位，不得在同一标段中同时投标</w:t>
      </w:r>
      <w:r>
        <w:rPr>
          <w:rFonts w:ascii="宋体" w:hAnsi="宋体"/>
          <w:snapToGrid w:val="0"/>
          <w:color w:val="auto"/>
          <w:kern w:val="0"/>
          <w:szCs w:val="21"/>
          <w:highlight w:val="none"/>
        </w:rPr>
        <w:t>。</w:t>
      </w:r>
    </w:p>
    <w:p w14:paraId="0E568A23">
      <w:pPr>
        <w:pStyle w:val="5"/>
        <w:snapToGrid w:val="0"/>
        <w:spacing w:before="0" w:after="0" w:line="360" w:lineRule="auto"/>
        <w:rPr>
          <w:rFonts w:ascii="宋体" w:hAnsi="宋体"/>
          <w:b w:val="0"/>
          <w:snapToGrid w:val="0"/>
          <w:color w:val="auto"/>
          <w:sz w:val="24"/>
          <w:szCs w:val="24"/>
          <w:highlight w:val="none"/>
        </w:rPr>
      </w:pPr>
      <w:bookmarkStart w:id="160" w:name="_Toc200513132"/>
      <w:bookmarkStart w:id="161" w:name="_Toc277082558"/>
      <w:bookmarkStart w:id="162" w:name="_Toc28617"/>
      <w:bookmarkStart w:id="163" w:name="_Toc287620691"/>
      <w:bookmarkStart w:id="164" w:name="_Toc509218716"/>
      <w:bookmarkStart w:id="165" w:name="_Toc224103323"/>
      <w:bookmarkStart w:id="166" w:name="_Toc20662"/>
      <w:bookmarkStart w:id="167" w:name="_Toc287607752"/>
      <w:bookmarkStart w:id="168" w:name="_Toc430530441"/>
      <w:r>
        <w:rPr>
          <w:rFonts w:ascii="宋体" w:hAnsi="宋体"/>
          <w:b w:val="0"/>
          <w:snapToGrid w:val="0"/>
          <w:color w:val="auto"/>
          <w:sz w:val="24"/>
          <w:szCs w:val="24"/>
          <w:highlight w:val="none"/>
        </w:rPr>
        <w:t>1.5  费用承担</w:t>
      </w:r>
      <w:bookmarkEnd w:id="160"/>
      <w:bookmarkEnd w:id="161"/>
      <w:bookmarkEnd w:id="162"/>
      <w:bookmarkEnd w:id="163"/>
      <w:bookmarkEnd w:id="164"/>
      <w:bookmarkEnd w:id="165"/>
      <w:bookmarkEnd w:id="166"/>
      <w:bookmarkEnd w:id="167"/>
      <w:bookmarkEnd w:id="168"/>
    </w:p>
    <w:p w14:paraId="526DE9B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投标人准备和参加投标活动发生的费用自理。</w:t>
      </w:r>
    </w:p>
    <w:p w14:paraId="3F34E3B8">
      <w:pPr>
        <w:pStyle w:val="5"/>
        <w:snapToGrid w:val="0"/>
        <w:spacing w:before="0" w:after="0" w:line="360" w:lineRule="auto"/>
        <w:rPr>
          <w:rFonts w:ascii="宋体" w:hAnsi="宋体"/>
          <w:b w:val="0"/>
          <w:snapToGrid w:val="0"/>
          <w:color w:val="auto"/>
          <w:sz w:val="24"/>
          <w:szCs w:val="24"/>
          <w:highlight w:val="none"/>
        </w:rPr>
      </w:pPr>
      <w:bookmarkStart w:id="169" w:name="_Toc26130"/>
      <w:bookmarkStart w:id="170" w:name="_Toc287607753"/>
      <w:bookmarkStart w:id="171" w:name="_Toc287620692"/>
      <w:bookmarkStart w:id="172" w:name="_Toc30510"/>
      <w:bookmarkStart w:id="173" w:name="_Toc509218717"/>
      <w:bookmarkStart w:id="174" w:name="_Toc430530442"/>
      <w:bookmarkStart w:id="175" w:name="_Toc200513133"/>
      <w:bookmarkStart w:id="176" w:name="_Toc277082559"/>
      <w:bookmarkStart w:id="177" w:name="_Toc224103324"/>
      <w:r>
        <w:rPr>
          <w:rFonts w:ascii="宋体" w:hAnsi="宋体"/>
          <w:b w:val="0"/>
          <w:snapToGrid w:val="0"/>
          <w:color w:val="auto"/>
          <w:sz w:val="24"/>
          <w:szCs w:val="24"/>
          <w:highlight w:val="none"/>
        </w:rPr>
        <w:t>1.6  保密</w:t>
      </w:r>
      <w:bookmarkEnd w:id="169"/>
      <w:bookmarkEnd w:id="170"/>
      <w:bookmarkEnd w:id="171"/>
      <w:bookmarkEnd w:id="172"/>
      <w:bookmarkEnd w:id="173"/>
      <w:bookmarkEnd w:id="174"/>
      <w:bookmarkEnd w:id="175"/>
      <w:bookmarkEnd w:id="176"/>
      <w:bookmarkEnd w:id="177"/>
    </w:p>
    <w:p w14:paraId="562B029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投标活动的各方应对</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文件和投标文件中的商业和技术等秘密保密，违者应对由此造成的后果承担法律责任。</w:t>
      </w:r>
    </w:p>
    <w:p w14:paraId="766CAA39">
      <w:pPr>
        <w:pStyle w:val="5"/>
        <w:snapToGrid w:val="0"/>
        <w:spacing w:before="0" w:after="0" w:line="360" w:lineRule="auto"/>
        <w:rPr>
          <w:rFonts w:ascii="宋体" w:hAnsi="宋体"/>
          <w:b w:val="0"/>
          <w:snapToGrid w:val="0"/>
          <w:color w:val="auto"/>
          <w:sz w:val="24"/>
          <w:szCs w:val="24"/>
          <w:highlight w:val="none"/>
        </w:rPr>
      </w:pPr>
      <w:bookmarkStart w:id="178" w:name="_Toc430530443"/>
      <w:bookmarkStart w:id="179" w:name="_Toc20832"/>
      <w:bookmarkStart w:id="180" w:name="_Toc1222"/>
      <w:bookmarkStart w:id="181" w:name="_Toc200513134"/>
      <w:bookmarkStart w:id="182" w:name="_Toc287607754"/>
      <w:bookmarkStart w:id="183" w:name="_Toc287620693"/>
      <w:bookmarkStart w:id="184" w:name="_Toc224103325"/>
      <w:bookmarkStart w:id="185" w:name="_Toc509218718"/>
      <w:bookmarkStart w:id="186" w:name="_Toc277082560"/>
      <w:r>
        <w:rPr>
          <w:rFonts w:ascii="宋体" w:hAnsi="宋体"/>
          <w:b w:val="0"/>
          <w:snapToGrid w:val="0"/>
          <w:color w:val="auto"/>
          <w:sz w:val="24"/>
          <w:szCs w:val="24"/>
          <w:highlight w:val="none"/>
        </w:rPr>
        <w:t>1.7  语言文字</w:t>
      </w:r>
      <w:bookmarkEnd w:id="178"/>
      <w:bookmarkEnd w:id="179"/>
      <w:bookmarkEnd w:id="180"/>
      <w:bookmarkEnd w:id="181"/>
      <w:bookmarkEnd w:id="182"/>
      <w:bookmarkEnd w:id="183"/>
      <w:bookmarkEnd w:id="184"/>
      <w:bookmarkEnd w:id="185"/>
      <w:bookmarkEnd w:id="186"/>
    </w:p>
    <w:p w14:paraId="4E340E6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除专用术语外，与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投标有关的语言均使用中文。必要时专用术语应附有中文注释。</w:t>
      </w:r>
    </w:p>
    <w:p w14:paraId="28ACD5D0">
      <w:pPr>
        <w:pStyle w:val="5"/>
        <w:snapToGrid w:val="0"/>
        <w:spacing w:before="0" w:after="0" w:line="360" w:lineRule="auto"/>
        <w:rPr>
          <w:rFonts w:ascii="宋体" w:hAnsi="宋体"/>
          <w:b w:val="0"/>
          <w:snapToGrid w:val="0"/>
          <w:color w:val="auto"/>
          <w:sz w:val="24"/>
          <w:szCs w:val="24"/>
          <w:highlight w:val="none"/>
        </w:rPr>
      </w:pPr>
      <w:bookmarkStart w:id="187" w:name="_Toc509218719"/>
      <w:bookmarkStart w:id="188" w:name="_Toc11735"/>
      <w:bookmarkStart w:id="189" w:name="_Toc287620694"/>
      <w:bookmarkStart w:id="190" w:name="_Toc224103326"/>
      <w:bookmarkStart w:id="191" w:name="_Toc287607755"/>
      <w:bookmarkStart w:id="192" w:name="_Toc200513135"/>
      <w:bookmarkStart w:id="193" w:name="_Toc277082561"/>
      <w:bookmarkStart w:id="194" w:name="_Toc13374"/>
      <w:bookmarkStart w:id="195" w:name="_Toc430530444"/>
      <w:r>
        <w:rPr>
          <w:rFonts w:ascii="宋体" w:hAnsi="宋体"/>
          <w:b w:val="0"/>
          <w:snapToGrid w:val="0"/>
          <w:color w:val="auto"/>
          <w:sz w:val="24"/>
          <w:szCs w:val="24"/>
          <w:highlight w:val="none"/>
        </w:rPr>
        <w:t>1.8  计量单位</w:t>
      </w:r>
      <w:bookmarkEnd w:id="187"/>
      <w:bookmarkEnd w:id="188"/>
      <w:bookmarkEnd w:id="189"/>
      <w:bookmarkEnd w:id="190"/>
      <w:bookmarkEnd w:id="191"/>
      <w:bookmarkEnd w:id="192"/>
      <w:bookmarkEnd w:id="193"/>
      <w:bookmarkEnd w:id="194"/>
      <w:bookmarkEnd w:id="195"/>
    </w:p>
    <w:p w14:paraId="5445F299">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4D753DA9">
      <w:pPr>
        <w:pStyle w:val="5"/>
        <w:snapToGrid w:val="0"/>
        <w:spacing w:before="0" w:after="0" w:line="360" w:lineRule="auto"/>
        <w:rPr>
          <w:rFonts w:ascii="宋体" w:hAnsi="宋体"/>
          <w:b w:val="0"/>
          <w:snapToGrid w:val="0"/>
          <w:color w:val="auto"/>
          <w:sz w:val="24"/>
          <w:szCs w:val="24"/>
          <w:highlight w:val="none"/>
        </w:rPr>
      </w:pPr>
      <w:bookmarkStart w:id="196" w:name="_Toc509218720"/>
      <w:bookmarkStart w:id="197" w:name="_Toc287607756"/>
      <w:bookmarkStart w:id="198" w:name="_Toc287620695"/>
      <w:bookmarkStart w:id="199" w:name="_Toc277082562"/>
      <w:bookmarkStart w:id="200" w:name="_Toc25278"/>
      <w:bookmarkStart w:id="201" w:name="_Toc200513136"/>
      <w:bookmarkStart w:id="202" w:name="_Toc224103327"/>
      <w:bookmarkStart w:id="203" w:name="_Toc430530445"/>
      <w:bookmarkStart w:id="204" w:name="_Toc19275"/>
      <w:r>
        <w:rPr>
          <w:rFonts w:ascii="宋体" w:hAnsi="宋体"/>
          <w:b w:val="0"/>
          <w:snapToGrid w:val="0"/>
          <w:color w:val="auto"/>
          <w:sz w:val="24"/>
          <w:szCs w:val="24"/>
          <w:highlight w:val="none"/>
        </w:rPr>
        <w:t>1.9  踏勘现场</w:t>
      </w:r>
      <w:bookmarkEnd w:id="196"/>
      <w:bookmarkEnd w:id="197"/>
      <w:bookmarkEnd w:id="198"/>
      <w:bookmarkEnd w:id="199"/>
      <w:bookmarkEnd w:id="200"/>
      <w:bookmarkEnd w:id="201"/>
      <w:bookmarkEnd w:id="202"/>
      <w:bookmarkEnd w:id="203"/>
      <w:bookmarkEnd w:id="204"/>
    </w:p>
    <w:p w14:paraId="6B68A25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人按投标人须知前附表规定的时间、 地点组织投标人踏勘项目现场。</w:t>
      </w:r>
    </w:p>
    <w:p w14:paraId="0D2F217B">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3363CF1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1.9.3  除</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人的原因外，投标人自行负责在踏勘现场中所发生的人员伤亡和财产损失。</w:t>
      </w:r>
    </w:p>
    <w:p w14:paraId="13FF813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1.9.4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人在踏勘现场中介绍的工程场地和相关的周边环境情况，供投标人在编制投标文件时参考，</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人不对投标人据此做出的判断和决策负责。</w:t>
      </w:r>
    </w:p>
    <w:p w14:paraId="176032B7">
      <w:pPr>
        <w:pStyle w:val="5"/>
        <w:snapToGrid w:val="0"/>
        <w:spacing w:before="0" w:after="0" w:line="360" w:lineRule="auto"/>
        <w:rPr>
          <w:rFonts w:ascii="宋体" w:hAnsi="宋体"/>
          <w:b w:val="0"/>
          <w:snapToGrid w:val="0"/>
          <w:color w:val="auto"/>
          <w:sz w:val="24"/>
          <w:szCs w:val="24"/>
          <w:highlight w:val="none"/>
        </w:rPr>
      </w:pPr>
      <w:bookmarkStart w:id="205" w:name="_Toc287620696"/>
      <w:bookmarkStart w:id="206" w:name="_Toc430530446"/>
      <w:bookmarkStart w:id="207" w:name="_Toc287607757"/>
      <w:bookmarkStart w:id="208" w:name="_Toc224103328"/>
      <w:bookmarkStart w:id="209" w:name="_Toc32057"/>
      <w:bookmarkStart w:id="210" w:name="_Toc200513137"/>
      <w:bookmarkStart w:id="211" w:name="_Toc509218721"/>
      <w:bookmarkStart w:id="212" w:name="_Toc726"/>
      <w:bookmarkStart w:id="213" w:name="_Toc277082563"/>
      <w:r>
        <w:rPr>
          <w:rFonts w:ascii="宋体" w:hAnsi="宋体"/>
          <w:b w:val="0"/>
          <w:snapToGrid w:val="0"/>
          <w:color w:val="auto"/>
          <w:sz w:val="24"/>
          <w:szCs w:val="24"/>
          <w:highlight w:val="none"/>
        </w:rPr>
        <w:t>1.10  投标预备会</w:t>
      </w:r>
      <w:bookmarkEnd w:id="205"/>
      <w:bookmarkEnd w:id="206"/>
      <w:bookmarkEnd w:id="207"/>
      <w:bookmarkEnd w:id="208"/>
      <w:bookmarkEnd w:id="209"/>
      <w:bookmarkEnd w:id="210"/>
      <w:bookmarkEnd w:id="211"/>
      <w:bookmarkEnd w:id="212"/>
      <w:bookmarkEnd w:id="213"/>
    </w:p>
    <w:p w14:paraId="1528065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人按投标人须知前附表规定的时间和地点召开投标预备会，澄清投标人提出的问题。</w:t>
      </w:r>
    </w:p>
    <w:p w14:paraId="7E1FB8B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1.10.2  投标人应在投标人须知前附表</w:t>
      </w:r>
      <w:r>
        <w:rPr>
          <w:rFonts w:hint="eastAsia" w:ascii="宋体" w:hAnsi="宋体"/>
          <w:snapToGrid w:val="0"/>
          <w:color w:val="auto"/>
          <w:kern w:val="0"/>
          <w:szCs w:val="21"/>
          <w:highlight w:val="none"/>
        </w:rPr>
        <w:t>第</w:t>
      </w:r>
      <w:r>
        <w:rPr>
          <w:rFonts w:ascii="宋体" w:hAnsi="宋体"/>
          <w:color w:val="auto"/>
          <w:kern w:val="0"/>
          <w:szCs w:val="21"/>
          <w:highlight w:val="none"/>
        </w:rPr>
        <w:t>2.2.4</w:t>
      </w:r>
      <w:r>
        <w:rPr>
          <w:rFonts w:hint="eastAsia" w:ascii="宋体" w:hAnsi="宋体"/>
          <w:color w:val="auto"/>
          <w:kern w:val="0"/>
          <w:szCs w:val="21"/>
          <w:highlight w:val="none"/>
        </w:rPr>
        <w:t>项</w:t>
      </w:r>
      <w:r>
        <w:rPr>
          <w:rFonts w:ascii="宋体" w:hAnsi="宋体"/>
          <w:snapToGrid w:val="0"/>
          <w:color w:val="auto"/>
          <w:kern w:val="0"/>
          <w:szCs w:val="21"/>
          <w:highlight w:val="none"/>
        </w:rPr>
        <w:t>规定的时间前，以书面形式将提出的问题送达</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人，以便</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人澄清。</w:t>
      </w:r>
    </w:p>
    <w:p w14:paraId="71D842AB">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 xml:space="preserve">1.10.3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人在投标人须知前附表规定的时间内，将对投标人所提</w:t>
      </w:r>
      <w:r>
        <w:rPr>
          <w:rFonts w:ascii="宋体" w:hAnsi="宋体"/>
          <w:snapToGrid w:val="0"/>
          <w:color w:val="auto"/>
          <w:kern w:val="0"/>
          <w:position w:val="-2"/>
          <w:szCs w:val="21"/>
          <w:highlight w:val="none"/>
        </w:rPr>
        <w:t>的</w:t>
      </w:r>
      <w:r>
        <w:rPr>
          <w:rFonts w:ascii="宋体" w:hAnsi="宋体"/>
          <w:snapToGrid w:val="0"/>
          <w:color w:val="auto"/>
          <w:kern w:val="0"/>
          <w:szCs w:val="21"/>
          <w:highlight w:val="none"/>
        </w:rPr>
        <w:t>问题</w:t>
      </w:r>
      <w:r>
        <w:rPr>
          <w:rFonts w:ascii="宋体" w:hAnsi="宋体"/>
          <w:snapToGrid w:val="0"/>
          <w:color w:val="auto"/>
          <w:kern w:val="0"/>
          <w:position w:val="-2"/>
          <w:szCs w:val="21"/>
          <w:highlight w:val="none"/>
        </w:rPr>
        <w:t>进行澄清。该澄清内容为</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文件的组成部分。</w:t>
      </w:r>
    </w:p>
    <w:p w14:paraId="12AC4A70">
      <w:pPr>
        <w:pStyle w:val="5"/>
        <w:snapToGrid w:val="0"/>
        <w:spacing w:before="0" w:after="0" w:line="360" w:lineRule="auto"/>
        <w:rPr>
          <w:rFonts w:ascii="宋体" w:hAnsi="宋体"/>
          <w:b w:val="0"/>
          <w:snapToGrid w:val="0"/>
          <w:color w:val="auto"/>
          <w:sz w:val="24"/>
          <w:szCs w:val="24"/>
          <w:highlight w:val="none"/>
        </w:rPr>
      </w:pPr>
      <w:bookmarkStart w:id="214" w:name="_Toc19735"/>
      <w:bookmarkStart w:id="215" w:name="_Toc224103329"/>
      <w:bookmarkStart w:id="216" w:name="_Toc287607758"/>
      <w:bookmarkStart w:id="217" w:name="_Toc430530447"/>
      <w:bookmarkStart w:id="218" w:name="_Toc277082564"/>
      <w:bookmarkStart w:id="219" w:name="_Toc509218722"/>
      <w:bookmarkStart w:id="220" w:name="_Toc287620697"/>
      <w:bookmarkStart w:id="221" w:name="_Toc200513138"/>
      <w:bookmarkStart w:id="222" w:name="_Toc3036"/>
      <w:r>
        <w:rPr>
          <w:rFonts w:ascii="宋体" w:hAnsi="宋体"/>
          <w:b w:val="0"/>
          <w:snapToGrid w:val="0"/>
          <w:color w:val="auto"/>
          <w:sz w:val="24"/>
          <w:szCs w:val="24"/>
          <w:highlight w:val="none"/>
        </w:rPr>
        <w:t>1.11  分包</w:t>
      </w:r>
      <w:bookmarkEnd w:id="214"/>
      <w:bookmarkEnd w:id="215"/>
      <w:bookmarkEnd w:id="216"/>
      <w:bookmarkEnd w:id="217"/>
      <w:bookmarkEnd w:id="218"/>
      <w:bookmarkEnd w:id="219"/>
      <w:bookmarkEnd w:id="220"/>
      <w:bookmarkEnd w:id="221"/>
      <w:bookmarkEnd w:id="222"/>
    </w:p>
    <w:p w14:paraId="4831D085">
      <w:pPr>
        <w:autoSpaceDE w:val="0"/>
        <w:autoSpaceDN w:val="0"/>
        <w:adjustRightInd w:val="0"/>
        <w:snapToGrid w:val="0"/>
        <w:spacing w:line="360" w:lineRule="auto"/>
        <w:ind w:firstLine="426"/>
        <w:rPr>
          <w:rFonts w:ascii="宋体" w:hAnsi="宋体"/>
          <w:snapToGrid w:val="0"/>
          <w:color w:val="auto"/>
          <w:kern w:val="0"/>
          <w:szCs w:val="21"/>
          <w:highlight w:val="none"/>
        </w:rPr>
      </w:pPr>
      <w:r>
        <w:rPr>
          <w:rFonts w:ascii="宋体" w:hAnsi="宋体"/>
          <w:snapToGrid w:val="0"/>
          <w:color w:val="auto"/>
          <w:kern w:val="0"/>
          <w:szCs w:val="21"/>
          <w:highlight w:val="none"/>
        </w:rPr>
        <w:t>投标人拟在中标后将中标项目的部分非主体、非关键性工作进行分包的，应符合投标人须知前附表规定的分包内容、分包金额和接受分包的第三人资质要求等限制性条件。</w:t>
      </w:r>
    </w:p>
    <w:p w14:paraId="1EA8FBCF">
      <w:pPr>
        <w:pStyle w:val="5"/>
        <w:snapToGrid w:val="0"/>
        <w:spacing w:before="0" w:after="0" w:line="360" w:lineRule="auto"/>
        <w:rPr>
          <w:rFonts w:ascii="宋体" w:hAnsi="宋体"/>
          <w:b w:val="0"/>
          <w:snapToGrid w:val="0"/>
          <w:color w:val="auto"/>
          <w:sz w:val="24"/>
          <w:szCs w:val="24"/>
          <w:highlight w:val="none"/>
        </w:rPr>
      </w:pPr>
      <w:bookmarkStart w:id="223" w:name="_Toc31209"/>
      <w:bookmarkStart w:id="224" w:name="_Toc287607759"/>
      <w:bookmarkStart w:id="225" w:name="_Toc224103330"/>
      <w:bookmarkStart w:id="226" w:name="_Toc277082565"/>
      <w:bookmarkStart w:id="227" w:name="_Toc509218723"/>
      <w:bookmarkStart w:id="228" w:name="_Toc5536"/>
      <w:bookmarkStart w:id="229" w:name="_Toc200513139"/>
      <w:bookmarkStart w:id="230" w:name="_Toc287620698"/>
      <w:bookmarkStart w:id="231" w:name="_Toc430530448"/>
      <w:r>
        <w:rPr>
          <w:rFonts w:ascii="宋体" w:hAnsi="宋体"/>
          <w:b w:val="0"/>
          <w:snapToGrid w:val="0"/>
          <w:color w:val="auto"/>
          <w:sz w:val="24"/>
          <w:szCs w:val="24"/>
          <w:highlight w:val="none"/>
        </w:rPr>
        <w:t>1.12  偏离</w:t>
      </w:r>
      <w:bookmarkEnd w:id="223"/>
      <w:bookmarkEnd w:id="224"/>
      <w:bookmarkEnd w:id="225"/>
      <w:bookmarkEnd w:id="226"/>
      <w:bookmarkEnd w:id="227"/>
      <w:bookmarkEnd w:id="228"/>
      <w:bookmarkEnd w:id="229"/>
      <w:bookmarkEnd w:id="230"/>
      <w:bookmarkEnd w:id="231"/>
    </w:p>
    <w:p w14:paraId="6EFB9C9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投标人须知前附表允许投标文件偏离</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文件某些要求的，偏离应当符合</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文件规定 的偏离范围和幅度。</w:t>
      </w:r>
    </w:p>
    <w:p w14:paraId="7492B553">
      <w:pPr>
        <w:pStyle w:val="4"/>
        <w:spacing w:before="0" w:after="0" w:line="360" w:lineRule="auto"/>
        <w:rPr>
          <w:rFonts w:ascii="宋体" w:hAnsi="宋体"/>
          <w:b w:val="0"/>
          <w:snapToGrid w:val="0"/>
          <w:color w:val="auto"/>
          <w:highlight w:val="none"/>
        </w:rPr>
      </w:pPr>
      <w:bookmarkStart w:id="232" w:name="_Toc277082566"/>
      <w:bookmarkStart w:id="233" w:name="_Toc287607760"/>
      <w:bookmarkStart w:id="234" w:name="_Toc430530449"/>
      <w:bookmarkStart w:id="235" w:name="_Toc509218724"/>
      <w:bookmarkStart w:id="236" w:name="_Toc287620699"/>
      <w:bookmarkStart w:id="237" w:name="_Toc28451"/>
      <w:bookmarkStart w:id="238" w:name="_Toc200513140"/>
      <w:bookmarkStart w:id="239" w:name="_Toc11902"/>
      <w:bookmarkStart w:id="240" w:name="_Toc224103331"/>
      <w:r>
        <w:rPr>
          <w:rFonts w:ascii="宋体" w:hAnsi="宋体"/>
          <w:b w:val="0"/>
          <w:snapToGrid w:val="0"/>
          <w:color w:val="auto"/>
          <w:highlight w:val="none"/>
        </w:rPr>
        <w:t xml:space="preserve">2.  </w:t>
      </w:r>
      <w:r>
        <w:rPr>
          <w:rFonts w:hint="eastAsia" w:ascii="宋体" w:hAnsi="宋体"/>
          <w:b w:val="0"/>
          <w:snapToGrid w:val="0"/>
          <w:color w:val="auto"/>
          <w:highlight w:val="none"/>
          <w:lang w:eastAsia="zh-CN"/>
        </w:rPr>
        <w:t>比选</w:t>
      </w:r>
      <w:r>
        <w:rPr>
          <w:rFonts w:ascii="宋体" w:hAnsi="宋体"/>
          <w:b w:val="0"/>
          <w:snapToGrid w:val="0"/>
          <w:color w:val="auto"/>
          <w:highlight w:val="none"/>
        </w:rPr>
        <w:t>文件</w:t>
      </w:r>
      <w:bookmarkEnd w:id="232"/>
      <w:bookmarkEnd w:id="233"/>
      <w:bookmarkEnd w:id="234"/>
      <w:bookmarkEnd w:id="235"/>
      <w:bookmarkEnd w:id="236"/>
      <w:bookmarkEnd w:id="237"/>
      <w:bookmarkEnd w:id="238"/>
      <w:bookmarkEnd w:id="239"/>
      <w:bookmarkEnd w:id="240"/>
    </w:p>
    <w:p w14:paraId="3310CE13">
      <w:pPr>
        <w:pStyle w:val="5"/>
        <w:snapToGrid w:val="0"/>
        <w:spacing w:before="0" w:after="0" w:line="360" w:lineRule="auto"/>
        <w:rPr>
          <w:rFonts w:ascii="宋体" w:hAnsi="宋体"/>
          <w:b w:val="0"/>
          <w:snapToGrid w:val="0"/>
          <w:color w:val="auto"/>
          <w:sz w:val="24"/>
          <w:szCs w:val="24"/>
          <w:highlight w:val="none"/>
        </w:rPr>
      </w:pPr>
      <w:bookmarkStart w:id="241" w:name="_Toc31696"/>
      <w:bookmarkStart w:id="242" w:name="_Toc287607761"/>
      <w:bookmarkStart w:id="243" w:name="_Toc273"/>
      <w:bookmarkStart w:id="244" w:name="_Toc287620700"/>
      <w:bookmarkStart w:id="245" w:name="_Toc277082567"/>
      <w:bookmarkStart w:id="246" w:name="_Toc224103332"/>
      <w:bookmarkStart w:id="247" w:name="_Toc509218725"/>
      <w:bookmarkStart w:id="248" w:name="_Toc200513141"/>
      <w:bookmarkStart w:id="249" w:name="_Toc430530450"/>
      <w:r>
        <w:rPr>
          <w:rFonts w:ascii="宋体" w:hAnsi="宋体"/>
          <w:b w:val="0"/>
          <w:snapToGrid w:val="0"/>
          <w:color w:val="auto"/>
          <w:sz w:val="24"/>
          <w:szCs w:val="24"/>
          <w:highlight w:val="none"/>
        </w:rPr>
        <w:t xml:space="preserve">2.1  </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文件的组成</w:t>
      </w:r>
      <w:bookmarkEnd w:id="241"/>
      <w:bookmarkEnd w:id="242"/>
      <w:bookmarkEnd w:id="243"/>
      <w:bookmarkEnd w:id="244"/>
      <w:bookmarkEnd w:id="245"/>
      <w:bookmarkEnd w:id="246"/>
      <w:bookmarkEnd w:id="247"/>
      <w:bookmarkEnd w:id="248"/>
      <w:bookmarkEnd w:id="249"/>
    </w:p>
    <w:p w14:paraId="194D9A4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文件包括：</w:t>
      </w:r>
    </w:p>
    <w:p w14:paraId="05B11BF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公告（或投标邀请书）；</w:t>
      </w:r>
    </w:p>
    <w:p w14:paraId="0184DA84">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52EA7C3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491456F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4BEC4BE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（5）工程量清单；</w:t>
      </w:r>
    </w:p>
    <w:p w14:paraId="1D76CE81">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（6）图纸；</w:t>
      </w:r>
    </w:p>
    <w:p w14:paraId="25CF79B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（7）技术标准和要求；</w:t>
      </w:r>
    </w:p>
    <w:p w14:paraId="484A158C">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（8）投标文件格式；</w:t>
      </w:r>
    </w:p>
    <w:p w14:paraId="57C607C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（9）投标人须知前附表规定的其他材料。</w:t>
      </w:r>
    </w:p>
    <w:p w14:paraId="22E3501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文件所作的澄清、修改，构成</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文件的组成部分。</w:t>
      </w:r>
    </w:p>
    <w:p w14:paraId="31478D04">
      <w:pPr>
        <w:pStyle w:val="5"/>
        <w:snapToGrid w:val="0"/>
        <w:spacing w:before="0" w:after="0" w:line="360" w:lineRule="auto"/>
        <w:rPr>
          <w:rFonts w:ascii="宋体" w:hAnsi="宋体"/>
          <w:b w:val="0"/>
          <w:snapToGrid w:val="0"/>
          <w:color w:val="auto"/>
          <w:sz w:val="24"/>
          <w:szCs w:val="24"/>
          <w:highlight w:val="none"/>
        </w:rPr>
      </w:pPr>
      <w:bookmarkStart w:id="250" w:name="_Toc430530451"/>
      <w:bookmarkStart w:id="251" w:name="_Toc509218726"/>
      <w:bookmarkStart w:id="252" w:name="_Toc23750"/>
      <w:bookmarkStart w:id="253" w:name="_Toc2148"/>
      <w:r>
        <w:rPr>
          <w:rFonts w:ascii="宋体" w:hAnsi="宋体"/>
          <w:b w:val="0"/>
          <w:snapToGrid w:val="0"/>
          <w:color w:val="auto"/>
          <w:sz w:val="24"/>
          <w:szCs w:val="24"/>
          <w:highlight w:val="none"/>
        </w:rPr>
        <w:t xml:space="preserve">2.2  </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文件的澄清</w:t>
      </w:r>
      <w:bookmarkEnd w:id="250"/>
      <w:bookmarkEnd w:id="251"/>
      <w:bookmarkEnd w:id="252"/>
      <w:bookmarkEnd w:id="253"/>
    </w:p>
    <w:p w14:paraId="57213A6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2.2.1  投标人应仔细阅读和检查</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文件的全部内容。如发现缺页或附件不全，应及时向</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人提出，以便补齐。如有疑问，应在投标人须知前附表规定的时间前</w:t>
      </w:r>
      <w:r>
        <w:rPr>
          <w:rFonts w:ascii="宋体" w:hAnsi="宋体"/>
          <w:color w:val="auto"/>
          <w:kern w:val="0"/>
          <w:szCs w:val="21"/>
          <w:highlight w:val="none"/>
        </w:rPr>
        <w:t>在</w:t>
      </w:r>
      <w:r>
        <w:rPr>
          <w:rFonts w:hint="eastAsia" w:ascii="宋体" w:hAnsi="宋体"/>
          <w:color w:val="auto"/>
          <w:kern w:val="0"/>
          <w:szCs w:val="21"/>
          <w:highlight w:val="none"/>
        </w:rPr>
        <w:t>相应法定网站提问</w:t>
      </w:r>
      <w:r>
        <w:rPr>
          <w:rFonts w:ascii="宋体" w:hAnsi="宋体"/>
          <w:snapToGrid w:val="0"/>
          <w:color w:val="auto"/>
          <w:kern w:val="0"/>
          <w:szCs w:val="21"/>
          <w:highlight w:val="none"/>
        </w:rPr>
        <w:t>，要求</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人对</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文件予以澄清。</w:t>
      </w:r>
    </w:p>
    <w:p w14:paraId="1380F5D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2.2.2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文件的澄清将在投标人须知前附表规定的投标截止时间15天前</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但不指明澄清问题的来源。如果澄清发出的时间距投标截止时间不足15天，相应延长投标截止时间。</w:t>
      </w:r>
    </w:p>
    <w:p w14:paraId="0B8FA02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2.2.3  </w:t>
      </w:r>
      <w:r>
        <w:rPr>
          <w:rFonts w:hint="eastAsia" w:ascii="宋体" w:hAnsi="宋体"/>
          <w:color w:val="auto"/>
          <w:kern w:val="0"/>
          <w:szCs w:val="21"/>
          <w:highlight w:val="none"/>
          <w:lang w:eastAsia="zh-CN"/>
        </w:rPr>
        <w:t>比选</w:t>
      </w:r>
      <w:r>
        <w:rPr>
          <w:rFonts w:ascii="宋体" w:hAnsi="宋体"/>
          <w:color w:val="auto"/>
          <w:kern w:val="0"/>
          <w:szCs w:val="21"/>
          <w:highlight w:val="none"/>
        </w:rPr>
        <w:t>人对</w:t>
      </w:r>
      <w:r>
        <w:rPr>
          <w:rFonts w:hint="eastAsia" w:ascii="宋体" w:hAnsi="宋体"/>
          <w:color w:val="auto"/>
          <w:kern w:val="0"/>
          <w:szCs w:val="21"/>
          <w:highlight w:val="none"/>
          <w:lang w:eastAsia="zh-CN"/>
        </w:rPr>
        <w:t>比选</w:t>
      </w:r>
      <w:r>
        <w:rPr>
          <w:rFonts w:ascii="宋体" w:hAnsi="宋体"/>
          <w:color w:val="auto"/>
          <w:kern w:val="0"/>
          <w:szCs w:val="21"/>
          <w:highlight w:val="none"/>
        </w:rPr>
        <w:t>文件的</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p w14:paraId="1B58FD7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2.2.4  投标人对</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文件和澄清修改仍有</w:t>
      </w:r>
      <w:r>
        <w:rPr>
          <w:rFonts w:hint="eastAsia" w:ascii="宋体" w:hAnsi="宋体"/>
          <w:snapToGrid w:val="0"/>
          <w:color w:val="auto"/>
          <w:kern w:val="0"/>
          <w:position w:val="-2"/>
          <w:szCs w:val="21"/>
          <w:highlight w:val="none"/>
        </w:rPr>
        <w:t>异议</w:t>
      </w:r>
      <w:r>
        <w:rPr>
          <w:rFonts w:ascii="宋体" w:hAnsi="宋体"/>
          <w:snapToGrid w:val="0"/>
          <w:color w:val="auto"/>
          <w:kern w:val="0"/>
          <w:position w:val="-2"/>
          <w:szCs w:val="21"/>
          <w:highlight w:val="none"/>
        </w:rPr>
        <w:t>的，可于投标截止时间10日前，以书面形式通知</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szCs w:val="21"/>
          <w:highlight w:val="none"/>
        </w:rPr>
        <w:t>人或</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代理机构。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人应将答复以</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的形式</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p w14:paraId="0B345952">
      <w:pPr>
        <w:pStyle w:val="5"/>
        <w:snapToGrid w:val="0"/>
        <w:spacing w:before="0" w:after="0" w:line="360" w:lineRule="auto"/>
        <w:rPr>
          <w:rFonts w:ascii="宋体" w:hAnsi="宋体"/>
          <w:b w:val="0"/>
          <w:snapToGrid w:val="0"/>
          <w:color w:val="auto"/>
          <w:sz w:val="24"/>
          <w:szCs w:val="24"/>
          <w:highlight w:val="none"/>
        </w:rPr>
      </w:pPr>
      <w:bookmarkStart w:id="254" w:name="_Toc224103334"/>
      <w:bookmarkStart w:id="255" w:name="_Toc17734"/>
      <w:bookmarkStart w:id="256" w:name="_Toc287620702"/>
      <w:bookmarkStart w:id="257" w:name="_Toc200513143"/>
      <w:bookmarkStart w:id="258" w:name="_Toc277082569"/>
      <w:bookmarkStart w:id="259" w:name="_Toc27922"/>
      <w:bookmarkStart w:id="260" w:name="_Toc509218727"/>
      <w:bookmarkStart w:id="261" w:name="_Toc430530452"/>
      <w:bookmarkStart w:id="262" w:name="_Toc287607763"/>
      <w:r>
        <w:rPr>
          <w:rFonts w:ascii="宋体" w:hAnsi="宋体"/>
          <w:b w:val="0"/>
          <w:snapToGrid w:val="0"/>
          <w:color w:val="auto"/>
          <w:sz w:val="24"/>
          <w:szCs w:val="24"/>
          <w:highlight w:val="none"/>
        </w:rPr>
        <w:t xml:space="preserve">2.3  </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文件的修改</w:t>
      </w:r>
      <w:bookmarkEnd w:id="254"/>
      <w:bookmarkEnd w:id="255"/>
      <w:bookmarkEnd w:id="256"/>
      <w:bookmarkEnd w:id="257"/>
      <w:bookmarkEnd w:id="258"/>
      <w:bookmarkEnd w:id="259"/>
      <w:bookmarkEnd w:id="260"/>
      <w:bookmarkEnd w:id="261"/>
      <w:bookmarkEnd w:id="262"/>
    </w:p>
    <w:p w14:paraId="1A01F57A">
      <w:pPr>
        <w:autoSpaceDE w:val="0"/>
        <w:autoSpaceDN w:val="0"/>
        <w:adjustRightInd w:val="0"/>
        <w:snapToGrid w:val="0"/>
        <w:spacing w:line="360" w:lineRule="auto"/>
        <w:ind w:firstLine="420"/>
        <w:rPr>
          <w:rFonts w:ascii="宋体" w:hAnsi="宋体"/>
          <w:snapToGrid w:val="0"/>
          <w:color w:val="auto"/>
          <w:highlight w:val="none"/>
        </w:rPr>
      </w:pPr>
      <w:bookmarkStart w:id="263" w:name="_Toc224103335"/>
      <w:bookmarkStart w:id="264" w:name="_Toc287620703"/>
      <w:bookmarkStart w:id="265" w:name="_Toc200513144"/>
      <w:bookmarkStart w:id="266" w:name="_Toc287607764"/>
      <w:bookmarkStart w:id="267" w:name="_Toc277082570"/>
      <w:r>
        <w:rPr>
          <w:rFonts w:ascii="宋体" w:hAnsi="宋体"/>
          <w:snapToGrid w:val="0"/>
          <w:color w:val="auto"/>
          <w:highlight w:val="none"/>
        </w:rPr>
        <w:t>按照本章</w:t>
      </w:r>
      <w:r>
        <w:rPr>
          <w:rFonts w:hint="eastAsia" w:ascii="宋体" w:hAnsi="宋体"/>
          <w:snapToGrid w:val="0"/>
          <w:color w:val="auto"/>
          <w:highlight w:val="none"/>
        </w:rPr>
        <w:t>第</w:t>
      </w:r>
      <w:r>
        <w:rPr>
          <w:rFonts w:ascii="宋体" w:hAnsi="宋体"/>
          <w:snapToGrid w:val="0"/>
          <w:color w:val="auto"/>
          <w:highlight w:val="none"/>
        </w:rPr>
        <w:t>2.2</w:t>
      </w:r>
      <w:r>
        <w:rPr>
          <w:rFonts w:hint="eastAsia" w:ascii="宋体" w:hAnsi="宋体"/>
          <w:snapToGrid w:val="0"/>
          <w:color w:val="auto"/>
          <w:highlight w:val="none"/>
        </w:rPr>
        <w:t>款</w:t>
      </w:r>
      <w:r>
        <w:rPr>
          <w:rFonts w:hint="eastAsia" w:ascii="宋体" w:hAnsi="宋体"/>
          <w:snapToGrid w:val="0"/>
          <w:color w:val="auto"/>
          <w:highlight w:val="none"/>
          <w:lang w:eastAsia="zh-CN"/>
        </w:rPr>
        <w:t>比选</w:t>
      </w:r>
      <w:r>
        <w:rPr>
          <w:rFonts w:ascii="宋体" w:hAnsi="宋体"/>
          <w:snapToGrid w:val="0"/>
          <w:color w:val="auto"/>
          <w:highlight w:val="none"/>
        </w:rPr>
        <w:t>文件的澄清相关内容及方式执行。</w:t>
      </w:r>
    </w:p>
    <w:p w14:paraId="2412B37A">
      <w:pPr>
        <w:pStyle w:val="4"/>
        <w:spacing w:before="0" w:after="0" w:line="360" w:lineRule="auto"/>
        <w:rPr>
          <w:rFonts w:ascii="宋体" w:hAnsi="宋体"/>
          <w:b w:val="0"/>
          <w:snapToGrid w:val="0"/>
          <w:color w:val="auto"/>
          <w:highlight w:val="none"/>
        </w:rPr>
      </w:pPr>
      <w:bookmarkStart w:id="268" w:name="_Toc14543"/>
      <w:bookmarkStart w:id="269" w:name="_Toc509218728"/>
      <w:bookmarkStart w:id="270" w:name="_Toc14209"/>
      <w:bookmarkStart w:id="271" w:name="_Toc430530453"/>
      <w:r>
        <w:rPr>
          <w:rFonts w:ascii="宋体" w:hAnsi="宋体"/>
          <w:b w:val="0"/>
          <w:snapToGrid w:val="0"/>
          <w:color w:val="auto"/>
          <w:highlight w:val="none"/>
        </w:rPr>
        <w:t>3.  投标文件</w:t>
      </w:r>
      <w:bookmarkEnd w:id="263"/>
      <w:bookmarkEnd w:id="264"/>
      <w:bookmarkEnd w:id="265"/>
      <w:bookmarkEnd w:id="266"/>
      <w:bookmarkEnd w:id="267"/>
      <w:bookmarkEnd w:id="268"/>
      <w:bookmarkEnd w:id="269"/>
      <w:bookmarkEnd w:id="270"/>
      <w:bookmarkEnd w:id="271"/>
    </w:p>
    <w:p w14:paraId="29E7AB06">
      <w:pPr>
        <w:pStyle w:val="5"/>
        <w:snapToGrid w:val="0"/>
        <w:spacing w:before="0" w:after="0" w:line="360" w:lineRule="auto"/>
        <w:rPr>
          <w:rFonts w:ascii="宋体" w:hAnsi="宋体"/>
          <w:b w:val="0"/>
          <w:snapToGrid w:val="0"/>
          <w:color w:val="auto"/>
          <w:sz w:val="24"/>
          <w:szCs w:val="24"/>
          <w:highlight w:val="none"/>
        </w:rPr>
      </w:pPr>
      <w:bookmarkStart w:id="272" w:name="_Toc8482"/>
      <w:bookmarkStart w:id="273" w:name="_Toc16854"/>
      <w:bookmarkStart w:id="274" w:name="_Toc287607765"/>
      <w:bookmarkStart w:id="275" w:name="_Toc277082571"/>
      <w:bookmarkStart w:id="276" w:name="_Toc509218729"/>
      <w:bookmarkStart w:id="277" w:name="_Toc287620704"/>
      <w:bookmarkStart w:id="278" w:name="_Toc430530454"/>
      <w:bookmarkStart w:id="279" w:name="_Toc200513145"/>
      <w:bookmarkStart w:id="280" w:name="_Toc224103336"/>
      <w:r>
        <w:rPr>
          <w:rFonts w:ascii="宋体" w:hAnsi="宋体"/>
          <w:b w:val="0"/>
          <w:snapToGrid w:val="0"/>
          <w:color w:val="auto"/>
          <w:sz w:val="24"/>
          <w:szCs w:val="24"/>
          <w:highlight w:val="none"/>
        </w:rPr>
        <w:t>3.1  投标文件的组成</w:t>
      </w:r>
      <w:bookmarkEnd w:id="272"/>
      <w:bookmarkEnd w:id="273"/>
      <w:bookmarkEnd w:id="274"/>
      <w:bookmarkEnd w:id="275"/>
      <w:bookmarkEnd w:id="276"/>
      <w:bookmarkEnd w:id="277"/>
      <w:bookmarkEnd w:id="278"/>
      <w:bookmarkEnd w:id="279"/>
      <w:bookmarkEnd w:id="280"/>
    </w:p>
    <w:p w14:paraId="155D1450">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snapToGrid w:val="0"/>
          <w:color w:val="auto"/>
          <w:kern w:val="0"/>
          <w:szCs w:val="21"/>
          <w:highlight w:val="none"/>
        </w:rPr>
        <w:t>3.1.1 投标文件应包括下列内容：</w:t>
      </w:r>
    </w:p>
    <w:p w14:paraId="0D6B4491">
      <w:pPr>
        <w:spacing w:line="360" w:lineRule="auto"/>
        <w:ind w:firstLine="420" w:firstLineChars="200"/>
        <w:rPr>
          <w:rFonts w:hint="eastAsia" w:ascii="宋体" w:hAnsi="宋体"/>
          <w:color w:val="auto"/>
          <w:highlight w:val="none"/>
        </w:rPr>
      </w:pPr>
      <w:r>
        <w:rPr>
          <w:rFonts w:hint="eastAsia" w:ascii="宋体" w:hAnsi="宋体"/>
          <w:color w:val="auto"/>
          <w:highlight w:val="none"/>
        </w:rPr>
        <w:t>3.1.1.</w:t>
      </w:r>
      <w:r>
        <w:rPr>
          <w:rFonts w:hint="eastAsia" w:ascii="宋体" w:hAnsi="宋体"/>
          <w:color w:val="auto"/>
          <w:highlight w:val="none"/>
          <w:lang w:val="en-US" w:eastAsia="zh-CN"/>
        </w:rPr>
        <w:t>1</w:t>
      </w:r>
      <w:r>
        <w:rPr>
          <w:rFonts w:hint="eastAsia" w:ascii="宋体" w:hAnsi="宋体"/>
          <w:color w:val="auto"/>
          <w:highlight w:val="none"/>
        </w:rPr>
        <w:t>投标函部分</w:t>
      </w:r>
    </w:p>
    <w:p w14:paraId="73352054">
      <w:pPr>
        <w:spacing w:line="360" w:lineRule="auto"/>
        <w:ind w:firstLine="420" w:firstLineChars="200"/>
        <w:rPr>
          <w:rFonts w:hint="eastAsia" w:ascii="宋体" w:hAnsi="宋体"/>
          <w:color w:val="auto"/>
          <w:highlight w:val="none"/>
        </w:rPr>
      </w:pPr>
      <w:r>
        <w:rPr>
          <w:rFonts w:hint="eastAsia" w:ascii="宋体" w:hAnsi="宋体"/>
          <w:color w:val="auto"/>
          <w:highlight w:val="none"/>
        </w:rPr>
        <w:t>（1）投标函</w:t>
      </w:r>
    </w:p>
    <w:p w14:paraId="473C8804">
      <w:pPr>
        <w:spacing w:line="360" w:lineRule="auto"/>
        <w:ind w:firstLine="420" w:firstLineChars="200"/>
        <w:rPr>
          <w:rFonts w:hint="eastAsia" w:ascii="宋体" w:hAnsi="宋体"/>
          <w:color w:val="auto"/>
          <w:highlight w:val="none"/>
        </w:rPr>
      </w:pPr>
      <w:r>
        <w:rPr>
          <w:rFonts w:hint="eastAsia" w:ascii="宋体" w:hAnsi="宋体"/>
          <w:color w:val="auto"/>
          <w:highlight w:val="none"/>
        </w:rPr>
        <w:t>（2）投标函附录</w:t>
      </w:r>
    </w:p>
    <w:p w14:paraId="166F1DE5">
      <w:pPr>
        <w:spacing w:line="360" w:lineRule="auto"/>
        <w:ind w:firstLine="420" w:firstLineChars="200"/>
        <w:rPr>
          <w:rFonts w:hint="eastAsia" w:ascii="宋体" w:hAnsi="宋体"/>
          <w:color w:val="auto"/>
          <w:highlight w:val="none"/>
        </w:rPr>
      </w:pPr>
      <w:r>
        <w:rPr>
          <w:rFonts w:hint="eastAsia" w:ascii="宋体" w:hAnsi="宋体"/>
          <w:color w:val="auto"/>
          <w:highlight w:val="none"/>
        </w:rPr>
        <w:t>（3）法定代表人身份证明或附有法定代表人身份证明的授权委托书</w:t>
      </w:r>
    </w:p>
    <w:p w14:paraId="16D5AE1D">
      <w:pPr>
        <w:spacing w:line="360" w:lineRule="auto"/>
        <w:ind w:firstLine="420" w:firstLineChars="200"/>
        <w:rPr>
          <w:rFonts w:hint="eastAsia" w:ascii="宋体" w:hAnsi="宋体"/>
          <w:color w:val="auto"/>
          <w:highlight w:val="none"/>
        </w:rPr>
      </w:pPr>
      <w:r>
        <w:rPr>
          <w:rFonts w:hint="eastAsia" w:ascii="宋体" w:hAnsi="宋体"/>
          <w:color w:val="auto"/>
          <w:highlight w:val="none"/>
        </w:rPr>
        <w:t>3.1.1.</w:t>
      </w:r>
      <w:r>
        <w:rPr>
          <w:rFonts w:hint="eastAsia" w:ascii="宋体" w:hAnsi="宋体"/>
          <w:color w:val="auto"/>
          <w:highlight w:val="none"/>
          <w:lang w:val="en-US" w:eastAsia="zh-CN"/>
        </w:rPr>
        <w:t>2</w:t>
      </w:r>
      <w:r>
        <w:rPr>
          <w:rFonts w:hint="eastAsia" w:ascii="宋体" w:hAnsi="宋体"/>
          <w:color w:val="auto"/>
          <w:highlight w:val="none"/>
        </w:rPr>
        <w:t>经济部分</w:t>
      </w:r>
    </w:p>
    <w:p w14:paraId="6592C774">
      <w:pPr>
        <w:spacing w:line="360" w:lineRule="auto"/>
        <w:ind w:firstLine="420" w:firstLineChars="200"/>
        <w:rPr>
          <w:rFonts w:hint="eastAsia" w:ascii="宋体" w:hAnsi="宋体"/>
          <w:color w:val="auto"/>
          <w:highlight w:val="none"/>
        </w:rPr>
      </w:pPr>
      <w:r>
        <w:rPr>
          <w:rFonts w:hint="eastAsia" w:ascii="宋体" w:hAnsi="宋体"/>
          <w:color w:val="auto"/>
          <w:highlight w:val="none"/>
        </w:rPr>
        <w:t>（1）已标价工程量清单</w:t>
      </w:r>
    </w:p>
    <w:p w14:paraId="03BC4E5E">
      <w:pPr>
        <w:spacing w:line="360" w:lineRule="auto"/>
        <w:ind w:firstLine="420" w:firstLineChars="200"/>
        <w:rPr>
          <w:rFonts w:hint="eastAsia" w:ascii="宋体" w:hAnsi="宋体"/>
          <w:color w:val="auto"/>
          <w:highlight w:val="none"/>
        </w:rPr>
      </w:pPr>
      <w:r>
        <w:rPr>
          <w:rFonts w:hint="eastAsia" w:ascii="宋体" w:hAnsi="宋体"/>
          <w:color w:val="auto"/>
          <w:highlight w:val="none"/>
        </w:rPr>
        <w:t>3.1.1.</w:t>
      </w:r>
      <w:r>
        <w:rPr>
          <w:rFonts w:hint="eastAsia" w:ascii="宋体" w:hAnsi="宋体"/>
          <w:color w:val="auto"/>
          <w:highlight w:val="none"/>
          <w:lang w:val="en-US" w:eastAsia="zh-CN"/>
        </w:rPr>
        <w:t>3</w:t>
      </w:r>
      <w:r>
        <w:rPr>
          <w:rFonts w:hint="eastAsia" w:ascii="宋体" w:hAnsi="宋体"/>
          <w:color w:val="auto"/>
          <w:highlight w:val="none"/>
        </w:rPr>
        <w:t>资格审查部分</w:t>
      </w:r>
    </w:p>
    <w:p w14:paraId="469AFBA3">
      <w:pPr>
        <w:spacing w:line="360" w:lineRule="auto"/>
        <w:ind w:firstLine="420" w:firstLineChars="200"/>
        <w:rPr>
          <w:rFonts w:hint="eastAsia" w:ascii="宋体" w:hAnsi="宋体"/>
          <w:color w:val="auto"/>
          <w:highlight w:val="none"/>
        </w:rPr>
      </w:pPr>
      <w:r>
        <w:rPr>
          <w:rFonts w:hint="eastAsia" w:ascii="宋体" w:hAnsi="宋体"/>
          <w:color w:val="auto"/>
          <w:highlight w:val="none"/>
        </w:rPr>
        <w:t>（1）法定代表人身份证明或附有法定代表人身份证明的授权委托书</w:t>
      </w:r>
    </w:p>
    <w:p w14:paraId="4AE10E47">
      <w:pPr>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2</w:t>
      </w:r>
      <w:r>
        <w:rPr>
          <w:rFonts w:hint="eastAsia" w:ascii="宋体" w:hAnsi="宋体"/>
          <w:color w:val="auto"/>
          <w:highlight w:val="none"/>
        </w:rPr>
        <w:t>）投标人基本情况表</w:t>
      </w:r>
    </w:p>
    <w:p w14:paraId="18CC006E">
      <w:pPr>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）项目管理机构</w:t>
      </w:r>
    </w:p>
    <w:p w14:paraId="19CDE4B8">
      <w:pPr>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）承诺</w:t>
      </w:r>
    </w:p>
    <w:p w14:paraId="17157414">
      <w:pPr>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）其他资料</w:t>
      </w:r>
    </w:p>
    <w:p w14:paraId="0FFBC4B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3.1.2  投标人须知前附表规定不接受联合体投标的，或投标人没有组成联合体的，投标文件不包括联合体协议书。</w:t>
      </w:r>
    </w:p>
    <w:p w14:paraId="4F77652A">
      <w:pPr>
        <w:pStyle w:val="5"/>
        <w:snapToGrid w:val="0"/>
        <w:spacing w:before="0" w:after="0" w:line="360" w:lineRule="auto"/>
        <w:rPr>
          <w:rFonts w:ascii="宋体" w:hAnsi="宋体"/>
          <w:b w:val="0"/>
          <w:snapToGrid w:val="0"/>
          <w:color w:val="auto"/>
          <w:sz w:val="24"/>
          <w:szCs w:val="24"/>
          <w:highlight w:val="none"/>
        </w:rPr>
      </w:pPr>
      <w:bookmarkStart w:id="281" w:name="_Toc430530455"/>
      <w:bookmarkStart w:id="282" w:name="_Toc287607766"/>
      <w:bookmarkStart w:id="283" w:name="_Toc277082572"/>
      <w:bookmarkStart w:id="284" w:name="_Toc11444"/>
      <w:bookmarkStart w:id="285" w:name="_Toc224103337"/>
      <w:bookmarkStart w:id="286" w:name="_Toc11028"/>
      <w:bookmarkStart w:id="287" w:name="_Toc287620705"/>
      <w:bookmarkStart w:id="288" w:name="_Toc509218730"/>
      <w:bookmarkStart w:id="289" w:name="_Toc200513146"/>
      <w:r>
        <w:rPr>
          <w:rFonts w:ascii="宋体" w:hAnsi="宋体"/>
          <w:b w:val="0"/>
          <w:snapToGrid w:val="0"/>
          <w:color w:val="auto"/>
          <w:sz w:val="24"/>
          <w:szCs w:val="24"/>
          <w:highlight w:val="none"/>
        </w:rPr>
        <w:t>3.2  投标报价</w:t>
      </w:r>
      <w:bookmarkEnd w:id="281"/>
      <w:bookmarkEnd w:id="282"/>
      <w:bookmarkEnd w:id="283"/>
      <w:bookmarkEnd w:id="284"/>
      <w:bookmarkEnd w:id="285"/>
      <w:bookmarkEnd w:id="286"/>
      <w:bookmarkEnd w:id="287"/>
      <w:bookmarkEnd w:id="288"/>
      <w:bookmarkEnd w:id="289"/>
    </w:p>
    <w:p w14:paraId="222C8D4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3.2.1  投标人应按第五章“工程量清单”的要求填写相应表格。</w:t>
      </w:r>
    </w:p>
    <w:p w14:paraId="6852DA1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投标人在投标截止时间前修改投标函中的投标总报价，应同时修改第五章“工程量清单”中的相应报价。此修改须符合本章第 4.3 款的有关要求。</w:t>
      </w:r>
    </w:p>
    <w:p w14:paraId="502EBD0B">
      <w:pPr>
        <w:pStyle w:val="5"/>
        <w:snapToGrid w:val="0"/>
        <w:spacing w:before="0" w:after="0" w:line="360" w:lineRule="auto"/>
        <w:rPr>
          <w:rFonts w:ascii="宋体" w:hAnsi="宋体"/>
          <w:b w:val="0"/>
          <w:snapToGrid w:val="0"/>
          <w:color w:val="auto"/>
          <w:sz w:val="24"/>
          <w:szCs w:val="24"/>
          <w:highlight w:val="none"/>
        </w:rPr>
      </w:pPr>
      <w:bookmarkStart w:id="290" w:name="_Toc224103338"/>
      <w:bookmarkStart w:id="291" w:name="_Toc287620706"/>
      <w:bookmarkStart w:id="292" w:name="_Toc287607767"/>
      <w:bookmarkStart w:id="293" w:name="_Toc4304"/>
      <w:bookmarkStart w:id="294" w:name="_Toc430530456"/>
      <w:bookmarkStart w:id="295" w:name="_Toc509218731"/>
      <w:bookmarkStart w:id="296" w:name="_Toc1973"/>
      <w:bookmarkStart w:id="297" w:name="_Toc200513147"/>
      <w:bookmarkStart w:id="298" w:name="_Toc277082573"/>
      <w:r>
        <w:rPr>
          <w:rFonts w:ascii="宋体" w:hAnsi="宋体"/>
          <w:b w:val="0"/>
          <w:snapToGrid w:val="0"/>
          <w:color w:val="auto"/>
          <w:sz w:val="24"/>
          <w:szCs w:val="24"/>
          <w:highlight w:val="none"/>
        </w:rPr>
        <w:t>3.3  投标有效期</w:t>
      </w:r>
      <w:bookmarkEnd w:id="290"/>
      <w:bookmarkEnd w:id="291"/>
      <w:bookmarkEnd w:id="292"/>
      <w:bookmarkEnd w:id="293"/>
      <w:bookmarkEnd w:id="294"/>
      <w:bookmarkEnd w:id="295"/>
      <w:bookmarkEnd w:id="296"/>
      <w:bookmarkEnd w:id="297"/>
      <w:bookmarkEnd w:id="298"/>
    </w:p>
    <w:p w14:paraId="449CE1C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3.3.1  在投标人须知前附表规定的投标有效期内，投标人不得要求撤销或修改其投标文件。</w:t>
      </w:r>
    </w:p>
    <w:p w14:paraId="1C265118">
      <w:pPr>
        <w:pStyle w:val="5"/>
        <w:keepNext w:val="0"/>
        <w:keepLines w:val="0"/>
        <w:snapToGrid w:val="0"/>
        <w:spacing w:before="0" w:after="0" w:line="360" w:lineRule="auto"/>
        <w:rPr>
          <w:rFonts w:hint="eastAsia" w:ascii="宋体" w:hAnsi="宋体"/>
          <w:b w:val="0"/>
          <w:snapToGrid w:val="0"/>
          <w:color w:val="auto"/>
          <w:sz w:val="24"/>
          <w:szCs w:val="24"/>
          <w:highlight w:val="none"/>
        </w:rPr>
      </w:pPr>
      <w:bookmarkStart w:id="299" w:name="_Toc287620707"/>
      <w:bookmarkStart w:id="300" w:name="_Toc224103339"/>
      <w:bookmarkStart w:id="301" w:name="_Toc509218732"/>
      <w:bookmarkStart w:id="302" w:name="_Toc200513148"/>
      <w:bookmarkStart w:id="303" w:name="_Toc277082574"/>
      <w:bookmarkStart w:id="304" w:name="_Toc430530457"/>
      <w:bookmarkStart w:id="305" w:name="_Toc287607768"/>
      <w:bookmarkStart w:id="306" w:name="_Toc1366"/>
      <w:bookmarkStart w:id="307" w:name="_Toc14421"/>
      <w:r>
        <w:rPr>
          <w:rFonts w:ascii="宋体" w:hAnsi="宋体"/>
          <w:b w:val="0"/>
          <w:snapToGrid w:val="0"/>
          <w:color w:val="auto"/>
          <w:sz w:val="24"/>
          <w:szCs w:val="24"/>
          <w:highlight w:val="none"/>
        </w:rPr>
        <w:t xml:space="preserve">3.4  </w:t>
      </w:r>
      <w:bookmarkEnd w:id="299"/>
      <w:bookmarkEnd w:id="300"/>
      <w:bookmarkEnd w:id="301"/>
      <w:bookmarkEnd w:id="302"/>
      <w:bookmarkEnd w:id="303"/>
      <w:bookmarkEnd w:id="304"/>
      <w:bookmarkEnd w:id="305"/>
      <w:r>
        <w:rPr>
          <w:rFonts w:ascii="宋体" w:hAnsi="宋体"/>
          <w:b w:val="0"/>
          <w:snapToGrid w:val="0"/>
          <w:color w:val="auto"/>
          <w:sz w:val="24"/>
          <w:szCs w:val="24"/>
          <w:highlight w:val="none"/>
        </w:rPr>
        <w:t>投标</w:t>
      </w:r>
      <w:bookmarkEnd w:id="306"/>
      <w:r>
        <w:rPr>
          <w:rFonts w:hint="eastAsia" w:ascii="宋体" w:hAnsi="宋体"/>
          <w:b w:val="0"/>
          <w:snapToGrid w:val="0"/>
          <w:color w:val="auto"/>
          <w:sz w:val="24"/>
          <w:szCs w:val="24"/>
          <w:highlight w:val="none"/>
        </w:rPr>
        <w:t>保证金</w:t>
      </w:r>
      <w:bookmarkEnd w:id="307"/>
    </w:p>
    <w:p w14:paraId="5160BCE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投标人在递交投标文件的同时，应按投标人须知前附表的规定递交投标保证金，并作为其投标文件的组成部分。</w:t>
      </w:r>
    </w:p>
    <w:p w14:paraId="1C49AFE4">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项要求提交投标保证金的，其投标文件作否决投标处理。</w:t>
      </w:r>
    </w:p>
    <w:p w14:paraId="40FFDB93">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w:t>
      </w:r>
      <w:r>
        <w:rPr>
          <w:rFonts w:ascii="宋体" w:hAnsi="宋体"/>
          <w:snapToGrid w:val="0"/>
          <w:color w:val="auto"/>
          <w:kern w:val="0"/>
          <w:position w:val="-2"/>
          <w:szCs w:val="21"/>
          <w:highlight w:val="none"/>
        </w:rPr>
        <w:t>保证金（投标保函）</w:t>
      </w:r>
      <w:r>
        <w:rPr>
          <w:rFonts w:ascii="宋体" w:hAnsi="宋体"/>
          <w:snapToGrid w:val="0"/>
          <w:color w:val="auto"/>
          <w:kern w:val="0"/>
          <w:szCs w:val="21"/>
          <w:highlight w:val="none"/>
        </w:rPr>
        <w:t>退还：见投标人须知前附表</w:t>
      </w:r>
      <w:r>
        <w:rPr>
          <w:rFonts w:ascii="宋体" w:hAnsi="宋体"/>
          <w:snapToGrid w:val="0"/>
          <w:color w:val="auto"/>
          <w:kern w:val="0"/>
          <w:position w:val="-2"/>
          <w:szCs w:val="21"/>
          <w:highlight w:val="none"/>
        </w:rPr>
        <w:t>。</w:t>
      </w:r>
    </w:p>
    <w:p w14:paraId="1368D84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3.4.4  有下列情形之一的，投标保证金将不予退还：</w:t>
      </w:r>
    </w:p>
    <w:p w14:paraId="7C72071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（1）投标人在规定的投标有效期内撤销或修改其投标文件；</w:t>
      </w:r>
    </w:p>
    <w:p w14:paraId="295225F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（2）中标人在收到中标通知书后，无正当理由拒</w:t>
      </w:r>
      <w:r>
        <w:rPr>
          <w:rFonts w:hint="eastAsia" w:ascii="宋体" w:hAnsi="宋体"/>
          <w:snapToGrid w:val="0"/>
          <w:color w:val="auto"/>
          <w:kern w:val="0"/>
          <w:szCs w:val="21"/>
          <w:highlight w:val="none"/>
        </w:rPr>
        <w:t>不与</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人签订合同，</w:t>
      </w:r>
      <w:r>
        <w:rPr>
          <w:rFonts w:ascii="宋体" w:hAnsi="宋体"/>
          <w:snapToGrid w:val="0"/>
          <w:color w:val="auto"/>
          <w:kern w:val="0"/>
          <w:szCs w:val="21"/>
          <w:highlight w:val="none"/>
        </w:rPr>
        <w:t>或未按</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文件规定提交履约担保；</w:t>
      </w:r>
    </w:p>
    <w:p w14:paraId="100C0EF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（3）违反本章</w:t>
      </w:r>
      <w:r>
        <w:rPr>
          <w:rFonts w:hint="eastAsia" w:ascii="宋体" w:hAnsi="宋体"/>
          <w:snapToGrid w:val="0"/>
          <w:color w:val="auto"/>
          <w:kern w:val="0"/>
          <w:szCs w:val="21"/>
          <w:highlight w:val="none"/>
        </w:rPr>
        <w:t>第</w:t>
      </w:r>
      <w:r>
        <w:rPr>
          <w:rFonts w:ascii="宋体" w:hAnsi="宋体"/>
          <w:snapToGrid w:val="0"/>
          <w:color w:val="auto"/>
          <w:kern w:val="0"/>
          <w:szCs w:val="21"/>
          <w:highlight w:val="none"/>
        </w:rPr>
        <w:t>9.2</w:t>
      </w:r>
      <w:r>
        <w:rPr>
          <w:rFonts w:hint="eastAsia" w:ascii="宋体" w:hAnsi="宋体"/>
          <w:snapToGrid w:val="0"/>
          <w:color w:val="auto"/>
          <w:kern w:val="0"/>
          <w:szCs w:val="21"/>
          <w:highlight w:val="none"/>
        </w:rPr>
        <w:t>款</w:t>
      </w:r>
      <w:r>
        <w:rPr>
          <w:rFonts w:ascii="宋体" w:hAnsi="宋体"/>
          <w:snapToGrid w:val="0"/>
          <w:color w:val="auto"/>
          <w:kern w:val="0"/>
          <w:szCs w:val="21"/>
          <w:highlight w:val="none"/>
        </w:rPr>
        <w:t>对投标人的纪律要求的；</w:t>
      </w:r>
    </w:p>
    <w:p w14:paraId="48722B8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）法律法规规定的其他情形。</w:t>
      </w:r>
    </w:p>
    <w:p w14:paraId="7F4F221B">
      <w:pPr>
        <w:tabs>
          <w:tab w:val="left" w:pos="611"/>
          <w:tab w:val="left" w:pos="669"/>
        </w:tabs>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3.4.5</w:t>
      </w:r>
    </w:p>
    <w:p w14:paraId="59B44CD8">
      <w:pPr>
        <w:tabs>
          <w:tab w:val="left" w:pos="611"/>
          <w:tab w:val="left" w:pos="669"/>
        </w:tabs>
        <w:snapToGrid w:val="0"/>
        <w:spacing w:line="360" w:lineRule="auto"/>
        <w:ind w:firstLine="420" w:firstLineChars="200"/>
        <w:rPr>
          <w:rFonts w:hint="eastAsia" w:ascii="宋体" w:hAnsi="宋体"/>
          <w:color w:val="auto"/>
          <w:kern w:val="0"/>
          <w:highlight w:val="none"/>
        </w:rPr>
      </w:pPr>
      <w:r>
        <w:rPr>
          <w:rFonts w:ascii="宋体" w:hAnsi="宋体"/>
          <w:color w:val="auto"/>
          <w:kern w:val="0"/>
          <w:highlight w:val="none"/>
        </w:rPr>
        <w:t>（1）投标保证金为无条件担保；</w:t>
      </w:r>
    </w:p>
    <w:p w14:paraId="0B256027">
      <w:pPr>
        <w:tabs>
          <w:tab w:val="left" w:pos="611"/>
          <w:tab w:val="left" w:pos="669"/>
        </w:tabs>
        <w:snapToGrid w:val="0"/>
        <w:spacing w:line="360" w:lineRule="auto"/>
        <w:ind w:firstLine="420" w:firstLineChars="200"/>
        <w:rPr>
          <w:rFonts w:ascii="宋体" w:hAnsi="宋体"/>
          <w:color w:val="auto"/>
          <w:kern w:val="0"/>
          <w:highlight w:val="none"/>
        </w:rPr>
      </w:pPr>
      <w:r>
        <w:rPr>
          <w:rFonts w:ascii="宋体" w:hAnsi="宋体"/>
          <w:color w:val="auto"/>
          <w:kern w:val="0"/>
          <w:highlight w:val="none"/>
        </w:rPr>
        <w:t>（2）投标保证金的受益人为</w:t>
      </w:r>
      <w:r>
        <w:rPr>
          <w:rFonts w:hint="eastAsia" w:ascii="宋体" w:hAnsi="宋体"/>
          <w:color w:val="auto"/>
          <w:kern w:val="0"/>
          <w:highlight w:val="none"/>
          <w:lang w:eastAsia="zh-CN"/>
        </w:rPr>
        <w:t>比选</w:t>
      </w:r>
      <w:r>
        <w:rPr>
          <w:rFonts w:ascii="宋体" w:hAnsi="宋体"/>
          <w:color w:val="auto"/>
          <w:kern w:val="0"/>
          <w:highlight w:val="none"/>
        </w:rPr>
        <w:t>人</w:t>
      </w:r>
      <w:r>
        <w:rPr>
          <w:rFonts w:hint="eastAsia" w:ascii="宋体" w:hAnsi="宋体"/>
          <w:color w:val="auto"/>
          <w:kern w:val="0"/>
          <w:highlight w:val="none"/>
        </w:rPr>
        <w:t>。</w:t>
      </w:r>
    </w:p>
    <w:p w14:paraId="7D287366">
      <w:pPr>
        <w:pStyle w:val="5"/>
        <w:keepNext w:val="0"/>
        <w:keepLines w:val="0"/>
        <w:snapToGrid w:val="0"/>
        <w:spacing w:before="0" w:after="0" w:line="360" w:lineRule="auto"/>
        <w:rPr>
          <w:rFonts w:ascii="宋体" w:hAnsi="宋体"/>
          <w:b w:val="0"/>
          <w:snapToGrid w:val="0"/>
          <w:color w:val="auto"/>
          <w:sz w:val="24"/>
          <w:szCs w:val="24"/>
          <w:highlight w:val="none"/>
        </w:rPr>
      </w:pPr>
      <w:bookmarkStart w:id="308" w:name="_Toc224103341"/>
      <w:bookmarkStart w:id="309" w:name="_Toc277082576"/>
      <w:bookmarkStart w:id="310" w:name="_Toc200513150"/>
      <w:bookmarkStart w:id="311" w:name="_Toc509218734"/>
      <w:bookmarkStart w:id="312" w:name="_Toc16639"/>
      <w:bookmarkStart w:id="313" w:name="_Toc287607770"/>
      <w:bookmarkStart w:id="314" w:name="_Toc287620709"/>
      <w:bookmarkStart w:id="315" w:name="_Toc25665"/>
      <w:bookmarkStart w:id="316" w:name="_Toc430530459"/>
      <w:r>
        <w:rPr>
          <w:rFonts w:ascii="宋体" w:hAnsi="宋体"/>
          <w:b w:val="0"/>
          <w:snapToGrid w:val="0"/>
          <w:color w:val="auto"/>
          <w:sz w:val="24"/>
          <w:szCs w:val="24"/>
          <w:highlight w:val="none"/>
        </w:rPr>
        <w:t>3.5  资格审查资料</w:t>
      </w:r>
      <w:bookmarkEnd w:id="308"/>
      <w:bookmarkEnd w:id="309"/>
      <w:bookmarkEnd w:id="310"/>
      <w:bookmarkEnd w:id="311"/>
      <w:bookmarkEnd w:id="312"/>
      <w:bookmarkEnd w:id="313"/>
      <w:bookmarkEnd w:id="314"/>
      <w:bookmarkEnd w:id="315"/>
      <w:bookmarkEnd w:id="316"/>
    </w:p>
    <w:p w14:paraId="7E5F50D8">
      <w:pPr>
        <w:autoSpaceDE w:val="0"/>
        <w:autoSpaceDN w:val="0"/>
        <w:adjustRightInd w:val="0"/>
        <w:snapToGrid w:val="0"/>
        <w:spacing w:line="360" w:lineRule="auto"/>
        <w:ind w:left="103" w:leftChars="49" w:right="37" w:firstLine="420" w:firstLineChars="200"/>
        <w:rPr>
          <w:rFonts w:hint="eastAsia"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w:t>
      </w:r>
      <w:r>
        <w:rPr>
          <w:rFonts w:hint="eastAsia" w:ascii="宋体" w:hAnsi="宋体"/>
          <w:color w:val="auto"/>
          <w:kern w:val="0"/>
          <w:szCs w:val="21"/>
          <w:highlight w:val="none"/>
        </w:rPr>
        <w:t>项中要求的相关证明材料</w:t>
      </w:r>
      <w:r>
        <w:rPr>
          <w:rFonts w:ascii="宋体" w:hAnsi="宋体"/>
          <w:color w:val="auto"/>
          <w:szCs w:val="21"/>
          <w:highlight w:val="none"/>
        </w:rPr>
        <w:t>。</w:t>
      </w:r>
    </w:p>
    <w:p w14:paraId="78543C69">
      <w:pPr>
        <w:autoSpaceDE w:val="0"/>
        <w:autoSpaceDN w:val="0"/>
        <w:adjustRightInd w:val="0"/>
        <w:snapToGrid w:val="0"/>
        <w:spacing w:line="360" w:lineRule="auto"/>
        <w:ind w:left="103" w:leftChars="49" w:right="37"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14:paraId="049FB7AE">
      <w:pPr>
        <w:pStyle w:val="5"/>
        <w:snapToGrid w:val="0"/>
        <w:spacing w:before="0" w:after="0" w:line="360" w:lineRule="auto"/>
        <w:rPr>
          <w:rFonts w:ascii="宋体" w:hAnsi="宋体"/>
          <w:b w:val="0"/>
          <w:snapToGrid w:val="0"/>
          <w:color w:val="auto"/>
          <w:sz w:val="24"/>
          <w:szCs w:val="24"/>
          <w:highlight w:val="none"/>
        </w:rPr>
      </w:pPr>
      <w:bookmarkStart w:id="317" w:name="_Toc224103342"/>
      <w:bookmarkStart w:id="318" w:name="_Toc430530460"/>
      <w:bookmarkStart w:id="319" w:name="_Toc277082577"/>
      <w:bookmarkStart w:id="320" w:name="_Toc287620710"/>
      <w:bookmarkStart w:id="321" w:name="_Toc200513151"/>
      <w:bookmarkStart w:id="322" w:name="_Toc24324"/>
      <w:bookmarkStart w:id="323" w:name="_Toc24446"/>
      <w:bookmarkStart w:id="324" w:name="_Toc287607771"/>
      <w:bookmarkStart w:id="325" w:name="_Toc509218735"/>
      <w:r>
        <w:rPr>
          <w:rFonts w:ascii="宋体" w:hAnsi="宋体"/>
          <w:b w:val="0"/>
          <w:snapToGrid w:val="0"/>
          <w:color w:val="auto"/>
          <w:sz w:val="24"/>
          <w:szCs w:val="24"/>
          <w:highlight w:val="none"/>
        </w:rPr>
        <w:t>3.6  备选投标方案</w:t>
      </w:r>
      <w:bookmarkEnd w:id="317"/>
      <w:bookmarkEnd w:id="318"/>
      <w:bookmarkEnd w:id="319"/>
      <w:bookmarkEnd w:id="320"/>
      <w:bookmarkEnd w:id="321"/>
      <w:bookmarkEnd w:id="322"/>
      <w:bookmarkEnd w:id="323"/>
      <w:bookmarkEnd w:id="324"/>
      <w:bookmarkEnd w:id="325"/>
    </w:p>
    <w:p w14:paraId="0D6D2C4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 选投标方案优于其按照</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文件要求编制的投标方案的，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人可以接受该备选投标方案。</w:t>
      </w:r>
    </w:p>
    <w:p w14:paraId="20319159">
      <w:pPr>
        <w:pStyle w:val="5"/>
        <w:snapToGrid w:val="0"/>
        <w:spacing w:before="0" w:after="0" w:line="360" w:lineRule="auto"/>
        <w:rPr>
          <w:rFonts w:ascii="宋体" w:hAnsi="宋体"/>
          <w:b w:val="0"/>
          <w:snapToGrid w:val="0"/>
          <w:color w:val="auto"/>
          <w:sz w:val="24"/>
          <w:szCs w:val="24"/>
          <w:highlight w:val="none"/>
        </w:rPr>
      </w:pPr>
      <w:bookmarkStart w:id="326" w:name="_Toc509218736"/>
      <w:bookmarkStart w:id="327" w:name="_Toc200513152"/>
      <w:bookmarkStart w:id="328" w:name="_Toc430530461"/>
      <w:bookmarkStart w:id="329" w:name="_Toc224103343"/>
      <w:bookmarkStart w:id="330" w:name="_Toc16951"/>
      <w:bookmarkStart w:id="331" w:name="_Toc287620711"/>
      <w:bookmarkStart w:id="332" w:name="_Toc277082578"/>
      <w:bookmarkStart w:id="333" w:name="_Toc287607772"/>
      <w:bookmarkStart w:id="334" w:name="_Toc2899"/>
      <w:r>
        <w:rPr>
          <w:rFonts w:ascii="宋体" w:hAnsi="宋体"/>
          <w:b w:val="0"/>
          <w:snapToGrid w:val="0"/>
          <w:color w:val="auto"/>
          <w:sz w:val="24"/>
          <w:szCs w:val="24"/>
          <w:highlight w:val="none"/>
        </w:rPr>
        <w:t>3.7  投标文件的编制</w:t>
      </w:r>
      <w:bookmarkEnd w:id="326"/>
      <w:bookmarkEnd w:id="327"/>
      <w:bookmarkEnd w:id="328"/>
      <w:bookmarkEnd w:id="329"/>
      <w:bookmarkEnd w:id="330"/>
      <w:bookmarkEnd w:id="331"/>
      <w:bookmarkEnd w:id="332"/>
      <w:bookmarkEnd w:id="333"/>
      <w:bookmarkEnd w:id="334"/>
    </w:p>
    <w:p w14:paraId="3837DC7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投标文件应按第八章“投标文件格式”进行编写，如有必要，可以增加附页，作为投标文件的组成部分。其中，投标函附录在满足</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文件实质性要求的基础上，可以提出比</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文件要求更有利于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人的承诺。</w:t>
      </w:r>
    </w:p>
    <w:p w14:paraId="3889A66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3.7.2  投标文件应当对</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文件有关工期、投标有效期、质量要求、技术标准和要求、</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范围等实质性内容做出响应。</w:t>
      </w:r>
    </w:p>
    <w:p w14:paraId="04862FE8">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投标文件的签字盖章要求：按本章投标人须知前附表第3.7.3项执行。</w:t>
      </w:r>
    </w:p>
    <w:p w14:paraId="07413C52">
      <w:pPr>
        <w:autoSpaceDE w:val="0"/>
        <w:autoSpaceDN w:val="0"/>
        <w:adjustRightInd w:val="0"/>
        <w:snapToGrid w:val="0"/>
        <w:spacing w:line="360" w:lineRule="auto"/>
        <w:ind w:right="-164" w:firstLine="420" w:firstLineChars="200"/>
        <w:rPr>
          <w:rFonts w:hint="eastAsia" w:ascii="宋体" w:hAnsi="宋体"/>
          <w:i/>
          <w:snapToGrid w:val="0"/>
          <w:color w:val="auto"/>
          <w:kern w:val="0"/>
          <w:szCs w:val="21"/>
          <w:highlight w:val="none"/>
        </w:rPr>
      </w:pPr>
      <w:r>
        <w:rPr>
          <w:rFonts w:ascii="宋体" w:hAnsi="宋体"/>
          <w:snapToGrid w:val="0"/>
          <w:color w:val="auto"/>
          <w:kern w:val="0"/>
          <w:szCs w:val="21"/>
          <w:highlight w:val="none"/>
        </w:rPr>
        <w:t>3.7.4  投标文件的份数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r>
        <w:rPr>
          <w:rFonts w:hint="eastAsia" w:ascii="宋体" w:hAnsi="宋体"/>
          <w:snapToGrid w:val="0"/>
          <w:color w:val="auto"/>
          <w:kern w:val="0"/>
          <w:szCs w:val="21"/>
          <w:highlight w:val="none"/>
        </w:rPr>
        <w:t>技术方案</w:t>
      </w:r>
      <w:r>
        <w:rPr>
          <w:rFonts w:ascii="宋体" w:hAnsi="宋体"/>
          <w:snapToGrid w:val="0"/>
          <w:color w:val="auto"/>
          <w:kern w:val="0"/>
          <w:szCs w:val="21"/>
          <w:highlight w:val="none"/>
        </w:rPr>
        <w:t>》不分正副本。正本和副本的封面上应清楚地标记“正本”或“副本”的字样，正本和副本封面均须加盖单位法人章。当副本和正本不一致时，以正本为准。</w:t>
      </w:r>
    </w:p>
    <w:p w14:paraId="3181C166">
      <w:pPr>
        <w:autoSpaceDE w:val="0"/>
        <w:autoSpaceDN w:val="0"/>
        <w:adjustRightInd w:val="0"/>
        <w:snapToGrid w:val="0"/>
        <w:spacing w:line="360" w:lineRule="auto"/>
        <w:ind w:right="-109"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3.7.5  投标文件的正本与副本应分别装订成册，并编制目录，具体装订要求见投标人须知前附表规定。</w:t>
      </w:r>
    </w:p>
    <w:p w14:paraId="3F7011A0">
      <w:pPr>
        <w:pStyle w:val="4"/>
        <w:keepNext w:val="0"/>
        <w:keepLines w:val="0"/>
        <w:spacing w:before="0" w:after="0" w:line="360" w:lineRule="auto"/>
        <w:rPr>
          <w:rFonts w:ascii="宋体" w:hAnsi="宋体"/>
          <w:b w:val="0"/>
          <w:snapToGrid w:val="0"/>
          <w:color w:val="auto"/>
          <w:highlight w:val="none"/>
        </w:rPr>
      </w:pPr>
      <w:bookmarkStart w:id="335" w:name="_Toc287607773"/>
      <w:bookmarkStart w:id="336" w:name="_Toc10256"/>
      <w:bookmarkStart w:id="337" w:name="_Toc277082579"/>
      <w:bookmarkStart w:id="338" w:name="_Toc9499"/>
      <w:bookmarkStart w:id="339" w:name="_Toc224103344"/>
      <w:bookmarkStart w:id="340" w:name="_Toc287620712"/>
      <w:bookmarkStart w:id="341" w:name="_Toc509218737"/>
      <w:bookmarkStart w:id="342" w:name="_Toc200513153"/>
      <w:bookmarkStart w:id="343" w:name="_Toc430530462"/>
      <w:r>
        <w:rPr>
          <w:rFonts w:ascii="宋体" w:hAnsi="宋体"/>
          <w:b w:val="0"/>
          <w:snapToGrid w:val="0"/>
          <w:color w:val="auto"/>
          <w:highlight w:val="none"/>
        </w:rPr>
        <w:t>4.  投标</w:t>
      </w:r>
      <w:bookmarkEnd w:id="335"/>
      <w:bookmarkEnd w:id="336"/>
      <w:bookmarkEnd w:id="337"/>
      <w:bookmarkEnd w:id="338"/>
      <w:bookmarkEnd w:id="339"/>
      <w:bookmarkEnd w:id="340"/>
      <w:bookmarkEnd w:id="341"/>
      <w:bookmarkEnd w:id="342"/>
      <w:bookmarkEnd w:id="343"/>
    </w:p>
    <w:p w14:paraId="6B1B4270">
      <w:pPr>
        <w:pStyle w:val="5"/>
        <w:keepNext w:val="0"/>
        <w:keepLines w:val="0"/>
        <w:snapToGrid w:val="0"/>
        <w:spacing w:before="0" w:after="0" w:line="360" w:lineRule="auto"/>
        <w:rPr>
          <w:rFonts w:ascii="宋体" w:hAnsi="宋体"/>
          <w:b w:val="0"/>
          <w:snapToGrid w:val="0"/>
          <w:color w:val="auto"/>
          <w:sz w:val="24"/>
          <w:szCs w:val="24"/>
          <w:highlight w:val="none"/>
        </w:rPr>
      </w:pPr>
      <w:bookmarkStart w:id="344" w:name="_Toc200513154"/>
      <w:bookmarkStart w:id="345" w:name="_Toc509218738"/>
      <w:bookmarkStart w:id="346" w:name="_Toc18057"/>
      <w:bookmarkStart w:id="347" w:name="_Toc287620713"/>
      <w:bookmarkStart w:id="348" w:name="_Toc287607774"/>
      <w:bookmarkStart w:id="349" w:name="_Toc430530463"/>
      <w:bookmarkStart w:id="350" w:name="_Toc224103345"/>
      <w:bookmarkStart w:id="351" w:name="_Toc277082580"/>
      <w:bookmarkStart w:id="352" w:name="_Toc18995"/>
      <w:r>
        <w:rPr>
          <w:rFonts w:ascii="宋体" w:hAnsi="宋体"/>
          <w:b w:val="0"/>
          <w:snapToGrid w:val="0"/>
          <w:color w:val="auto"/>
          <w:sz w:val="24"/>
          <w:szCs w:val="24"/>
          <w:highlight w:val="none"/>
        </w:rPr>
        <w:t>4.1  投标文件的密封和标记</w:t>
      </w:r>
      <w:bookmarkEnd w:id="344"/>
      <w:bookmarkEnd w:id="345"/>
      <w:bookmarkEnd w:id="346"/>
      <w:bookmarkEnd w:id="347"/>
      <w:bookmarkEnd w:id="348"/>
      <w:bookmarkEnd w:id="349"/>
      <w:bookmarkEnd w:id="350"/>
      <w:bookmarkEnd w:id="351"/>
      <w:bookmarkEnd w:id="352"/>
    </w:p>
    <w:p w14:paraId="727849C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353" w:name="_Toc200513155"/>
      <w:r>
        <w:rPr>
          <w:rFonts w:ascii="宋体" w:hAnsi="宋体"/>
          <w:snapToGrid w:val="0"/>
          <w:color w:val="auto"/>
          <w:kern w:val="0"/>
          <w:szCs w:val="21"/>
          <w:highlight w:val="none"/>
        </w:rPr>
        <w:t>4.1.1  投标文件的正本与副本密封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0B31F421">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0027E5E3">
      <w:pPr>
        <w:pStyle w:val="5"/>
        <w:keepNext w:val="0"/>
        <w:keepLines w:val="0"/>
        <w:snapToGrid w:val="0"/>
        <w:spacing w:before="0" w:after="0" w:line="360" w:lineRule="auto"/>
        <w:rPr>
          <w:rFonts w:ascii="宋体" w:hAnsi="宋体"/>
          <w:b w:val="0"/>
          <w:snapToGrid w:val="0"/>
          <w:color w:val="auto"/>
          <w:sz w:val="24"/>
          <w:szCs w:val="24"/>
          <w:highlight w:val="none"/>
        </w:rPr>
      </w:pPr>
      <w:bookmarkStart w:id="354" w:name="_Toc287607775"/>
      <w:bookmarkStart w:id="355" w:name="_Toc430530464"/>
      <w:bookmarkStart w:id="356" w:name="_Toc277082581"/>
      <w:bookmarkStart w:id="357" w:name="_Toc16383"/>
      <w:bookmarkStart w:id="358" w:name="_Toc25809"/>
      <w:bookmarkStart w:id="359" w:name="_Toc224103346"/>
      <w:bookmarkStart w:id="360" w:name="_Toc509218739"/>
      <w:bookmarkStart w:id="361" w:name="_Toc287620714"/>
      <w:r>
        <w:rPr>
          <w:rFonts w:ascii="宋体" w:hAnsi="宋体"/>
          <w:b w:val="0"/>
          <w:snapToGrid w:val="0"/>
          <w:color w:val="auto"/>
          <w:sz w:val="24"/>
          <w:szCs w:val="24"/>
          <w:highlight w:val="none"/>
        </w:rPr>
        <w:t>4.2  投标文件的递交</w:t>
      </w:r>
      <w:bookmarkEnd w:id="353"/>
      <w:bookmarkEnd w:id="354"/>
      <w:bookmarkEnd w:id="355"/>
      <w:bookmarkEnd w:id="356"/>
      <w:bookmarkEnd w:id="357"/>
      <w:bookmarkEnd w:id="358"/>
      <w:bookmarkEnd w:id="359"/>
      <w:bookmarkEnd w:id="360"/>
      <w:bookmarkEnd w:id="361"/>
    </w:p>
    <w:p w14:paraId="63C1228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 2.2.2 项规定的投标截止时间前递交投标文件。</w:t>
      </w:r>
    </w:p>
    <w:p w14:paraId="6EFA3A2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4A95036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06E38C6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4.2.4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人收到投标文件后，向投标人出具签收凭证。</w:t>
      </w:r>
    </w:p>
    <w:p w14:paraId="2F1FAA92">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人不予受理。</w:t>
      </w:r>
    </w:p>
    <w:p w14:paraId="47B29520">
      <w:pPr>
        <w:pStyle w:val="5"/>
        <w:keepNext w:val="0"/>
        <w:keepLines w:val="0"/>
        <w:snapToGrid w:val="0"/>
        <w:spacing w:before="0" w:after="0" w:line="360" w:lineRule="auto"/>
        <w:rPr>
          <w:rFonts w:ascii="宋体" w:hAnsi="宋体"/>
          <w:b w:val="0"/>
          <w:snapToGrid w:val="0"/>
          <w:color w:val="auto"/>
          <w:sz w:val="24"/>
          <w:szCs w:val="24"/>
          <w:highlight w:val="none"/>
        </w:rPr>
      </w:pPr>
      <w:bookmarkStart w:id="362" w:name="_Toc31789"/>
      <w:bookmarkStart w:id="363" w:name="_Toc200513156"/>
      <w:bookmarkStart w:id="364" w:name="_Toc277082582"/>
      <w:bookmarkStart w:id="365" w:name="_Toc509218740"/>
      <w:bookmarkStart w:id="366" w:name="_Toc287607776"/>
      <w:bookmarkStart w:id="367" w:name="_Toc287620715"/>
      <w:bookmarkStart w:id="368" w:name="_Toc430530465"/>
      <w:bookmarkStart w:id="369" w:name="_Toc23986"/>
      <w:bookmarkStart w:id="370" w:name="_Toc224103347"/>
      <w:r>
        <w:rPr>
          <w:rFonts w:ascii="宋体" w:hAnsi="宋体"/>
          <w:b w:val="0"/>
          <w:snapToGrid w:val="0"/>
          <w:color w:val="auto"/>
          <w:sz w:val="24"/>
          <w:szCs w:val="24"/>
          <w:highlight w:val="none"/>
        </w:rPr>
        <w:t>4.3  投标文件的修改与撤回</w:t>
      </w:r>
      <w:bookmarkEnd w:id="362"/>
      <w:bookmarkEnd w:id="363"/>
      <w:bookmarkEnd w:id="364"/>
      <w:bookmarkEnd w:id="365"/>
      <w:bookmarkEnd w:id="366"/>
      <w:bookmarkEnd w:id="367"/>
      <w:bookmarkEnd w:id="368"/>
      <w:bookmarkEnd w:id="369"/>
      <w:bookmarkEnd w:id="370"/>
    </w:p>
    <w:p w14:paraId="51D678D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在投标人须知前附表第2.2.2项规定的投标截止时间前，投标人可以修改或撤回已递交的投标文件，但应以书面形式通知</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w:t>
      </w:r>
    </w:p>
    <w:p w14:paraId="52374FC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4.3.2  投标人修改或撤回已递交投标文件的书面通知应按照本章第3.7.3项的要求签字或盖章。</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人收到书面通知后，向投标人出具签收凭证。</w:t>
      </w:r>
    </w:p>
    <w:p w14:paraId="62C38E94">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4.3.3  修改的内容为投标文件的组成部分。修改的投标文件应按照本章第3条、第4条规定进行编制、密封、标记和递交，并标明“修改”字样。</w:t>
      </w:r>
    </w:p>
    <w:p w14:paraId="0EA6B356">
      <w:pPr>
        <w:pStyle w:val="4"/>
        <w:keepNext w:val="0"/>
        <w:keepLines w:val="0"/>
        <w:spacing w:before="0" w:after="0" w:line="360" w:lineRule="auto"/>
        <w:rPr>
          <w:rFonts w:ascii="宋体" w:hAnsi="宋体"/>
          <w:b w:val="0"/>
          <w:snapToGrid w:val="0"/>
          <w:color w:val="auto"/>
          <w:highlight w:val="none"/>
        </w:rPr>
      </w:pPr>
      <w:bookmarkStart w:id="371" w:name="_Toc287620716"/>
      <w:bookmarkStart w:id="372" w:name="_Toc287607777"/>
      <w:bookmarkStart w:id="373" w:name="_Toc430530466"/>
      <w:bookmarkStart w:id="374" w:name="_Toc6242"/>
      <w:bookmarkStart w:id="375" w:name="_Toc224103348"/>
      <w:bookmarkStart w:id="376" w:name="_Toc9614"/>
      <w:bookmarkStart w:id="377" w:name="_Toc509218741"/>
      <w:bookmarkStart w:id="378" w:name="_Toc277082583"/>
      <w:bookmarkStart w:id="379" w:name="_Toc200513157"/>
      <w:r>
        <w:rPr>
          <w:rFonts w:ascii="宋体" w:hAnsi="宋体"/>
          <w:b w:val="0"/>
          <w:snapToGrid w:val="0"/>
          <w:color w:val="auto"/>
          <w:highlight w:val="none"/>
        </w:rPr>
        <w:t>5.  开标</w:t>
      </w:r>
      <w:bookmarkEnd w:id="371"/>
      <w:bookmarkEnd w:id="372"/>
      <w:bookmarkEnd w:id="373"/>
      <w:bookmarkEnd w:id="374"/>
      <w:bookmarkEnd w:id="375"/>
      <w:bookmarkEnd w:id="376"/>
      <w:bookmarkEnd w:id="377"/>
      <w:bookmarkEnd w:id="378"/>
      <w:bookmarkEnd w:id="379"/>
    </w:p>
    <w:p w14:paraId="14C6A707">
      <w:pPr>
        <w:pStyle w:val="5"/>
        <w:keepNext w:val="0"/>
        <w:keepLines w:val="0"/>
        <w:snapToGrid w:val="0"/>
        <w:spacing w:before="0" w:after="0" w:line="360" w:lineRule="auto"/>
        <w:rPr>
          <w:rFonts w:ascii="宋体" w:hAnsi="宋体"/>
          <w:b w:val="0"/>
          <w:snapToGrid w:val="0"/>
          <w:color w:val="auto"/>
          <w:sz w:val="24"/>
          <w:szCs w:val="24"/>
          <w:highlight w:val="none"/>
        </w:rPr>
      </w:pPr>
      <w:bookmarkStart w:id="380" w:name="_Toc287607778"/>
      <w:bookmarkStart w:id="381" w:name="_Toc12850"/>
      <w:bookmarkStart w:id="382" w:name="_Toc224103349"/>
      <w:bookmarkStart w:id="383" w:name="_Toc20593"/>
      <w:bookmarkStart w:id="384" w:name="_Toc200513158"/>
      <w:bookmarkStart w:id="385" w:name="_Toc509218742"/>
      <w:bookmarkStart w:id="386" w:name="_Toc430530467"/>
      <w:bookmarkStart w:id="387" w:name="_Toc287620717"/>
      <w:bookmarkStart w:id="388" w:name="_Toc277082584"/>
      <w:r>
        <w:rPr>
          <w:rFonts w:ascii="宋体" w:hAnsi="宋体"/>
          <w:b w:val="0"/>
          <w:snapToGrid w:val="0"/>
          <w:color w:val="auto"/>
          <w:sz w:val="24"/>
          <w:szCs w:val="24"/>
          <w:highlight w:val="none"/>
        </w:rPr>
        <w:t>5.1  开标时间和地点</w:t>
      </w:r>
      <w:bookmarkEnd w:id="380"/>
      <w:bookmarkEnd w:id="381"/>
      <w:bookmarkEnd w:id="382"/>
      <w:bookmarkEnd w:id="383"/>
      <w:bookmarkEnd w:id="384"/>
      <w:bookmarkEnd w:id="385"/>
      <w:bookmarkEnd w:id="386"/>
      <w:bookmarkEnd w:id="387"/>
      <w:bookmarkEnd w:id="388"/>
    </w:p>
    <w:p w14:paraId="01AF40A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人在投标人须知前附表第 2.2.2 项规定的投标截止时间（开标时间）和投标人须知前附表规定的地点公开开标，并邀请所有投标人的法定代表人或其委托代理人准时参加。</w:t>
      </w:r>
    </w:p>
    <w:p w14:paraId="704E7EC9">
      <w:pPr>
        <w:pStyle w:val="5"/>
        <w:keepNext w:val="0"/>
        <w:keepLines w:val="0"/>
        <w:snapToGrid w:val="0"/>
        <w:spacing w:before="0" w:after="0" w:line="360" w:lineRule="auto"/>
        <w:rPr>
          <w:rFonts w:ascii="宋体" w:hAnsi="宋体"/>
          <w:b w:val="0"/>
          <w:snapToGrid w:val="0"/>
          <w:color w:val="auto"/>
          <w:sz w:val="24"/>
          <w:szCs w:val="24"/>
          <w:highlight w:val="none"/>
        </w:rPr>
      </w:pPr>
      <w:bookmarkStart w:id="389" w:name="_Toc14182"/>
      <w:bookmarkStart w:id="390" w:name="_Toc287620718"/>
      <w:bookmarkStart w:id="391" w:name="_Toc509218743"/>
      <w:bookmarkStart w:id="392" w:name="_Toc277082585"/>
      <w:bookmarkStart w:id="393" w:name="_Toc14994"/>
      <w:bookmarkStart w:id="394" w:name="_Toc200513159"/>
      <w:bookmarkStart w:id="395" w:name="_Toc287607779"/>
      <w:bookmarkStart w:id="396" w:name="_Toc430530468"/>
      <w:bookmarkStart w:id="397" w:name="_Toc224103350"/>
      <w:r>
        <w:rPr>
          <w:rFonts w:ascii="宋体" w:hAnsi="宋体"/>
          <w:b w:val="0"/>
          <w:snapToGrid w:val="0"/>
          <w:color w:val="auto"/>
          <w:sz w:val="24"/>
          <w:szCs w:val="24"/>
          <w:highlight w:val="none"/>
        </w:rPr>
        <w:t>5.2  开标程序</w:t>
      </w:r>
      <w:bookmarkEnd w:id="389"/>
      <w:bookmarkEnd w:id="390"/>
      <w:bookmarkEnd w:id="391"/>
      <w:bookmarkEnd w:id="392"/>
      <w:bookmarkEnd w:id="393"/>
      <w:bookmarkEnd w:id="394"/>
      <w:bookmarkEnd w:id="395"/>
      <w:bookmarkEnd w:id="396"/>
      <w:bookmarkEnd w:id="397"/>
    </w:p>
    <w:p w14:paraId="52997BE8">
      <w:pPr>
        <w:autoSpaceDE w:val="0"/>
        <w:autoSpaceDN w:val="0"/>
        <w:adjustRightInd w:val="0"/>
        <w:snapToGrid w:val="0"/>
        <w:spacing w:line="360" w:lineRule="auto"/>
        <w:ind w:firstLine="420" w:firstLineChars="200"/>
        <w:rPr>
          <w:rFonts w:hint="eastAsia" w:ascii="宋体" w:hAnsi="宋体"/>
          <w:color w:val="auto"/>
          <w:szCs w:val="21"/>
          <w:highlight w:val="none"/>
        </w:rPr>
      </w:pPr>
      <w:bookmarkStart w:id="398" w:name="_Toc200513160"/>
      <w:bookmarkStart w:id="399" w:name="_Toc224103351"/>
      <w:bookmarkStart w:id="400" w:name="_Toc287620719"/>
      <w:bookmarkStart w:id="401" w:name="_Toc277082586"/>
      <w:bookmarkStart w:id="402" w:name="_Toc287607780"/>
      <w:r>
        <w:rPr>
          <w:rFonts w:ascii="宋体" w:hAnsi="宋体"/>
          <w:color w:val="auto"/>
          <w:szCs w:val="21"/>
          <w:highlight w:val="none"/>
        </w:rPr>
        <w:t>详见投标人须知前附表</w:t>
      </w:r>
      <w:r>
        <w:rPr>
          <w:rFonts w:hint="eastAsia" w:ascii="宋体" w:hAnsi="宋体"/>
          <w:color w:val="auto"/>
          <w:szCs w:val="21"/>
          <w:highlight w:val="none"/>
        </w:rPr>
        <w:t>第</w:t>
      </w:r>
      <w:r>
        <w:rPr>
          <w:rFonts w:ascii="宋体" w:hAnsi="宋体"/>
          <w:color w:val="auto"/>
          <w:szCs w:val="21"/>
          <w:highlight w:val="none"/>
        </w:rPr>
        <w:t>5.2</w:t>
      </w:r>
      <w:r>
        <w:rPr>
          <w:rFonts w:hint="eastAsia" w:ascii="宋体" w:hAnsi="宋体"/>
          <w:color w:val="auto"/>
          <w:szCs w:val="21"/>
          <w:highlight w:val="none"/>
        </w:rPr>
        <w:t>款</w:t>
      </w:r>
      <w:r>
        <w:rPr>
          <w:rFonts w:ascii="宋体" w:hAnsi="宋体"/>
          <w:color w:val="auto"/>
          <w:szCs w:val="21"/>
          <w:highlight w:val="none"/>
        </w:rPr>
        <w:t>开标程序。</w:t>
      </w:r>
    </w:p>
    <w:p w14:paraId="2562BF9E">
      <w:pPr>
        <w:pStyle w:val="5"/>
        <w:keepNext w:val="0"/>
        <w:keepLines w:val="0"/>
        <w:snapToGrid w:val="0"/>
        <w:spacing w:before="0" w:after="0" w:line="360" w:lineRule="auto"/>
        <w:rPr>
          <w:rFonts w:ascii="宋体" w:hAnsi="宋体"/>
          <w:b w:val="0"/>
          <w:snapToGrid w:val="0"/>
          <w:color w:val="auto"/>
          <w:sz w:val="24"/>
          <w:szCs w:val="24"/>
          <w:highlight w:val="none"/>
        </w:rPr>
      </w:pPr>
      <w:bookmarkStart w:id="403" w:name="_Toc57820594"/>
      <w:bookmarkStart w:id="404" w:name="_Toc5646"/>
      <w:r>
        <w:rPr>
          <w:rFonts w:ascii="宋体" w:hAnsi="宋体"/>
          <w:b w:val="0"/>
          <w:snapToGrid w:val="0"/>
          <w:color w:val="auto"/>
          <w:sz w:val="24"/>
          <w:szCs w:val="24"/>
          <w:highlight w:val="none"/>
        </w:rPr>
        <w:t>5.</w:t>
      </w:r>
      <w:r>
        <w:rPr>
          <w:rFonts w:hint="eastAsia" w:ascii="宋体" w:hAnsi="宋体"/>
          <w:b w:val="0"/>
          <w:snapToGrid w:val="0"/>
          <w:color w:val="auto"/>
          <w:sz w:val="24"/>
          <w:szCs w:val="24"/>
          <w:highlight w:val="none"/>
        </w:rPr>
        <w:t>3</w:t>
      </w:r>
      <w:r>
        <w:rPr>
          <w:rFonts w:ascii="宋体" w:hAnsi="宋体"/>
          <w:b w:val="0"/>
          <w:snapToGrid w:val="0"/>
          <w:color w:val="auto"/>
          <w:sz w:val="24"/>
          <w:szCs w:val="24"/>
          <w:highlight w:val="none"/>
        </w:rPr>
        <w:t xml:space="preserve">  </w:t>
      </w:r>
      <w:r>
        <w:rPr>
          <w:rFonts w:hint="eastAsia" w:ascii="宋体" w:hAnsi="宋体"/>
          <w:b w:val="0"/>
          <w:snapToGrid w:val="0"/>
          <w:color w:val="auto"/>
          <w:sz w:val="24"/>
          <w:szCs w:val="24"/>
          <w:highlight w:val="none"/>
        </w:rPr>
        <w:t>开标异议</w:t>
      </w:r>
      <w:bookmarkEnd w:id="403"/>
      <w:bookmarkEnd w:id="404"/>
    </w:p>
    <w:p w14:paraId="5CB6DD9B">
      <w:pPr>
        <w:autoSpaceDE w:val="0"/>
        <w:autoSpaceDN w:val="0"/>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投标人对开标有异议的，应在开标现场提出，</w:t>
      </w:r>
      <w:r>
        <w:rPr>
          <w:rFonts w:hint="eastAsia" w:ascii="宋体" w:hAnsi="宋体"/>
          <w:color w:val="auto"/>
          <w:szCs w:val="21"/>
          <w:highlight w:val="none"/>
          <w:lang w:eastAsia="zh-CN"/>
        </w:rPr>
        <w:t>比选</w:t>
      </w:r>
      <w:r>
        <w:rPr>
          <w:rFonts w:hint="eastAsia" w:ascii="宋体" w:hAnsi="宋体"/>
          <w:color w:val="auto"/>
          <w:szCs w:val="21"/>
          <w:highlight w:val="none"/>
        </w:rPr>
        <w:t>人当场作出答复，并制作记录，有异议的投标人代表、</w:t>
      </w:r>
      <w:r>
        <w:rPr>
          <w:rFonts w:hint="eastAsia" w:ascii="宋体" w:hAnsi="宋体"/>
          <w:color w:val="auto"/>
          <w:szCs w:val="21"/>
          <w:highlight w:val="none"/>
          <w:lang w:eastAsia="zh-CN"/>
        </w:rPr>
        <w:t>比选</w:t>
      </w:r>
      <w:r>
        <w:rPr>
          <w:rFonts w:hint="eastAsia" w:ascii="宋体" w:hAnsi="宋体"/>
          <w:color w:val="auto"/>
          <w:szCs w:val="21"/>
          <w:highlight w:val="none"/>
        </w:rPr>
        <w:t>人代表、主持人、记录人等有关人员在记录上签字确认</w:t>
      </w:r>
      <w:r>
        <w:rPr>
          <w:rFonts w:ascii="宋体" w:hAnsi="宋体"/>
          <w:color w:val="auto"/>
          <w:szCs w:val="21"/>
          <w:highlight w:val="none"/>
        </w:rPr>
        <w:t>。</w:t>
      </w:r>
    </w:p>
    <w:p w14:paraId="7EAC2C1F">
      <w:pPr>
        <w:pStyle w:val="4"/>
        <w:keepNext w:val="0"/>
        <w:keepLines w:val="0"/>
        <w:spacing w:before="0" w:after="0" w:line="360" w:lineRule="auto"/>
        <w:rPr>
          <w:rFonts w:ascii="宋体" w:hAnsi="宋体"/>
          <w:b w:val="0"/>
          <w:snapToGrid w:val="0"/>
          <w:color w:val="auto"/>
          <w:highlight w:val="none"/>
        </w:rPr>
      </w:pPr>
      <w:bookmarkStart w:id="405" w:name="_Toc509218744"/>
      <w:bookmarkStart w:id="406" w:name="_Toc15544"/>
      <w:bookmarkStart w:id="407" w:name="_Toc9533"/>
      <w:bookmarkStart w:id="408" w:name="_Toc430530469"/>
      <w:r>
        <w:rPr>
          <w:rFonts w:ascii="宋体" w:hAnsi="宋体"/>
          <w:b w:val="0"/>
          <w:snapToGrid w:val="0"/>
          <w:color w:val="auto"/>
          <w:highlight w:val="none"/>
        </w:rPr>
        <w:t>6.  评标</w:t>
      </w:r>
      <w:bookmarkEnd w:id="398"/>
      <w:bookmarkEnd w:id="399"/>
      <w:bookmarkEnd w:id="400"/>
      <w:bookmarkEnd w:id="401"/>
      <w:bookmarkEnd w:id="402"/>
      <w:bookmarkEnd w:id="405"/>
      <w:bookmarkEnd w:id="406"/>
      <w:bookmarkEnd w:id="407"/>
      <w:bookmarkEnd w:id="408"/>
    </w:p>
    <w:p w14:paraId="403FC663">
      <w:pPr>
        <w:pStyle w:val="5"/>
        <w:keepNext w:val="0"/>
        <w:keepLines w:val="0"/>
        <w:snapToGrid w:val="0"/>
        <w:spacing w:before="0" w:after="0" w:line="360" w:lineRule="auto"/>
        <w:rPr>
          <w:rFonts w:ascii="宋体" w:hAnsi="宋体"/>
          <w:b w:val="0"/>
          <w:snapToGrid w:val="0"/>
          <w:color w:val="auto"/>
          <w:sz w:val="24"/>
          <w:szCs w:val="24"/>
          <w:highlight w:val="none"/>
        </w:rPr>
      </w:pPr>
      <w:bookmarkStart w:id="409" w:name="_Toc287607781"/>
      <w:bookmarkStart w:id="410" w:name="_Toc509218745"/>
      <w:bookmarkStart w:id="411" w:name="_Toc224103352"/>
      <w:bookmarkStart w:id="412" w:name="_Toc430530470"/>
      <w:bookmarkStart w:id="413" w:name="_Toc277082587"/>
      <w:bookmarkStart w:id="414" w:name="_Toc6276"/>
      <w:bookmarkStart w:id="415" w:name="_Toc200513161"/>
      <w:bookmarkStart w:id="416" w:name="_Toc28100"/>
      <w:bookmarkStart w:id="417" w:name="_Toc287620720"/>
      <w:r>
        <w:rPr>
          <w:rFonts w:ascii="宋体" w:hAnsi="宋体"/>
          <w:b w:val="0"/>
          <w:snapToGrid w:val="0"/>
          <w:color w:val="auto"/>
          <w:sz w:val="24"/>
          <w:szCs w:val="24"/>
          <w:highlight w:val="none"/>
        </w:rPr>
        <w:t>6.1  评标委员会</w:t>
      </w:r>
      <w:bookmarkEnd w:id="409"/>
      <w:bookmarkEnd w:id="410"/>
      <w:bookmarkEnd w:id="411"/>
      <w:bookmarkEnd w:id="412"/>
      <w:bookmarkEnd w:id="413"/>
      <w:bookmarkEnd w:id="414"/>
      <w:bookmarkEnd w:id="415"/>
      <w:bookmarkEnd w:id="416"/>
      <w:bookmarkEnd w:id="417"/>
    </w:p>
    <w:p w14:paraId="386D697D">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6.1.1  评标由</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人依据法律法规和相关规范性文件组建的评标委员会负责。</w:t>
      </w:r>
    </w:p>
    <w:p w14:paraId="31BD048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38513C6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74239EC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（2）项目主管部门或者项目行政监督部门的人员；</w:t>
      </w:r>
    </w:p>
    <w:p w14:paraId="62FFDC4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（3）与投标人有利害关系，可能影响对投标公正评审的；</w:t>
      </w:r>
    </w:p>
    <w:p w14:paraId="21895478">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（4）曾因在</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、评标以及其他与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投标有关活动中从事违法行为而受过行政处罚或刑事处罚的</w:t>
      </w:r>
      <w:r>
        <w:rPr>
          <w:rFonts w:hint="eastAsia" w:ascii="宋体" w:hAnsi="宋体"/>
          <w:snapToGrid w:val="0"/>
          <w:color w:val="auto"/>
          <w:kern w:val="0"/>
          <w:szCs w:val="21"/>
          <w:highlight w:val="none"/>
        </w:rPr>
        <w:t>；</w:t>
      </w:r>
    </w:p>
    <w:p w14:paraId="22C826BD">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（5）法律法规规定的其他情形。</w:t>
      </w:r>
    </w:p>
    <w:p w14:paraId="00C5683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cs="宋体"/>
          <w:color w:val="auto"/>
          <w:szCs w:val="21"/>
          <w:highlight w:val="none"/>
        </w:rPr>
        <w:t>6.1.3  评标过程中，评标委员会成员有回避事由、擅离职守或者因健康等原因不能继续评标的，应当及时更换。被更换的评标委员会成员作出的评审结论无效，由更换后的评标委员会成员重新进行评审。</w:t>
      </w:r>
    </w:p>
    <w:p w14:paraId="765AA2ED">
      <w:pPr>
        <w:pStyle w:val="5"/>
        <w:snapToGrid w:val="0"/>
        <w:spacing w:before="0" w:after="0" w:line="360" w:lineRule="auto"/>
        <w:rPr>
          <w:rFonts w:ascii="宋体" w:hAnsi="宋体"/>
          <w:b w:val="0"/>
          <w:snapToGrid w:val="0"/>
          <w:color w:val="auto"/>
          <w:sz w:val="24"/>
          <w:szCs w:val="24"/>
          <w:highlight w:val="none"/>
        </w:rPr>
      </w:pPr>
      <w:bookmarkStart w:id="418" w:name="_Toc287607782"/>
      <w:bookmarkStart w:id="419" w:name="_Toc430530471"/>
      <w:bookmarkStart w:id="420" w:name="_Toc3765"/>
      <w:bookmarkStart w:id="421" w:name="_Toc509218746"/>
      <w:bookmarkStart w:id="422" w:name="_Toc200513162"/>
      <w:bookmarkStart w:id="423" w:name="_Toc277082588"/>
      <w:bookmarkStart w:id="424" w:name="_Toc12166"/>
      <w:bookmarkStart w:id="425" w:name="_Toc287620721"/>
      <w:bookmarkStart w:id="426" w:name="_Toc224103353"/>
      <w:r>
        <w:rPr>
          <w:rFonts w:ascii="宋体" w:hAnsi="宋体"/>
          <w:b w:val="0"/>
          <w:snapToGrid w:val="0"/>
          <w:color w:val="auto"/>
          <w:sz w:val="24"/>
          <w:szCs w:val="24"/>
          <w:highlight w:val="none"/>
        </w:rPr>
        <w:t>6.2  评标原则</w:t>
      </w:r>
      <w:bookmarkEnd w:id="418"/>
      <w:bookmarkEnd w:id="419"/>
      <w:bookmarkEnd w:id="420"/>
      <w:bookmarkEnd w:id="421"/>
      <w:bookmarkEnd w:id="422"/>
      <w:bookmarkEnd w:id="423"/>
      <w:bookmarkEnd w:id="424"/>
      <w:bookmarkEnd w:id="425"/>
      <w:bookmarkEnd w:id="426"/>
    </w:p>
    <w:p w14:paraId="187A3FA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77C8440F">
      <w:pPr>
        <w:pStyle w:val="5"/>
        <w:snapToGrid w:val="0"/>
        <w:spacing w:before="0" w:after="0" w:line="360" w:lineRule="auto"/>
        <w:rPr>
          <w:rFonts w:ascii="宋体" w:hAnsi="宋体"/>
          <w:b w:val="0"/>
          <w:snapToGrid w:val="0"/>
          <w:color w:val="auto"/>
          <w:sz w:val="24"/>
          <w:szCs w:val="24"/>
          <w:highlight w:val="none"/>
        </w:rPr>
      </w:pPr>
      <w:bookmarkStart w:id="427" w:name="_Toc287607783"/>
      <w:bookmarkStart w:id="428" w:name="_Toc287620722"/>
      <w:bookmarkStart w:id="429" w:name="_Toc430530472"/>
      <w:bookmarkStart w:id="430" w:name="_Toc509218747"/>
      <w:bookmarkStart w:id="431" w:name="_Toc14701"/>
      <w:bookmarkStart w:id="432" w:name="_Toc224103354"/>
      <w:bookmarkStart w:id="433" w:name="_Toc277082589"/>
      <w:bookmarkStart w:id="434" w:name="_Toc200513163"/>
      <w:bookmarkStart w:id="435" w:name="_Toc25750"/>
      <w:r>
        <w:rPr>
          <w:rFonts w:ascii="宋体" w:hAnsi="宋体"/>
          <w:b w:val="0"/>
          <w:snapToGrid w:val="0"/>
          <w:color w:val="auto"/>
          <w:sz w:val="24"/>
          <w:szCs w:val="24"/>
          <w:highlight w:val="none"/>
        </w:rPr>
        <w:t>6.3  评标</w:t>
      </w:r>
      <w:bookmarkEnd w:id="427"/>
      <w:bookmarkEnd w:id="428"/>
      <w:bookmarkEnd w:id="429"/>
      <w:bookmarkEnd w:id="430"/>
      <w:bookmarkEnd w:id="431"/>
      <w:bookmarkEnd w:id="432"/>
      <w:bookmarkEnd w:id="433"/>
      <w:bookmarkEnd w:id="434"/>
      <w:bookmarkEnd w:id="435"/>
    </w:p>
    <w:p w14:paraId="3D36DBE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评标委员会按照第三章“评标办法”规定的方法、评审因素、标准和程序对投标文件进行评审。第三章“评标办法”没有规定的方法、评审因素和标准，不得作为评标依据。</w:t>
      </w:r>
    </w:p>
    <w:p w14:paraId="43A6FE96">
      <w:pPr>
        <w:pStyle w:val="4"/>
        <w:spacing w:before="0" w:after="0" w:line="360" w:lineRule="auto"/>
        <w:rPr>
          <w:rFonts w:ascii="宋体" w:hAnsi="宋体"/>
          <w:b w:val="0"/>
          <w:snapToGrid w:val="0"/>
          <w:color w:val="auto"/>
          <w:highlight w:val="none"/>
        </w:rPr>
      </w:pPr>
      <w:bookmarkStart w:id="436" w:name="_Toc287607784"/>
      <w:bookmarkStart w:id="437" w:name="_Toc287620723"/>
      <w:bookmarkStart w:id="438" w:name="_Toc224103355"/>
      <w:bookmarkStart w:id="439" w:name="_Toc200513164"/>
      <w:bookmarkStart w:id="440" w:name="_Toc2723"/>
      <w:bookmarkStart w:id="441" w:name="_Toc430530473"/>
      <w:bookmarkStart w:id="442" w:name="_Toc509218748"/>
      <w:bookmarkStart w:id="443" w:name="_Toc31236"/>
      <w:bookmarkStart w:id="444" w:name="_Toc277082590"/>
      <w:r>
        <w:rPr>
          <w:rFonts w:ascii="宋体" w:hAnsi="宋体"/>
          <w:b w:val="0"/>
          <w:snapToGrid w:val="0"/>
          <w:color w:val="auto"/>
          <w:highlight w:val="none"/>
        </w:rPr>
        <w:t>7.  合同授予</w:t>
      </w:r>
      <w:bookmarkEnd w:id="436"/>
      <w:bookmarkEnd w:id="437"/>
      <w:bookmarkEnd w:id="438"/>
      <w:bookmarkEnd w:id="439"/>
      <w:bookmarkEnd w:id="440"/>
      <w:bookmarkEnd w:id="441"/>
      <w:bookmarkEnd w:id="442"/>
      <w:bookmarkEnd w:id="443"/>
      <w:bookmarkEnd w:id="444"/>
    </w:p>
    <w:p w14:paraId="520F4063">
      <w:pPr>
        <w:pStyle w:val="5"/>
        <w:snapToGrid w:val="0"/>
        <w:spacing w:before="0" w:after="0" w:line="360" w:lineRule="auto"/>
        <w:rPr>
          <w:rFonts w:ascii="宋体" w:hAnsi="宋体"/>
          <w:b w:val="0"/>
          <w:snapToGrid w:val="0"/>
          <w:color w:val="auto"/>
          <w:sz w:val="24"/>
          <w:szCs w:val="24"/>
          <w:highlight w:val="none"/>
        </w:rPr>
      </w:pPr>
      <w:bookmarkStart w:id="445" w:name="_Toc277082591"/>
      <w:bookmarkStart w:id="446" w:name="_Toc287620724"/>
      <w:bookmarkStart w:id="447" w:name="_Toc224103356"/>
      <w:bookmarkStart w:id="448" w:name="_Toc29937"/>
      <w:bookmarkStart w:id="449" w:name="_Toc287607785"/>
      <w:bookmarkStart w:id="450" w:name="_Toc509218749"/>
      <w:bookmarkStart w:id="451" w:name="_Toc29499"/>
      <w:bookmarkStart w:id="452" w:name="_Toc430530474"/>
      <w:bookmarkStart w:id="453" w:name="_Toc200513165"/>
      <w:r>
        <w:rPr>
          <w:rFonts w:ascii="宋体" w:hAnsi="宋体"/>
          <w:b w:val="0"/>
          <w:snapToGrid w:val="0"/>
          <w:color w:val="auto"/>
          <w:sz w:val="24"/>
          <w:szCs w:val="24"/>
          <w:highlight w:val="none"/>
        </w:rPr>
        <w:t>7.1  定标方式</w:t>
      </w:r>
      <w:bookmarkEnd w:id="445"/>
      <w:bookmarkEnd w:id="446"/>
      <w:bookmarkEnd w:id="447"/>
      <w:bookmarkEnd w:id="448"/>
      <w:bookmarkEnd w:id="449"/>
      <w:bookmarkEnd w:id="450"/>
      <w:bookmarkEnd w:id="451"/>
      <w:bookmarkEnd w:id="452"/>
      <w:bookmarkEnd w:id="453"/>
    </w:p>
    <w:p w14:paraId="507B6FDF">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国有资金占控股或者主导地位的依法必须进行</w:t>
      </w:r>
      <w:r>
        <w:rPr>
          <w:rFonts w:hint="eastAsia" w:ascii="宋体" w:hAnsi="宋体"/>
          <w:color w:val="auto"/>
          <w:szCs w:val="21"/>
          <w:highlight w:val="none"/>
          <w:lang w:eastAsia="zh-CN"/>
        </w:rPr>
        <w:t>比选</w:t>
      </w:r>
      <w:r>
        <w:rPr>
          <w:rFonts w:ascii="宋体" w:hAnsi="宋体"/>
          <w:color w:val="auto"/>
          <w:szCs w:val="21"/>
          <w:highlight w:val="none"/>
        </w:rPr>
        <w:t>的项目，</w:t>
      </w:r>
      <w:r>
        <w:rPr>
          <w:rFonts w:hint="eastAsia" w:ascii="宋体" w:hAnsi="宋体"/>
          <w:color w:val="auto"/>
          <w:szCs w:val="21"/>
          <w:highlight w:val="none"/>
          <w:lang w:eastAsia="zh-CN"/>
        </w:rPr>
        <w:t>比选</w:t>
      </w:r>
      <w:r>
        <w:rPr>
          <w:rFonts w:ascii="宋体" w:hAnsi="宋体"/>
          <w:color w:val="auto"/>
          <w:szCs w:val="21"/>
          <w:highlight w:val="none"/>
        </w:rPr>
        <w:t>人应当确定排名第一的中标候选人为中标人。排名第一的中标候选人放弃中标、因不可抗力不能履行合同、不按照</w:t>
      </w:r>
      <w:r>
        <w:rPr>
          <w:rFonts w:hint="eastAsia" w:ascii="宋体" w:hAnsi="宋体"/>
          <w:color w:val="auto"/>
          <w:szCs w:val="21"/>
          <w:highlight w:val="none"/>
          <w:lang w:eastAsia="zh-CN"/>
        </w:rPr>
        <w:t>比选</w:t>
      </w:r>
      <w:r>
        <w:rPr>
          <w:rFonts w:ascii="宋体" w:hAnsi="宋体"/>
          <w:color w:val="auto"/>
          <w:szCs w:val="21"/>
          <w:highlight w:val="none"/>
        </w:rPr>
        <w:t>文件要求提交履约保证金，或者被查实存在影响中标结果的违法行为等情形，不符合中标条件的，</w:t>
      </w:r>
      <w:r>
        <w:rPr>
          <w:rFonts w:hint="eastAsia" w:ascii="宋体" w:hAnsi="宋体"/>
          <w:color w:val="auto"/>
          <w:szCs w:val="21"/>
          <w:highlight w:val="none"/>
          <w:lang w:eastAsia="zh-CN"/>
        </w:rPr>
        <w:t>比选</w:t>
      </w:r>
      <w:r>
        <w:rPr>
          <w:rFonts w:ascii="宋体" w:hAnsi="宋体"/>
          <w:color w:val="auto"/>
          <w:szCs w:val="21"/>
          <w:highlight w:val="none"/>
        </w:rPr>
        <w:t>人可以按照评标委员会提出的中标候选人名单排序依次确定其他中标候选人为中标人，也可以重新</w:t>
      </w:r>
      <w:r>
        <w:rPr>
          <w:rFonts w:hint="eastAsia" w:ascii="宋体" w:hAnsi="宋体"/>
          <w:color w:val="auto"/>
          <w:szCs w:val="21"/>
          <w:highlight w:val="none"/>
          <w:lang w:eastAsia="zh-CN"/>
        </w:rPr>
        <w:t>比选</w:t>
      </w:r>
      <w:r>
        <w:rPr>
          <w:rFonts w:ascii="宋体" w:hAnsi="宋体"/>
          <w:color w:val="auto"/>
          <w:szCs w:val="21"/>
          <w:highlight w:val="none"/>
        </w:rPr>
        <w:t>。</w:t>
      </w:r>
    </w:p>
    <w:p w14:paraId="744C8F71">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评标委员会推荐中标候选人的人数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3096B896">
      <w:pPr>
        <w:pStyle w:val="5"/>
        <w:snapToGrid w:val="0"/>
        <w:spacing w:before="0" w:after="0" w:line="360" w:lineRule="auto"/>
        <w:rPr>
          <w:rFonts w:ascii="宋体" w:hAnsi="宋体"/>
          <w:b w:val="0"/>
          <w:snapToGrid w:val="0"/>
          <w:color w:val="auto"/>
          <w:sz w:val="24"/>
          <w:szCs w:val="24"/>
          <w:highlight w:val="none"/>
        </w:rPr>
      </w:pPr>
      <w:bookmarkStart w:id="454" w:name="_Toc430530475"/>
      <w:bookmarkStart w:id="455" w:name="_Toc509218750"/>
      <w:bookmarkStart w:id="456" w:name="_Toc23594"/>
      <w:bookmarkStart w:id="457" w:name="_Toc7940"/>
      <w:r>
        <w:rPr>
          <w:rFonts w:ascii="宋体" w:hAnsi="宋体"/>
          <w:b w:val="0"/>
          <w:snapToGrid w:val="0"/>
          <w:color w:val="auto"/>
          <w:sz w:val="24"/>
          <w:szCs w:val="24"/>
          <w:highlight w:val="none"/>
        </w:rPr>
        <w:t>7.2  中标公示及中标通知</w:t>
      </w:r>
      <w:bookmarkEnd w:id="454"/>
      <w:bookmarkEnd w:id="455"/>
      <w:bookmarkEnd w:id="456"/>
      <w:bookmarkEnd w:id="457"/>
    </w:p>
    <w:p w14:paraId="2E20C1AB">
      <w:pPr>
        <w:autoSpaceDE w:val="0"/>
        <w:autoSpaceDN w:val="0"/>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人在收到评标报告之日起3日内公示中标候选人，公示期不得少于3日</w:t>
      </w:r>
      <w:r>
        <w:rPr>
          <w:rFonts w:hint="eastAsia" w:ascii="宋体" w:hAnsi="宋体"/>
          <w:color w:val="auto"/>
          <w:szCs w:val="21"/>
          <w:highlight w:val="none"/>
        </w:rPr>
        <w:t>。</w:t>
      </w:r>
    </w:p>
    <w:p w14:paraId="5175D6F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 3.3 款规定的投标有效期内，且未有投标人的异议与投诉，</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人以书面形式向中标人发出中标通知书。</w:t>
      </w:r>
    </w:p>
    <w:p w14:paraId="1C7C2734">
      <w:pPr>
        <w:pStyle w:val="5"/>
        <w:snapToGrid w:val="0"/>
        <w:spacing w:before="0" w:after="0" w:line="360" w:lineRule="auto"/>
        <w:rPr>
          <w:rFonts w:ascii="宋体" w:hAnsi="宋体"/>
          <w:b w:val="0"/>
          <w:snapToGrid w:val="0"/>
          <w:color w:val="auto"/>
          <w:sz w:val="24"/>
          <w:szCs w:val="24"/>
          <w:highlight w:val="none"/>
        </w:rPr>
      </w:pPr>
      <w:bookmarkStart w:id="458" w:name="_Toc224103358"/>
      <w:bookmarkStart w:id="459" w:name="_Toc200513167"/>
      <w:bookmarkStart w:id="460" w:name="_Toc18828"/>
      <w:bookmarkStart w:id="461" w:name="_Toc509218751"/>
      <w:bookmarkStart w:id="462" w:name="_Toc277082593"/>
      <w:bookmarkStart w:id="463" w:name="_Toc287620726"/>
      <w:bookmarkStart w:id="464" w:name="_Toc430530476"/>
      <w:bookmarkStart w:id="465" w:name="_Toc287607787"/>
      <w:bookmarkStart w:id="466" w:name="_Toc13383"/>
      <w:r>
        <w:rPr>
          <w:rFonts w:ascii="宋体" w:hAnsi="宋体"/>
          <w:b w:val="0"/>
          <w:snapToGrid w:val="0"/>
          <w:color w:val="auto"/>
          <w:sz w:val="24"/>
          <w:szCs w:val="24"/>
          <w:highlight w:val="none"/>
        </w:rPr>
        <w:t>7.3  履约担保</w:t>
      </w:r>
      <w:bookmarkEnd w:id="458"/>
      <w:bookmarkEnd w:id="459"/>
      <w:bookmarkEnd w:id="460"/>
      <w:bookmarkEnd w:id="461"/>
      <w:bookmarkEnd w:id="462"/>
      <w:bookmarkEnd w:id="463"/>
      <w:bookmarkEnd w:id="464"/>
      <w:bookmarkEnd w:id="465"/>
      <w:bookmarkEnd w:id="466"/>
    </w:p>
    <w:p w14:paraId="0E0CBD7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7.3.1  在签订合同前，中标人应按投标人须知前附表规定的金额、担保形式和</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文件第四章“合同条款及格式”规定的履约担保格式向</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人提交履约担保。联合体中标的，其履约担保由牵头人递交，并应符合投标人须知前附表规定的金额、担保形式和</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文件第四章“合同条款及格式”规定的履约担保格式要求。</w:t>
      </w:r>
    </w:p>
    <w:p w14:paraId="01D2B1F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7.3.2  中标人不能按本章第 7.3.1 项要求提交履约担保的，视为放弃中标，其投标保证金不予退还，给</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人造成的损失超过投标保证金数额的，中标人还应当对超过部分予以赔偿。</w:t>
      </w:r>
    </w:p>
    <w:p w14:paraId="438B519F">
      <w:pPr>
        <w:pStyle w:val="5"/>
        <w:snapToGrid w:val="0"/>
        <w:spacing w:before="0" w:after="0" w:line="360" w:lineRule="auto"/>
        <w:rPr>
          <w:rFonts w:ascii="宋体" w:hAnsi="宋体"/>
          <w:b w:val="0"/>
          <w:snapToGrid w:val="0"/>
          <w:color w:val="auto"/>
          <w:sz w:val="24"/>
          <w:szCs w:val="24"/>
          <w:highlight w:val="none"/>
        </w:rPr>
      </w:pPr>
      <w:bookmarkStart w:id="467" w:name="_Toc509218752"/>
      <w:bookmarkStart w:id="468" w:name="_Toc200513168"/>
      <w:bookmarkStart w:id="469" w:name="_Toc9148"/>
      <w:bookmarkStart w:id="470" w:name="_Toc287620727"/>
      <w:bookmarkStart w:id="471" w:name="_Toc224103359"/>
      <w:bookmarkStart w:id="472" w:name="_Toc287607788"/>
      <w:bookmarkStart w:id="473" w:name="_Toc430530477"/>
      <w:bookmarkStart w:id="474" w:name="_Toc277082594"/>
      <w:bookmarkStart w:id="475" w:name="_Toc16900"/>
      <w:r>
        <w:rPr>
          <w:rFonts w:ascii="宋体" w:hAnsi="宋体"/>
          <w:b w:val="0"/>
          <w:snapToGrid w:val="0"/>
          <w:color w:val="auto"/>
          <w:sz w:val="24"/>
          <w:szCs w:val="24"/>
          <w:highlight w:val="none"/>
        </w:rPr>
        <w:t>7.4  签订合同</w:t>
      </w:r>
      <w:bookmarkEnd w:id="467"/>
      <w:bookmarkEnd w:id="468"/>
      <w:bookmarkEnd w:id="469"/>
      <w:bookmarkEnd w:id="470"/>
      <w:bookmarkEnd w:id="471"/>
      <w:bookmarkEnd w:id="472"/>
      <w:bookmarkEnd w:id="473"/>
      <w:bookmarkEnd w:id="474"/>
      <w:bookmarkEnd w:id="475"/>
    </w:p>
    <w:p w14:paraId="3E0C8F2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7.4.1 </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人和中标人应当自中标通知书发出之日起 30 天内，根据</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文件和中标人的投标文件订立书面合同。中标人</w:t>
      </w:r>
      <w:r>
        <w:rPr>
          <w:rFonts w:hint="eastAsia" w:ascii="宋体" w:hAnsi="宋体"/>
          <w:snapToGrid w:val="0"/>
          <w:color w:val="auto"/>
          <w:kern w:val="0"/>
          <w:szCs w:val="21"/>
          <w:highlight w:val="none"/>
        </w:rPr>
        <w:t>放弃中标项目，</w:t>
      </w:r>
      <w:r>
        <w:rPr>
          <w:rFonts w:ascii="宋体" w:hAnsi="宋体"/>
          <w:snapToGrid w:val="0"/>
          <w:color w:val="auto"/>
          <w:kern w:val="0"/>
          <w:szCs w:val="21"/>
          <w:highlight w:val="none"/>
        </w:rPr>
        <w:t>无正当理由</w:t>
      </w:r>
      <w:r>
        <w:rPr>
          <w:rFonts w:hint="eastAsia" w:ascii="宋体" w:hAnsi="宋体"/>
          <w:snapToGrid w:val="0"/>
          <w:color w:val="auto"/>
          <w:kern w:val="0"/>
          <w:szCs w:val="21"/>
          <w:highlight w:val="none"/>
        </w:rPr>
        <w:t>不与</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人</w:t>
      </w:r>
      <w:r>
        <w:rPr>
          <w:rFonts w:ascii="宋体" w:hAnsi="宋体"/>
          <w:snapToGrid w:val="0"/>
          <w:color w:val="auto"/>
          <w:kern w:val="0"/>
          <w:szCs w:val="21"/>
          <w:highlight w:val="none"/>
        </w:rPr>
        <w:t>签</w:t>
      </w:r>
      <w:r>
        <w:rPr>
          <w:rFonts w:hint="eastAsia" w:ascii="宋体" w:hAnsi="宋体"/>
          <w:snapToGrid w:val="0"/>
          <w:color w:val="auto"/>
          <w:kern w:val="0"/>
          <w:szCs w:val="21"/>
          <w:highlight w:val="none"/>
        </w:rPr>
        <w:t>订</w:t>
      </w:r>
      <w:r>
        <w:rPr>
          <w:rFonts w:ascii="宋体" w:hAnsi="宋体"/>
          <w:snapToGrid w:val="0"/>
          <w:color w:val="auto"/>
          <w:kern w:val="0"/>
          <w:szCs w:val="21"/>
          <w:highlight w:val="none"/>
        </w:rPr>
        <w:t>合同，</w:t>
      </w:r>
      <w:r>
        <w:rPr>
          <w:rFonts w:hint="eastAsia" w:ascii="宋体" w:hAnsi="宋体"/>
          <w:snapToGrid w:val="0"/>
          <w:color w:val="auto"/>
          <w:kern w:val="0"/>
          <w:szCs w:val="21"/>
          <w:highlight w:val="none"/>
        </w:rPr>
        <w:t>在签订合同时向</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人提出附加条件或者更改合同实质性内容的</w:t>
      </w:r>
      <w:r>
        <w:rPr>
          <w:rFonts w:ascii="宋体" w:hAnsi="宋体"/>
          <w:snapToGrid w:val="0"/>
          <w:color w:val="auto"/>
          <w:kern w:val="0"/>
          <w:szCs w:val="21"/>
          <w:highlight w:val="none"/>
        </w:rPr>
        <w:t>，</w:t>
      </w:r>
      <w:r>
        <w:rPr>
          <w:rFonts w:hint="eastAsia" w:ascii="宋体" w:hAnsi="宋体" w:cs="宋体"/>
          <w:color w:val="auto"/>
          <w:szCs w:val="21"/>
          <w:highlight w:val="none"/>
        </w:rPr>
        <w:t>或不按照</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文件要求提交履约保证金的，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人取消其中标资格，其投标保证金不予退还；给</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人造成的损失超过投标保证金数额的，中标人还应当对超过部分予以赔偿。</w:t>
      </w:r>
    </w:p>
    <w:p w14:paraId="7143D4C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7.4.2  发出中标通知书后，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人无正当理由拒签合同的，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人向中标人退还投标保证金；给中标人造成损失的，还应当赔偿损失。</w:t>
      </w:r>
    </w:p>
    <w:p w14:paraId="25E7FAE3">
      <w:pPr>
        <w:pStyle w:val="4"/>
        <w:spacing w:before="0" w:after="0" w:line="360" w:lineRule="auto"/>
        <w:rPr>
          <w:rFonts w:hint="eastAsia" w:ascii="宋体" w:hAnsi="宋体" w:eastAsia="宋体"/>
          <w:b w:val="0"/>
          <w:snapToGrid w:val="0"/>
          <w:color w:val="auto"/>
          <w:highlight w:val="none"/>
          <w:lang w:eastAsia="zh-CN"/>
        </w:rPr>
      </w:pPr>
      <w:bookmarkStart w:id="476" w:name="_Toc277082595"/>
      <w:bookmarkStart w:id="477" w:name="_Toc509218753"/>
      <w:bookmarkStart w:id="478" w:name="_Toc430530478"/>
      <w:bookmarkStart w:id="479" w:name="_Toc22591"/>
      <w:bookmarkStart w:id="480" w:name="_Toc287620728"/>
      <w:bookmarkStart w:id="481" w:name="_Toc287607789"/>
      <w:bookmarkStart w:id="482" w:name="_Toc200513169"/>
      <w:bookmarkStart w:id="483" w:name="_Toc224103360"/>
      <w:bookmarkStart w:id="484" w:name="_Toc7552"/>
      <w:r>
        <w:rPr>
          <w:rFonts w:ascii="宋体" w:hAnsi="宋体"/>
          <w:b w:val="0"/>
          <w:snapToGrid w:val="0"/>
          <w:color w:val="auto"/>
          <w:highlight w:val="none"/>
        </w:rPr>
        <w:t>8.  重新</w:t>
      </w:r>
      <w:r>
        <w:rPr>
          <w:rFonts w:hint="eastAsia" w:ascii="宋体" w:hAnsi="宋体"/>
          <w:b w:val="0"/>
          <w:snapToGrid w:val="0"/>
          <w:color w:val="auto"/>
          <w:highlight w:val="none"/>
          <w:lang w:eastAsia="zh-CN"/>
        </w:rPr>
        <w:t>比选</w:t>
      </w:r>
      <w:r>
        <w:rPr>
          <w:rFonts w:ascii="宋体" w:hAnsi="宋体"/>
          <w:b w:val="0"/>
          <w:snapToGrid w:val="0"/>
          <w:color w:val="auto"/>
          <w:highlight w:val="none"/>
        </w:rPr>
        <w:t>和不再</w:t>
      </w:r>
      <w:bookmarkEnd w:id="476"/>
      <w:bookmarkEnd w:id="477"/>
      <w:bookmarkEnd w:id="478"/>
      <w:bookmarkEnd w:id="479"/>
      <w:bookmarkEnd w:id="480"/>
      <w:bookmarkEnd w:id="481"/>
      <w:bookmarkEnd w:id="482"/>
      <w:bookmarkEnd w:id="483"/>
      <w:r>
        <w:rPr>
          <w:rFonts w:hint="eastAsia" w:ascii="宋体" w:hAnsi="宋体"/>
          <w:b w:val="0"/>
          <w:snapToGrid w:val="0"/>
          <w:color w:val="auto"/>
          <w:highlight w:val="none"/>
          <w:lang w:eastAsia="zh-CN"/>
        </w:rPr>
        <w:t>比选</w:t>
      </w:r>
      <w:bookmarkEnd w:id="484"/>
    </w:p>
    <w:p w14:paraId="14B2A07E">
      <w:pPr>
        <w:pStyle w:val="5"/>
        <w:snapToGrid w:val="0"/>
        <w:spacing w:before="0" w:after="0" w:line="360" w:lineRule="auto"/>
        <w:rPr>
          <w:rFonts w:hint="eastAsia" w:ascii="宋体" w:hAnsi="宋体" w:eastAsia="宋体"/>
          <w:b w:val="0"/>
          <w:snapToGrid w:val="0"/>
          <w:color w:val="auto"/>
          <w:sz w:val="24"/>
          <w:szCs w:val="24"/>
          <w:highlight w:val="none"/>
          <w:lang w:eastAsia="zh-CN"/>
        </w:rPr>
      </w:pPr>
      <w:bookmarkStart w:id="485" w:name="_Toc287620729"/>
      <w:bookmarkStart w:id="486" w:name="_Toc4647"/>
      <w:bookmarkStart w:id="487" w:name="_Toc509218754"/>
      <w:bookmarkStart w:id="488" w:name="_Toc224103361"/>
      <w:bookmarkStart w:id="489" w:name="_Toc287607790"/>
      <w:bookmarkStart w:id="490" w:name="_Toc430530479"/>
      <w:bookmarkStart w:id="491" w:name="_Toc277082596"/>
      <w:bookmarkStart w:id="492" w:name="_Toc200513170"/>
      <w:bookmarkStart w:id="493" w:name="_Toc5675"/>
      <w:r>
        <w:rPr>
          <w:rFonts w:ascii="宋体" w:hAnsi="宋体"/>
          <w:b w:val="0"/>
          <w:snapToGrid w:val="0"/>
          <w:color w:val="auto"/>
          <w:sz w:val="24"/>
          <w:szCs w:val="24"/>
          <w:highlight w:val="none"/>
        </w:rPr>
        <w:t>8.1  重新</w:t>
      </w:r>
      <w:bookmarkEnd w:id="485"/>
      <w:bookmarkEnd w:id="486"/>
      <w:bookmarkEnd w:id="487"/>
      <w:bookmarkEnd w:id="488"/>
      <w:bookmarkEnd w:id="489"/>
      <w:bookmarkEnd w:id="490"/>
      <w:bookmarkEnd w:id="491"/>
      <w:bookmarkEnd w:id="492"/>
      <w:r>
        <w:rPr>
          <w:rFonts w:hint="eastAsia" w:ascii="宋体" w:hAnsi="宋体"/>
          <w:b w:val="0"/>
          <w:snapToGrid w:val="0"/>
          <w:color w:val="auto"/>
          <w:sz w:val="24"/>
          <w:szCs w:val="24"/>
          <w:highlight w:val="none"/>
          <w:lang w:eastAsia="zh-CN"/>
        </w:rPr>
        <w:t>比选</w:t>
      </w:r>
      <w:bookmarkEnd w:id="493"/>
    </w:p>
    <w:p w14:paraId="10F4FE0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人将重新</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w:t>
      </w:r>
    </w:p>
    <w:p w14:paraId="1B635286">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18274837">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7B24D05C">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文件要求的，评标委员会可以继续评标并确定中标候选人；</w:t>
      </w:r>
    </w:p>
    <w:p w14:paraId="7392262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60F1AEEE">
      <w:pPr>
        <w:pStyle w:val="5"/>
        <w:snapToGrid w:val="0"/>
        <w:spacing w:before="0" w:after="0" w:line="360" w:lineRule="auto"/>
        <w:rPr>
          <w:rFonts w:hint="eastAsia" w:ascii="宋体" w:hAnsi="宋体" w:eastAsia="宋体"/>
          <w:b w:val="0"/>
          <w:snapToGrid w:val="0"/>
          <w:color w:val="auto"/>
          <w:sz w:val="24"/>
          <w:szCs w:val="24"/>
          <w:highlight w:val="none"/>
          <w:lang w:eastAsia="zh-CN"/>
        </w:rPr>
      </w:pPr>
      <w:bookmarkStart w:id="494" w:name="_Toc509218755"/>
      <w:bookmarkStart w:id="495" w:name="_Toc200513171"/>
      <w:bookmarkStart w:id="496" w:name="_Toc224103362"/>
      <w:bookmarkStart w:id="497" w:name="_Toc287607791"/>
      <w:bookmarkStart w:id="498" w:name="_Toc287620730"/>
      <w:bookmarkStart w:id="499" w:name="_Toc32210"/>
      <w:bookmarkStart w:id="500" w:name="_Toc277082597"/>
      <w:bookmarkStart w:id="501" w:name="_Toc430530480"/>
      <w:bookmarkStart w:id="502" w:name="_Toc15733"/>
      <w:r>
        <w:rPr>
          <w:rFonts w:ascii="宋体" w:hAnsi="宋体"/>
          <w:b w:val="0"/>
          <w:snapToGrid w:val="0"/>
          <w:color w:val="auto"/>
          <w:sz w:val="24"/>
          <w:szCs w:val="24"/>
          <w:highlight w:val="none"/>
        </w:rPr>
        <w:t>8.2  二次</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和不再</w:t>
      </w:r>
      <w:bookmarkEnd w:id="494"/>
      <w:bookmarkEnd w:id="495"/>
      <w:bookmarkEnd w:id="496"/>
      <w:bookmarkEnd w:id="497"/>
      <w:bookmarkEnd w:id="498"/>
      <w:bookmarkEnd w:id="499"/>
      <w:bookmarkEnd w:id="500"/>
      <w:bookmarkEnd w:id="501"/>
      <w:r>
        <w:rPr>
          <w:rFonts w:hint="eastAsia" w:ascii="宋体" w:hAnsi="宋体"/>
          <w:b w:val="0"/>
          <w:snapToGrid w:val="0"/>
          <w:color w:val="auto"/>
          <w:sz w:val="24"/>
          <w:szCs w:val="24"/>
          <w:highlight w:val="none"/>
          <w:lang w:eastAsia="zh-CN"/>
        </w:rPr>
        <w:t>比选</w:t>
      </w:r>
      <w:bookmarkEnd w:id="502"/>
    </w:p>
    <w:p w14:paraId="0C3DADA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重新</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的投标人仍然少于三个的，按照</w:t>
      </w:r>
      <w:r>
        <w:rPr>
          <w:rFonts w:hint="eastAsia" w:ascii="宋体" w:hAnsi="宋体"/>
          <w:color w:val="auto"/>
          <w:kern w:val="0"/>
          <w:szCs w:val="21"/>
          <w:highlight w:val="none"/>
          <w:lang w:eastAsia="zh-CN"/>
        </w:rPr>
        <w:t>招标</w:t>
      </w:r>
      <w:r>
        <w:rPr>
          <w:rFonts w:hint="eastAsia" w:ascii="宋体" w:hAnsi="宋体"/>
          <w:snapToGrid w:val="0"/>
          <w:color w:val="auto"/>
          <w:kern w:val="0"/>
          <w:szCs w:val="21"/>
          <w:highlight w:val="none"/>
        </w:rPr>
        <w:t>投标法律法规规定的程序开标和评标。重新</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经评审有有效投标人的，应当依法确定中标候选人；无有效投标人的，可以不再进行</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，但是按照国家有关规定需要履行审批、核准、备案手续的依法必须进行</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的项目，应当报原项目投资主管部门审批、核准、备案</w:t>
      </w:r>
      <w:r>
        <w:rPr>
          <w:rFonts w:ascii="宋体" w:hAnsi="宋体"/>
          <w:snapToGrid w:val="0"/>
          <w:color w:val="auto"/>
          <w:kern w:val="0"/>
          <w:szCs w:val="21"/>
          <w:highlight w:val="none"/>
        </w:rPr>
        <w:t>。</w:t>
      </w:r>
    </w:p>
    <w:p w14:paraId="4EA2BAA4">
      <w:pPr>
        <w:pStyle w:val="4"/>
        <w:spacing w:before="0" w:after="0" w:line="360" w:lineRule="auto"/>
        <w:rPr>
          <w:rFonts w:ascii="宋体" w:hAnsi="宋体"/>
          <w:b w:val="0"/>
          <w:snapToGrid w:val="0"/>
          <w:color w:val="auto"/>
          <w:highlight w:val="none"/>
        </w:rPr>
      </w:pPr>
      <w:bookmarkStart w:id="503" w:name="_Toc509218756"/>
      <w:bookmarkStart w:id="504" w:name="_Toc200513172"/>
      <w:bookmarkStart w:id="505" w:name="_Toc287620731"/>
      <w:bookmarkStart w:id="506" w:name="_Toc430530481"/>
      <w:bookmarkStart w:id="507" w:name="_Toc277082598"/>
      <w:bookmarkStart w:id="508" w:name="_Toc285"/>
      <w:bookmarkStart w:id="509" w:name="_Toc224103363"/>
      <w:bookmarkStart w:id="510" w:name="_Toc2597"/>
      <w:bookmarkStart w:id="511" w:name="_Toc287607792"/>
      <w:r>
        <w:rPr>
          <w:rFonts w:ascii="宋体" w:hAnsi="宋体"/>
          <w:b w:val="0"/>
          <w:snapToGrid w:val="0"/>
          <w:color w:val="auto"/>
          <w:highlight w:val="none"/>
        </w:rPr>
        <w:t>9.  纪律和监督</w:t>
      </w:r>
      <w:bookmarkEnd w:id="503"/>
      <w:bookmarkEnd w:id="504"/>
      <w:bookmarkEnd w:id="505"/>
      <w:bookmarkEnd w:id="506"/>
      <w:bookmarkEnd w:id="507"/>
      <w:bookmarkEnd w:id="508"/>
      <w:bookmarkEnd w:id="509"/>
      <w:bookmarkEnd w:id="510"/>
      <w:bookmarkEnd w:id="511"/>
    </w:p>
    <w:p w14:paraId="6289AF76">
      <w:pPr>
        <w:pStyle w:val="5"/>
        <w:snapToGrid w:val="0"/>
        <w:spacing w:before="0" w:after="0" w:line="360" w:lineRule="auto"/>
        <w:rPr>
          <w:rFonts w:ascii="宋体" w:hAnsi="宋体"/>
          <w:b w:val="0"/>
          <w:snapToGrid w:val="0"/>
          <w:color w:val="auto"/>
          <w:sz w:val="24"/>
          <w:szCs w:val="24"/>
          <w:highlight w:val="none"/>
        </w:rPr>
      </w:pPr>
      <w:bookmarkStart w:id="512" w:name="_Toc430530482"/>
      <w:bookmarkStart w:id="513" w:name="_Toc224103364"/>
      <w:bookmarkStart w:id="514" w:name="_Toc11532"/>
      <w:bookmarkStart w:id="515" w:name="_Toc14616"/>
      <w:bookmarkStart w:id="516" w:name="_Toc287607793"/>
      <w:bookmarkStart w:id="517" w:name="_Toc277082599"/>
      <w:bookmarkStart w:id="518" w:name="_Toc509218757"/>
      <w:bookmarkStart w:id="519" w:name="_Toc200513173"/>
      <w:bookmarkStart w:id="520" w:name="_Toc287620732"/>
      <w:r>
        <w:rPr>
          <w:rFonts w:ascii="宋体" w:hAnsi="宋体"/>
          <w:b w:val="0"/>
          <w:snapToGrid w:val="0"/>
          <w:color w:val="auto"/>
          <w:sz w:val="24"/>
          <w:szCs w:val="24"/>
          <w:highlight w:val="none"/>
        </w:rPr>
        <w:t>9.1  对</w:t>
      </w:r>
      <w:r>
        <w:rPr>
          <w:rFonts w:hint="eastAsia" w:ascii="宋体" w:hAnsi="宋体"/>
          <w:b w:val="0"/>
          <w:snapToGrid w:val="0"/>
          <w:color w:val="auto"/>
          <w:sz w:val="24"/>
          <w:szCs w:val="24"/>
          <w:highlight w:val="none"/>
          <w:lang w:eastAsia="zh-CN"/>
        </w:rPr>
        <w:t>比选</w:t>
      </w:r>
      <w:r>
        <w:rPr>
          <w:rFonts w:ascii="宋体" w:hAnsi="宋体"/>
          <w:b w:val="0"/>
          <w:snapToGrid w:val="0"/>
          <w:color w:val="auto"/>
          <w:sz w:val="24"/>
          <w:szCs w:val="24"/>
          <w:highlight w:val="none"/>
        </w:rPr>
        <w:t>人的纪律要求</w:t>
      </w:r>
      <w:bookmarkEnd w:id="512"/>
      <w:bookmarkEnd w:id="513"/>
      <w:bookmarkEnd w:id="514"/>
      <w:bookmarkEnd w:id="515"/>
      <w:bookmarkEnd w:id="516"/>
      <w:bookmarkEnd w:id="517"/>
      <w:bookmarkEnd w:id="518"/>
      <w:bookmarkEnd w:id="519"/>
      <w:bookmarkEnd w:id="520"/>
    </w:p>
    <w:p w14:paraId="4174CEC2">
      <w:pPr>
        <w:autoSpaceDE w:val="0"/>
        <w:autoSpaceDN w:val="0"/>
        <w:adjustRightInd w:val="0"/>
        <w:snapToGrid w:val="0"/>
        <w:spacing w:line="360" w:lineRule="auto"/>
        <w:ind w:firstLine="420"/>
        <w:rPr>
          <w:rFonts w:hint="eastAsia" w:ascii="宋体" w:hAnsi="宋体"/>
          <w:color w:val="auto"/>
          <w:highlight w:val="none"/>
        </w:rPr>
      </w:pP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人不得泄漏</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投标活动中应当保密的情况和资料，不得与投标人串通损害国家利 益、社会公共利益或者他人合法权益，</w:t>
      </w:r>
      <w:r>
        <w:rPr>
          <w:rFonts w:ascii="宋体" w:hAnsi="宋体"/>
          <w:color w:val="auto"/>
          <w:highlight w:val="none"/>
        </w:rPr>
        <w:t>禁止</w:t>
      </w:r>
      <w:r>
        <w:rPr>
          <w:rFonts w:hint="eastAsia" w:ascii="宋体" w:hAnsi="宋体"/>
          <w:color w:val="auto"/>
          <w:highlight w:val="none"/>
          <w:lang w:eastAsia="zh-CN"/>
        </w:rPr>
        <w:t>比选</w:t>
      </w:r>
      <w:r>
        <w:rPr>
          <w:rFonts w:ascii="宋体" w:hAnsi="宋体"/>
          <w:color w:val="auto"/>
          <w:highlight w:val="none"/>
        </w:rPr>
        <w:t>人与投标人串通投标。</w:t>
      </w:r>
    </w:p>
    <w:p w14:paraId="32A57D24">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有下列情形之一的，属于</w:t>
      </w:r>
      <w:r>
        <w:rPr>
          <w:rFonts w:hint="eastAsia" w:ascii="宋体" w:hAnsi="宋体"/>
          <w:color w:val="auto"/>
          <w:highlight w:val="none"/>
          <w:lang w:eastAsia="zh-CN"/>
        </w:rPr>
        <w:t>比选</w:t>
      </w:r>
      <w:r>
        <w:rPr>
          <w:rFonts w:ascii="宋体" w:hAnsi="宋体"/>
          <w:color w:val="auto"/>
          <w:highlight w:val="none"/>
        </w:rPr>
        <w:t>人与投标人串通投标：</w:t>
      </w:r>
    </w:p>
    <w:p w14:paraId="19717B8E">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lang w:eastAsia="zh-CN"/>
        </w:rPr>
        <w:t>比选</w:t>
      </w:r>
      <w:r>
        <w:rPr>
          <w:rFonts w:ascii="宋体" w:hAnsi="宋体"/>
          <w:color w:val="auto"/>
          <w:highlight w:val="none"/>
        </w:rPr>
        <w:t>人在开标前开启投标文件并将有关信息泄露给其他投标人</w:t>
      </w:r>
      <w:r>
        <w:rPr>
          <w:rFonts w:hint="eastAsia" w:ascii="宋体" w:hAnsi="宋体"/>
          <w:color w:val="auto"/>
          <w:highlight w:val="none"/>
        </w:rPr>
        <w:t>；</w:t>
      </w:r>
    </w:p>
    <w:p w14:paraId="4997BBC9">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lang w:eastAsia="zh-CN"/>
        </w:rPr>
        <w:t>比选</w:t>
      </w:r>
      <w:r>
        <w:rPr>
          <w:rFonts w:ascii="宋体" w:hAnsi="宋体"/>
          <w:color w:val="auto"/>
          <w:highlight w:val="none"/>
        </w:rPr>
        <w:t>人直接或者间接向投标人泄露标底、评标委员会成员等信息；</w:t>
      </w:r>
    </w:p>
    <w:p w14:paraId="4A9A4832">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（3）</w:t>
      </w:r>
      <w:r>
        <w:rPr>
          <w:rFonts w:hint="eastAsia" w:ascii="宋体" w:hAnsi="宋体"/>
          <w:color w:val="auto"/>
          <w:highlight w:val="none"/>
          <w:lang w:eastAsia="zh-CN"/>
        </w:rPr>
        <w:t>比选</w:t>
      </w:r>
      <w:r>
        <w:rPr>
          <w:rFonts w:ascii="宋体" w:hAnsi="宋体"/>
          <w:color w:val="auto"/>
          <w:highlight w:val="none"/>
        </w:rPr>
        <w:t>人明示或者暗示投标人压低或者抬高投标报价；</w:t>
      </w:r>
    </w:p>
    <w:p w14:paraId="3D57AA85">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（4）</w:t>
      </w:r>
      <w:r>
        <w:rPr>
          <w:rFonts w:hint="eastAsia" w:ascii="宋体" w:hAnsi="宋体"/>
          <w:color w:val="auto"/>
          <w:highlight w:val="none"/>
          <w:lang w:eastAsia="zh-CN"/>
        </w:rPr>
        <w:t>比选</w:t>
      </w:r>
      <w:r>
        <w:rPr>
          <w:rFonts w:ascii="宋体" w:hAnsi="宋体"/>
          <w:color w:val="auto"/>
          <w:highlight w:val="none"/>
        </w:rPr>
        <w:t>人授意投标人撤换、修改投标文件；</w:t>
      </w:r>
    </w:p>
    <w:p w14:paraId="17128BA0">
      <w:pPr>
        <w:autoSpaceDE w:val="0"/>
        <w:autoSpaceDN w:val="0"/>
        <w:adjustRightInd w:val="0"/>
        <w:snapToGrid w:val="0"/>
        <w:spacing w:line="360" w:lineRule="auto"/>
        <w:ind w:firstLine="420"/>
        <w:rPr>
          <w:rFonts w:hint="eastAsia" w:ascii="宋体" w:hAnsi="宋体"/>
          <w:color w:val="auto"/>
          <w:highlight w:val="none"/>
        </w:rPr>
      </w:pPr>
      <w:r>
        <w:rPr>
          <w:rFonts w:ascii="宋体" w:hAnsi="宋体"/>
          <w:color w:val="auto"/>
          <w:highlight w:val="none"/>
        </w:rPr>
        <w:t>（5）</w:t>
      </w:r>
      <w:r>
        <w:rPr>
          <w:rFonts w:hint="eastAsia" w:ascii="宋体" w:hAnsi="宋体"/>
          <w:color w:val="auto"/>
          <w:highlight w:val="none"/>
          <w:lang w:eastAsia="zh-CN"/>
        </w:rPr>
        <w:t>比选</w:t>
      </w:r>
      <w:r>
        <w:rPr>
          <w:rFonts w:ascii="宋体" w:hAnsi="宋体"/>
          <w:color w:val="auto"/>
          <w:highlight w:val="none"/>
        </w:rPr>
        <w:t>人明示或者暗示投标人为特定投标人中标提供方便；</w:t>
      </w:r>
    </w:p>
    <w:p w14:paraId="1047BEE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w:t>
      </w:r>
      <w:r>
        <w:rPr>
          <w:rFonts w:hint="eastAsia" w:ascii="宋体" w:hAnsi="宋体"/>
          <w:color w:val="auto"/>
          <w:highlight w:val="none"/>
          <w:lang w:eastAsia="zh-CN"/>
        </w:rPr>
        <w:t>比选</w:t>
      </w:r>
      <w:r>
        <w:rPr>
          <w:rFonts w:ascii="宋体" w:hAnsi="宋体"/>
          <w:color w:val="auto"/>
          <w:highlight w:val="none"/>
        </w:rPr>
        <w:t>人与投标人为谋求特定投标人中标而采取的其他串通行为。</w:t>
      </w:r>
    </w:p>
    <w:p w14:paraId="7B29CAF0">
      <w:pPr>
        <w:pStyle w:val="5"/>
        <w:snapToGrid w:val="0"/>
        <w:spacing w:before="0" w:after="0" w:line="360" w:lineRule="auto"/>
        <w:rPr>
          <w:rFonts w:ascii="宋体" w:hAnsi="宋体"/>
          <w:b w:val="0"/>
          <w:snapToGrid w:val="0"/>
          <w:color w:val="auto"/>
          <w:sz w:val="24"/>
          <w:szCs w:val="24"/>
          <w:highlight w:val="none"/>
        </w:rPr>
      </w:pPr>
      <w:bookmarkStart w:id="521" w:name="_Toc11710"/>
      <w:bookmarkStart w:id="522" w:name="_Toc277082600"/>
      <w:bookmarkStart w:id="523" w:name="_Toc509218758"/>
      <w:bookmarkStart w:id="524" w:name="_Toc430530483"/>
      <w:bookmarkStart w:id="525" w:name="_Toc287620733"/>
      <w:bookmarkStart w:id="526" w:name="_Toc287607794"/>
      <w:bookmarkStart w:id="527" w:name="_Toc200513174"/>
      <w:bookmarkStart w:id="528" w:name="_Toc5929"/>
      <w:bookmarkStart w:id="529" w:name="_Toc224103365"/>
      <w:r>
        <w:rPr>
          <w:rFonts w:ascii="宋体" w:hAnsi="宋体"/>
          <w:b w:val="0"/>
          <w:snapToGrid w:val="0"/>
          <w:color w:val="auto"/>
          <w:sz w:val="24"/>
          <w:szCs w:val="24"/>
          <w:highlight w:val="none"/>
        </w:rPr>
        <w:t>9.2  对投标人的纪律要求</w:t>
      </w:r>
      <w:bookmarkEnd w:id="521"/>
      <w:bookmarkEnd w:id="522"/>
      <w:bookmarkEnd w:id="523"/>
      <w:bookmarkEnd w:id="524"/>
      <w:bookmarkEnd w:id="525"/>
      <w:bookmarkEnd w:id="526"/>
      <w:bookmarkEnd w:id="527"/>
      <w:bookmarkEnd w:id="528"/>
      <w:bookmarkEnd w:id="529"/>
    </w:p>
    <w:p w14:paraId="23834D84">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投标人不得相互串通投标或者与</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人串通投标，不得向</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人或者评标委员会成员行贿谋取中标，不得以他人名义投标或者以其他方式弄虚作假骗取中标；投标人不得以任何方式干扰、影响评标工作</w:t>
      </w:r>
      <w:r>
        <w:rPr>
          <w:rFonts w:hint="eastAsia" w:ascii="宋体" w:hAnsi="宋体"/>
          <w:snapToGrid w:val="0"/>
          <w:color w:val="auto"/>
          <w:kern w:val="0"/>
          <w:szCs w:val="21"/>
          <w:highlight w:val="none"/>
        </w:rPr>
        <w:t>。</w:t>
      </w:r>
    </w:p>
    <w:p w14:paraId="2674E2DC">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9.2.1  </w:t>
      </w:r>
      <w:r>
        <w:rPr>
          <w:rFonts w:ascii="宋体" w:hAnsi="宋体"/>
          <w:color w:val="auto"/>
          <w:highlight w:val="none"/>
        </w:rPr>
        <w:t>有下列情形之一的，属于投标人相互串通投标：</w:t>
      </w:r>
    </w:p>
    <w:p w14:paraId="77D41B05">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（1）投标人之间协商投标报价等投标文件的实质性内容；</w:t>
      </w:r>
    </w:p>
    <w:p w14:paraId="0F0D8521">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（2）投标人之间约定中标人；</w:t>
      </w:r>
    </w:p>
    <w:p w14:paraId="2EEB91A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（3）投标人之间约定部分投标人放弃投标或者中标；</w:t>
      </w:r>
    </w:p>
    <w:p w14:paraId="12A20F4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（4）属于同一集团、协会、商会等组织成员的投标人按照该组织要求协同投标；</w:t>
      </w:r>
    </w:p>
    <w:p w14:paraId="69D5B220">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（5）投标人之间为谋取中标或者排斥特定投标人而采取的其他联合行动。</w:t>
      </w:r>
    </w:p>
    <w:p w14:paraId="06D3D824">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9.2.2  </w:t>
      </w:r>
      <w:r>
        <w:rPr>
          <w:rFonts w:ascii="宋体" w:hAnsi="宋体"/>
          <w:color w:val="auto"/>
          <w:highlight w:val="none"/>
        </w:rPr>
        <w:t>有下列情形之一的，视为投标人相互串通投标：</w:t>
      </w:r>
    </w:p>
    <w:p w14:paraId="7FDE84F9">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（1）不同投标人的投标文件由同一单位或者个人编制；</w:t>
      </w:r>
    </w:p>
    <w:p w14:paraId="08F60190">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（2）不同投标人委托同一单位或者个人办理投标事宜；</w:t>
      </w:r>
    </w:p>
    <w:p w14:paraId="109AAFE9">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（3）不同投标人的投标文件载明的项目管理成员为同一人；</w:t>
      </w:r>
    </w:p>
    <w:p w14:paraId="6147F302">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（4）不同投标人的投标文件异常一致或者投标报价呈规律性差异；</w:t>
      </w:r>
    </w:p>
    <w:p w14:paraId="4EFCE39B">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（5）不同投标人的投标文件相互混装；</w:t>
      </w:r>
    </w:p>
    <w:p w14:paraId="27DDCF6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p>
    <w:p w14:paraId="255C05C8">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9.2.3  </w:t>
      </w:r>
      <w:r>
        <w:rPr>
          <w:rFonts w:ascii="宋体" w:hAnsi="宋体"/>
          <w:color w:val="auto"/>
          <w:highlight w:val="none"/>
        </w:rPr>
        <w:t>使用通过受让或者租借等方式获取的资格、资质证书投标的，属于以他人名义投标。</w:t>
      </w:r>
    </w:p>
    <w:p w14:paraId="1073A783">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9.2.4  </w:t>
      </w:r>
      <w:r>
        <w:rPr>
          <w:rFonts w:ascii="宋体" w:hAnsi="宋体"/>
          <w:color w:val="auto"/>
          <w:highlight w:val="none"/>
        </w:rPr>
        <w:t>投标人有下列情形之一的，属于以其他方式弄虚作假的行为：</w:t>
      </w:r>
    </w:p>
    <w:p w14:paraId="1945D128">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）使用伪造、变造的许可证件；</w:t>
      </w:r>
    </w:p>
    <w:p w14:paraId="0B21D08C">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18DF7259">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6EF8B1CF">
      <w:pPr>
        <w:autoSpaceDE w:val="0"/>
        <w:autoSpaceDN w:val="0"/>
        <w:adjustRightInd w:val="0"/>
        <w:snapToGrid w:val="0"/>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7C4715C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3CB967A3">
      <w:pPr>
        <w:pStyle w:val="5"/>
        <w:snapToGrid w:val="0"/>
        <w:spacing w:before="0" w:after="0" w:line="360" w:lineRule="auto"/>
        <w:rPr>
          <w:rFonts w:ascii="宋体" w:hAnsi="宋体"/>
          <w:b w:val="0"/>
          <w:snapToGrid w:val="0"/>
          <w:color w:val="auto"/>
          <w:sz w:val="24"/>
          <w:szCs w:val="24"/>
          <w:highlight w:val="none"/>
        </w:rPr>
      </w:pPr>
      <w:bookmarkStart w:id="530" w:name="_Toc27742"/>
      <w:bookmarkStart w:id="531" w:name="_Toc277082601"/>
      <w:bookmarkStart w:id="532" w:name="_Toc430530484"/>
      <w:bookmarkStart w:id="533" w:name="_Toc287620734"/>
      <w:bookmarkStart w:id="534" w:name="_Toc200513175"/>
      <w:bookmarkStart w:id="535" w:name="_Toc224103366"/>
      <w:bookmarkStart w:id="536" w:name="_Toc509218759"/>
      <w:bookmarkStart w:id="537" w:name="_Toc32358"/>
      <w:bookmarkStart w:id="538" w:name="_Toc287607795"/>
      <w:r>
        <w:rPr>
          <w:rFonts w:ascii="宋体" w:hAnsi="宋体"/>
          <w:b w:val="0"/>
          <w:snapToGrid w:val="0"/>
          <w:color w:val="auto"/>
          <w:sz w:val="24"/>
          <w:szCs w:val="24"/>
          <w:highlight w:val="none"/>
        </w:rPr>
        <w:t>9.3  对评标委员会成员的纪律要求</w:t>
      </w:r>
      <w:bookmarkEnd w:id="530"/>
      <w:bookmarkEnd w:id="531"/>
      <w:bookmarkEnd w:id="532"/>
      <w:bookmarkEnd w:id="533"/>
      <w:bookmarkEnd w:id="534"/>
      <w:bookmarkEnd w:id="535"/>
      <w:bookmarkEnd w:id="536"/>
      <w:bookmarkEnd w:id="537"/>
      <w:bookmarkEnd w:id="538"/>
    </w:p>
    <w:p w14:paraId="0BA0C2E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color w:val="auto"/>
          <w:kern w:val="0"/>
          <w:szCs w:val="21"/>
          <w:highlight w:val="none"/>
        </w:rPr>
        <w:t>，不得对</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文件中《否决投标情况一览表》以外的内容予以否决投标，否则对评标委员会成员按《重庆市综合评标专家库和评标专家管理暂行办法》进行处理</w:t>
      </w:r>
      <w:r>
        <w:rPr>
          <w:rFonts w:ascii="宋体" w:hAnsi="宋体"/>
          <w:snapToGrid w:val="0"/>
          <w:color w:val="auto"/>
          <w:kern w:val="0"/>
          <w:szCs w:val="21"/>
          <w:highlight w:val="none"/>
        </w:rPr>
        <w:t>。</w:t>
      </w:r>
    </w:p>
    <w:p w14:paraId="158FC3F0">
      <w:pPr>
        <w:pStyle w:val="5"/>
        <w:snapToGrid w:val="0"/>
        <w:spacing w:before="0" w:after="0" w:line="360" w:lineRule="auto"/>
        <w:rPr>
          <w:rFonts w:ascii="宋体" w:hAnsi="宋体"/>
          <w:b w:val="0"/>
          <w:snapToGrid w:val="0"/>
          <w:color w:val="auto"/>
          <w:sz w:val="24"/>
          <w:szCs w:val="24"/>
          <w:highlight w:val="none"/>
        </w:rPr>
      </w:pPr>
      <w:bookmarkStart w:id="539" w:name="_Toc287607796"/>
      <w:bookmarkStart w:id="540" w:name="_Toc15825"/>
      <w:bookmarkStart w:id="541" w:name="_Toc224103367"/>
      <w:bookmarkStart w:id="542" w:name="_Toc287620735"/>
      <w:bookmarkStart w:id="543" w:name="_Toc509218760"/>
      <w:bookmarkStart w:id="544" w:name="_Toc200513176"/>
      <w:bookmarkStart w:id="545" w:name="_Toc17353"/>
      <w:bookmarkStart w:id="546" w:name="_Toc430530485"/>
      <w:bookmarkStart w:id="547" w:name="_Toc277082602"/>
      <w:r>
        <w:rPr>
          <w:rFonts w:ascii="宋体" w:hAnsi="宋体"/>
          <w:b w:val="0"/>
          <w:snapToGrid w:val="0"/>
          <w:color w:val="auto"/>
          <w:sz w:val="24"/>
          <w:szCs w:val="24"/>
          <w:highlight w:val="none"/>
        </w:rPr>
        <w:t>9.4  对与评标活动有关的工作人员的纪律要求</w:t>
      </w:r>
      <w:bookmarkEnd w:id="539"/>
      <w:bookmarkEnd w:id="540"/>
      <w:bookmarkEnd w:id="541"/>
      <w:bookmarkEnd w:id="542"/>
      <w:bookmarkEnd w:id="543"/>
      <w:bookmarkEnd w:id="544"/>
      <w:bookmarkEnd w:id="545"/>
      <w:bookmarkEnd w:id="546"/>
      <w:bookmarkEnd w:id="547"/>
    </w:p>
    <w:p w14:paraId="18BF03B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14:paraId="311FBB80">
      <w:pPr>
        <w:pStyle w:val="5"/>
        <w:snapToGrid w:val="0"/>
        <w:spacing w:before="0" w:after="0" w:line="360" w:lineRule="auto"/>
        <w:rPr>
          <w:rFonts w:ascii="宋体" w:hAnsi="宋体"/>
          <w:b w:val="0"/>
          <w:snapToGrid w:val="0"/>
          <w:color w:val="auto"/>
          <w:sz w:val="24"/>
          <w:szCs w:val="24"/>
          <w:highlight w:val="none"/>
        </w:rPr>
      </w:pPr>
      <w:bookmarkStart w:id="548" w:name="_Toc29660"/>
      <w:bookmarkStart w:id="549" w:name="_Toc287620736"/>
      <w:bookmarkStart w:id="550" w:name="_Toc509218761"/>
      <w:bookmarkStart w:id="551" w:name="_Toc287607797"/>
      <w:bookmarkStart w:id="552" w:name="_Toc200513177"/>
      <w:bookmarkStart w:id="553" w:name="_Toc430530486"/>
      <w:bookmarkStart w:id="554" w:name="_Toc224103368"/>
      <w:bookmarkStart w:id="555" w:name="_Toc17234"/>
      <w:bookmarkStart w:id="556" w:name="_Toc277082603"/>
      <w:r>
        <w:rPr>
          <w:rFonts w:ascii="宋体" w:hAnsi="宋体"/>
          <w:b w:val="0"/>
          <w:snapToGrid w:val="0"/>
          <w:color w:val="auto"/>
          <w:sz w:val="24"/>
          <w:szCs w:val="24"/>
          <w:highlight w:val="none"/>
        </w:rPr>
        <w:t>9.5  投诉</w:t>
      </w:r>
      <w:bookmarkEnd w:id="548"/>
      <w:bookmarkEnd w:id="549"/>
      <w:bookmarkEnd w:id="550"/>
      <w:bookmarkEnd w:id="551"/>
      <w:bookmarkEnd w:id="552"/>
      <w:bookmarkEnd w:id="553"/>
      <w:bookmarkEnd w:id="554"/>
      <w:bookmarkEnd w:id="555"/>
      <w:bookmarkEnd w:id="556"/>
    </w:p>
    <w:p w14:paraId="153BDE3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活动违反法律、法规和规章规定的，有权向有关行政监督部门投诉。</w:t>
      </w:r>
    </w:p>
    <w:p w14:paraId="00F54165">
      <w:pPr>
        <w:pStyle w:val="4"/>
        <w:spacing w:before="0" w:after="0" w:line="360" w:lineRule="auto"/>
        <w:rPr>
          <w:rFonts w:ascii="宋体" w:hAnsi="宋体"/>
          <w:b w:val="0"/>
          <w:snapToGrid w:val="0"/>
          <w:color w:val="auto"/>
          <w:highlight w:val="none"/>
        </w:rPr>
      </w:pPr>
      <w:bookmarkStart w:id="557" w:name="_Toc287607798"/>
      <w:bookmarkStart w:id="558" w:name="_Toc277082604"/>
      <w:bookmarkStart w:id="559" w:name="_Toc200513178"/>
      <w:bookmarkStart w:id="560" w:name="_Toc430530487"/>
      <w:bookmarkStart w:id="561" w:name="_Toc224103369"/>
      <w:bookmarkStart w:id="562" w:name="_Toc14791"/>
      <w:bookmarkStart w:id="563" w:name="_Toc509218762"/>
      <w:bookmarkStart w:id="564" w:name="_Toc13382"/>
      <w:bookmarkStart w:id="565" w:name="_Toc287620737"/>
      <w:r>
        <w:rPr>
          <w:rFonts w:ascii="宋体" w:hAnsi="宋体"/>
          <w:b w:val="0"/>
          <w:snapToGrid w:val="0"/>
          <w:color w:val="auto"/>
          <w:highlight w:val="none"/>
        </w:rPr>
        <w:t>10. 需要补充的其他内容</w:t>
      </w:r>
      <w:bookmarkEnd w:id="557"/>
      <w:bookmarkEnd w:id="558"/>
      <w:bookmarkEnd w:id="559"/>
      <w:bookmarkEnd w:id="560"/>
      <w:bookmarkEnd w:id="561"/>
      <w:bookmarkEnd w:id="562"/>
      <w:bookmarkEnd w:id="563"/>
      <w:bookmarkEnd w:id="564"/>
      <w:bookmarkEnd w:id="565"/>
    </w:p>
    <w:p w14:paraId="27334EE2">
      <w:pPr>
        <w:autoSpaceDE w:val="0"/>
        <w:autoSpaceDN w:val="0"/>
        <w:adjustRightInd w:val="0"/>
        <w:snapToGrid w:val="0"/>
        <w:spacing w:line="360" w:lineRule="auto"/>
        <w:ind w:firstLine="420" w:firstLineChars="200"/>
        <w:rPr>
          <w:rFonts w:ascii="宋体" w:hAnsi="宋体"/>
          <w:snapToGrid w:val="0"/>
          <w:color w:val="auto"/>
          <w:kern w:val="0"/>
          <w:szCs w:val="21"/>
          <w:highlight w:val="none"/>
        </w:rPr>
        <w:sectPr>
          <w:footerReference r:id="rId7" w:type="default"/>
          <w:footerReference r:id="rId8" w:type="even"/>
          <w:pgSz w:w="11906" w:h="16838"/>
          <w:pgMar w:top="1304" w:right="1134" w:bottom="1304" w:left="1304" w:header="851" w:footer="992" w:gutter="0"/>
          <w:cols w:space="720" w:num="1"/>
          <w:docGrid w:type="lines" w:linePitch="312" w:charSpace="0"/>
        </w:sectPr>
      </w:pPr>
      <w:r>
        <w:rPr>
          <w:rFonts w:ascii="宋体" w:hAnsi="宋体"/>
          <w:snapToGrid w:val="0"/>
          <w:color w:val="auto"/>
          <w:kern w:val="0"/>
          <w:szCs w:val="21"/>
          <w:highlight w:val="none"/>
        </w:rPr>
        <w:t>需要补充的其他内容：见投标人须知前附表。</w:t>
      </w:r>
    </w:p>
    <w:p w14:paraId="098F9AB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p>
    <w:p w14:paraId="6DF03F3B">
      <w:pPr>
        <w:autoSpaceDE w:val="0"/>
        <w:autoSpaceDN w:val="0"/>
        <w:adjustRightInd w:val="0"/>
        <w:snapToGrid w:val="0"/>
        <w:spacing w:line="360" w:lineRule="auto"/>
        <w:jc w:val="left"/>
        <w:rPr>
          <w:rFonts w:hint="eastAsia" w:ascii="宋体" w:hAnsi="宋体"/>
          <w:b/>
          <w:snapToGrid w:val="0"/>
          <w:color w:val="auto"/>
          <w:kern w:val="0"/>
          <w:highlight w:val="none"/>
        </w:rPr>
      </w:pPr>
      <w:r>
        <w:rPr>
          <w:rFonts w:ascii="宋体" w:hAnsi="宋体"/>
          <w:b/>
          <w:snapToGrid w:val="0"/>
          <w:color w:val="auto"/>
          <w:kern w:val="0"/>
          <w:highlight w:val="none"/>
        </w:rPr>
        <w:t>附表一：开标记录表</w:t>
      </w:r>
    </w:p>
    <w:p w14:paraId="7D2C7EAA">
      <w:pPr>
        <w:autoSpaceDE w:val="0"/>
        <w:autoSpaceDN w:val="0"/>
        <w:adjustRightInd w:val="0"/>
        <w:snapToGrid w:val="0"/>
        <w:spacing w:line="360" w:lineRule="auto"/>
        <w:jc w:val="left"/>
        <w:rPr>
          <w:rFonts w:hint="eastAsia" w:ascii="宋体" w:hAnsi="宋体"/>
          <w:b/>
          <w:snapToGrid w:val="0"/>
          <w:color w:val="auto"/>
          <w:kern w:val="0"/>
          <w:highlight w:val="none"/>
        </w:rPr>
      </w:pPr>
    </w:p>
    <w:p w14:paraId="69FC0947">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14:paraId="3D16C5B9">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1375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14:paraId="099D32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noWrap w:val="0"/>
            <w:vAlign w:val="center"/>
          </w:tcPr>
          <w:p w14:paraId="51AACDB5">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3260" w:type="dxa"/>
            <w:noWrap w:val="0"/>
            <w:vAlign w:val="center"/>
          </w:tcPr>
          <w:p w14:paraId="360BBAB3">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34" w:type="dxa"/>
            <w:noWrap w:val="0"/>
            <w:vAlign w:val="center"/>
          </w:tcPr>
          <w:p w14:paraId="63A505C3">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密封情况</w:t>
            </w:r>
          </w:p>
        </w:tc>
        <w:tc>
          <w:tcPr>
            <w:tcW w:w="1559" w:type="dxa"/>
            <w:tcBorders>
              <w:right w:val="single" w:color="auto" w:sz="4" w:space="0"/>
            </w:tcBorders>
            <w:noWrap w:val="0"/>
            <w:vAlign w:val="center"/>
          </w:tcPr>
          <w:p w14:paraId="2A88A6AE">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tc>
        <w:tc>
          <w:tcPr>
            <w:tcW w:w="1560" w:type="dxa"/>
            <w:tcBorders>
              <w:left w:val="single" w:color="auto" w:sz="4" w:space="0"/>
            </w:tcBorders>
            <w:noWrap w:val="0"/>
            <w:vAlign w:val="center"/>
          </w:tcPr>
          <w:p w14:paraId="501A2714">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安全文明施工费暂定金额</w:t>
            </w:r>
          </w:p>
        </w:tc>
        <w:tc>
          <w:tcPr>
            <w:tcW w:w="1275" w:type="dxa"/>
            <w:noWrap w:val="0"/>
            <w:vAlign w:val="center"/>
          </w:tcPr>
          <w:p w14:paraId="4C5B98BA">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993" w:type="dxa"/>
            <w:noWrap w:val="0"/>
            <w:vAlign w:val="center"/>
          </w:tcPr>
          <w:p w14:paraId="224D1E71">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1285" w:type="dxa"/>
            <w:noWrap w:val="0"/>
            <w:vAlign w:val="center"/>
          </w:tcPr>
          <w:p w14:paraId="25DA764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947" w:type="dxa"/>
            <w:noWrap w:val="0"/>
            <w:vAlign w:val="center"/>
          </w:tcPr>
          <w:p w14:paraId="7E07E5B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1311" w:type="dxa"/>
            <w:noWrap w:val="0"/>
            <w:vAlign w:val="center"/>
          </w:tcPr>
          <w:p w14:paraId="25687DA1">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14:paraId="4E95A3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192CB43F">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5537D573">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041DDEA0">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BCC3743">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2EE2CC52">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7647FD89">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39C4A5C4">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2A557245">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182F8B66">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2BDD5FD9">
            <w:pPr>
              <w:autoSpaceDE w:val="0"/>
              <w:autoSpaceDN w:val="0"/>
              <w:adjustRightInd w:val="0"/>
              <w:snapToGrid w:val="0"/>
              <w:jc w:val="left"/>
              <w:rPr>
                <w:rFonts w:ascii="宋体" w:hAnsi="宋体"/>
                <w:snapToGrid w:val="0"/>
                <w:color w:val="auto"/>
                <w:kern w:val="0"/>
                <w:sz w:val="28"/>
                <w:szCs w:val="28"/>
                <w:highlight w:val="none"/>
              </w:rPr>
            </w:pPr>
          </w:p>
        </w:tc>
      </w:tr>
      <w:tr w14:paraId="5D40A0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59443D30">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5362BF2A">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50F22E9C">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C5369BE">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39108E56">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EA3BE57">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5AD37DA5">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4D9D9F5C">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F1B96CA">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45ECAD2F">
            <w:pPr>
              <w:autoSpaceDE w:val="0"/>
              <w:autoSpaceDN w:val="0"/>
              <w:adjustRightInd w:val="0"/>
              <w:snapToGrid w:val="0"/>
              <w:jc w:val="left"/>
              <w:rPr>
                <w:rFonts w:ascii="宋体" w:hAnsi="宋体"/>
                <w:snapToGrid w:val="0"/>
                <w:color w:val="auto"/>
                <w:kern w:val="0"/>
                <w:sz w:val="28"/>
                <w:szCs w:val="28"/>
                <w:highlight w:val="none"/>
              </w:rPr>
            </w:pPr>
          </w:p>
        </w:tc>
      </w:tr>
      <w:tr w14:paraId="7628FF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2003CFA6">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696304E3">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21F9FF0C">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760C00B9">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3D939856">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2BC5AABC">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580F88F1">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5C784948">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FAFD63F">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1F97F1C4">
            <w:pPr>
              <w:autoSpaceDE w:val="0"/>
              <w:autoSpaceDN w:val="0"/>
              <w:adjustRightInd w:val="0"/>
              <w:snapToGrid w:val="0"/>
              <w:jc w:val="left"/>
              <w:rPr>
                <w:rFonts w:ascii="宋体" w:hAnsi="宋体"/>
                <w:snapToGrid w:val="0"/>
                <w:color w:val="auto"/>
                <w:kern w:val="0"/>
                <w:sz w:val="28"/>
                <w:szCs w:val="28"/>
                <w:highlight w:val="none"/>
              </w:rPr>
            </w:pPr>
          </w:p>
        </w:tc>
      </w:tr>
      <w:tr w14:paraId="704DB0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4FD9A089">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3A508F5E">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524236CD">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108D6451">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44528705">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3B400C90">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25692D64">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7CECE81A">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41ACDD8">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104F3AB8">
            <w:pPr>
              <w:autoSpaceDE w:val="0"/>
              <w:autoSpaceDN w:val="0"/>
              <w:adjustRightInd w:val="0"/>
              <w:snapToGrid w:val="0"/>
              <w:jc w:val="left"/>
              <w:rPr>
                <w:rFonts w:ascii="宋体" w:hAnsi="宋体"/>
                <w:snapToGrid w:val="0"/>
                <w:color w:val="auto"/>
                <w:kern w:val="0"/>
                <w:sz w:val="28"/>
                <w:szCs w:val="28"/>
                <w:highlight w:val="none"/>
              </w:rPr>
            </w:pPr>
          </w:p>
        </w:tc>
      </w:tr>
      <w:tr w14:paraId="6A2580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54699F71">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48BBBD43">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229333DD">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9276861">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1C7C989E">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684C682C">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28D454BC">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3F2AE6AA">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482B64FC">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69BC55EB">
            <w:pPr>
              <w:autoSpaceDE w:val="0"/>
              <w:autoSpaceDN w:val="0"/>
              <w:adjustRightInd w:val="0"/>
              <w:snapToGrid w:val="0"/>
              <w:jc w:val="left"/>
              <w:rPr>
                <w:rFonts w:ascii="宋体" w:hAnsi="宋体"/>
                <w:snapToGrid w:val="0"/>
                <w:color w:val="auto"/>
                <w:kern w:val="0"/>
                <w:sz w:val="28"/>
                <w:szCs w:val="28"/>
                <w:highlight w:val="none"/>
              </w:rPr>
            </w:pPr>
          </w:p>
        </w:tc>
      </w:tr>
      <w:tr w14:paraId="398E46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0B11A0C3">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704B5530">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0FE8E44D">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67DFA9F7">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53C1DA8E">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752F44BF">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2A5EE568">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0996098F">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2AB3EDE1">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3E38D3AD">
            <w:pPr>
              <w:autoSpaceDE w:val="0"/>
              <w:autoSpaceDN w:val="0"/>
              <w:adjustRightInd w:val="0"/>
              <w:snapToGrid w:val="0"/>
              <w:jc w:val="left"/>
              <w:rPr>
                <w:rFonts w:ascii="宋体" w:hAnsi="宋体"/>
                <w:snapToGrid w:val="0"/>
                <w:color w:val="auto"/>
                <w:kern w:val="0"/>
                <w:sz w:val="28"/>
                <w:szCs w:val="28"/>
                <w:highlight w:val="none"/>
              </w:rPr>
            </w:pPr>
          </w:p>
        </w:tc>
      </w:tr>
      <w:tr w14:paraId="39EAAC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noWrap w:val="0"/>
            <w:vAlign w:val="center"/>
          </w:tcPr>
          <w:p w14:paraId="61879C87">
            <w:pPr>
              <w:autoSpaceDE w:val="0"/>
              <w:autoSpaceDN w:val="0"/>
              <w:adjustRightInd w:val="0"/>
              <w:snapToGrid w:val="0"/>
              <w:jc w:val="left"/>
              <w:rPr>
                <w:rFonts w:ascii="宋体" w:hAnsi="宋体"/>
                <w:snapToGrid w:val="0"/>
                <w:color w:val="auto"/>
                <w:kern w:val="0"/>
                <w:sz w:val="28"/>
                <w:szCs w:val="28"/>
                <w:highlight w:val="none"/>
              </w:rPr>
            </w:pPr>
          </w:p>
        </w:tc>
        <w:tc>
          <w:tcPr>
            <w:tcW w:w="3260" w:type="dxa"/>
            <w:noWrap w:val="0"/>
            <w:vAlign w:val="center"/>
          </w:tcPr>
          <w:p w14:paraId="3DDA5944">
            <w:pPr>
              <w:autoSpaceDE w:val="0"/>
              <w:autoSpaceDN w:val="0"/>
              <w:adjustRightInd w:val="0"/>
              <w:snapToGrid w:val="0"/>
              <w:jc w:val="left"/>
              <w:rPr>
                <w:rFonts w:ascii="宋体" w:hAnsi="宋体"/>
                <w:snapToGrid w:val="0"/>
                <w:color w:val="auto"/>
                <w:kern w:val="0"/>
                <w:sz w:val="28"/>
                <w:szCs w:val="28"/>
                <w:highlight w:val="none"/>
              </w:rPr>
            </w:pPr>
          </w:p>
        </w:tc>
        <w:tc>
          <w:tcPr>
            <w:tcW w:w="1134" w:type="dxa"/>
            <w:noWrap w:val="0"/>
            <w:vAlign w:val="center"/>
          </w:tcPr>
          <w:p w14:paraId="72F3F50C">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noWrap w:val="0"/>
            <w:vAlign w:val="center"/>
          </w:tcPr>
          <w:p w14:paraId="38959688">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noWrap w:val="0"/>
            <w:vAlign w:val="center"/>
          </w:tcPr>
          <w:p w14:paraId="0D63E12C">
            <w:pPr>
              <w:autoSpaceDE w:val="0"/>
              <w:autoSpaceDN w:val="0"/>
              <w:adjustRightInd w:val="0"/>
              <w:snapToGrid w:val="0"/>
              <w:jc w:val="left"/>
              <w:rPr>
                <w:rFonts w:ascii="宋体" w:hAnsi="宋体"/>
                <w:snapToGrid w:val="0"/>
                <w:color w:val="auto"/>
                <w:kern w:val="0"/>
                <w:sz w:val="28"/>
                <w:szCs w:val="28"/>
                <w:highlight w:val="none"/>
              </w:rPr>
            </w:pPr>
          </w:p>
        </w:tc>
        <w:tc>
          <w:tcPr>
            <w:tcW w:w="1275" w:type="dxa"/>
            <w:noWrap w:val="0"/>
            <w:vAlign w:val="center"/>
          </w:tcPr>
          <w:p w14:paraId="15683913">
            <w:pPr>
              <w:autoSpaceDE w:val="0"/>
              <w:autoSpaceDN w:val="0"/>
              <w:adjustRightInd w:val="0"/>
              <w:snapToGrid w:val="0"/>
              <w:jc w:val="left"/>
              <w:rPr>
                <w:rFonts w:ascii="宋体" w:hAnsi="宋体"/>
                <w:snapToGrid w:val="0"/>
                <w:color w:val="auto"/>
                <w:kern w:val="0"/>
                <w:sz w:val="28"/>
                <w:szCs w:val="28"/>
                <w:highlight w:val="none"/>
              </w:rPr>
            </w:pPr>
          </w:p>
        </w:tc>
        <w:tc>
          <w:tcPr>
            <w:tcW w:w="993" w:type="dxa"/>
            <w:noWrap w:val="0"/>
            <w:vAlign w:val="center"/>
          </w:tcPr>
          <w:p w14:paraId="5A46611D">
            <w:pPr>
              <w:autoSpaceDE w:val="0"/>
              <w:autoSpaceDN w:val="0"/>
              <w:adjustRightInd w:val="0"/>
              <w:snapToGrid w:val="0"/>
              <w:jc w:val="left"/>
              <w:rPr>
                <w:rFonts w:ascii="宋体" w:hAnsi="宋体"/>
                <w:snapToGrid w:val="0"/>
                <w:color w:val="auto"/>
                <w:kern w:val="0"/>
                <w:sz w:val="28"/>
                <w:szCs w:val="28"/>
                <w:highlight w:val="none"/>
              </w:rPr>
            </w:pPr>
          </w:p>
        </w:tc>
        <w:tc>
          <w:tcPr>
            <w:tcW w:w="1285" w:type="dxa"/>
            <w:noWrap w:val="0"/>
            <w:vAlign w:val="center"/>
          </w:tcPr>
          <w:p w14:paraId="7C1707E4">
            <w:pPr>
              <w:autoSpaceDE w:val="0"/>
              <w:autoSpaceDN w:val="0"/>
              <w:adjustRightInd w:val="0"/>
              <w:snapToGrid w:val="0"/>
              <w:jc w:val="left"/>
              <w:rPr>
                <w:rFonts w:ascii="宋体" w:hAnsi="宋体"/>
                <w:snapToGrid w:val="0"/>
                <w:color w:val="auto"/>
                <w:kern w:val="0"/>
                <w:sz w:val="28"/>
                <w:szCs w:val="28"/>
                <w:highlight w:val="none"/>
              </w:rPr>
            </w:pPr>
          </w:p>
        </w:tc>
        <w:tc>
          <w:tcPr>
            <w:tcW w:w="947" w:type="dxa"/>
            <w:noWrap w:val="0"/>
            <w:vAlign w:val="center"/>
          </w:tcPr>
          <w:p w14:paraId="36745066">
            <w:pPr>
              <w:autoSpaceDE w:val="0"/>
              <w:autoSpaceDN w:val="0"/>
              <w:adjustRightInd w:val="0"/>
              <w:snapToGrid w:val="0"/>
              <w:jc w:val="left"/>
              <w:rPr>
                <w:rFonts w:ascii="宋体" w:hAnsi="宋体"/>
                <w:snapToGrid w:val="0"/>
                <w:color w:val="auto"/>
                <w:kern w:val="0"/>
                <w:sz w:val="28"/>
                <w:szCs w:val="28"/>
                <w:highlight w:val="none"/>
              </w:rPr>
            </w:pPr>
          </w:p>
        </w:tc>
        <w:tc>
          <w:tcPr>
            <w:tcW w:w="1311" w:type="dxa"/>
            <w:noWrap w:val="0"/>
            <w:vAlign w:val="center"/>
          </w:tcPr>
          <w:p w14:paraId="53561B49">
            <w:pPr>
              <w:autoSpaceDE w:val="0"/>
              <w:autoSpaceDN w:val="0"/>
              <w:adjustRightInd w:val="0"/>
              <w:snapToGrid w:val="0"/>
              <w:jc w:val="left"/>
              <w:rPr>
                <w:rFonts w:ascii="宋体" w:hAnsi="宋体"/>
                <w:snapToGrid w:val="0"/>
                <w:color w:val="auto"/>
                <w:kern w:val="0"/>
                <w:sz w:val="28"/>
                <w:szCs w:val="28"/>
                <w:highlight w:val="none"/>
              </w:rPr>
            </w:pPr>
          </w:p>
        </w:tc>
      </w:tr>
      <w:tr w14:paraId="458D0C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noWrap w:val="0"/>
            <w:vAlign w:val="center"/>
          </w:tcPr>
          <w:p w14:paraId="37E5A839">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10064" w:type="dxa"/>
            <w:gridSpan w:val="8"/>
            <w:noWrap w:val="0"/>
            <w:vAlign w:val="center"/>
          </w:tcPr>
          <w:p w14:paraId="3A5A9CEE">
            <w:pPr>
              <w:autoSpaceDE w:val="0"/>
              <w:autoSpaceDN w:val="0"/>
              <w:adjustRightInd w:val="0"/>
              <w:snapToGrid w:val="0"/>
              <w:jc w:val="left"/>
              <w:rPr>
                <w:rFonts w:ascii="宋体" w:hAnsi="宋体"/>
                <w:snapToGrid w:val="0"/>
                <w:color w:val="auto"/>
                <w:kern w:val="0"/>
                <w:szCs w:val="21"/>
                <w:highlight w:val="none"/>
              </w:rPr>
            </w:pPr>
          </w:p>
        </w:tc>
      </w:tr>
      <w:tr w14:paraId="14C418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noWrap w:val="0"/>
            <w:vAlign w:val="center"/>
          </w:tcPr>
          <w:p w14:paraId="316E3C84">
            <w:pPr>
              <w:autoSpaceDE w:val="0"/>
              <w:autoSpaceDN w:val="0"/>
              <w:adjustRightInd w:val="0"/>
              <w:snapToGrid w:val="0"/>
              <w:jc w:val="center"/>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lang w:eastAsia="zh-CN"/>
              </w:rPr>
              <w:t>异常情况</w:t>
            </w:r>
          </w:p>
        </w:tc>
        <w:tc>
          <w:tcPr>
            <w:tcW w:w="10064" w:type="dxa"/>
            <w:gridSpan w:val="8"/>
            <w:tcBorders>
              <w:bottom w:val="single" w:color="auto" w:sz="4" w:space="0"/>
            </w:tcBorders>
            <w:noWrap w:val="0"/>
            <w:vAlign w:val="center"/>
          </w:tcPr>
          <w:p w14:paraId="488BF962">
            <w:pPr>
              <w:autoSpaceDE w:val="0"/>
              <w:autoSpaceDN w:val="0"/>
              <w:adjustRightInd w:val="0"/>
              <w:snapToGrid w:val="0"/>
              <w:jc w:val="left"/>
              <w:rPr>
                <w:rFonts w:ascii="宋体" w:hAnsi="宋体"/>
                <w:snapToGrid w:val="0"/>
                <w:color w:val="auto"/>
                <w:kern w:val="0"/>
                <w:szCs w:val="21"/>
                <w:highlight w:val="none"/>
              </w:rPr>
            </w:pPr>
          </w:p>
        </w:tc>
      </w:tr>
    </w:tbl>
    <w:p w14:paraId="40DBD548">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4A8E3483">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color w:val="auto"/>
          <w:w w:val="200"/>
          <w:kern w:val="0"/>
          <w:szCs w:val="21"/>
          <w:highlight w:val="none"/>
          <w:u w:val="single"/>
        </w:rPr>
      </w:pP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2724F4BA">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0BEA7DB8">
      <w:pPr>
        <w:autoSpaceDE w:val="0"/>
        <w:autoSpaceDN w:val="0"/>
        <w:adjustRightInd w:val="0"/>
        <w:snapToGrid w:val="0"/>
        <w:spacing w:before="62" w:beforeLines="20" w:line="360" w:lineRule="auto"/>
        <w:jc w:val="center"/>
        <w:rPr>
          <w:rFonts w:ascii="宋体" w:hAnsi="宋体" w:cs="MingLiU"/>
          <w:snapToGrid w:val="0"/>
          <w:color w:val="auto"/>
          <w:w w:val="200"/>
          <w:kern w:val="0"/>
          <w:szCs w:val="21"/>
          <w:highlight w:val="none"/>
          <w:u w:val="single"/>
        </w:rPr>
        <w:sectPr>
          <w:pgSz w:w="16838" w:h="11906" w:orient="landscape"/>
          <w:pgMar w:top="1304" w:right="1304" w:bottom="1134" w:left="1304" w:header="851" w:footer="992" w:gutter="0"/>
          <w:cols w:space="720" w:num="1"/>
          <w:docGrid w:type="lines" w:linePitch="312" w:charSpace="0"/>
        </w:sectPr>
      </w:pPr>
      <w:r>
        <w:rPr>
          <w:rFonts w:ascii="宋体" w:hAnsi="宋体"/>
          <w:snapToGrid w:val="0"/>
          <w:color w:val="auto"/>
          <w:kern w:val="0"/>
          <w:sz w:val="24"/>
          <w:highlight w:val="none"/>
        </w:rPr>
        <w:br w:type="page"/>
      </w:r>
    </w:p>
    <w:p w14:paraId="5174DF34">
      <w:pPr>
        <w:autoSpaceDE w:val="0"/>
        <w:autoSpaceDN w:val="0"/>
        <w:adjustRightInd w:val="0"/>
        <w:snapToGrid w:val="0"/>
        <w:spacing w:line="360" w:lineRule="auto"/>
        <w:jc w:val="left"/>
        <w:rPr>
          <w:rFonts w:hint="eastAsia" w:ascii="宋体" w:hAnsi="宋体"/>
          <w:b/>
          <w:snapToGrid w:val="0"/>
          <w:color w:val="auto"/>
          <w:kern w:val="0"/>
          <w:highlight w:val="none"/>
        </w:rPr>
      </w:pPr>
    </w:p>
    <w:p w14:paraId="1EC0EF83">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：问题澄清通知</w:t>
      </w:r>
    </w:p>
    <w:p w14:paraId="2E2E931C">
      <w:pPr>
        <w:autoSpaceDE w:val="0"/>
        <w:autoSpaceDN w:val="0"/>
        <w:adjustRightInd w:val="0"/>
        <w:snapToGrid w:val="0"/>
        <w:spacing w:line="360" w:lineRule="auto"/>
        <w:jc w:val="left"/>
        <w:rPr>
          <w:rFonts w:ascii="宋体" w:hAnsi="宋体"/>
          <w:b/>
          <w:snapToGrid w:val="0"/>
          <w:color w:val="auto"/>
          <w:kern w:val="0"/>
          <w:sz w:val="24"/>
          <w:highlight w:val="none"/>
        </w:rPr>
      </w:pPr>
    </w:p>
    <w:p w14:paraId="7FD8E09B">
      <w:pPr>
        <w:autoSpaceDE w:val="0"/>
        <w:autoSpaceDN w:val="0"/>
        <w:adjustRightInd w:val="0"/>
        <w:snapToGrid w:val="0"/>
        <w:spacing w:line="360" w:lineRule="auto"/>
        <w:jc w:val="center"/>
        <w:rPr>
          <w:rFonts w:hint="eastAsia"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14:paraId="6C5EF9E8">
      <w:pPr>
        <w:autoSpaceDE w:val="0"/>
        <w:autoSpaceDN w:val="0"/>
        <w:adjustRightInd w:val="0"/>
        <w:snapToGrid w:val="0"/>
        <w:spacing w:line="360" w:lineRule="auto"/>
        <w:jc w:val="left"/>
        <w:rPr>
          <w:rFonts w:ascii="宋体" w:hAnsi="宋体"/>
          <w:b/>
          <w:snapToGrid w:val="0"/>
          <w:color w:val="auto"/>
          <w:kern w:val="0"/>
          <w:sz w:val="24"/>
          <w:highlight w:val="none"/>
        </w:rPr>
      </w:pPr>
    </w:p>
    <w:p w14:paraId="769E8135">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1D9A0AA8">
      <w:pPr>
        <w:autoSpaceDE w:val="0"/>
        <w:autoSpaceDN w:val="0"/>
        <w:adjustRightInd w:val="0"/>
        <w:snapToGrid w:val="0"/>
        <w:spacing w:line="360" w:lineRule="auto"/>
        <w:jc w:val="left"/>
        <w:rPr>
          <w:rFonts w:ascii="宋体" w:hAnsi="宋体"/>
          <w:b/>
          <w:snapToGrid w:val="0"/>
          <w:color w:val="auto"/>
          <w:kern w:val="0"/>
          <w:sz w:val="24"/>
          <w:highlight w:val="none"/>
        </w:rPr>
      </w:pPr>
    </w:p>
    <w:p w14:paraId="75DEC6BB">
      <w:pPr>
        <w:autoSpaceDE w:val="0"/>
        <w:autoSpaceDN w:val="0"/>
        <w:adjustRightInd w:val="0"/>
        <w:snapToGrid w:val="0"/>
        <w:spacing w:line="360" w:lineRule="auto"/>
        <w:rPr>
          <w:rFonts w:ascii="宋体" w:hAnsi="宋体"/>
          <w:snapToGrid w:val="0"/>
          <w:color w:val="auto"/>
          <w:kern w:val="0"/>
          <w:sz w:val="28"/>
          <w:szCs w:val="28"/>
          <w:highlight w:val="none"/>
        </w:rPr>
      </w:pPr>
    </w:p>
    <w:p w14:paraId="4719376E">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（投标人名称）：</w:t>
      </w:r>
    </w:p>
    <w:p w14:paraId="562AB95A">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的评标委员会，对你方的投标文件进行了仔细的审查，现需你方对下列问题以书面形式予以澄清：</w:t>
      </w:r>
    </w:p>
    <w:p w14:paraId="710F91FB">
      <w:pPr>
        <w:autoSpaceDE w:val="0"/>
        <w:autoSpaceDN w:val="0"/>
        <w:adjustRightInd w:val="0"/>
        <w:snapToGrid w:val="0"/>
        <w:spacing w:line="360" w:lineRule="auto"/>
        <w:jc w:val="left"/>
        <w:rPr>
          <w:rFonts w:hint="eastAsia" w:ascii="宋体" w:hAnsi="宋体"/>
          <w:snapToGrid w:val="0"/>
          <w:color w:val="auto"/>
          <w:kern w:val="0"/>
          <w:sz w:val="24"/>
          <w:highlight w:val="none"/>
        </w:rPr>
      </w:pPr>
    </w:p>
    <w:p w14:paraId="78A3216A">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088FB634">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1E2FD069">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850989E">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12C889E">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6F81308">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398B33D2">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2A91652B">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7E8D179C">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1CFEDD37">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219990C5">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3C1DC927">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时前递交至</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（详细地址）或传真至</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（传真号码）。采用传真方式的，应在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时前将原件递交至</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（详细地址）。</w:t>
      </w:r>
    </w:p>
    <w:p w14:paraId="57EF5A4E">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688FD97">
      <w:pPr>
        <w:autoSpaceDE w:val="0"/>
        <w:autoSpaceDN w:val="0"/>
        <w:adjustRightInd w:val="0"/>
        <w:snapToGrid w:val="0"/>
        <w:spacing w:line="360" w:lineRule="auto"/>
        <w:jc w:val="left"/>
        <w:rPr>
          <w:rFonts w:ascii="宋体" w:hAnsi="宋体"/>
          <w:snapToGrid w:val="0"/>
          <w:color w:val="auto"/>
          <w:kern w:val="0"/>
          <w:sz w:val="28"/>
          <w:szCs w:val="28"/>
          <w:highlight w:val="none"/>
        </w:rPr>
      </w:pPr>
    </w:p>
    <w:p w14:paraId="48CBD8F2">
      <w:pPr>
        <w:tabs>
          <w:tab w:val="left" w:pos="6400"/>
        </w:tabs>
        <w:autoSpaceDE w:val="0"/>
        <w:autoSpaceDN w:val="0"/>
        <w:adjustRightInd w:val="0"/>
        <w:snapToGrid w:val="0"/>
        <w:spacing w:line="360" w:lineRule="auto"/>
        <w:jc w:val="right"/>
        <w:rPr>
          <w:rFonts w:ascii="宋体" w:hAnsi="宋体"/>
          <w:snapToGrid w:val="0"/>
          <w:color w:val="auto"/>
          <w:kern w:val="0"/>
          <w:sz w:val="24"/>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r>
        <w:rPr>
          <w:rFonts w:ascii="宋体" w:hAnsi="宋体"/>
          <w:snapToGrid w:val="0"/>
          <w:color w:val="auto"/>
          <w:kern w:val="0"/>
          <w:sz w:val="24"/>
          <w:highlight w:val="none"/>
        </w:rPr>
        <w:t xml:space="preserve"> </w:t>
      </w:r>
    </w:p>
    <w:p w14:paraId="66EE80F8">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14:paraId="49E780A6">
      <w:pPr>
        <w:wordWrap w:val="0"/>
        <w:autoSpaceDE w:val="0"/>
        <w:autoSpaceDN w:val="0"/>
        <w:adjustRightInd w:val="0"/>
        <w:snapToGrid w:val="0"/>
        <w:spacing w:line="360" w:lineRule="auto"/>
        <w:ind w:firstLine="850" w:firstLineChars="405"/>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0A851F17">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三</w:t>
      </w:r>
      <w:r>
        <w:rPr>
          <w:rFonts w:ascii="宋体" w:hAnsi="宋体"/>
          <w:b/>
          <w:snapToGrid w:val="0"/>
          <w:color w:val="auto"/>
          <w:kern w:val="0"/>
          <w:highlight w:val="none"/>
        </w:rPr>
        <w:t>：问题的澄清</w:t>
      </w:r>
    </w:p>
    <w:p w14:paraId="7C44418A">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220252CF">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287F0D3A">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rPr>
      </w:pPr>
    </w:p>
    <w:p w14:paraId="45AE1B49">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083CF189">
      <w:pPr>
        <w:autoSpaceDE w:val="0"/>
        <w:autoSpaceDN w:val="0"/>
        <w:adjustRightInd w:val="0"/>
        <w:snapToGrid w:val="0"/>
        <w:spacing w:line="360" w:lineRule="auto"/>
        <w:ind w:firstLine="3150" w:firstLineChars="1500"/>
        <w:rPr>
          <w:rFonts w:hint="eastAsia" w:ascii="宋体" w:hAnsi="宋体"/>
          <w:snapToGrid w:val="0"/>
          <w:color w:val="auto"/>
          <w:kern w:val="0"/>
          <w:szCs w:val="21"/>
          <w:highlight w:val="none"/>
        </w:rPr>
      </w:pPr>
    </w:p>
    <w:p w14:paraId="75534A16">
      <w:pPr>
        <w:autoSpaceDE w:val="0"/>
        <w:autoSpaceDN w:val="0"/>
        <w:adjustRightInd w:val="0"/>
        <w:snapToGrid w:val="0"/>
        <w:spacing w:line="360" w:lineRule="auto"/>
        <w:ind w:firstLine="3150" w:firstLineChars="1500"/>
        <w:rPr>
          <w:rFonts w:hint="eastAsia" w:ascii="宋体" w:hAnsi="宋体"/>
          <w:snapToGrid w:val="0"/>
          <w:color w:val="auto"/>
          <w:kern w:val="0"/>
          <w:szCs w:val="21"/>
          <w:highlight w:val="none"/>
        </w:rPr>
      </w:pPr>
    </w:p>
    <w:p w14:paraId="3F58B58A">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评标委员会：</w:t>
      </w:r>
    </w:p>
    <w:p w14:paraId="1593E866">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766FD1E8">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811DC57">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22A9231C">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4BA74C65">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67E466B6">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18F703FE">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18B1973B">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1BB72F11">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0F802294">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4544CB0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463EBBF">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07005322">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62081717">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68E28855">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7AB33919">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305B28AD">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48E87460">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24E428E2">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4369ADA6">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3180F7D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58E4E6B6">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4DB6636B">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（签字或盖章）</w:t>
      </w:r>
    </w:p>
    <w:p w14:paraId="4203999B">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0CB62319">
      <w:pPr>
        <w:wordWrap w:val="0"/>
        <w:autoSpaceDE w:val="0"/>
        <w:autoSpaceDN w:val="0"/>
        <w:adjustRightInd w:val="0"/>
        <w:snapToGrid w:val="0"/>
        <w:spacing w:line="360" w:lineRule="auto"/>
        <w:ind w:firstLine="315" w:firstLineChars="15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1B7203A8">
      <w:pPr>
        <w:autoSpaceDE w:val="0"/>
        <w:autoSpaceDN w:val="0"/>
        <w:adjustRightInd w:val="0"/>
        <w:snapToGrid w:val="0"/>
        <w:spacing w:line="360" w:lineRule="auto"/>
        <w:jc w:val="left"/>
        <w:rPr>
          <w:rFonts w:ascii="宋体" w:hAnsi="宋体"/>
          <w:b/>
          <w:snapToGrid w:val="0"/>
          <w:color w:val="auto"/>
          <w:kern w:val="0"/>
          <w:sz w:val="24"/>
          <w:highlight w:val="none"/>
        </w:rPr>
      </w:pPr>
    </w:p>
    <w:p w14:paraId="07333EB0">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四</w:t>
      </w:r>
      <w:r>
        <w:rPr>
          <w:rFonts w:ascii="宋体" w:hAnsi="宋体"/>
          <w:b/>
          <w:snapToGrid w:val="0"/>
          <w:color w:val="auto"/>
          <w:kern w:val="0"/>
          <w:highlight w:val="none"/>
        </w:rPr>
        <w:t>：中标通知书</w:t>
      </w:r>
    </w:p>
    <w:p w14:paraId="0357EFB0">
      <w:pPr>
        <w:autoSpaceDE w:val="0"/>
        <w:autoSpaceDN w:val="0"/>
        <w:adjustRightInd w:val="0"/>
        <w:spacing w:line="360" w:lineRule="auto"/>
        <w:jc w:val="left"/>
        <w:rPr>
          <w:rFonts w:hint="eastAsia" w:ascii="宋体" w:hAnsi="宋体"/>
          <w:snapToGrid w:val="0"/>
          <w:color w:val="auto"/>
          <w:kern w:val="0"/>
          <w:sz w:val="20"/>
          <w:szCs w:val="20"/>
          <w:highlight w:val="none"/>
        </w:rPr>
      </w:pPr>
    </w:p>
    <w:p w14:paraId="1481D6A1">
      <w:pPr>
        <w:autoSpaceDE w:val="0"/>
        <w:autoSpaceDN w:val="0"/>
        <w:adjustRightInd w:val="0"/>
        <w:spacing w:line="360" w:lineRule="auto"/>
        <w:jc w:val="left"/>
        <w:rPr>
          <w:rFonts w:hint="eastAsia" w:ascii="宋体" w:hAnsi="宋体"/>
          <w:snapToGrid w:val="0"/>
          <w:color w:val="auto"/>
          <w:kern w:val="0"/>
          <w:sz w:val="20"/>
          <w:szCs w:val="20"/>
          <w:highlight w:val="none"/>
        </w:rPr>
      </w:pPr>
    </w:p>
    <w:p w14:paraId="7AD2CF14">
      <w:pPr>
        <w:autoSpaceDE w:val="0"/>
        <w:autoSpaceDN w:val="0"/>
        <w:adjustRightInd w:val="0"/>
        <w:spacing w:line="360" w:lineRule="auto"/>
        <w:jc w:val="left"/>
        <w:rPr>
          <w:rFonts w:ascii="宋体" w:hAnsi="宋体"/>
          <w:snapToGrid w:val="0"/>
          <w:color w:val="auto"/>
          <w:kern w:val="0"/>
          <w:sz w:val="20"/>
          <w:szCs w:val="20"/>
          <w:highlight w:val="none"/>
        </w:rPr>
      </w:pPr>
    </w:p>
    <w:p w14:paraId="6AE4945F">
      <w:pPr>
        <w:autoSpaceDE w:val="0"/>
        <w:autoSpaceDN w:val="0"/>
        <w:adjustRightInd w:val="0"/>
        <w:snapToGrid w:val="0"/>
        <w:spacing w:line="360" w:lineRule="auto"/>
        <w:jc w:val="center"/>
        <w:rPr>
          <w:rFonts w:hint="eastAsia"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重庆市建设工程中标通知书</w:t>
      </w:r>
    </w:p>
    <w:p w14:paraId="1A82254F">
      <w:pPr>
        <w:spacing w:line="360" w:lineRule="auto"/>
        <w:rPr>
          <w:rFonts w:hint="eastAsia" w:ascii="宋体" w:hAnsi="宋体"/>
          <w:bCs/>
          <w:color w:val="auto"/>
          <w:kern w:val="0"/>
          <w:szCs w:val="21"/>
          <w:highlight w:val="none"/>
          <w:u w:val="single"/>
        </w:rPr>
      </w:pPr>
      <w:r>
        <w:rPr>
          <w:rFonts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Cs w:val="21"/>
          <w:highlight w:val="none"/>
          <w:u w:val="single"/>
        </w:rPr>
        <w:t xml:space="preserve">               </w:t>
      </w:r>
      <w:r>
        <w:rPr>
          <w:rFonts w:ascii="宋体" w:hAnsi="宋体"/>
          <w:bCs/>
          <w:color w:val="auto"/>
          <w:kern w:val="0"/>
          <w:szCs w:val="21"/>
          <w:highlight w:val="none"/>
        </w:rPr>
        <w:t>：</w:t>
      </w:r>
    </w:p>
    <w:p w14:paraId="6925E774">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（项目名称）</w:t>
      </w:r>
      <w:r>
        <w:rPr>
          <w:rFonts w:ascii="宋体" w:hAnsi="宋体"/>
          <w:bCs/>
          <w:color w:val="auto"/>
          <w:kern w:val="0"/>
          <w:szCs w:val="21"/>
          <w:highlight w:val="none"/>
          <w:u w:val="single"/>
        </w:rPr>
        <w:t xml:space="preserve">     </w:t>
      </w:r>
      <w:r>
        <w:rPr>
          <w:rFonts w:ascii="宋体" w:hAnsi="宋体"/>
          <w:color w:val="auto"/>
          <w:kern w:val="0"/>
          <w:szCs w:val="21"/>
          <w:highlight w:val="none"/>
        </w:rPr>
        <w:t>于</w:t>
      </w:r>
      <w:r>
        <w:rPr>
          <w:rFonts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日开标，经评标委员会评定，确定你单位为中标人，中标额为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（其中含安全文明施工费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）。中标工程范围：</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，工程规模为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，中标工期 </w:t>
      </w:r>
      <w:r>
        <w:rPr>
          <w:rFonts w:ascii="宋体" w:hAnsi="宋体"/>
          <w:bCs/>
          <w:color w:val="auto"/>
          <w:kern w:val="0"/>
          <w:szCs w:val="21"/>
          <w:highlight w:val="none"/>
          <w:u w:val="single"/>
        </w:rPr>
        <w:t xml:space="preserve">   </w:t>
      </w:r>
      <w:r>
        <w:rPr>
          <w:rFonts w:ascii="宋体" w:hAnsi="宋体"/>
          <w:color w:val="auto"/>
          <w:kern w:val="0"/>
          <w:szCs w:val="21"/>
          <w:highlight w:val="none"/>
          <w:u w:val="single"/>
        </w:rPr>
        <w:t>日历天</w:t>
      </w:r>
      <w:r>
        <w:rPr>
          <w:rFonts w:ascii="宋体" w:hAnsi="宋体"/>
          <w:color w:val="auto"/>
          <w:kern w:val="0"/>
          <w:szCs w:val="21"/>
          <w:highlight w:val="none"/>
        </w:rPr>
        <w:t>，工程质量达到国家施工验收规范标准。 项目经理由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p>
    <w:p w14:paraId="2402F24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日内到我单位签订承发包合同。</w:t>
      </w:r>
      <w:r>
        <w:rPr>
          <w:rFonts w:hint="eastAsia" w:ascii="宋体" w:hAnsi="宋体"/>
          <w:color w:val="auto"/>
          <w:kern w:val="0"/>
          <w:szCs w:val="21"/>
          <w:highlight w:val="none"/>
        </w:rPr>
        <w:t>在此之前按</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文件第二章“投标人须知”第7.3款规定向我方提交履约担保。</w:t>
      </w:r>
    </w:p>
    <w:p w14:paraId="7EB4773C">
      <w:pPr>
        <w:spacing w:line="360" w:lineRule="auto"/>
        <w:rPr>
          <w:rFonts w:ascii="宋体" w:hAnsi="宋体"/>
          <w:color w:val="auto"/>
          <w:kern w:val="0"/>
          <w:szCs w:val="21"/>
          <w:highlight w:val="none"/>
        </w:rPr>
      </w:pPr>
      <w:r>
        <w:rPr>
          <w:rFonts w:ascii="宋体" w:hAnsi="宋体"/>
          <w:color w:val="auto"/>
          <w:kern w:val="0"/>
          <w:szCs w:val="21"/>
          <w:highlight w:val="none"/>
        </w:rPr>
        <w:t xml:space="preserve">    特此通知。</w:t>
      </w:r>
    </w:p>
    <w:p w14:paraId="18DE79EF">
      <w:pPr>
        <w:spacing w:line="480" w:lineRule="auto"/>
        <w:rPr>
          <w:rFonts w:ascii="宋体" w:hAnsi="宋体"/>
          <w:color w:val="auto"/>
          <w:kern w:val="0"/>
          <w:sz w:val="24"/>
          <w:highlight w:val="none"/>
        </w:rPr>
      </w:pPr>
    </w:p>
    <w:p w14:paraId="737E017F">
      <w:pPr>
        <w:spacing w:line="480" w:lineRule="auto"/>
        <w:rPr>
          <w:rFonts w:ascii="宋体" w:hAnsi="宋体"/>
          <w:color w:val="auto"/>
          <w:kern w:val="0"/>
          <w:sz w:val="24"/>
          <w:highlight w:val="none"/>
        </w:rPr>
      </w:pPr>
    </w:p>
    <w:p w14:paraId="6D92F469">
      <w:pPr>
        <w:spacing w:line="480" w:lineRule="auto"/>
        <w:rPr>
          <w:rFonts w:ascii="宋体" w:hAnsi="宋体"/>
          <w:color w:val="auto"/>
          <w:kern w:val="0"/>
          <w:sz w:val="24"/>
          <w:highlight w:val="none"/>
        </w:rPr>
      </w:pPr>
    </w:p>
    <w:p w14:paraId="6F1EAD76">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w:t>
      </w:r>
      <w:r>
        <w:rPr>
          <w:rFonts w:hint="eastAsia" w:ascii="宋体" w:hAnsi="宋体"/>
          <w:color w:val="auto"/>
          <w:kern w:val="0"/>
          <w:sz w:val="24"/>
          <w:highlight w:val="none"/>
          <w:lang w:eastAsia="zh-CN"/>
        </w:rPr>
        <w:t>比选</w:t>
      </w:r>
      <w:r>
        <w:rPr>
          <w:rFonts w:ascii="宋体" w:hAnsi="宋体"/>
          <w:color w:val="auto"/>
          <w:kern w:val="0"/>
          <w:sz w:val="24"/>
          <w:highlight w:val="none"/>
        </w:rPr>
        <w:t>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w:t>
      </w:r>
      <w:r>
        <w:rPr>
          <w:rFonts w:ascii="宋体" w:hAnsi="宋体"/>
          <w:snapToGrid w:val="0"/>
          <w:color w:val="auto"/>
          <w:kern w:val="0"/>
          <w:szCs w:val="21"/>
          <w:highlight w:val="none"/>
        </w:rPr>
        <w:t>盖单位法人章</w:t>
      </w:r>
      <w:r>
        <w:rPr>
          <w:rFonts w:ascii="宋体" w:hAnsi="宋体"/>
          <w:color w:val="auto"/>
          <w:kern w:val="0"/>
          <w:sz w:val="24"/>
          <w:highlight w:val="none"/>
        </w:rPr>
        <w:t>）</w:t>
      </w:r>
    </w:p>
    <w:p w14:paraId="23E5A9CA">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法定代表人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（签字或盖章）</w:t>
      </w:r>
    </w:p>
    <w:p w14:paraId="6378F75E">
      <w:pPr>
        <w:spacing w:line="480" w:lineRule="auto"/>
        <w:jc w:val="left"/>
        <w:rPr>
          <w:rFonts w:ascii="宋体" w:hAnsi="宋体"/>
          <w:color w:val="auto"/>
          <w:kern w:val="0"/>
          <w:sz w:val="24"/>
          <w:highlight w:val="none"/>
          <w:u w:val="single"/>
        </w:rPr>
      </w:pPr>
      <w:r>
        <w:rPr>
          <w:rFonts w:ascii="宋体" w:hAnsi="宋体"/>
          <w:color w:val="auto"/>
          <w:kern w:val="0"/>
          <w:sz w:val="24"/>
          <w:highlight w:val="none"/>
        </w:rPr>
        <w:t xml:space="preserve">                                 联系人</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p>
    <w:p w14:paraId="46926CAC">
      <w:pPr>
        <w:spacing w:line="480" w:lineRule="auto"/>
        <w:jc w:val="left"/>
        <w:rPr>
          <w:rFonts w:ascii="宋体" w:hAnsi="宋体"/>
          <w:color w:val="auto"/>
          <w:kern w:val="0"/>
          <w:sz w:val="24"/>
          <w:highlight w:val="none"/>
        </w:rPr>
      </w:pPr>
      <w:r>
        <w:rPr>
          <w:rFonts w:ascii="宋体" w:hAnsi="宋体"/>
          <w:color w:val="auto"/>
          <w:kern w:val="0"/>
          <w:sz w:val="24"/>
          <w:highlight w:val="none"/>
        </w:rPr>
        <w:t xml:space="preserve">                                 联系电话</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p>
    <w:p w14:paraId="0EE5AB08">
      <w:pPr>
        <w:spacing w:line="480" w:lineRule="auto"/>
        <w:jc w:val="right"/>
        <w:rPr>
          <w:rFonts w:hint="eastAsia" w:ascii="宋体" w:hAnsi="宋体"/>
          <w:color w:val="auto"/>
          <w:kern w:val="0"/>
          <w:sz w:val="24"/>
          <w:highlight w:val="none"/>
        </w:rPr>
      </w:pPr>
    </w:p>
    <w:p w14:paraId="367C5AF3">
      <w:pPr>
        <w:spacing w:line="480" w:lineRule="auto"/>
        <w:jc w:val="right"/>
        <w:rPr>
          <w:rFonts w:hint="eastAsia" w:ascii="宋体" w:hAnsi="宋体"/>
          <w:color w:val="auto"/>
          <w:kern w:val="0"/>
          <w:sz w:val="24"/>
          <w:highlight w:val="none"/>
        </w:rPr>
      </w:pPr>
    </w:p>
    <w:p w14:paraId="70C84461">
      <w:pPr>
        <w:spacing w:line="480" w:lineRule="auto"/>
        <w:jc w:val="right"/>
        <w:rPr>
          <w:rFonts w:hint="eastAsia" w:ascii="宋体" w:hAnsi="宋体"/>
          <w:color w:val="auto"/>
          <w:kern w:val="0"/>
          <w:sz w:val="24"/>
          <w:highlight w:val="none"/>
        </w:rPr>
      </w:pPr>
      <w:r>
        <w:rPr>
          <w:rFonts w:ascii="宋体" w:hAnsi="宋体"/>
          <w:color w:val="auto"/>
          <w:kern w:val="0"/>
          <w:sz w:val="24"/>
          <w:highlight w:val="none"/>
        </w:rPr>
        <w:t xml:space="preserve">                   签发日期</w:t>
      </w:r>
      <w:r>
        <w:rPr>
          <w:rFonts w:ascii="宋体" w:hAnsi="宋体"/>
          <w:snapToGrid w:val="0"/>
          <w:color w:val="auto"/>
          <w:kern w:val="0"/>
          <w:szCs w:val="21"/>
          <w:highlight w:val="none"/>
        </w:rPr>
        <w:t>：</w:t>
      </w:r>
      <w:r>
        <w:rPr>
          <w:rFonts w:ascii="宋体" w:hAnsi="宋体"/>
          <w:color w:val="auto"/>
          <w:kern w:val="0"/>
          <w:sz w:val="24"/>
          <w:highlight w:val="none"/>
          <w:u w:val="single"/>
        </w:rPr>
        <w:t xml:space="preserve">        </w:t>
      </w:r>
      <w:r>
        <w:rPr>
          <w:rFonts w:ascii="宋体" w:hAnsi="宋体"/>
          <w:color w:val="auto"/>
          <w:kern w:val="0"/>
          <w:sz w:val="24"/>
          <w:highlight w:val="none"/>
        </w:rPr>
        <w:t>年</w:t>
      </w:r>
      <w:r>
        <w:rPr>
          <w:rFonts w:ascii="宋体" w:hAnsi="宋体"/>
          <w:color w:val="auto"/>
          <w:kern w:val="0"/>
          <w:sz w:val="24"/>
          <w:highlight w:val="none"/>
          <w:u w:val="single"/>
        </w:rPr>
        <w:t xml:space="preserve">     </w:t>
      </w:r>
      <w:r>
        <w:rPr>
          <w:rFonts w:ascii="宋体" w:hAnsi="宋体"/>
          <w:color w:val="auto"/>
          <w:kern w:val="0"/>
          <w:sz w:val="24"/>
          <w:highlight w:val="none"/>
        </w:rPr>
        <w:t>月</w:t>
      </w:r>
      <w:r>
        <w:rPr>
          <w:rFonts w:ascii="宋体" w:hAnsi="宋体"/>
          <w:color w:val="auto"/>
          <w:kern w:val="0"/>
          <w:sz w:val="24"/>
          <w:highlight w:val="none"/>
          <w:u w:val="single"/>
        </w:rPr>
        <w:t xml:space="preserve">     </w:t>
      </w:r>
      <w:r>
        <w:rPr>
          <w:rFonts w:ascii="宋体" w:hAnsi="宋体"/>
          <w:color w:val="auto"/>
          <w:kern w:val="0"/>
          <w:sz w:val="24"/>
          <w:highlight w:val="none"/>
        </w:rPr>
        <w:t>日</w:t>
      </w:r>
    </w:p>
    <w:p w14:paraId="10908506">
      <w:pPr>
        <w:spacing w:line="200" w:lineRule="exact"/>
        <w:rPr>
          <w:rFonts w:hint="eastAsia" w:ascii="宋体" w:hAnsi="宋体"/>
          <w:color w:val="auto"/>
          <w:kern w:val="0"/>
          <w:highlight w:val="none"/>
        </w:rPr>
      </w:pPr>
      <w:r>
        <w:rPr>
          <w:rFonts w:ascii="宋体" w:hAnsi="宋体"/>
          <w:color w:val="auto"/>
          <w:kern w:val="0"/>
          <w:sz w:val="24"/>
          <w:highlight w:val="none"/>
        </w:rPr>
        <w:br w:type="page"/>
      </w:r>
      <w:bookmarkStart w:id="566" w:name="招标文件03章02评标办法综合评估法"/>
      <w:bookmarkEnd w:id="566"/>
      <w:bookmarkStart w:id="567" w:name="招标文件03章02评标办法综合评估法00"/>
      <w:bookmarkEnd w:id="567"/>
      <w:bookmarkStart w:id="568" w:name="_Toc287607812"/>
      <w:bookmarkStart w:id="569" w:name="_Toc287620751"/>
      <w:bookmarkStart w:id="570" w:name="_Toc277082618"/>
      <w:bookmarkStart w:id="571" w:name="_Toc200513198"/>
      <w:bookmarkStart w:id="572" w:name="_Toc224103384"/>
      <w:bookmarkStart w:id="573" w:name="_Toc430530500"/>
    </w:p>
    <w:bookmarkEnd w:id="568"/>
    <w:bookmarkEnd w:id="569"/>
    <w:bookmarkEnd w:id="570"/>
    <w:bookmarkEnd w:id="571"/>
    <w:bookmarkEnd w:id="572"/>
    <w:bookmarkEnd w:id="573"/>
    <w:p w14:paraId="62797C72">
      <w:pPr>
        <w:pStyle w:val="3"/>
        <w:spacing w:line="360" w:lineRule="auto"/>
        <w:jc w:val="center"/>
        <w:rPr>
          <w:rFonts w:ascii="宋体" w:hAnsi="宋体"/>
          <w:snapToGrid w:val="0"/>
          <w:kern w:val="0"/>
        </w:rPr>
      </w:pPr>
      <w:bookmarkStart w:id="574" w:name="_Toc8470"/>
      <w:bookmarkStart w:id="575" w:name="_Toc20466"/>
      <w:bookmarkStart w:id="576" w:name="_Toc57905884"/>
      <w:bookmarkStart w:id="577" w:name="_Toc8427"/>
      <w:bookmarkStart w:id="578" w:name="_Toc430530509"/>
      <w:bookmarkStart w:id="579" w:name="_Toc509218785"/>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574"/>
      <w:bookmarkEnd w:id="575"/>
      <w:bookmarkEnd w:id="576"/>
    </w:p>
    <w:p w14:paraId="26A67866">
      <w:pPr>
        <w:keepNext/>
        <w:keepLines/>
        <w:spacing w:before="100" w:after="100" w:line="360" w:lineRule="auto"/>
        <w:outlineLvl w:val="1"/>
        <w:rPr>
          <w:rFonts w:ascii="宋体" w:hAnsi="宋体"/>
          <w:b/>
          <w:sz w:val="32"/>
          <w:szCs w:val="32"/>
        </w:rPr>
      </w:pPr>
      <w:bookmarkStart w:id="580" w:name="_Toc57905885"/>
      <w:bookmarkStart w:id="581" w:name="_Toc14792"/>
      <w:bookmarkStart w:id="582" w:name="_Toc11366"/>
      <w:r>
        <w:rPr>
          <w:rFonts w:hint="eastAsia" w:ascii="宋体" w:hAnsi="宋体"/>
          <w:b/>
          <w:sz w:val="32"/>
          <w:szCs w:val="32"/>
        </w:rPr>
        <w:t>评标办法前附表</w:t>
      </w:r>
      <w:bookmarkEnd w:id="580"/>
      <w:bookmarkEnd w:id="581"/>
      <w:bookmarkEnd w:id="582"/>
    </w:p>
    <w:p w14:paraId="35499E01">
      <w:pPr>
        <w:spacing w:line="400" w:lineRule="exact"/>
        <w:ind w:firstLine="427" w:firstLineChars="196"/>
        <w:rPr>
          <w:rFonts w:ascii="宋体" w:hAnsi="宋体"/>
          <w:spacing w:val="4"/>
          <w:kern w:val="0"/>
          <w:szCs w:val="21"/>
        </w:rPr>
      </w:pPr>
      <w:bookmarkStart w:id="583"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583"/>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5E2B4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654A46DE">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14:paraId="71E808BF">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14:paraId="0C12E666">
            <w:pPr>
              <w:spacing w:line="400" w:lineRule="exact"/>
              <w:jc w:val="center"/>
              <w:rPr>
                <w:rFonts w:ascii="宋体" w:hAnsi="宋体"/>
                <w:b/>
                <w:kern w:val="0"/>
              </w:rPr>
            </w:pPr>
            <w:r>
              <w:rPr>
                <w:rFonts w:ascii="宋体" w:hAnsi="宋体"/>
                <w:b/>
                <w:kern w:val="0"/>
              </w:rPr>
              <w:t>评审标准</w:t>
            </w:r>
          </w:p>
        </w:tc>
      </w:tr>
      <w:tr w14:paraId="52B24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EA4BED3">
            <w:pPr>
              <w:pStyle w:val="86"/>
              <w:spacing w:line="400" w:lineRule="exact"/>
              <w:ind w:firstLine="420"/>
              <w:rPr>
                <w:sz w:val="21"/>
                <w:szCs w:val="21"/>
              </w:rPr>
            </w:pPr>
            <w:r>
              <w:rPr>
                <w:sz w:val="21"/>
                <w:szCs w:val="21"/>
              </w:rPr>
              <w:t>1</w:t>
            </w:r>
          </w:p>
        </w:tc>
        <w:tc>
          <w:tcPr>
            <w:tcW w:w="1560" w:type="dxa"/>
            <w:tcBorders>
              <w:left w:val="single" w:color="auto" w:sz="4" w:space="0"/>
            </w:tcBorders>
            <w:vAlign w:val="center"/>
          </w:tcPr>
          <w:p w14:paraId="64405C7D">
            <w:pPr>
              <w:pStyle w:val="86"/>
              <w:spacing w:line="400" w:lineRule="exact"/>
              <w:ind w:firstLine="0" w:firstLineChars="0"/>
              <w:jc w:val="center"/>
              <w:rPr>
                <w:sz w:val="21"/>
                <w:szCs w:val="21"/>
              </w:rPr>
            </w:pPr>
            <w:r>
              <w:rPr>
                <w:rFonts w:hint="eastAsia"/>
                <w:sz w:val="21"/>
                <w:szCs w:val="21"/>
              </w:rPr>
              <w:t>评标办法</w:t>
            </w:r>
          </w:p>
        </w:tc>
        <w:tc>
          <w:tcPr>
            <w:tcW w:w="6882" w:type="dxa"/>
            <w:gridSpan w:val="2"/>
            <w:vAlign w:val="center"/>
          </w:tcPr>
          <w:p w14:paraId="292CB471">
            <w:pPr>
              <w:spacing w:line="400" w:lineRule="exact"/>
              <w:ind w:firstLine="436" w:firstLineChars="200"/>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投标人是否属于红名单，以开标环节信</w:t>
            </w:r>
            <w:r>
              <w:rPr>
                <w:rFonts w:hint="eastAsia" w:ascii="宋体" w:hAnsi="宋体" w:cs="Times New Roman"/>
                <w:spacing w:val="4"/>
                <w:kern w:val="0"/>
                <w:szCs w:val="21"/>
              </w:rPr>
              <w:t>用状况查询结果为准；投标人均在红名单中或均不在红名单中的，</w:t>
            </w:r>
            <w:r>
              <w:rPr>
                <w:rFonts w:hint="eastAsia" w:ascii="宋体" w:hAnsi="宋体"/>
                <w:spacing w:val="4"/>
                <w:kern w:val="0"/>
                <w:szCs w:val="21"/>
              </w:rPr>
              <w:t>由评标委员会全体成员投票，并按简单多数原则排序</w:t>
            </w:r>
            <w:r>
              <w:rPr>
                <w:rFonts w:hint="eastAsia" w:ascii="宋体" w:hAnsi="宋体" w:cs="Times New Roman"/>
                <w:spacing w:val="4"/>
                <w:kern w:val="0"/>
                <w:szCs w:val="21"/>
              </w:rPr>
              <w:t xml:space="preserve">。 </w:t>
            </w:r>
          </w:p>
        </w:tc>
      </w:tr>
      <w:tr w14:paraId="04886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31857A6C">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14:paraId="47E6237C">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14:paraId="3231D553">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对报价不高于最高限价的所有投标人的投标文件，按照报价由低到高的顺序排列。</w:t>
            </w:r>
          </w:p>
        </w:tc>
      </w:tr>
      <w:tr w14:paraId="2F33A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F9E7A9B">
            <w:pPr>
              <w:spacing w:line="400" w:lineRule="exact"/>
              <w:jc w:val="center"/>
              <w:rPr>
                <w:rFonts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14:paraId="463A6D26">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14:paraId="57D08203">
            <w:pPr>
              <w:spacing w:line="400" w:lineRule="exact"/>
              <w:ind w:firstLine="420" w:firstLineChars="200"/>
              <w:jc w:val="left"/>
              <w:rPr>
                <w:rFonts w:ascii="宋体" w:hAnsi="宋体"/>
                <w:kern w:val="0"/>
              </w:rPr>
            </w:pPr>
            <w:r>
              <w:rPr>
                <w:rFonts w:hint="eastAsia" w:ascii="宋体" w:hAnsi="宋体"/>
                <w:kern w:val="0"/>
              </w:rPr>
              <w:t>取报价排序前7名（若实际投标人数量小于勾选数量，</w:t>
            </w:r>
            <w:r>
              <w:rPr>
                <w:rFonts w:hint="eastAsia" w:ascii="宋体" w:hAnsi="宋体"/>
                <w:spacing w:val="4"/>
                <w:kern w:val="0"/>
                <w:szCs w:val="21"/>
              </w:rPr>
              <w:t>则全部纳入）进行符合性审查。符合性审查内容：资格评审、形式评审、响应性评审。符合性审查</w:t>
            </w:r>
            <w:r>
              <w:rPr>
                <w:rFonts w:hint="eastAsia" w:ascii="宋体" w:hAnsi="宋体"/>
                <w:kern w:val="0"/>
              </w:rPr>
              <w:t>合格的投标人中，报价最低的成为第一中标候选人，报价次低的成为第二中标候选人，依次类推。</w:t>
            </w:r>
          </w:p>
        </w:tc>
      </w:tr>
      <w:tr w14:paraId="439CE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6967E9C7">
            <w:pPr>
              <w:spacing w:line="400" w:lineRule="exact"/>
              <w:jc w:val="center"/>
              <w:rPr>
                <w:rFonts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14:paraId="467FAF29">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14:paraId="1474B407">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14:paraId="7322768C">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29D6F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6B7B38F">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57D818A">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64DA9AEB">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14:paraId="0D223903">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0B4C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D8AC0DC">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DD02ECA">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4E557A8">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14:paraId="766B82BE">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379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652ABC1">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E77350E">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72A42819">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14:paraId="5105C171">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B674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87C6F62">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7E11B89">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2C189CEE">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14:paraId="7148A530">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E61F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F01859B">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CE41E2E">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10957976">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14:paraId="3BD3A33B">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01C428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6BF055E8">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14:paraId="2B898363">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14:paraId="24D9CBD6">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14:paraId="5D6D7F44">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43FC5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0959C88">
            <w:pPr>
              <w:spacing w:line="400" w:lineRule="exact"/>
              <w:jc w:val="center"/>
              <w:rPr>
                <w:rFonts w:ascii="宋体" w:hAnsi="宋体"/>
                <w:b/>
                <w:kern w:val="0"/>
              </w:rPr>
            </w:pPr>
          </w:p>
        </w:tc>
        <w:tc>
          <w:tcPr>
            <w:tcW w:w="1560" w:type="dxa"/>
            <w:vMerge w:val="continue"/>
            <w:tcBorders>
              <w:left w:val="single" w:color="auto" w:sz="4" w:space="0"/>
            </w:tcBorders>
            <w:vAlign w:val="center"/>
          </w:tcPr>
          <w:p w14:paraId="1DC8728A">
            <w:pPr>
              <w:spacing w:line="400" w:lineRule="exact"/>
              <w:jc w:val="center"/>
              <w:rPr>
                <w:rFonts w:ascii="宋体" w:hAnsi="宋体"/>
                <w:b/>
                <w:kern w:val="0"/>
              </w:rPr>
            </w:pPr>
          </w:p>
        </w:tc>
        <w:tc>
          <w:tcPr>
            <w:tcW w:w="2267" w:type="dxa"/>
            <w:tcBorders>
              <w:right w:val="single" w:color="auto" w:sz="4" w:space="0"/>
            </w:tcBorders>
            <w:vAlign w:val="center"/>
          </w:tcPr>
          <w:p w14:paraId="47BCB02E">
            <w:pPr>
              <w:spacing w:line="400" w:lineRule="exact"/>
              <w:jc w:val="left"/>
              <w:rPr>
                <w:rFonts w:ascii="宋体" w:hAnsi="宋体" w:cs="宋体"/>
                <w:kern w:val="0"/>
              </w:rPr>
            </w:pPr>
            <w:r>
              <w:rPr>
                <w:rFonts w:hint="eastAsia" w:ascii="宋体" w:hAnsi="宋体" w:cs="宋体"/>
                <w:kern w:val="0"/>
              </w:rPr>
              <w:t>投标函签名盖章</w:t>
            </w:r>
          </w:p>
        </w:tc>
        <w:tc>
          <w:tcPr>
            <w:tcW w:w="4615" w:type="dxa"/>
            <w:tcBorders>
              <w:left w:val="single" w:color="auto" w:sz="4" w:space="0"/>
            </w:tcBorders>
            <w:vAlign w:val="center"/>
          </w:tcPr>
          <w:p w14:paraId="67091D68">
            <w:pPr>
              <w:snapToGrid w:val="0"/>
              <w:spacing w:line="400" w:lineRule="exact"/>
              <w:ind w:firstLine="420" w:firstLineChars="200"/>
              <w:rPr>
                <w:rFonts w:ascii="宋体" w:hAnsi="宋体" w:cs="宋体"/>
                <w:kern w:val="0"/>
              </w:rPr>
            </w:pPr>
            <w:r>
              <w:rPr>
                <w:rFonts w:hint="eastAsia" w:ascii="宋体" w:hAnsi="宋体" w:cs="宋体"/>
                <w:kern w:val="0"/>
              </w:rPr>
              <w:t>投标函格式规定签名、盖章的位置有法定代表人或其委托代理人签名（或盖章）、加盖单位法人章。</w:t>
            </w:r>
          </w:p>
        </w:tc>
      </w:tr>
      <w:tr w14:paraId="5F4E1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CD0E722">
            <w:pPr>
              <w:spacing w:line="400" w:lineRule="exact"/>
              <w:jc w:val="center"/>
              <w:rPr>
                <w:rFonts w:ascii="宋体" w:hAnsi="宋体"/>
                <w:b/>
                <w:kern w:val="0"/>
              </w:rPr>
            </w:pPr>
          </w:p>
        </w:tc>
        <w:tc>
          <w:tcPr>
            <w:tcW w:w="1560" w:type="dxa"/>
            <w:vMerge w:val="continue"/>
            <w:tcBorders>
              <w:left w:val="single" w:color="auto" w:sz="4" w:space="0"/>
            </w:tcBorders>
            <w:vAlign w:val="center"/>
          </w:tcPr>
          <w:p w14:paraId="4C6D718F">
            <w:pPr>
              <w:spacing w:line="400" w:lineRule="exact"/>
              <w:jc w:val="center"/>
              <w:rPr>
                <w:rFonts w:ascii="宋体" w:hAnsi="宋体"/>
                <w:b/>
                <w:kern w:val="0"/>
              </w:rPr>
            </w:pPr>
          </w:p>
        </w:tc>
        <w:tc>
          <w:tcPr>
            <w:tcW w:w="2267" w:type="dxa"/>
            <w:tcBorders>
              <w:right w:val="single" w:color="auto" w:sz="4" w:space="0"/>
            </w:tcBorders>
            <w:vAlign w:val="center"/>
          </w:tcPr>
          <w:p w14:paraId="5421D81F">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14:paraId="20FA8CE9">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w:t>
            </w:r>
          </w:p>
        </w:tc>
      </w:tr>
      <w:tr w14:paraId="051FD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13C31F4">
            <w:pPr>
              <w:spacing w:line="400" w:lineRule="exact"/>
              <w:jc w:val="center"/>
              <w:rPr>
                <w:rFonts w:ascii="宋体" w:hAnsi="宋体"/>
                <w:b/>
                <w:kern w:val="0"/>
              </w:rPr>
            </w:pPr>
          </w:p>
        </w:tc>
        <w:tc>
          <w:tcPr>
            <w:tcW w:w="1560" w:type="dxa"/>
            <w:vMerge w:val="continue"/>
            <w:tcBorders>
              <w:left w:val="single" w:color="auto" w:sz="4" w:space="0"/>
            </w:tcBorders>
            <w:vAlign w:val="center"/>
          </w:tcPr>
          <w:p w14:paraId="4ADF2B25">
            <w:pPr>
              <w:spacing w:line="400" w:lineRule="exact"/>
              <w:jc w:val="center"/>
              <w:rPr>
                <w:rFonts w:ascii="宋体" w:hAnsi="宋体"/>
                <w:b/>
                <w:kern w:val="0"/>
              </w:rPr>
            </w:pPr>
          </w:p>
        </w:tc>
        <w:tc>
          <w:tcPr>
            <w:tcW w:w="2267" w:type="dxa"/>
            <w:tcBorders>
              <w:right w:val="single" w:color="auto" w:sz="4" w:space="0"/>
            </w:tcBorders>
            <w:vAlign w:val="center"/>
          </w:tcPr>
          <w:p w14:paraId="21D3A834">
            <w:pPr>
              <w:spacing w:line="400" w:lineRule="exact"/>
              <w:jc w:val="left"/>
              <w:rPr>
                <w:rFonts w:ascii="宋体" w:hAnsi="宋体" w:cs="宋体"/>
                <w:kern w:val="0"/>
              </w:rPr>
            </w:pPr>
            <w:r>
              <w:rPr>
                <w:rFonts w:hint="eastAsia" w:ascii="宋体" w:hAnsi="宋体" w:cs="宋体"/>
                <w:kern w:val="0"/>
              </w:rPr>
              <w:t>投标文件份数</w:t>
            </w:r>
          </w:p>
        </w:tc>
        <w:tc>
          <w:tcPr>
            <w:tcW w:w="4615" w:type="dxa"/>
            <w:tcBorders>
              <w:left w:val="single" w:color="auto" w:sz="4" w:space="0"/>
            </w:tcBorders>
            <w:vAlign w:val="center"/>
          </w:tcPr>
          <w:p w14:paraId="0BBEE776">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符合第二章“投标人须知”第3.7.4项规定。</w:t>
            </w:r>
          </w:p>
        </w:tc>
      </w:tr>
      <w:tr w14:paraId="5DB60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283B8B9">
            <w:pPr>
              <w:spacing w:line="400" w:lineRule="exact"/>
              <w:jc w:val="center"/>
              <w:rPr>
                <w:rFonts w:ascii="宋体" w:hAnsi="宋体"/>
                <w:b/>
                <w:kern w:val="0"/>
              </w:rPr>
            </w:pPr>
          </w:p>
        </w:tc>
        <w:tc>
          <w:tcPr>
            <w:tcW w:w="1560" w:type="dxa"/>
            <w:vMerge w:val="continue"/>
            <w:tcBorders>
              <w:left w:val="single" w:color="auto" w:sz="4" w:space="0"/>
            </w:tcBorders>
            <w:vAlign w:val="center"/>
          </w:tcPr>
          <w:p w14:paraId="5680DE08">
            <w:pPr>
              <w:spacing w:line="400" w:lineRule="exact"/>
              <w:jc w:val="center"/>
              <w:rPr>
                <w:rFonts w:ascii="宋体" w:hAnsi="宋体"/>
                <w:b/>
                <w:kern w:val="0"/>
              </w:rPr>
            </w:pPr>
          </w:p>
        </w:tc>
        <w:tc>
          <w:tcPr>
            <w:tcW w:w="2267" w:type="dxa"/>
            <w:tcBorders>
              <w:right w:val="single" w:color="auto" w:sz="4" w:space="0"/>
            </w:tcBorders>
            <w:vAlign w:val="center"/>
          </w:tcPr>
          <w:p w14:paraId="51590935">
            <w:pPr>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14:paraId="0C62753D">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14:paraId="671C9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5AD8CAB">
            <w:pPr>
              <w:spacing w:line="400" w:lineRule="exact"/>
              <w:jc w:val="center"/>
              <w:rPr>
                <w:rFonts w:ascii="宋体" w:hAnsi="宋体"/>
                <w:b/>
                <w:kern w:val="0"/>
              </w:rPr>
            </w:pPr>
          </w:p>
        </w:tc>
        <w:tc>
          <w:tcPr>
            <w:tcW w:w="1560" w:type="dxa"/>
            <w:vMerge w:val="continue"/>
            <w:tcBorders>
              <w:left w:val="single" w:color="auto" w:sz="4" w:space="0"/>
            </w:tcBorders>
            <w:vAlign w:val="center"/>
          </w:tcPr>
          <w:p w14:paraId="246D90C2">
            <w:pPr>
              <w:spacing w:line="400" w:lineRule="exact"/>
              <w:jc w:val="center"/>
              <w:rPr>
                <w:rFonts w:ascii="宋体" w:hAnsi="宋体"/>
                <w:b/>
                <w:kern w:val="0"/>
              </w:rPr>
            </w:pPr>
          </w:p>
        </w:tc>
        <w:tc>
          <w:tcPr>
            <w:tcW w:w="2267" w:type="dxa"/>
            <w:tcBorders>
              <w:right w:val="single" w:color="auto" w:sz="4" w:space="0"/>
            </w:tcBorders>
            <w:vAlign w:val="center"/>
          </w:tcPr>
          <w:p w14:paraId="6587079E">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14:paraId="63019857">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投标文件格式要求法定代表人或其委托代理人签名（或盖章）的须齐全。</w:t>
            </w:r>
          </w:p>
          <w:p w14:paraId="78E42648">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p>
        </w:tc>
      </w:tr>
      <w:tr w14:paraId="43240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E594043">
            <w:pPr>
              <w:spacing w:line="400" w:lineRule="exact"/>
              <w:jc w:val="center"/>
              <w:rPr>
                <w:rFonts w:ascii="宋体" w:hAnsi="宋体"/>
                <w:b/>
                <w:kern w:val="0"/>
              </w:rPr>
            </w:pPr>
          </w:p>
        </w:tc>
        <w:tc>
          <w:tcPr>
            <w:tcW w:w="1560" w:type="dxa"/>
            <w:vMerge w:val="continue"/>
            <w:tcBorders>
              <w:left w:val="single" w:color="auto" w:sz="4" w:space="0"/>
            </w:tcBorders>
            <w:vAlign w:val="center"/>
          </w:tcPr>
          <w:p w14:paraId="511D3308">
            <w:pPr>
              <w:spacing w:line="400" w:lineRule="exact"/>
              <w:jc w:val="center"/>
              <w:rPr>
                <w:rFonts w:ascii="宋体" w:hAnsi="宋体"/>
                <w:b/>
                <w:kern w:val="0"/>
              </w:rPr>
            </w:pPr>
          </w:p>
        </w:tc>
        <w:tc>
          <w:tcPr>
            <w:tcW w:w="2267" w:type="dxa"/>
            <w:tcBorders>
              <w:right w:val="single" w:color="auto" w:sz="4" w:space="0"/>
            </w:tcBorders>
            <w:vAlign w:val="center"/>
          </w:tcPr>
          <w:p w14:paraId="2BAF1AE4">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14:paraId="1AD83180">
            <w:pPr>
              <w:snapToGrid w:val="0"/>
              <w:spacing w:after="78" w:afterLines="25"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w:t>
            </w:r>
          </w:p>
        </w:tc>
      </w:tr>
      <w:tr w14:paraId="565AE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0DF9582E">
            <w:pPr>
              <w:spacing w:line="400" w:lineRule="exact"/>
              <w:jc w:val="center"/>
              <w:rPr>
                <w:rFonts w:ascii="宋体" w:hAnsi="宋体"/>
                <w:kern w:val="0"/>
              </w:rPr>
            </w:pPr>
            <w:r>
              <w:rPr>
                <w:rFonts w:hint="eastAsia" w:ascii="宋体" w:hAnsi="宋体"/>
                <w:kern w:val="0"/>
              </w:rPr>
              <w:t>2.2.4</w:t>
            </w:r>
          </w:p>
        </w:tc>
        <w:tc>
          <w:tcPr>
            <w:tcW w:w="1560" w:type="dxa"/>
            <w:vMerge w:val="restart"/>
            <w:tcBorders>
              <w:left w:val="single" w:color="auto" w:sz="4" w:space="0"/>
            </w:tcBorders>
            <w:vAlign w:val="center"/>
          </w:tcPr>
          <w:p w14:paraId="6349D731">
            <w:pPr>
              <w:spacing w:line="400" w:lineRule="exact"/>
              <w:jc w:val="center"/>
              <w:rPr>
                <w:rFonts w:ascii="宋体" w:hAnsi="宋体"/>
                <w:kern w:val="0"/>
              </w:rPr>
            </w:pPr>
            <w:r>
              <w:rPr>
                <w:rFonts w:hint="eastAsia" w:ascii="宋体" w:hAnsi="宋体"/>
                <w:kern w:val="0"/>
              </w:rPr>
              <w:t>响应性评审标准</w:t>
            </w:r>
          </w:p>
        </w:tc>
        <w:tc>
          <w:tcPr>
            <w:tcW w:w="2267" w:type="dxa"/>
            <w:tcBorders>
              <w:right w:val="single" w:color="auto" w:sz="4" w:space="0"/>
            </w:tcBorders>
            <w:vAlign w:val="center"/>
          </w:tcPr>
          <w:p w14:paraId="00A45B09">
            <w:pPr>
              <w:snapToGrid w:val="0"/>
              <w:spacing w:line="400" w:lineRule="exact"/>
              <w:jc w:val="left"/>
              <w:rPr>
                <w:rFonts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14:paraId="5596823F">
            <w:pPr>
              <w:snapToGrid w:val="0"/>
              <w:spacing w:line="400" w:lineRule="exact"/>
              <w:ind w:firstLine="420" w:firstLineChars="200"/>
              <w:rPr>
                <w:rFonts w:ascii="宋体" w:hAnsi="宋体" w:cs="宋体"/>
                <w:szCs w:val="21"/>
              </w:rPr>
            </w:pPr>
            <w:r>
              <w:rPr>
                <w:rFonts w:hint="eastAsia" w:ascii="宋体" w:hAnsi="宋体" w:cs="宋体"/>
                <w:szCs w:val="21"/>
              </w:rPr>
              <w:t>1.投标总报价必须与已标价工程量清单总报价一致。</w:t>
            </w:r>
          </w:p>
          <w:p w14:paraId="413816C8">
            <w:pPr>
              <w:snapToGrid w:val="0"/>
              <w:spacing w:line="400" w:lineRule="exact"/>
              <w:ind w:firstLine="420" w:firstLineChars="200"/>
              <w:rPr>
                <w:rFonts w:ascii="宋体" w:hAnsi="宋体" w:cs="宋体"/>
                <w:bCs/>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投标总报价不得高于招标人公布的投标总报价最高限价。</w:t>
            </w:r>
          </w:p>
        </w:tc>
      </w:tr>
      <w:tr w14:paraId="108D0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C5DA4B0">
            <w:pPr>
              <w:spacing w:line="400" w:lineRule="exact"/>
              <w:jc w:val="center"/>
              <w:rPr>
                <w:rFonts w:ascii="宋体" w:hAnsi="宋体"/>
                <w:kern w:val="0"/>
              </w:rPr>
            </w:pPr>
          </w:p>
        </w:tc>
        <w:tc>
          <w:tcPr>
            <w:tcW w:w="1560" w:type="dxa"/>
            <w:vMerge w:val="continue"/>
            <w:tcBorders>
              <w:left w:val="single" w:color="auto" w:sz="4" w:space="0"/>
            </w:tcBorders>
            <w:vAlign w:val="center"/>
          </w:tcPr>
          <w:p w14:paraId="0C2E42D2">
            <w:pPr>
              <w:spacing w:line="400" w:lineRule="exact"/>
              <w:jc w:val="center"/>
              <w:rPr>
                <w:rFonts w:ascii="宋体" w:hAnsi="宋体"/>
                <w:kern w:val="0"/>
              </w:rPr>
            </w:pPr>
          </w:p>
        </w:tc>
        <w:tc>
          <w:tcPr>
            <w:tcW w:w="2267" w:type="dxa"/>
            <w:tcBorders>
              <w:right w:val="single" w:color="auto" w:sz="4" w:space="0"/>
            </w:tcBorders>
            <w:vAlign w:val="center"/>
          </w:tcPr>
          <w:p w14:paraId="6CF93424">
            <w:pPr>
              <w:snapToGrid w:val="0"/>
              <w:spacing w:line="400" w:lineRule="exact"/>
              <w:jc w:val="left"/>
              <w:rPr>
                <w:rFonts w:ascii="宋体" w:hAnsi="宋体" w:cs="宋体"/>
                <w:kern w:val="0"/>
              </w:rPr>
            </w:pPr>
            <w:r>
              <w:rPr>
                <w:rFonts w:hint="eastAsia" w:ascii="宋体" w:hAnsi="宋体" w:cs="宋体"/>
                <w:kern w:val="0"/>
              </w:rPr>
              <w:t>暂定金额</w:t>
            </w:r>
          </w:p>
        </w:tc>
        <w:tc>
          <w:tcPr>
            <w:tcW w:w="4615" w:type="dxa"/>
            <w:tcBorders>
              <w:left w:val="single" w:color="auto" w:sz="4" w:space="0"/>
            </w:tcBorders>
            <w:vAlign w:val="center"/>
          </w:tcPr>
          <w:p w14:paraId="583E3BD6">
            <w:pPr>
              <w:snapToGrid w:val="0"/>
              <w:spacing w:line="400" w:lineRule="exact"/>
              <w:ind w:firstLine="420" w:firstLineChars="200"/>
              <w:rPr>
                <w:rFonts w:ascii="宋体" w:hAnsi="宋体" w:cs="宋体"/>
                <w:kern w:val="0"/>
              </w:rPr>
            </w:pPr>
            <w:r>
              <w:rPr>
                <w:rFonts w:hint="eastAsia" w:ascii="宋体" w:hAnsi="宋体" w:cs="宋体"/>
                <w:kern w:val="0"/>
              </w:rPr>
              <w:t>暂列金额、暂估价、安全文明施工费等暂定金额必须按照招标文件给定的金额填报。</w:t>
            </w:r>
          </w:p>
        </w:tc>
      </w:tr>
      <w:tr w14:paraId="670EC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07B3E45">
            <w:pPr>
              <w:spacing w:line="400" w:lineRule="exact"/>
              <w:jc w:val="center"/>
              <w:rPr>
                <w:rFonts w:ascii="宋体" w:hAnsi="宋体"/>
                <w:kern w:val="0"/>
              </w:rPr>
            </w:pPr>
          </w:p>
        </w:tc>
        <w:tc>
          <w:tcPr>
            <w:tcW w:w="1560" w:type="dxa"/>
            <w:vMerge w:val="continue"/>
            <w:tcBorders>
              <w:left w:val="single" w:color="auto" w:sz="4" w:space="0"/>
            </w:tcBorders>
            <w:vAlign w:val="center"/>
          </w:tcPr>
          <w:p w14:paraId="38D9107C">
            <w:pPr>
              <w:spacing w:line="400" w:lineRule="exact"/>
              <w:jc w:val="center"/>
              <w:rPr>
                <w:rFonts w:ascii="宋体" w:hAnsi="宋体"/>
                <w:kern w:val="0"/>
              </w:rPr>
            </w:pPr>
          </w:p>
        </w:tc>
        <w:tc>
          <w:tcPr>
            <w:tcW w:w="2267" w:type="dxa"/>
            <w:tcBorders>
              <w:right w:val="single" w:color="auto" w:sz="4" w:space="0"/>
            </w:tcBorders>
            <w:vAlign w:val="center"/>
          </w:tcPr>
          <w:p w14:paraId="7FA20596">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14:paraId="6FD09E42">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17295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C8B3481">
            <w:pPr>
              <w:spacing w:line="400" w:lineRule="exact"/>
              <w:jc w:val="center"/>
              <w:rPr>
                <w:rFonts w:ascii="宋体" w:hAnsi="宋体"/>
                <w:kern w:val="0"/>
              </w:rPr>
            </w:pPr>
          </w:p>
        </w:tc>
        <w:tc>
          <w:tcPr>
            <w:tcW w:w="1560" w:type="dxa"/>
            <w:vMerge w:val="continue"/>
            <w:tcBorders>
              <w:left w:val="single" w:color="auto" w:sz="4" w:space="0"/>
            </w:tcBorders>
            <w:vAlign w:val="center"/>
          </w:tcPr>
          <w:p w14:paraId="2A490E17">
            <w:pPr>
              <w:spacing w:line="400" w:lineRule="exact"/>
              <w:jc w:val="center"/>
              <w:rPr>
                <w:rFonts w:ascii="宋体" w:hAnsi="宋体"/>
                <w:kern w:val="0"/>
              </w:rPr>
            </w:pPr>
          </w:p>
        </w:tc>
        <w:tc>
          <w:tcPr>
            <w:tcW w:w="2267" w:type="dxa"/>
            <w:tcBorders>
              <w:right w:val="single" w:color="auto" w:sz="4" w:space="0"/>
            </w:tcBorders>
            <w:vAlign w:val="center"/>
          </w:tcPr>
          <w:p w14:paraId="0F728CCB">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14:paraId="7F89BE09">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符合第二章“投标人须知”第1.3.2项规定</w:t>
            </w:r>
          </w:p>
        </w:tc>
      </w:tr>
      <w:tr w14:paraId="4B500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7704165">
            <w:pPr>
              <w:spacing w:line="400" w:lineRule="exact"/>
              <w:jc w:val="center"/>
              <w:rPr>
                <w:rFonts w:ascii="宋体" w:hAnsi="宋体"/>
                <w:kern w:val="0"/>
              </w:rPr>
            </w:pPr>
          </w:p>
        </w:tc>
        <w:tc>
          <w:tcPr>
            <w:tcW w:w="1560" w:type="dxa"/>
            <w:vMerge w:val="continue"/>
            <w:tcBorders>
              <w:left w:val="single" w:color="auto" w:sz="4" w:space="0"/>
            </w:tcBorders>
            <w:vAlign w:val="center"/>
          </w:tcPr>
          <w:p w14:paraId="3206C88C">
            <w:pPr>
              <w:spacing w:line="400" w:lineRule="exact"/>
              <w:jc w:val="center"/>
              <w:rPr>
                <w:rFonts w:ascii="宋体" w:hAnsi="宋体"/>
                <w:kern w:val="0"/>
              </w:rPr>
            </w:pPr>
          </w:p>
        </w:tc>
        <w:tc>
          <w:tcPr>
            <w:tcW w:w="2267" w:type="dxa"/>
            <w:tcBorders>
              <w:right w:val="single" w:color="auto" w:sz="4" w:space="0"/>
            </w:tcBorders>
            <w:vAlign w:val="center"/>
          </w:tcPr>
          <w:p w14:paraId="49F20BB3">
            <w:pPr>
              <w:snapToGrid w:val="0"/>
              <w:spacing w:line="400" w:lineRule="exact"/>
              <w:jc w:val="left"/>
              <w:rPr>
                <w:rFonts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14:paraId="19A8805B">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符合第二章“投标人须知”第1.3.3项规定</w:t>
            </w:r>
          </w:p>
        </w:tc>
      </w:tr>
      <w:tr w14:paraId="641B5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A6CD022">
            <w:pPr>
              <w:spacing w:line="400" w:lineRule="exact"/>
              <w:jc w:val="center"/>
              <w:rPr>
                <w:rFonts w:ascii="宋体" w:hAnsi="宋体"/>
                <w:kern w:val="0"/>
              </w:rPr>
            </w:pPr>
          </w:p>
        </w:tc>
        <w:tc>
          <w:tcPr>
            <w:tcW w:w="1560" w:type="dxa"/>
            <w:vMerge w:val="continue"/>
            <w:tcBorders>
              <w:left w:val="single" w:color="auto" w:sz="4" w:space="0"/>
            </w:tcBorders>
            <w:vAlign w:val="center"/>
          </w:tcPr>
          <w:p w14:paraId="4AD0F46C">
            <w:pPr>
              <w:spacing w:line="400" w:lineRule="exact"/>
              <w:jc w:val="center"/>
              <w:rPr>
                <w:rFonts w:ascii="宋体" w:hAnsi="宋体"/>
                <w:kern w:val="0"/>
              </w:rPr>
            </w:pPr>
          </w:p>
        </w:tc>
        <w:tc>
          <w:tcPr>
            <w:tcW w:w="2267" w:type="dxa"/>
            <w:tcBorders>
              <w:right w:val="single" w:color="auto" w:sz="4" w:space="0"/>
            </w:tcBorders>
            <w:vAlign w:val="center"/>
          </w:tcPr>
          <w:p w14:paraId="6AD25A69">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14:paraId="5816EE66">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符合第二章“投标人须知”第3.3.1项规定</w:t>
            </w:r>
          </w:p>
        </w:tc>
      </w:tr>
      <w:tr w14:paraId="7D3AD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4C70837">
            <w:pPr>
              <w:spacing w:line="400" w:lineRule="exact"/>
              <w:jc w:val="center"/>
              <w:rPr>
                <w:rFonts w:ascii="宋体" w:hAnsi="宋体"/>
                <w:kern w:val="0"/>
              </w:rPr>
            </w:pPr>
          </w:p>
        </w:tc>
        <w:tc>
          <w:tcPr>
            <w:tcW w:w="1560" w:type="dxa"/>
            <w:vMerge w:val="continue"/>
            <w:tcBorders>
              <w:left w:val="single" w:color="auto" w:sz="4" w:space="0"/>
            </w:tcBorders>
            <w:vAlign w:val="center"/>
          </w:tcPr>
          <w:p w14:paraId="1472F658">
            <w:pPr>
              <w:spacing w:line="400" w:lineRule="exact"/>
              <w:jc w:val="center"/>
              <w:rPr>
                <w:rFonts w:ascii="宋体" w:hAnsi="宋体"/>
                <w:kern w:val="0"/>
              </w:rPr>
            </w:pPr>
          </w:p>
        </w:tc>
        <w:tc>
          <w:tcPr>
            <w:tcW w:w="2267" w:type="dxa"/>
            <w:tcBorders>
              <w:right w:val="single" w:color="auto" w:sz="4" w:space="0"/>
            </w:tcBorders>
            <w:vAlign w:val="center"/>
          </w:tcPr>
          <w:p w14:paraId="03E5B3AD">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14:paraId="2A4D7D80">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符合第二章“投标人须知前附表”第3.4项规定。</w:t>
            </w:r>
          </w:p>
        </w:tc>
      </w:tr>
      <w:tr w14:paraId="614E5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C700EE5">
            <w:pPr>
              <w:spacing w:line="400" w:lineRule="exact"/>
              <w:jc w:val="center"/>
              <w:rPr>
                <w:rFonts w:ascii="宋体" w:hAnsi="宋体"/>
                <w:kern w:val="0"/>
              </w:rPr>
            </w:pPr>
          </w:p>
        </w:tc>
        <w:tc>
          <w:tcPr>
            <w:tcW w:w="1560" w:type="dxa"/>
            <w:vMerge w:val="continue"/>
            <w:tcBorders>
              <w:left w:val="single" w:color="auto" w:sz="4" w:space="0"/>
            </w:tcBorders>
            <w:vAlign w:val="center"/>
          </w:tcPr>
          <w:p w14:paraId="03F0CA94">
            <w:pPr>
              <w:spacing w:line="400" w:lineRule="exact"/>
              <w:jc w:val="center"/>
              <w:rPr>
                <w:rFonts w:ascii="宋体" w:hAnsi="宋体"/>
                <w:kern w:val="0"/>
              </w:rPr>
            </w:pPr>
          </w:p>
        </w:tc>
        <w:tc>
          <w:tcPr>
            <w:tcW w:w="2267" w:type="dxa"/>
            <w:tcBorders>
              <w:right w:val="single" w:color="auto" w:sz="4" w:space="0"/>
            </w:tcBorders>
            <w:vAlign w:val="center"/>
          </w:tcPr>
          <w:p w14:paraId="4894BF01">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14:paraId="68B6E7C3">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符合第四章“合同条款及格式”规定，投标文件不应附有招标人不能接受的条件。（由投标人承诺，承诺书格式详见第八章投标文件格式。）</w:t>
            </w:r>
          </w:p>
        </w:tc>
      </w:tr>
      <w:tr w14:paraId="464BC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36D73D1">
            <w:pPr>
              <w:spacing w:line="400" w:lineRule="exact"/>
              <w:jc w:val="center"/>
              <w:rPr>
                <w:rFonts w:ascii="宋体" w:hAnsi="宋体"/>
                <w:kern w:val="0"/>
              </w:rPr>
            </w:pPr>
          </w:p>
        </w:tc>
        <w:tc>
          <w:tcPr>
            <w:tcW w:w="1560" w:type="dxa"/>
            <w:vMerge w:val="continue"/>
            <w:tcBorders>
              <w:left w:val="single" w:color="auto" w:sz="4" w:space="0"/>
            </w:tcBorders>
            <w:vAlign w:val="center"/>
          </w:tcPr>
          <w:p w14:paraId="497C53C4">
            <w:pPr>
              <w:spacing w:line="400" w:lineRule="exact"/>
              <w:jc w:val="center"/>
              <w:rPr>
                <w:rFonts w:ascii="宋体" w:hAnsi="宋体"/>
                <w:kern w:val="0"/>
              </w:rPr>
            </w:pPr>
          </w:p>
        </w:tc>
        <w:tc>
          <w:tcPr>
            <w:tcW w:w="2267" w:type="dxa"/>
            <w:tcBorders>
              <w:right w:val="single" w:color="auto" w:sz="4" w:space="0"/>
            </w:tcBorders>
            <w:vAlign w:val="center"/>
          </w:tcPr>
          <w:p w14:paraId="244ED8C8">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14:paraId="7A62DB54">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符合第七章“技术标准和要求”规定。（由投标人承诺，承诺书格式详见第八章投标文件格式。）</w:t>
            </w:r>
          </w:p>
        </w:tc>
      </w:tr>
      <w:tr w14:paraId="08EA3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F516505">
            <w:pPr>
              <w:spacing w:line="400" w:lineRule="exact"/>
              <w:jc w:val="center"/>
              <w:rPr>
                <w:rFonts w:ascii="宋体" w:hAnsi="宋体"/>
                <w:kern w:val="0"/>
              </w:rPr>
            </w:pPr>
          </w:p>
        </w:tc>
        <w:tc>
          <w:tcPr>
            <w:tcW w:w="1560" w:type="dxa"/>
            <w:vMerge w:val="continue"/>
            <w:tcBorders>
              <w:left w:val="single" w:color="auto" w:sz="4" w:space="0"/>
            </w:tcBorders>
            <w:vAlign w:val="center"/>
          </w:tcPr>
          <w:p w14:paraId="4DAF5650">
            <w:pPr>
              <w:spacing w:line="400" w:lineRule="exact"/>
              <w:jc w:val="center"/>
              <w:rPr>
                <w:rFonts w:ascii="宋体" w:hAnsi="宋体"/>
                <w:kern w:val="0"/>
              </w:rPr>
            </w:pPr>
          </w:p>
        </w:tc>
        <w:tc>
          <w:tcPr>
            <w:tcW w:w="2267" w:type="dxa"/>
            <w:tcBorders>
              <w:right w:val="single" w:color="auto" w:sz="4" w:space="0"/>
            </w:tcBorders>
            <w:vAlign w:val="center"/>
          </w:tcPr>
          <w:p w14:paraId="09A25D5B">
            <w:pPr>
              <w:snapToGrid w:val="0"/>
              <w:spacing w:line="400" w:lineRule="exact"/>
              <w:jc w:val="left"/>
              <w:rPr>
                <w:rFonts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14:paraId="4F5D7568">
            <w:pPr>
              <w:spacing w:after="62" w:afterLines="20" w:line="400" w:lineRule="exact"/>
              <w:ind w:firstLine="420" w:firstLineChars="200"/>
              <w:rPr>
                <w:rFonts w:ascii="宋体" w:hAnsi="宋体" w:cs="宋体"/>
                <w:kern w:val="0"/>
              </w:rPr>
            </w:pPr>
            <w:r>
              <w:rPr>
                <w:rFonts w:hint="eastAsia" w:ascii="宋体" w:hAnsi="宋体" w:cs="宋体"/>
                <w:kern w:val="0"/>
              </w:rPr>
              <w:t>投标人承诺满足以下内容：</w:t>
            </w:r>
          </w:p>
          <w:p w14:paraId="1D7B597E">
            <w:pPr>
              <w:spacing w:after="62" w:afterLines="20" w:line="400" w:lineRule="exact"/>
              <w:ind w:firstLine="420" w:firstLineChars="200"/>
              <w:rPr>
                <w:rFonts w:ascii="宋体" w:hAnsi="宋体" w:cs="宋体"/>
                <w:kern w:val="0"/>
              </w:rPr>
            </w:pPr>
            <w:r>
              <w:rPr>
                <w:rFonts w:hint="eastAsia" w:ascii="宋体" w:hAnsi="宋体" w:cs="宋体"/>
                <w:kern w:val="0"/>
              </w:rPr>
              <w:t>1.符合第五章“工程量清单”给出的范围及数量。</w:t>
            </w:r>
          </w:p>
          <w:p w14:paraId="0B8399A1">
            <w:pPr>
              <w:snapToGrid w:val="0"/>
              <w:spacing w:after="31" w:afterLines="10" w:line="400" w:lineRule="exact"/>
              <w:ind w:firstLine="420" w:firstLineChars="200"/>
              <w:rPr>
                <w:rFonts w:ascii="宋体" w:hAnsi="宋体" w:cs="宋体"/>
                <w:kern w:val="0"/>
              </w:rPr>
            </w:pPr>
            <w:r>
              <w:rPr>
                <w:rFonts w:hint="eastAsia" w:ascii="宋体" w:hAnsi="宋体" w:cs="宋体"/>
                <w:kern w:val="0"/>
              </w:rPr>
              <w:t>2.招标文件中规定工程量清单不允许修改的内容不得修改。</w:t>
            </w:r>
          </w:p>
          <w:p w14:paraId="165A874D">
            <w:pPr>
              <w:snapToGrid w:val="0"/>
              <w:spacing w:after="31" w:afterLines="10" w:line="400" w:lineRule="exact"/>
              <w:ind w:firstLine="420" w:firstLineChars="200"/>
              <w:rPr>
                <w:rFonts w:ascii="宋体" w:hAnsi="宋体" w:cs="宋体"/>
                <w:kern w:val="0"/>
              </w:rPr>
            </w:pPr>
            <w:r>
              <w:rPr>
                <w:rFonts w:hint="eastAsia" w:ascii="宋体" w:hAnsi="宋体" w:cs="宋体"/>
                <w:kern w:val="0"/>
              </w:rPr>
              <w:t>3.每项工程量清单综合单价报价不得高于对应工程量清单综合单价最高限价。</w:t>
            </w:r>
          </w:p>
        </w:tc>
      </w:tr>
      <w:tr w14:paraId="718F8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CC59653">
            <w:pPr>
              <w:spacing w:line="400" w:lineRule="exact"/>
              <w:jc w:val="center"/>
              <w:rPr>
                <w:rFonts w:ascii="宋体" w:hAnsi="宋体"/>
                <w:kern w:val="0"/>
              </w:rPr>
            </w:pPr>
          </w:p>
        </w:tc>
        <w:tc>
          <w:tcPr>
            <w:tcW w:w="1560" w:type="dxa"/>
            <w:vMerge w:val="continue"/>
            <w:tcBorders>
              <w:left w:val="single" w:color="auto" w:sz="4" w:space="0"/>
            </w:tcBorders>
            <w:vAlign w:val="center"/>
          </w:tcPr>
          <w:p w14:paraId="33B4FA48">
            <w:pPr>
              <w:spacing w:line="400" w:lineRule="exact"/>
              <w:jc w:val="center"/>
              <w:rPr>
                <w:rFonts w:ascii="宋体" w:hAnsi="宋体"/>
                <w:kern w:val="0"/>
              </w:rPr>
            </w:pPr>
          </w:p>
        </w:tc>
        <w:tc>
          <w:tcPr>
            <w:tcW w:w="2267" w:type="dxa"/>
            <w:tcBorders>
              <w:right w:val="single" w:color="auto" w:sz="4" w:space="0"/>
            </w:tcBorders>
            <w:vAlign w:val="center"/>
          </w:tcPr>
          <w:p w14:paraId="1DEDAA0B">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14:paraId="5D3E09E7">
            <w:pPr>
              <w:snapToGrid w:val="0"/>
              <w:spacing w:line="400" w:lineRule="exact"/>
              <w:ind w:firstLine="420" w:firstLineChars="200"/>
              <w:rPr>
                <w:rFonts w:ascii="宋体" w:hAnsi="宋体" w:cs="宋体"/>
                <w:kern w:val="0"/>
              </w:rPr>
            </w:pPr>
            <w:r>
              <w:rPr>
                <w:rFonts w:hint="eastAsia" w:ascii="宋体" w:hAnsi="宋体" w:cs="宋体"/>
                <w:kern w:val="0"/>
              </w:rPr>
              <w:t>符合第三章3.评标程序第3.2.3项规定。</w:t>
            </w:r>
          </w:p>
        </w:tc>
      </w:tr>
      <w:tr w14:paraId="5A7EE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88E313F">
            <w:pPr>
              <w:spacing w:line="400" w:lineRule="exact"/>
              <w:jc w:val="center"/>
              <w:rPr>
                <w:rFonts w:ascii="宋体" w:hAnsi="宋体"/>
                <w:kern w:val="0"/>
              </w:rPr>
            </w:pPr>
          </w:p>
        </w:tc>
        <w:tc>
          <w:tcPr>
            <w:tcW w:w="1560" w:type="dxa"/>
            <w:vMerge w:val="continue"/>
            <w:tcBorders>
              <w:left w:val="single" w:color="auto" w:sz="4" w:space="0"/>
            </w:tcBorders>
            <w:vAlign w:val="center"/>
          </w:tcPr>
          <w:p w14:paraId="650BDBFE">
            <w:pPr>
              <w:spacing w:line="400" w:lineRule="exact"/>
              <w:jc w:val="center"/>
              <w:rPr>
                <w:rFonts w:ascii="宋体" w:hAnsi="宋体"/>
                <w:kern w:val="0"/>
              </w:rPr>
            </w:pPr>
          </w:p>
        </w:tc>
        <w:tc>
          <w:tcPr>
            <w:tcW w:w="2267" w:type="dxa"/>
            <w:tcBorders>
              <w:right w:val="single" w:color="auto" w:sz="4" w:space="0"/>
            </w:tcBorders>
            <w:vAlign w:val="center"/>
          </w:tcPr>
          <w:p w14:paraId="514852C8">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14:paraId="2F577CE9">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符合第二章“投标人须知”第1.4.3项规定。</w:t>
            </w:r>
          </w:p>
          <w:p w14:paraId="37E053B0">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14:paraId="7981FF98">
            <w:pPr>
              <w:snapToGrid w:val="0"/>
              <w:spacing w:after="31" w:afterLines="10" w:line="400" w:lineRule="exact"/>
              <w:ind w:firstLine="420" w:firstLineChars="200"/>
              <w:rPr>
                <w:rFonts w:ascii="宋体" w:hAnsi="宋体" w:cs="宋体"/>
                <w:kern w:val="0"/>
              </w:rPr>
            </w:pPr>
            <w:r>
              <w:rPr>
                <w:rFonts w:hint="eastAsia" w:ascii="宋体" w:hAnsi="宋体" w:cs="宋体"/>
                <w:kern w:val="0"/>
              </w:rPr>
              <w:t>按评标委员会要求澄清、说明或补正。</w:t>
            </w:r>
          </w:p>
        </w:tc>
      </w:tr>
      <w:tr w14:paraId="7FE1D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0178C6E8">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14:paraId="53CFD117">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14:paraId="0B2EFF85">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w:t>
            </w:r>
          </w:p>
          <w:p w14:paraId="75CA87E6">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7C7776AC">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39D48646">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2B8301F5">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或均不在红名单中的，由评标委员会全体成员投票，并按简单多数原则排序</w:t>
            </w:r>
            <w:r>
              <w:rPr>
                <w:rFonts w:hint="eastAsia" w:ascii="宋体" w:hAnsi="宋体" w:cs="Times New Roman"/>
                <w:spacing w:val="4"/>
                <w:kern w:val="0"/>
                <w:szCs w:val="21"/>
              </w:rPr>
              <w:t>。</w:t>
            </w:r>
          </w:p>
        </w:tc>
      </w:tr>
      <w:tr w14:paraId="6CFAC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22382063">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14:paraId="516D8A02">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14:paraId="57489592">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402B3C91">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14:paraId="557E5BA3">
      <w:pPr>
        <w:pStyle w:val="4"/>
        <w:spacing w:before="0" w:after="0" w:line="360" w:lineRule="auto"/>
        <w:rPr>
          <w:rFonts w:ascii="宋体" w:hAnsi="宋体"/>
          <w:bCs w:val="0"/>
          <w:snapToGrid w:val="0"/>
        </w:rPr>
      </w:pPr>
      <w:r>
        <w:rPr>
          <w:rFonts w:ascii="宋体" w:hAnsi="宋体"/>
          <w:bCs w:val="0"/>
          <w:snapToGrid w:val="0"/>
        </w:rPr>
        <w:br w:type="page"/>
      </w:r>
      <w:bookmarkStart w:id="584" w:name="_Toc16745"/>
      <w:bookmarkStart w:id="585" w:name="_Toc57905886"/>
      <w:bookmarkStart w:id="586" w:name="_Toc27750"/>
      <w:r>
        <w:rPr>
          <w:rFonts w:ascii="宋体" w:hAnsi="宋体"/>
          <w:b w:val="0"/>
          <w:snapToGrid w:val="0"/>
        </w:rPr>
        <w:t>1.  评标方法</w:t>
      </w:r>
      <w:bookmarkEnd w:id="584"/>
      <w:bookmarkEnd w:id="585"/>
      <w:bookmarkEnd w:id="586"/>
    </w:p>
    <w:p w14:paraId="11D7A7BC">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562F598F">
      <w:pPr>
        <w:pStyle w:val="4"/>
        <w:spacing w:before="0" w:after="0" w:line="360" w:lineRule="auto"/>
        <w:rPr>
          <w:rFonts w:ascii="宋体" w:hAnsi="宋体"/>
          <w:b w:val="0"/>
          <w:snapToGrid w:val="0"/>
        </w:rPr>
      </w:pPr>
      <w:bookmarkStart w:id="587" w:name="_Toc11640"/>
      <w:bookmarkStart w:id="588" w:name="_Toc57905887"/>
      <w:bookmarkStart w:id="589" w:name="_Toc20502"/>
      <w:r>
        <w:rPr>
          <w:rFonts w:ascii="宋体" w:hAnsi="宋体"/>
          <w:b w:val="0"/>
          <w:snapToGrid w:val="0"/>
        </w:rPr>
        <w:t>2.  评审标准</w:t>
      </w:r>
      <w:bookmarkEnd w:id="587"/>
      <w:bookmarkEnd w:id="588"/>
      <w:bookmarkEnd w:id="589"/>
    </w:p>
    <w:p w14:paraId="754FD445">
      <w:pPr>
        <w:pStyle w:val="5"/>
        <w:spacing w:before="0" w:after="0" w:line="360" w:lineRule="auto"/>
        <w:rPr>
          <w:rFonts w:ascii="宋体" w:hAnsi="宋体" w:cs="宋体"/>
          <w:sz w:val="21"/>
          <w:szCs w:val="21"/>
        </w:rPr>
      </w:pPr>
      <w:bookmarkStart w:id="590" w:name="_Toc3739"/>
      <w:bookmarkStart w:id="591" w:name="_Toc57905888"/>
      <w:bookmarkStart w:id="592" w:name="_Toc14391"/>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bookmarkEnd w:id="590"/>
      <w:r>
        <w:rPr>
          <w:rFonts w:hint="eastAsia" w:ascii="宋体" w:hAnsi="宋体" w:cs="宋体"/>
          <w:sz w:val="21"/>
          <w:szCs w:val="21"/>
        </w:rPr>
        <w:t>标准</w:t>
      </w:r>
      <w:bookmarkEnd w:id="591"/>
      <w:bookmarkEnd w:id="592"/>
    </w:p>
    <w:p w14:paraId="14E09B43">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42F36BB9">
      <w:pPr>
        <w:pStyle w:val="5"/>
        <w:spacing w:before="0" w:after="0" w:line="360" w:lineRule="auto"/>
        <w:rPr>
          <w:rFonts w:ascii="宋体" w:hAnsi="宋体" w:cs="宋体"/>
          <w:sz w:val="21"/>
          <w:szCs w:val="21"/>
        </w:rPr>
      </w:pPr>
      <w:bookmarkStart w:id="593" w:name="_Toc16832"/>
      <w:bookmarkStart w:id="594" w:name="_Toc31394"/>
      <w:bookmarkStart w:id="595" w:name="_Toc57905889"/>
      <w:r>
        <w:rPr>
          <w:rFonts w:ascii="宋体" w:hAnsi="宋体" w:cs="宋体"/>
          <w:sz w:val="21"/>
          <w:szCs w:val="21"/>
        </w:rPr>
        <w:t>2.</w:t>
      </w:r>
      <w:r>
        <w:rPr>
          <w:rFonts w:hint="eastAsia" w:ascii="宋体" w:hAnsi="宋体" w:cs="宋体"/>
          <w:sz w:val="21"/>
          <w:szCs w:val="21"/>
        </w:rPr>
        <w:t>2符合性审查</w:t>
      </w:r>
      <w:bookmarkEnd w:id="593"/>
      <w:r>
        <w:rPr>
          <w:rFonts w:hint="eastAsia" w:ascii="宋体" w:hAnsi="宋体" w:cs="宋体"/>
          <w:sz w:val="21"/>
          <w:szCs w:val="21"/>
        </w:rPr>
        <w:t>标准</w:t>
      </w:r>
      <w:bookmarkEnd w:id="594"/>
      <w:bookmarkEnd w:id="595"/>
    </w:p>
    <w:p w14:paraId="0CC750BE">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。符合性审查内容：资格评审、形式评审、响应性评审。</w:t>
      </w:r>
    </w:p>
    <w:p w14:paraId="0D0348A7">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技术方案评审标准：见评标办法前附表。</w:t>
      </w:r>
    </w:p>
    <w:p w14:paraId="5542205D">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  资格评审标准：见评标办法前附表。</w:t>
      </w:r>
    </w:p>
    <w:p w14:paraId="31AE5B45">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4F350A3A">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72F627BB">
      <w:pPr>
        <w:pStyle w:val="4"/>
        <w:spacing w:before="0" w:after="0" w:line="360" w:lineRule="auto"/>
        <w:rPr>
          <w:rFonts w:ascii="宋体" w:hAnsi="宋体"/>
          <w:b w:val="0"/>
          <w:snapToGrid w:val="0"/>
        </w:rPr>
      </w:pPr>
      <w:bookmarkStart w:id="596" w:name="_Toc6630"/>
      <w:bookmarkStart w:id="597" w:name="_Toc23832"/>
      <w:bookmarkStart w:id="598" w:name="_Toc57905890"/>
      <w:r>
        <w:rPr>
          <w:rFonts w:ascii="宋体" w:hAnsi="宋体"/>
          <w:b w:val="0"/>
          <w:snapToGrid w:val="0"/>
        </w:rPr>
        <w:t>3.  评标程序</w:t>
      </w:r>
      <w:bookmarkEnd w:id="596"/>
      <w:bookmarkEnd w:id="597"/>
      <w:bookmarkEnd w:id="598"/>
    </w:p>
    <w:p w14:paraId="6F93AAAD">
      <w:pPr>
        <w:pStyle w:val="5"/>
        <w:spacing w:before="0" w:after="0" w:line="360" w:lineRule="auto"/>
        <w:rPr>
          <w:rFonts w:ascii="宋体" w:hAnsi="宋体" w:cs="宋体"/>
          <w:sz w:val="21"/>
          <w:szCs w:val="21"/>
        </w:rPr>
      </w:pPr>
      <w:bookmarkStart w:id="599" w:name="_Toc57905891"/>
      <w:bookmarkStart w:id="600" w:name="_Toc17317"/>
      <w:bookmarkStart w:id="601" w:name="_Toc900"/>
      <w:r>
        <w:rPr>
          <w:rFonts w:ascii="宋体" w:hAnsi="宋体" w:cs="宋体"/>
          <w:sz w:val="21"/>
          <w:szCs w:val="21"/>
        </w:rPr>
        <w:t>3.1</w:t>
      </w:r>
      <w:r>
        <w:rPr>
          <w:rFonts w:hint="eastAsia" w:ascii="宋体" w:hAnsi="宋体" w:cs="宋体"/>
          <w:sz w:val="21"/>
          <w:szCs w:val="21"/>
        </w:rPr>
        <w:t>报价排序</w:t>
      </w:r>
      <w:bookmarkEnd w:id="599"/>
      <w:bookmarkEnd w:id="600"/>
      <w:bookmarkEnd w:id="601"/>
    </w:p>
    <w:p w14:paraId="55D7E5CD">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w:t>
      </w:r>
    </w:p>
    <w:p w14:paraId="38C3B1D4">
      <w:pPr>
        <w:pStyle w:val="5"/>
        <w:spacing w:before="0" w:after="0" w:line="360" w:lineRule="auto"/>
        <w:rPr>
          <w:rFonts w:ascii="宋体" w:hAnsi="宋体" w:cs="宋体"/>
          <w:sz w:val="21"/>
          <w:szCs w:val="21"/>
        </w:rPr>
      </w:pPr>
      <w:bookmarkStart w:id="602" w:name="_Toc23300"/>
      <w:bookmarkStart w:id="603" w:name="_Toc57905892"/>
      <w:bookmarkStart w:id="604" w:name="_Toc1543"/>
      <w:r>
        <w:rPr>
          <w:rFonts w:ascii="宋体" w:hAnsi="宋体" w:cs="宋体"/>
          <w:sz w:val="21"/>
          <w:szCs w:val="21"/>
        </w:rPr>
        <w:t>3.</w:t>
      </w:r>
      <w:r>
        <w:rPr>
          <w:rFonts w:hint="eastAsia" w:ascii="宋体" w:hAnsi="宋体" w:cs="宋体"/>
          <w:sz w:val="21"/>
          <w:szCs w:val="21"/>
        </w:rPr>
        <w:t>2符合性审查</w:t>
      </w:r>
      <w:bookmarkEnd w:id="602"/>
      <w:bookmarkEnd w:id="603"/>
      <w:bookmarkEnd w:id="604"/>
    </w:p>
    <w:p w14:paraId="19EB4F37">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款规定的标准对投标文件进行符合性审查。符合性审查顺序：资格评审、形式评审、响应性评审。</w:t>
      </w:r>
    </w:p>
    <w:p w14:paraId="29353FBC">
      <w:pPr>
        <w:spacing w:line="360" w:lineRule="auto"/>
        <w:ind w:firstLine="413" w:firstLineChars="197"/>
        <w:rPr>
          <w:rFonts w:ascii="宋体" w:hAnsi="宋体" w:cs="宋体"/>
          <w:szCs w:val="21"/>
        </w:rPr>
      </w:pPr>
      <w:r>
        <w:rPr>
          <w:rFonts w:hint="eastAsia" w:ascii="宋体" w:hAnsi="宋体" w:cs="宋体"/>
          <w:szCs w:val="21"/>
        </w:rPr>
        <w:t>按照资格、形式、响应性的顺序进行评审。有一项不符合评审标准的，作否决投标处理。</w:t>
      </w:r>
    </w:p>
    <w:p w14:paraId="1C49885F">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4D28B983">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14:paraId="1F8BAF5B">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14:paraId="6730C99E">
      <w:pPr>
        <w:spacing w:line="360" w:lineRule="auto"/>
        <w:ind w:firstLine="420" w:firstLineChars="200"/>
        <w:rPr>
          <w:rFonts w:ascii="宋体" w:hAnsi="宋体" w:cs="宋体"/>
          <w:szCs w:val="21"/>
        </w:rPr>
      </w:pPr>
      <w:r>
        <w:rPr>
          <w:rFonts w:hint="eastAsia" w:ascii="宋体" w:hAnsi="宋体" w:cs="宋体"/>
          <w:szCs w:val="21"/>
        </w:rPr>
        <w:t>（3）拒绝按评标委员会要求澄清、说明或补正的。</w:t>
      </w:r>
    </w:p>
    <w:p w14:paraId="13FB891C">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14:paraId="235B0110">
      <w:pPr>
        <w:spacing w:line="360" w:lineRule="auto"/>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14:paraId="6B1B5613">
      <w:pPr>
        <w:spacing w:line="360" w:lineRule="auto"/>
        <w:ind w:firstLine="420" w:firstLineChars="200"/>
        <w:rPr>
          <w:rFonts w:ascii="宋体" w:hAnsi="宋体" w:cs="宋体"/>
          <w:szCs w:val="21"/>
        </w:rPr>
      </w:pPr>
      <w:r>
        <w:rPr>
          <w:rFonts w:hint="eastAsia" w:ascii="宋体" w:hAnsi="宋体" w:cs="宋体"/>
          <w:szCs w:val="21"/>
        </w:rPr>
        <w:t>（2）投标函中的总报价与已标价工程量清单总报价不一致的，由评标委员会作否决投标处理。</w:t>
      </w:r>
    </w:p>
    <w:p w14:paraId="11644538">
      <w:pPr>
        <w:pStyle w:val="5"/>
        <w:spacing w:before="0" w:after="0" w:line="360" w:lineRule="auto"/>
        <w:rPr>
          <w:rFonts w:ascii="宋体" w:hAnsi="宋体" w:cs="宋体"/>
          <w:sz w:val="21"/>
          <w:szCs w:val="21"/>
        </w:rPr>
      </w:pPr>
      <w:bookmarkStart w:id="605" w:name="_Toc5505"/>
      <w:bookmarkStart w:id="606" w:name="_Toc57905893"/>
      <w:bookmarkStart w:id="607" w:name="_Toc16284"/>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605"/>
      <w:bookmarkEnd w:id="606"/>
      <w:bookmarkEnd w:id="607"/>
    </w:p>
    <w:p w14:paraId="5B571868">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1E2C11F3">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14:paraId="42F95BC7">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14:paraId="5AA62B7D">
      <w:pPr>
        <w:pStyle w:val="5"/>
        <w:spacing w:before="0" w:after="0" w:line="360" w:lineRule="auto"/>
        <w:rPr>
          <w:rFonts w:ascii="宋体" w:hAnsi="宋体" w:cs="宋体"/>
          <w:sz w:val="21"/>
          <w:szCs w:val="21"/>
        </w:rPr>
      </w:pPr>
      <w:bookmarkStart w:id="608" w:name="_Toc10289"/>
      <w:bookmarkStart w:id="609" w:name="_Toc484465184"/>
      <w:bookmarkStart w:id="610" w:name="_Toc479262406"/>
      <w:bookmarkStart w:id="611" w:name="_Toc57905894"/>
      <w:bookmarkStart w:id="612" w:name="_Toc26860"/>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608"/>
      <w:bookmarkEnd w:id="609"/>
      <w:bookmarkEnd w:id="610"/>
      <w:bookmarkEnd w:id="611"/>
      <w:bookmarkEnd w:id="612"/>
    </w:p>
    <w:p w14:paraId="7B0BFF64">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除第二章“投标人须知”前附表授权直接确定中标人外，评标委员会按经评审的最低投标价法推荐中标候选人。</w:t>
      </w:r>
    </w:p>
    <w:p w14:paraId="204BE4A4">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0EAC43C1">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14:paraId="2DA989A5">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09175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73BB8889">
            <w:pPr>
              <w:spacing w:line="400" w:lineRule="exact"/>
              <w:jc w:val="center"/>
              <w:rPr>
                <w:rFonts w:ascii="宋体" w:hAnsi="宋体"/>
                <w:b/>
                <w:szCs w:val="21"/>
              </w:rPr>
            </w:pPr>
            <w:r>
              <w:rPr>
                <w:rFonts w:ascii="宋体" w:hAnsi="宋体"/>
                <w:b/>
                <w:szCs w:val="21"/>
              </w:rPr>
              <w:t>章节号</w:t>
            </w:r>
          </w:p>
        </w:tc>
        <w:tc>
          <w:tcPr>
            <w:tcW w:w="1899" w:type="dxa"/>
            <w:vAlign w:val="center"/>
          </w:tcPr>
          <w:p w14:paraId="5C1A5C46">
            <w:pPr>
              <w:spacing w:line="400" w:lineRule="exact"/>
              <w:jc w:val="center"/>
              <w:rPr>
                <w:rFonts w:ascii="宋体" w:hAnsi="宋体"/>
                <w:b/>
                <w:szCs w:val="21"/>
              </w:rPr>
            </w:pPr>
            <w:r>
              <w:rPr>
                <w:rFonts w:ascii="宋体" w:hAnsi="宋体"/>
                <w:b/>
                <w:szCs w:val="21"/>
              </w:rPr>
              <w:t>条款名称</w:t>
            </w:r>
          </w:p>
        </w:tc>
        <w:tc>
          <w:tcPr>
            <w:tcW w:w="6333" w:type="dxa"/>
            <w:vAlign w:val="center"/>
          </w:tcPr>
          <w:p w14:paraId="6E7B2A67">
            <w:pPr>
              <w:spacing w:line="400" w:lineRule="exact"/>
              <w:jc w:val="center"/>
              <w:rPr>
                <w:rFonts w:ascii="宋体" w:hAnsi="宋体"/>
                <w:b/>
                <w:szCs w:val="21"/>
              </w:rPr>
            </w:pPr>
            <w:r>
              <w:rPr>
                <w:rFonts w:ascii="宋体" w:hAnsi="宋体"/>
                <w:b/>
                <w:szCs w:val="21"/>
              </w:rPr>
              <w:t>否决投标条件</w:t>
            </w:r>
          </w:p>
        </w:tc>
      </w:tr>
      <w:tr w14:paraId="439572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2C95884B">
            <w:pPr>
              <w:spacing w:line="400" w:lineRule="exact"/>
              <w:jc w:val="center"/>
              <w:rPr>
                <w:rFonts w:ascii="宋体" w:hAnsi="宋体"/>
                <w:szCs w:val="21"/>
              </w:rPr>
            </w:pPr>
            <w:r>
              <w:rPr>
                <w:rFonts w:hint="eastAsia" w:ascii="宋体" w:hAnsi="宋体"/>
                <w:szCs w:val="21"/>
              </w:rPr>
              <w:t>第三章</w:t>
            </w:r>
          </w:p>
        </w:tc>
        <w:tc>
          <w:tcPr>
            <w:tcW w:w="1899" w:type="dxa"/>
            <w:vAlign w:val="center"/>
          </w:tcPr>
          <w:p w14:paraId="34EF94E3">
            <w:pPr>
              <w:spacing w:line="400" w:lineRule="exact"/>
              <w:jc w:val="center"/>
              <w:rPr>
                <w:rFonts w:ascii="宋体" w:hAnsi="宋体"/>
                <w:szCs w:val="21"/>
              </w:rPr>
            </w:pPr>
            <w:r>
              <w:rPr>
                <w:rFonts w:hint="eastAsia" w:ascii="宋体" w:hAnsi="宋体"/>
                <w:szCs w:val="21"/>
              </w:rPr>
              <w:t>技术方案评审</w:t>
            </w:r>
          </w:p>
          <w:p w14:paraId="6BE20381">
            <w:pPr>
              <w:spacing w:line="400" w:lineRule="exact"/>
              <w:jc w:val="center"/>
              <w:rPr>
                <w:rFonts w:ascii="宋体" w:hAnsi="宋体"/>
                <w:szCs w:val="21"/>
              </w:rPr>
            </w:pPr>
            <w:r>
              <w:rPr>
                <w:rFonts w:hint="eastAsia" w:ascii="宋体" w:hAnsi="宋体"/>
                <w:szCs w:val="21"/>
              </w:rPr>
              <w:t>（如有）</w:t>
            </w:r>
          </w:p>
        </w:tc>
        <w:tc>
          <w:tcPr>
            <w:tcW w:w="6333" w:type="dxa"/>
            <w:vAlign w:val="center"/>
          </w:tcPr>
          <w:p w14:paraId="41D272D0">
            <w:pPr>
              <w:spacing w:line="400" w:lineRule="exact"/>
              <w:ind w:firstLine="420" w:firstLineChars="200"/>
              <w:rPr>
                <w:rFonts w:ascii="宋体" w:hAnsi="宋体"/>
                <w:szCs w:val="21"/>
              </w:rPr>
            </w:pPr>
            <w:r>
              <w:rPr>
                <w:rFonts w:hint="eastAsia" w:ascii="宋体" w:hAnsi="宋体"/>
                <w:szCs w:val="21"/>
              </w:rPr>
              <w:t>A-1投标人的技术方案综合性评审不合格，由评标委员会作否决投标处理。</w:t>
            </w:r>
          </w:p>
        </w:tc>
      </w:tr>
      <w:tr w14:paraId="204563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6E2415E">
            <w:pPr>
              <w:spacing w:line="400" w:lineRule="exact"/>
              <w:jc w:val="center"/>
              <w:rPr>
                <w:rFonts w:ascii="宋体" w:hAnsi="宋体"/>
                <w:szCs w:val="21"/>
              </w:rPr>
            </w:pPr>
          </w:p>
        </w:tc>
        <w:tc>
          <w:tcPr>
            <w:tcW w:w="1899" w:type="dxa"/>
            <w:vMerge w:val="restart"/>
            <w:vAlign w:val="center"/>
          </w:tcPr>
          <w:p w14:paraId="130BE0B8">
            <w:pPr>
              <w:spacing w:line="400" w:lineRule="exact"/>
              <w:jc w:val="center"/>
              <w:rPr>
                <w:rFonts w:ascii="宋体" w:hAnsi="宋体"/>
                <w:szCs w:val="21"/>
              </w:rPr>
            </w:pPr>
            <w:r>
              <w:rPr>
                <w:rFonts w:hint="eastAsia" w:ascii="宋体" w:hAnsi="宋体"/>
                <w:szCs w:val="21"/>
              </w:rPr>
              <w:t>资格评审</w:t>
            </w:r>
          </w:p>
        </w:tc>
        <w:tc>
          <w:tcPr>
            <w:tcW w:w="6333" w:type="dxa"/>
            <w:vAlign w:val="center"/>
          </w:tcPr>
          <w:p w14:paraId="101C0575">
            <w:pPr>
              <w:spacing w:line="400" w:lineRule="exact"/>
              <w:ind w:firstLine="420" w:firstLineChars="200"/>
              <w:rPr>
                <w:rFonts w:ascii="宋体" w:hAnsi="宋体"/>
                <w:szCs w:val="21"/>
              </w:rPr>
            </w:pPr>
            <w:r>
              <w:rPr>
                <w:rFonts w:hint="eastAsia" w:ascii="宋体" w:hAnsi="宋体"/>
                <w:szCs w:val="21"/>
              </w:rPr>
              <w:t>A-2投标人的资质条件、营业执照及安全生产条件须满足投标人须知前附表第1.4.1项第1条的要求，否则由评标委员会作否决投标处理。</w:t>
            </w:r>
          </w:p>
        </w:tc>
      </w:tr>
      <w:tr w14:paraId="7CEDB6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A9EFF69">
            <w:pPr>
              <w:spacing w:line="400" w:lineRule="exact"/>
              <w:jc w:val="center"/>
              <w:rPr>
                <w:rFonts w:ascii="宋体" w:hAnsi="宋体"/>
                <w:szCs w:val="21"/>
              </w:rPr>
            </w:pPr>
          </w:p>
        </w:tc>
        <w:tc>
          <w:tcPr>
            <w:tcW w:w="1899" w:type="dxa"/>
            <w:vMerge w:val="continue"/>
            <w:vAlign w:val="center"/>
          </w:tcPr>
          <w:p w14:paraId="554F4371">
            <w:pPr>
              <w:spacing w:line="400" w:lineRule="exact"/>
              <w:jc w:val="center"/>
              <w:rPr>
                <w:rFonts w:ascii="宋体" w:hAnsi="宋体"/>
                <w:szCs w:val="21"/>
              </w:rPr>
            </w:pPr>
          </w:p>
        </w:tc>
        <w:tc>
          <w:tcPr>
            <w:tcW w:w="6333" w:type="dxa"/>
            <w:vAlign w:val="center"/>
          </w:tcPr>
          <w:p w14:paraId="0CA96971">
            <w:pPr>
              <w:spacing w:line="400" w:lineRule="exact"/>
              <w:ind w:firstLine="420" w:firstLineChars="200"/>
              <w:rPr>
                <w:rFonts w:ascii="宋体" w:hAnsi="宋体"/>
                <w:szCs w:val="21"/>
              </w:rPr>
            </w:pPr>
            <w:r>
              <w:rPr>
                <w:rFonts w:hint="eastAsia" w:ascii="宋体" w:hAnsi="宋体"/>
                <w:szCs w:val="21"/>
              </w:rPr>
              <w:t>A-3投标人的财务须满足投标人须知前附表第1.4.1项第2条的要求，否则由评标委员会作否决投标处理（如有）。</w:t>
            </w:r>
          </w:p>
        </w:tc>
      </w:tr>
      <w:tr w14:paraId="135860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941CB03">
            <w:pPr>
              <w:spacing w:line="400" w:lineRule="exact"/>
              <w:jc w:val="center"/>
              <w:rPr>
                <w:rFonts w:ascii="宋体" w:hAnsi="宋体"/>
                <w:szCs w:val="21"/>
              </w:rPr>
            </w:pPr>
          </w:p>
        </w:tc>
        <w:tc>
          <w:tcPr>
            <w:tcW w:w="1899" w:type="dxa"/>
            <w:vMerge w:val="continue"/>
            <w:vAlign w:val="center"/>
          </w:tcPr>
          <w:p w14:paraId="6DDD6063">
            <w:pPr>
              <w:spacing w:line="400" w:lineRule="exact"/>
              <w:jc w:val="center"/>
              <w:rPr>
                <w:rFonts w:ascii="宋体" w:hAnsi="宋体"/>
                <w:szCs w:val="21"/>
              </w:rPr>
            </w:pPr>
          </w:p>
        </w:tc>
        <w:tc>
          <w:tcPr>
            <w:tcW w:w="6333" w:type="dxa"/>
            <w:vAlign w:val="center"/>
          </w:tcPr>
          <w:p w14:paraId="5ECF4778">
            <w:pPr>
              <w:spacing w:line="400" w:lineRule="exact"/>
              <w:ind w:firstLine="420" w:firstLineChars="200"/>
              <w:rPr>
                <w:rFonts w:ascii="宋体" w:hAnsi="宋体"/>
                <w:szCs w:val="21"/>
              </w:rPr>
            </w:pPr>
            <w:r>
              <w:rPr>
                <w:rFonts w:hint="eastAsia" w:ascii="宋体" w:hAnsi="宋体"/>
                <w:szCs w:val="21"/>
              </w:rPr>
              <w:t>A-4投标人的业绩须满足投标人须知前附表第1.4.1项第3条的要求，否则由评标委员会作否决投标处理（如有）。</w:t>
            </w:r>
          </w:p>
        </w:tc>
      </w:tr>
      <w:tr w14:paraId="51F418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AE82734">
            <w:pPr>
              <w:spacing w:line="400" w:lineRule="exact"/>
              <w:jc w:val="center"/>
              <w:rPr>
                <w:rFonts w:ascii="宋体" w:hAnsi="宋体"/>
                <w:szCs w:val="21"/>
              </w:rPr>
            </w:pPr>
          </w:p>
        </w:tc>
        <w:tc>
          <w:tcPr>
            <w:tcW w:w="1899" w:type="dxa"/>
            <w:vMerge w:val="continue"/>
            <w:vAlign w:val="center"/>
          </w:tcPr>
          <w:p w14:paraId="129363D7">
            <w:pPr>
              <w:spacing w:line="400" w:lineRule="exact"/>
              <w:jc w:val="center"/>
              <w:rPr>
                <w:rFonts w:ascii="宋体" w:hAnsi="宋体"/>
                <w:szCs w:val="21"/>
              </w:rPr>
            </w:pPr>
          </w:p>
        </w:tc>
        <w:tc>
          <w:tcPr>
            <w:tcW w:w="6333" w:type="dxa"/>
            <w:vAlign w:val="center"/>
          </w:tcPr>
          <w:p w14:paraId="1858FBE5">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A-5投标人的投标截止日投标资格情况须满足投标人须知前附表1.4.1项第4条的要求，否则由评标委员会作否决投标处理。</w:t>
            </w:r>
          </w:p>
        </w:tc>
      </w:tr>
      <w:tr w14:paraId="6D3B68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634C4B1">
            <w:pPr>
              <w:spacing w:line="400" w:lineRule="exact"/>
              <w:jc w:val="center"/>
              <w:rPr>
                <w:rFonts w:ascii="宋体" w:hAnsi="宋体"/>
                <w:szCs w:val="21"/>
              </w:rPr>
            </w:pPr>
          </w:p>
        </w:tc>
        <w:tc>
          <w:tcPr>
            <w:tcW w:w="1899" w:type="dxa"/>
            <w:vMerge w:val="continue"/>
            <w:vAlign w:val="center"/>
          </w:tcPr>
          <w:p w14:paraId="2F7CF393">
            <w:pPr>
              <w:spacing w:line="400" w:lineRule="exact"/>
              <w:jc w:val="center"/>
              <w:rPr>
                <w:rFonts w:ascii="宋体" w:hAnsi="宋体"/>
                <w:szCs w:val="21"/>
              </w:rPr>
            </w:pPr>
          </w:p>
        </w:tc>
        <w:tc>
          <w:tcPr>
            <w:tcW w:w="6333" w:type="dxa"/>
            <w:vAlign w:val="center"/>
          </w:tcPr>
          <w:p w14:paraId="6E5B24D6">
            <w:pPr>
              <w:spacing w:line="400" w:lineRule="exact"/>
              <w:ind w:firstLine="420" w:firstLineChars="200"/>
              <w:rPr>
                <w:rFonts w:ascii="宋体" w:hAnsi="宋体"/>
                <w:szCs w:val="21"/>
              </w:rPr>
            </w:pPr>
            <w:r>
              <w:rPr>
                <w:rFonts w:hint="eastAsia" w:ascii="宋体" w:hAnsi="宋体"/>
                <w:szCs w:val="21"/>
              </w:rPr>
              <w:t>A-6投标人的项目经理资格须满足投标人须知前附表第1.4.1项第5条的要求，否则由评标委员会作否决投标处理。</w:t>
            </w:r>
          </w:p>
        </w:tc>
      </w:tr>
      <w:tr w14:paraId="67152E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4C76391">
            <w:pPr>
              <w:spacing w:line="400" w:lineRule="exact"/>
              <w:jc w:val="center"/>
              <w:rPr>
                <w:rFonts w:ascii="宋体" w:hAnsi="宋体"/>
                <w:szCs w:val="21"/>
              </w:rPr>
            </w:pPr>
          </w:p>
        </w:tc>
        <w:tc>
          <w:tcPr>
            <w:tcW w:w="1899" w:type="dxa"/>
            <w:vMerge w:val="continue"/>
            <w:vAlign w:val="center"/>
          </w:tcPr>
          <w:p w14:paraId="750279AD">
            <w:pPr>
              <w:spacing w:line="400" w:lineRule="exact"/>
              <w:jc w:val="center"/>
              <w:rPr>
                <w:rFonts w:ascii="宋体" w:hAnsi="宋体"/>
                <w:szCs w:val="21"/>
              </w:rPr>
            </w:pPr>
          </w:p>
        </w:tc>
        <w:tc>
          <w:tcPr>
            <w:tcW w:w="6333" w:type="dxa"/>
            <w:vAlign w:val="center"/>
          </w:tcPr>
          <w:p w14:paraId="2AE4A6E0">
            <w:pPr>
              <w:spacing w:line="400" w:lineRule="exact"/>
              <w:ind w:firstLine="420" w:firstLineChars="200"/>
              <w:rPr>
                <w:rFonts w:ascii="宋体" w:hAnsi="宋体"/>
                <w:szCs w:val="21"/>
              </w:rPr>
            </w:pPr>
            <w:r>
              <w:rPr>
                <w:rFonts w:hint="eastAsia" w:ascii="宋体" w:hAnsi="宋体"/>
                <w:szCs w:val="21"/>
              </w:rPr>
              <w:t>A-7投标人的其他要求须满足投标人须知前附表第1.4.1项第6条的要求，否则由评标委员会作否决投标处理。</w:t>
            </w:r>
          </w:p>
        </w:tc>
      </w:tr>
      <w:tr w14:paraId="4914CC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CCB4D28">
            <w:pPr>
              <w:spacing w:line="400" w:lineRule="exact"/>
              <w:jc w:val="center"/>
              <w:rPr>
                <w:rFonts w:ascii="宋体" w:hAnsi="宋体"/>
                <w:szCs w:val="21"/>
              </w:rPr>
            </w:pPr>
          </w:p>
        </w:tc>
        <w:tc>
          <w:tcPr>
            <w:tcW w:w="1899" w:type="dxa"/>
            <w:vMerge w:val="continue"/>
            <w:vAlign w:val="center"/>
          </w:tcPr>
          <w:p w14:paraId="2E4F264D">
            <w:pPr>
              <w:spacing w:line="400" w:lineRule="exact"/>
              <w:jc w:val="center"/>
              <w:rPr>
                <w:rFonts w:ascii="宋体" w:hAnsi="宋体"/>
                <w:szCs w:val="21"/>
              </w:rPr>
            </w:pPr>
          </w:p>
        </w:tc>
        <w:tc>
          <w:tcPr>
            <w:tcW w:w="6333" w:type="dxa"/>
            <w:vAlign w:val="center"/>
          </w:tcPr>
          <w:p w14:paraId="4E2F739A">
            <w:pPr>
              <w:spacing w:line="400" w:lineRule="exact"/>
              <w:ind w:firstLine="420" w:firstLineChars="200"/>
              <w:rPr>
                <w:rFonts w:ascii="宋体" w:hAnsi="宋体"/>
                <w:szCs w:val="21"/>
              </w:rPr>
            </w:pPr>
            <w:r>
              <w:rPr>
                <w:rFonts w:hint="eastAsia" w:ascii="宋体" w:hAnsi="宋体"/>
                <w:szCs w:val="21"/>
              </w:rPr>
              <w:t>A-8若有联合体投标人，则：</w:t>
            </w:r>
          </w:p>
          <w:p w14:paraId="60C30051">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530D0325">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21C31F83">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5114BB5B">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713828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DA46EAE">
            <w:pPr>
              <w:spacing w:line="400" w:lineRule="exact"/>
              <w:jc w:val="center"/>
              <w:rPr>
                <w:rFonts w:ascii="宋体" w:hAnsi="宋体"/>
                <w:szCs w:val="21"/>
              </w:rPr>
            </w:pPr>
          </w:p>
        </w:tc>
        <w:tc>
          <w:tcPr>
            <w:tcW w:w="1899" w:type="dxa"/>
            <w:vMerge w:val="restart"/>
            <w:vAlign w:val="center"/>
          </w:tcPr>
          <w:p w14:paraId="6A7FA1DE">
            <w:pPr>
              <w:spacing w:line="400" w:lineRule="exact"/>
              <w:jc w:val="center"/>
              <w:rPr>
                <w:rFonts w:ascii="宋体" w:hAnsi="宋体"/>
                <w:szCs w:val="21"/>
              </w:rPr>
            </w:pPr>
            <w:r>
              <w:rPr>
                <w:rFonts w:hint="eastAsia" w:ascii="宋体" w:hAnsi="宋体"/>
                <w:szCs w:val="21"/>
              </w:rPr>
              <w:t>形式评审</w:t>
            </w:r>
          </w:p>
        </w:tc>
        <w:tc>
          <w:tcPr>
            <w:tcW w:w="6333" w:type="dxa"/>
          </w:tcPr>
          <w:p w14:paraId="6909CEA4">
            <w:pPr>
              <w:spacing w:line="400" w:lineRule="exact"/>
              <w:ind w:firstLine="420" w:firstLineChars="200"/>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1E3E6A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40690BA">
            <w:pPr>
              <w:spacing w:line="400" w:lineRule="exact"/>
              <w:jc w:val="center"/>
              <w:rPr>
                <w:rFonts w:ascii="宋体" w:hAnsi="宋体"/>
                <w:szCs w:val="21"/>
              </w:rPr>
            </w:pPr>
          </w:p>
        </w:tc>
        <w:tc>
          <w:tcPr>
            <w:tcW w:w="1899" w:type="dxa"/>
            <w:vMerge w:val="continue"/>
            <w:vAlign w:val="center"/>
          </w:tcPr>
          <w:p w14:paraId="42C400CE">
            <w:pPr>
              <w:spacing w:line="400" w:lineRule="exact"/>
              <w:jc w:val="center"/>
              <w:rPr>
                <w:rFonts w:ascii="宋体" w:hAnsi="宋体"/>
                <w:szCs w:val="21"/>
              </w:rPr>
            </w:pPr>
          </w:p>
        </w:tc>
        <w:tc>
          <w:tcPr>
            <w:tcW w:w="6333" w:type="dxa"/>
          </w:tcPr>
          <w:p w14:paraId="35ED3229">
            <w:pPr>
              <w:spacing w:line="400" w:lineRule="exact"/>
              <w:ind w:firstLine="420" w:firstLineChars="200"/>
              <w:rPr>
                <w:rFonts w:ascii="宋体" w:hAnsi="宋体"/>
                <w:szCs w:val="21"/>
              </w:rPr>
            </w:pPr>
            <w:r>
              <w:rPr>
                <w:rFonts w:hint="eastAsia" w:ascii="宋体" w:hAnsi="宋体"/>
                <w:szCs w:val="21"/>
              </w:rPr>
              <w:t>A-10投标函格式规定签名、盖章的位置有法定代表人或其委托代理人签名（或盖章）、加盖单位法人章，否则由评标委员会作否决投标处理。</w:t>
            </w:r>
          </w:p>
        </w:tc>
      </w:tr>
      <w:tr w14:paraId="7666E2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1CA3CE2">
            <w:pPr>
              <w:spacing w:line="400" w:lineRule="exact"/>
              <w:jc w:val="center"/>
              <w:rPr>
                <w:rFonts w:ascii="宋体" w:hAnsi="宋体"/>
                <w:szCs w:val="21"/>
              </w:rPr>
            </w:pPr>
          </w:p>
        </w:tc>
        <w:tc>
          <w:tcPr>
            <w:tcW w:w="1899" w:type="dxa"/>
            <w:vMerge w:val="continue"/>
            <w:vAlign w:val="center"/>
          </w:tcPr>
          <w:p w14:paraId="3149E00E">
            <w:pPr>
              <w:spacing w:line="400" w:lineRule="exact"/>
              <w:jc w:val="center"/>
              <w:rPr>
                <w:rFonts w:ascii="宋体" w:hAnsi="宋体"/>
                <w:szCs w:val="21"/>
              </w:rPr>
            </w:pPr>
          </w:p>
        </w:tc>
        <w:tc>
          <w:tcPr>
            <w:tcW w:w="6333" w:type="dxa"/>
          </w:tcPr>
          <w:p w14:paraId="625BABDE">
            <w:pPr>
              <w:spacing w:line="400" w:lineRule="exact"/>
              <w:ind w:firstLine="420" w:firstLineChars="200"/>
              <w:rPr>
                <w:rFonts w:ascii="宋体" w:hAnsi="宋体"/>
                <w:szCs w:val="21"/>
              </w:rPr>
            </w:pPr>
            <w:r>
              <w:rPr>
                <w:rFonts w:hint="eastAsia" w:ascii="宋体" w:hAnsi="宋体"/>
                <w:szCs w:val="21"/>
              </w:rPr>
              <w:t>A-11投标文件格式符合第二章“投标人须知”第3.7款的要求，否则由评标委员会作否决投标处理。</w:t>
            </w:r>
          </w:p>
          <w:p w14:paraId="36EAA103">
            <w:pPr>
              <w:spacing w:line="400" w:lineRule="exact"/>
              <w:ind w:firstLine="420" w:firstLineChars="200"/>
              <w:rPr>
                <w:rFonts w:ascii="宋体" w:hAnsi="宋体"/>
                <w:szCs w:val="21"/>
              </w:rPr>
            </w:pPr>
            <w:r>
              <w:rPr>
                <w:rFonts w:hint="eastAsia" w:ascii="宋体" w:hAnsi="宋体"/>
                <w:kern w:val="0"/>
                <w:szCs w:val="21"/>
              </w:rPr>
              <w:t>编制投标文件时不得对第八章“投标文件格式”的相应要素作实质性修改，否则由评标委员会作否决投标处理。</w:t>
            </w:r>
          </w:p>
        </w:tc>
      </w:tr>
      <w:tr w14:paraId="1397FA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E43C2D8">
            <w:pPr>
              <w:spacing w:line="400" w:lineRule="exact"/>
              <w:jc w:val="center"/>
              <w:rPr>
                <w:rFonts w:ascii="宋体" w:hAnsi="宋体"/>
                <w:szCs w:val="21"/>
              </w:rPr>
            </w:pPr>
          </w:p>
        </w:tc>
        <w:tc>
          <w:tcPr>
            <w:tcW w:w="1899" w:type="dxa"/>
            <w:vMerge w:val="continue"/>
            <w:vAlign w:val="center"/>
          </w:tcPr>
          <w:p w14:paraId="59093750">
            <w:pPr>
              <w:spacing w:line="400" w:lineRule="exact"/>
              <w:jc w:val="center"/>
              <w:rPr>
                <w:rFonts w:ascii="宋体" w:hAnsi="宋体"/>
                <w:szCs w:val="21"/>
              </w:rPr>
            </w:pPr>
          </w:p>
        </w:tc>
        <w:tc>
          <w:tcPr>
            <w:tcW w:w="6333" w:type="dxa"/>
          </w:tcPr>
          <w:p w14:paraId="178D4124">
            <w:pPr>
              <w:autoSpaceDE w:val="0"/>
              <w:autoSpaceDN w:val="0"/>
              <w:adjustRightInd w:val="0"/>
              <w:snapToGrid w:val="0"/>
              <w:spacing w:line="400" w:lineRule="exact"/>
              <w:ind w:firstLine="420" w:firstLineChars="200"/>
              <w:rPr>
                <w:rFonts w:ascii="宋体" w:hAnsi="宋体"/>
                <w:i/>
                <w:szCs w:val="21"/>
              </w:rPr>
            </w:pPr>
            <w:r>
              <w:rPr>
                <w:rFonts w:hint="eastAsia" w:ascii="宋体" w:hAnsi="宋体"/>
                <w:szCs w:val="21"/>
              </w:rPr>
              <w:t>A-12投标文件份数符合第二章“投标人须知”第3.7.4项的规定，</w:t>
            </w:r>
            <w:r>
              <w:rPr>
                <w:rFonts w:hint="eastAsia" w:ascii="宋体" w:hAnsi="宋体"/>
                <w:kern w:val="0"/>
                <w:szCs w:val="21"/>
              </w:rPr>
              <w:t>否则由评标委员会作否决投标处理。</w:t>
            </w:r>
          </w:p>
        </w:tc>
      </w:tr>
      <w:tr w14:paraId="25AEF9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E2556CB">
            <w:pPr>
              <w:spacing w:line="400" w:lineRule="exact"/>
              <w:jc w:val="center"/>
              <w:rPr>
                <w:rFonts w:ascii="宋体" w:hAnsi="宋体"/>
                <w:szCs w:val="21"/>
              </w:rPr>
            </w:pPr>
          </w:p>
        </w:tc>
        <w:tc>
          <w:tcPr>
            <w:tcW w:w="1899" w:type="dxa"/>
            <w:vMerge w:val="continue"/>
            <w:vAlign w:val="center"/>
          </w:tcPr>
          <w:p w14:paraId="55F9E62D">
            <w:pPr>
              <w:spacing w:line="400" w:lineRule="exact"/>
              <w:jc w:val="center"/>
              <w:rPr>
                <w:rFonts w:ascii="宋体" w:hAnsi="宋体"/>
                <w:szCs w:val="21"/>
              </w:rPr>
            </w:pPr>
          </w:p>
        </w:tc>
        <w:tc>
          <w:tcPr>
            <w:tcW w:w="6333" w:type="dxa"/>
          </w:tcPr>
          <w:p w14:paraId="1345FEFF">
            <w:pPr>
              <w:spacing w:line="400" w:lineRule="exact"/>
              <w:ind w:firstLine="420" w:firstLineChars="200"/>
              <w:rPr>
                <w:rFonts w:ascii="宋体" w:hAnsi="宋体"/>
                <w:szCs w:val="21"/>
              </w:rPr>
            </w:pPr>
            <w:r>
              <w:rPr>
                <w:rFonts w:hint="eastAsia" w:ascii="宋体" w:hAnsi="宋体"/>
                <w:szCs w:val="21"/>
              </w:rPr>
              <w:t>A-13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7EBE12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08863EC">
            <w:pPr>
              <w:spacing w:line="400" w:lineRule="exact"/>
              <w:jc w:val="center"/>
              <w:rPr>
                <w:rFonts w:ascii="宋体" w:hAnsi="宋体"/>
                <w:szCs w:val="21"/>
              </w:rPr>
            </w:pPr>
          </w:p>
        </w:tc>
        <w:tc>
          <w:tcPr>
            <w:tcW w:w="1899" w:type="dxa"/>
            <w:vMerge w:val="continue"/>
            <w:vAlign w:val="center"/>
          </w:tcPr>
          <w:p w14:paraId="0C8C9E15">
            <w:pPr>
              <w:spacing w:line="400" w:lineRule="exact"/>
              <w:jc w:val="center"/>
              <w:rPr>
                <w:rFonts w:ascii="宋体" w:hAnsi="宋体"/>
                <w:szCs w:val="21"/>
              </w:rPr>
            </w:pPr>
          </w:p>
        </w:tc>
        <w:tc>
          <w:tcPr>
            <w:tcW w:w="6333" w:type="dxa"/>
          </w:tcPr>
          <w:p w14:paraId="7C16F7EF">
            <w:pPr>
              <w:spacing w:line="400" w:lineRule="exact"/>
              <w:ind w:firstLine="420" w:firstLineChars="200"/>
              <w:rPr>
                <w:rFonts w:ascii="宋体" w:hAnsi="宋体"/>
                <w:szCs w:val="21"/>
              </w:rPr>
            </w:pPr>
            <w:r>
              <w:rPr>
                <w:rFonts w:hint="eastAsia" w:ascii="宋体" w:hAnsi="宋体"/>
                <w:szCs w:val="21"/>
              </w:rPr>
              <w:t>A-14只能有一个有效报价。在招标文件没有规定的情况下，不得提交选择性报价，否则由评标委员会作否决投标处理。</w:t>
            </w:r>
          </w:p>
        </w:tc>
      </w:tr>
      <w:tr w14:paraId="5BCC9D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2424B5F">
            <w:pPr>
              <w:spacing w:line="400" w:lineRule="exact"/>
              <w:jc w:val="center"/>
              <w:rPr>
                <w:rFonts w:ascii="宋体" w:hAnsi="宋体"/>
                <w:szCs w:val="21"/>
              </w:rPr>
            </w:pPr>
          </w:p>
        </w:tc>
        <w:tc>
          <w:tcPr>
            <w:tcW w:w="1899" w:type="dxa"/>
            <w:vMerge w:val="continue"/>
            <w:vAlign w:val="center"/>
          </w:tcPr>
          <w:p w14:paraId="03333851">
            <w:pPr>
              <w:spacing w:line="400" w:lineRule="exact"/>
              <w:jc w:val="center"/>
              <w:rPr>
                <w:rFonts w:ascii="宋体" w:hAnsi="宋体"/>
                <w:szCs w:val="21"/>
              </w:rPr>
            </w:pPr>
          </w:p>
        </w:tc>
        <w:tc>
          <w:tcPr>
            <w:tcW w:w="6333" w:type="dxa"/>
          </w:tcPr>
          <w:p w14:paraId="44E4D235">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A-15</w:t>
            </w:r>
            <w:r>
              <w:rPr>
                <w:rFonts w:hint="eastAsia" w:ascii="宋体" w:hAnsi="宋体" w:cs="宋体"/>
                <w:kern w:val="0"/>
              </w:rPr>
              <w:t>第八章 投标文件格式要求法定代表人或其委托代理人签名（或盖章）的须齐全。</w:t>
            </w: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r>
              <w:rPr>
                <w:rFonts w:hint="eastAsia" w:ascii="宋体" w:hAnsi="宋体"/>
                <w:szCs w:val="21"/>
              </w:rPr>
              <w:t>，否则由评标委员会作否决投标处理。</w:t>
            </w:r>
          </w:p>
        </w:tc>
      </w:tr>
      <w:tr w14:paraId="5EF6CF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01FEDD4">
            <w:pPr>
              <w:spacing w:line="400" w:lineRule="exact"/>
              <w:jc w:val="center"/>
              <w:rPr>
                <w:rFonts w:ascii="宋体" w:hAnsi="宋体"/>
                <w:szCs w:val="21"/>
              </w:rPr>
            </w:pPr>
          </w:p>
        </w:tc>
        <w:tc>
          <w:tcPr>
            <w:tcW w:w="1899" w:type="dxa"/>
            <w:vMerge w:val="continue"/>
            <w:vAlign w:val="center"/>
          </w:tcPr>
          <w:p w14:paraId="32086A15">
            <w:pPr>
              <w:spacing w:line="400" w:lineRule="exact"/>
              <w:jc w:val="center"/>
              <w:rPr>
                <w:rFonts w:ascii="宋体" w:hAnsi="宋体"/>
                <w:szCs w:val="21"/>
              </w:rPr>
            </w:pPr>
          </w:p>
        </w:tc>
        <w:tc>
          <w:tcPr>
            <w:tcW w:w="6333" w:type="dxa"/>
          </w:tcPr>
          <w:p w14:paraId="611D7C2F">
            <w:pPr>
              <w:spacing w:line="400" w:lineRule="exact"/>
              <w:ind w:firstLine="420" w:firstLineChars="200"/>
              <w:rPr>
                <w:rFonts w:ascii="宋体" w:hAnsi="宋体"/>
                <w:szCs w:val="21"/>
              </w:rPr>
            </w:pPr>
            <w:r>
              <w:rPr>
                <w:rFonts w:hint="eastAsia" w:ascii="宋体" w:hAnsi="宋体"/>
                <w:szCs w:val="21"/>
              </w:rPr>
              <w:t>A-16投标人法定代表人的委托代理人有法定代表人签署的授权委托书，否则由评标委员会作否决投标处理。</w:t>
            </w:r>
          </w:p>
        </w:tc>
      </w:tr>
      <w:tr w14:paraId="32B6DC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8276833">
            <w:pPr>
              <w:spacing w:line="400" w:lineRule="exact"/>
              <w:jc w:val="center"/>
              <w:rPr>
                <w:rFonts w:ascii="宋体" w:hAnsi="宋体"/>
                <w:szCs w:val="21"/>
              </w:rPr>
            </w:pPr>
          </w:p>
        </w:tc>
        <w:tc>
          <w:tcPr>
            <w:tcW w:w="1899" w:type="dxa"/>
            <w:vMerge w:val="restart"/>
            <w:vAlign w:val="center"/>
          </w:tcPr>
          <w:p w14:paraId="3C24CAAC">
            <w:pPr>
              <w:spacing w:line="400" w:lineRule="exact"/>
              <w:jc w:val="center"/>
              <w:rPr>
                <w:rFonts w:ascii="宋体" w:hAnsi="宋体"/>
                <w:szCs w:val="21"/>
              </w:rPr>
            </w:pPr>
            <w:r>
              <w:rPr>
                <w:rFonts w:hint="eastAsia" w:ascii="宋体" w:hAnsi="宋体"/>
                <w:szCs w:val="21"/>
              </w:rPr>
              <w:t>响应性评审</w:t>
            </w:r>
          </w:p>
        </w:tc>
        <w:tc>
          <w:tcPr>
            <w:tcW w:w="6333" w:type="dxa"/>
            <w:vAlign w:val="center"/>
          </w:tcPr>
          <w:p w14:paraId="5DC77826">
            <w:pPr>
              <w:spacing w:line="400" w:lineRule="exact"/>
              <w:ind w:firstLine="420" w:firstLineChars="200"/>
              <w:rPr>
                <w:rFonts w:ascii="宋体" w:hAnsi="宋体"/>
                <w:szCs w:val="21"/>
              </w:rPr>
            </w:pPr>
            <w:r>
              <w:rPr>
                <w:rFonts w:hint="eastAsia" w:ascii="宋体" w:hAnsi="宋体"/>
                <w:szCs w:val="21"/>
              </w:rPr>
              <w:t>A-17</w:t>
            </w:r>
            <w:r>
              <w:rPr>
                <w:rFonts w:hint="eastAsia" w:ascii="宋体" w:hAnsi="宋体" w:cs="宋体"/>
                <w:szCs w:val="21"/>
              </w:rPr>
              <w:t>投标总报价必须与已标价工程量清单总报价一致</w:t>
            </w:r>
            <w:r>
              <w:rPr>
                <w:rFonts w:hint="eastAsia" w:ascii="宋体" w:hAnsi="宋体"/>
                <w:szCs w:val="21"/>
              </w:rPr>
              <w:t>，否则由评标委员会作否决投标处理。</w:t>
            </w:r>
          </w:p>
        </w:tc>
      </w:tr>
      <w:tr w14:paraId="695733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180" w:hRule="atLeast"/>
          <w:jc w:val="center"/>
        </w:trPr>
        <w:tc>
          <w:tcPr>
            <w:tcW w:w="1237" w:type="dxa"/>
            <w:vMerge w:val="continue"/>
            <w:vAlign w:val="center"/>
          </w:tcPr>
          <w:p w14:paraId="518ADD99">
            <w:pPr>
              <w:spacing w:line="400" w:lineRule="exact"/>
              <w:jc w:val="center"/>
              <w:rPr>
                <w:rFonts w:ascii="宋体" w:hAnsi="宋体"/>
                <w:szCs w:val="21"/>
              </w:rPr>
            </w:pPr>
          </w:p>
        </w:tc>
        <w:tc>
          <w:tcPr>
            <w:tcW w:w="1899" w:type="dxa"/>
            <w:vMerge w:val="continue"/>
            <w:vAlign w:val="center"/>
          </w:tcPr>
          <w:p w14:paraId="4577524D">
            <w:pPr>
              <w:spacing w:line="400" w:lineRule="exact"/>
              <w:jc w:val="center"/>
              <w:rPr>
                <w:rFonts w:ascii="宋体" w:hAnsi="宋体"/>
                <w:szCs w:val="21"/>
              </w:rPr>
            </w:pPr>
          </w:p>
        </w:tc>
        <w:tc>
          <w:tcPr>
            <w:tcW w:w="6333" w:type="dxa"/>
            <w:vAlign w:val="center"/>
          </w:tcPr>
          <w:p w14:paraId="36BF9A3F">
            <w:pPr>
              <w:spacing w:line="400" w:lineRule="exact"/>
              <w:ind w:firstLine="420" w:firstLineChars="200"/>
              <w:rPr>
                <w:rFonts w:ascii="宋体" w:hAnsi="宋体"/>
                <w:szCs w:val="21"/>
              </w:rPr>
            </w:pPr>
            <w:r>
              <w:rPr>
                <w:rFonts w:hint="eastAsia" w:ascii="宋体" w:hAnsi="宋体"/>
                <w:szCs w:val="21"/>
              </w:rPr>
              <w:t>A-18投标总报价不得高于招标人公布的投标总报价最高限价，否则由评标委员会作否决投标处理。</w:t>
            </w:r>
          </w:p>
        </w:tc>
      </w:tr>
      <w:tr w14:paraId="47DF9B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CDF377C">
            <w:pPr>
              <w:spacing w:line="400" w:lineRule="exact"/>
              <w:jc w:val="center"/>
              <w:rPr>
                <w:rFonts w:ascii="宋体" w:hAnsi="宋体"/>
                <w:szCs w:val="21"/>
              </w:rPr>
            </w:pPr>
          </w:p>
        </w:tc>
        <w:tc>
          <w:tcPr>
            <w:tcW w:w="1899" w:type="dxa"/>
            <w:vMerge w:val="continue"/>
            <w:vAlign w:val="center"/>
          </w:tcPr>
          <w:p w14:paraId="2EB88FEF">
            <w:pPr>
              <w:spacing w:line="400" w:lineRule="exact"/>
              <w:jc w:val="center"/>
              <w:rPr>
                <w:rFonts w:ascii="宋体" w:hAnsi="宋体"/>
                <w:szCs w:val="21"/>
              </w:rPr>
            </w:pPr>
          </w:p>
        </w:tc>
        <w:tc>
          <w:tcPr>
            <w:tcW w:w="6333" w:type="dxa"/>
            <w:vAlign w:val="center"/>
          </w:tcPr>
          <w:p w14:paraId="787E971F">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19</w:t>
            </w:r>
            <w:r>
              <w:rPr>
                <w:rFonts w:hint="eastAsia" w:ascii="宋体" w:hAnsi="宋体"/>
                <w:szCs w:val="21"/>
              </w:rPr>
              <w:t>暂列金额、暂估价、安全文明施工费等暂定金额必须按照招标文件给定的金额填报，否则由评标委员会作否决投标处理。</w:t>
            </w:r>
          </w:p>
        </w:tc>
      </w:tr>
      <w:tr w14:paraId="40E497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3CFE64">
            <w:pPr>
              <w:spacing w:line="400" w:lineRule="exact"/>
              <w:jc w:val="center"/>
              <w:rPr>
                <w:rFonts w:ascii="宋体" w:hAnsi="宋体"/>
                <w:szCs w:val="21"/>
              </w:rPr>
            </w:pPr>
          </w:p>
        </w:tc>
        <w:tc>
          <w:tcPr>
            <w:tcW w:w="1899" w:type="dxa"/>
            <w:vMerge w:val="continue"/>
            <w:vAlign w:val="center"/>
          </w:tcPr>
          <w:p w14:paraId="263DDA2F">
            <w:pPr>
              <w:spacing w:line="400" w:lineRule="exact"/>
              <w:jc w:val="center"/>
              <w:rPr>
                <w:rFonts w:ascii="宋体" w:hAnsi="宋体"/>
                <w:szCs w:val="21"/>
              </w:rPr>
            </w:pPr>
          </w:p>
        </w:tc>
        <w:tc>
          <w:tcPr>
            <w:tcW w:w="6333" w:type="dxa"/>
            <w:vAlign w:val="center"/>
          </w:tcPr>
          <w:p w14:paraId="39D4FE16">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0</w:t>
            </w:r>
            <w:r>
              <w:rPr>
                <w:rFonts w:hint="eastAsia" w:ascii="宋体" w:hAnsi="宋体"/>
                <w:szCs w:val="21"/>
              </w:rPr>
              <w:t>投标内容符合第二章“投标人须知”第1.3.1项规定，否则由评标委员会作否决投标处理。</w:t>
            </w:r>
          </w:p>
        </w:tc>
      </w:tr>
      <w:tr w14:paraId="084695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D80A0B4">
            <w:pPr>
              <w:spacing w:line="400" w:lineRule="exact"/>
              <w:jc w:val="center"/>
              <w:rPr>
                <w:rFonts w:ascii="宋体" w:hAnsi="宋体"/>
                <w:szCs w:val="21"/>
              </w:rPr>
            </w:pPr>
          </w:p>
        </w:tc>
        <w:tc>
          <w:tcPr>
            <w:tcW w:w="1899" w:type="dxa"/>
            <w:vMerge w:val="continue"/>
            <w:vAlign w:val="center"/>
          </w:tcPr>
          <w:p w14:paraId="3F724C70">
            <w:pPr>
              <w:spacing w:line="400" w:lineRule="exact"/>
              <w:jc w:val="center"/>
              <w:rPr>
                <w:rFonts w:ascii="宋体" w:hAnsi="宋体"/>
                <w:szCs w:val="21"/>
              </w:rPr>
            </w:pPr>
          </w:p>
        </w:tc>
        <w:tc>
          <w:tcPr>
            <w:tcW w:w="6333" w:type="dxa"/>
            <w:vAlign w:val="center"/>
          </w:tcPr>
          <w:p w14:paraId="13764C5A">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1</w:t>
            </w:r>
            <w:r>
              <w:rPr>
                <w:rFonts w:hint="eastAsia" w:ascii="宋体" w:hAnsi="宋体"/>
                <w:szCs w:val="21"/>
              </w:rPr>
              <w:t>工期符合第二章“投标人须知”第1.3.2项规定，否则由评标委员会作否决投标处理。</w:t>
            </w:r>
          </w:p>
        </w:tc>
      </w:tr>
      <w:tr w14:paraId="23A194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2565235">
            <w:pPr>
              <w:spacing w:line="400" w:lineRule="exact"/>
              <w:jc w:val="center"/>
              <w:rPr>
                <w:rFonts w:ascii="宋体" w:hAnsi="宋体"/>
                <w:szCs w:val="21"/>
              </w:rPr>
            </w:pPr>
          </w:p>
        </w:tc>
        <w:tc>
          <w:tcPr>
            <w:tcW w:w="1899" w:type="dxa"/>
            <w:vMerge w:val="continue"/>
            <w:vAlign w:val="center"/>
          </w:tcPr>
          <w:p w14:paraId="0FB0A3B9">
            <w:pPr>
              <w:spacing w:line="400" w:lineRule="exact"/>
              <w:jc w:val="center"/>
              <w:rPr>
                <w:rFonts w:ascii="宋体" w:hAnsi="宋体"/>
                <w:szCs w:val="21"/>
              </w:rPr>
            </w:pPr>
          </w:p>
        </w:tc>
        <w:tc>
          <w:tcPr>
            <w:tcW w:w="6333" w:type="dxa"/>
            <w:vAlign w:val="center"/>
          </w:tcPr>
          <w:p w14:paraId="1F293EAF">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2</w:t>
            </w:r>
            <w:r>
              <w:rPr>
                <w:rFonts w:hint="eastAsia" w:ascii="宋体" w:hAnsi="宋体"/>
                <w:szCs w:val="21"/>
              </w:rPr>
              <w:t>工程质量符合第二章“投标人须知”第1.3.3项规定，否则由评标委员会作否决投标处理。</w:t>
            </w:r>
          </w:p>
        </w:tc>
      </w:tr>
      <w:tr w14:paraId="021BCA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D40DD7E">
            <w:pPr>
              <w:spacing w:line="400" w:lineRule="exact"/>
              <w:jc w:val="center"/>
              <w:rPr>
                <w:rFonts w:ascii="宋体" w:hAnsi="宋体"/>
                <w:szCs w:val="21"/>
              </w:rPr>
            </w:pPr>
          </w:p>
        </w:tc>
        <w:tc>
          <w:tcPr>
            <w:tcW w:w="1899" w:type="dxa"/>
            <w:vMerge w:val="continue"/>
            <w:vAlign w:val="center"/>
          </w:tcPr>
          <w:p w14:paraId="152AE516">
            <w:pPr>
              <w:spacing w:line="400" w:lineRule="exact"/>
              <w:jc w:val="center"/>
              <w:rPr>
                <w:rFonts w:ascii="宋体" w:hAnsi="宋体"/>
                <w:szCs w:val="21"/>
              </w:rPr>
            </w:pPr>
          </w:p>
        </w:tc>
        <w:tc>
          <w:tcPr>
            <w:tcW w:w="6333" w:type="dxa"/>
            <w:vAlign w:val="center"/>
          </w:tcPr>
          <w:p w14:paraId="34CD21E4">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3</w:t>
            </w:r>
            <w:r>
              <w:rPr>
                <w:rFonts w:hint="eastAsia" w:ascii="宋体" w:hAnsi="宋体"/>
                <w:szCs w:val="21"/>
              </w:rPr>
              <w:t>投标有效期符合第二章“投标人须知”第3.3.1项规定，否则由评标委员会作否决投标处理。</w:t>
            </w:r>
          </w:p>
        </w:tc>
      </w:tr>
      <w:tr w14:paraId="5331F9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837B94D">
            <w:pPr>
              <w:spacing w:line="400" w:lineRule="exact"/>
              <w:jc w:val="center"/>
              <w:rPr>
                <w:rFonts w:ascii="宋体" w:hAnsi="宋体"/>
                <w:szCs w:val="21"/>
              </w:rPr>
            </w:pPr>
          </w:p>
        </w:tc>
        <w:tc>
          <w:tcPr>
            <w:tcW w:w="1899" w:type="dxa"/>
            <w:vMerge w:val="continue"/>
            <w:vAlign w:val="center"/>
          </w:tcPr>
          <w:p w14:paraId="6802B249">
            <w:pPr>
              <w:spacing w:line="400" w:lineRule="exact"/>
              <w:jc w:val="center"/>
              <w:rPr>
                <w:rFonts w:ascii="宋体" w:hAnsi="宋体"/>
                <w:szCs w:val="21"/>
              </w:rPr>
            </w:pPr>
          </w:p>
        </w:tc>
        <w:tc>
          <w:tcPr>
            <w:tcW w:w="6333" w:type="dxa"/>
            <w:vAlign w:val="center"/>
          </w:tcPr>
          <w:p w14:paraId="3EFFD43C">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4</w:t>
            </w:r>
            <w:r>
              <w:rPr>
                <w:rFonts w:ascii="宋体" w:hAnsi="宋体"/>
                <w:szCs w:val="21"/>
              </w:rPr>
              <w:t>投标人应按投标人须知前附表</w:t>
            </w:r>
            <w:r>
              <w:rPr>
                <w:rFonts w:hint="eastAsia" w:ascii="宋体" w:hAnsi="宋体"/>
                <w:szCs w:val="21"/>
              </w:rPr>
              <w:t>第3.4款的</w:t>
            </w:r>
            <w:r>
              <w:rPr>
                <w:rFonts w:ascii="宋体" w:hAnsi="宋体"/>
                <w:szCs w:val="21"/>
              </w:rPr>
              <w:t>规定递交投标保证金，并作为其投标文件的组成部分</w:t>
            </w:r>
            <w:r>
              <w:rPr>
                <w:rFonts w:hint="eastAsia" w:ascii="宋体" w:hAnsi="宋体"/>
                <w:szCs w:val="21"/>
              </w:rPr>
              <w:t>，</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6C0CE7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B10263">
            <w:pPr>
              <w:spacing w:line="400" w:lineRule="exact"/>
              <w:jc w:val="center"/>
              <w:rPr>
                <w:rFonts w:ascii="宋体" w:hAnsi="宋体"/>
                <w:szCs w:val="21"/>
              </w:rPr>
            </w:pPr>
          </w:p>
        </w:tc>
        <w:tc>
          <w:tcPr>
            <w:tcW w:w="1899" w:type="dxa"/>
            <w:vMerge w:val="continue"/>
            <w:vAlign w:val="center"/>
          </w:tcPr>
          <w:p w14:paraId="06B3C7BC">
            <w:pPr>
              <w:spacing w:line="400" w:lineRule="exact"/>
              <w:jc w:val="center"/>
              <w:rPr>
                <w:rFonts w:ascii="宋体" w:hAnsi="宋体"/>
                <w:szCs w:val="21"/>
              </w:rPr>
            </w:pPr>
          </w:p>
        </w:tc>
        <w:tc>
          <w:tcPr>
            <w:tcW w:w="6333" w:type="dxa"/>
            <w:vAlign w:val="center"/>
          </w:tcPr>
          <w:p w14:paraId="7A4837FA">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5</w:t>
            </w:r>
            <w:r>
              <w:rPr>
                <w:rFonts w:hint="eastAsia" w:ascii="宋体" w:hAnsi="宋体"/>
                <w:szCs w:val="21"/>
              </w:rPr>
              <w:t>符合第四章“合同条款及格式”规定，投标文件不应附有招标人不能接受的条件，否则由评标委员会作否决投标处理。（由投标人承诺，承诺书格式详见第八章投标文件格式。）</w:t>
            </w:r>
          </w:p>
        </w:tc>
      </w:tr>
      <w:tr w14:paraId="20917C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D05628B">
            <w:pPr>
              <w:spacing w:line="400" w:lineRule="exact"/>
              <w:jc w:val="center"/>
              <w:rPr>
                <w:rFonts w:ascii="宋体" w:hAnsi="宋体"/>
                <w:szCs w:val="21"/>
              </w:rPr>
            </w:pPr>
          </w:p>
        </w:tc>
        <w:tc>
          <w:tcPr>
            <w:tcW w:w="1899" w:type="dxa"/>
            <w:vMerge w:val="continue"/>
            <w:vAlign w:val="center"/>
          </w:tcPr>
          <w:p w14:paraId="35C7CEB1">
            <w:pPr>
              <w:spacing w:line="400" w:lineRule="exact"/>
              <w:jc w:val="center"/>
              <w:rPr>
                <w:rFonts w:ascii="宋体" w:hAnsi="宋体"/>
                <w:szCs w:val="21"/>
              </w:rPr>
            </w:pPr>
          </w:p>
        </w:tc>
        <w:tc>
          <w:tcPr>
            <w:tcW w:w="6333" w:type="dxa"/>
            <w:vAlign w:val="center"/>
          </w:tcPr>
          <w:p w14:paraId="033F164A">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6</w:t>
            </w:r>
            <w:r>
              <w:rPr>
                <w:rFonts w:hint="eastAsia" w:ascii="宋体" w:hAnsi="宋体"/>
                <w:szCs w:val="21"/>
              </w:rPr>
              <w:t>符合第七章“技术标准和要求”规定。否则由评标委员会作否决投标处理（如有）。（由投标人承诺，承诺书格式详见第八章投标文件格式。）</w:t>
            </w:r>
          </w:p>
        </w:tc>
      </w:tr>
      <w:tr w14:paraId="5AA644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A01B3B0">
            <w:pPr>
              <w:spacing w:line="400" w:lineRule="exact"/>
              <w:jc w:val="center"/>
              <w:rPr>
                <w:rFonts w:ascii="宋体" w:hAnsi="宋体"/>
                <w:szCs w:val="21"/>
              </w:rPr>
            </w:pPr>
          </w:p>
        </w:tc>
        <w:tc>
          <w:tcPr>
            <w:tcW w:w="1899" w:type="dxa"/>
            <w:vMerge w:val="continue"/>
            <w:vAlign w:val="center"/>
          </w:tcPr>
          <w:p w14:paraId="317226F1">
            <w:pPr>
              <w:spacing w:line="400" w:lineRule="exact"/>
              <w:jc w:val="center"/>
              <w:rPr>
                <w:rFonts w:ascii="宋体" w:hAnsi="宋体"/>
                <w:szCs w:val="21"/>
              </w:rPr>
            </w:pPr>
          </w:p>
        </w:tc>
        <w:tc>
          <w:tcPr>
            <w:tcW w:w="6333" w:type="dxa"/>
            <w:vAlign w:val="center"/>
          </w:tcPr>
          <w:p w14:paraId="67E7620A">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7</w:t>
            </w:r>
            <w:r>
              <w:rPr>
                <w:rFonts w:hint="eastAsia" w:ascii="宋体" w:hAnsi="宋体"/>
                <w:szCs w:val="21"/>
              </w:rPr>
              <w:t>投标人提供的关于已标价工程量清单的承诺符合招标文件的要求，</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7C13D9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B377515">
            <w:pPr>
              <w:spacing w:line="400" w:lineRule="exact"/>
              <w:jc w:val="center"/>
              <w:rPr>
                <w:rFonts w:ascii="宋体" w:hAnsi="宋体"/>
                <w:szCs w:val="21"/>
              </w:rPr>
            </w:pPr>
          </w:p>
        </w:tc>
        <w:tc>
          <w:tcPr>
            <w:tcW w:w="1899" w:type="dxa"/>
            <w:vMerge w:val="continue"/>
            <w:vAlign w:val="center"/>
          </w:tcPr>
          <w:p w14:paraId="5EB38F36">
            <w:pPr>
              <w:spacing w:line="400" w:lineRule="exact"/>
              <w:jc w:val="center"/>
              <w:rPr>
                <w:rFonts w:ascii="宋体" w:hAnsi="宋体"/>
                <w:szCs w:val="21"/>
              </w:rPr>
            </w:pPr>
          </w:p>
        </w:tc>
        <w:tc>
          <w:tcPr>
            <w:tcW w:w="6333" w:type="dxa"/>
            <w:vAlign w:val="center"/>
          </w:tcPr>
          <w:p w14:paraId="48E5DD76">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8</w:t>
            </w:r>
            <w:r>
              <w:rPr>
                <w:rFonts w:hint="eastAsia" w:ascii="宋体" w:hAnsi="宋体"/>
                <w:szCs w:val="21"/>
              </w:rPr>
              <w:t>投标报价有算术错误的，按照第三章“评标办法”第3.2.3项规定执行，否则由评标委员会作否决投标处理。</w:t>
            </w:r>
          </w:p>
        </w:tc>
      </w:tr>
      <w:tr w14:paraId="54C4CD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6D77649">
            <w:pPr>
              <w:spacing w:line="400" w:lineRule="exact"/>
              <w:jc w:val="center"/>
              <w:rPr>
                <w:rFonts w:ascii="宋体" w:hAnsi="宋体"/>
                <w:szCs w:val="21"/>
              </w:rPr>
            </w:pPr>
          </w:p>
        </w:tc>
        <w:tc>
          <w:tcPr>
            <w:tcW w:w="1899" w:type="dxa"/>
            <w:vMerge w:val="continue"/>
            <w:vAlign w:val="center"/>
          </w:tcPr>
          <w:p w14:paraId="7EB33E0C">
            <w:pPr>
              <w:spacing w:line="400" w:lineRule="exact"/>
              <w:jc w:val="center"/>
              <w:rPr>
                <w:rFonts w:ascii="宋体" w:hAnsi="宋体"/>
                <w:szCs w:val="21"/>
              </w:rPr>
            </w:pPr>
          </w:p>
        </w:tc>
        <w:tc>
          <w:tcPr>
            <w:tcW w:w="6333" w:type="dxa"/>
            <w:vAlign w:val="center"/>
          </w:tcPr>
          <w:p w14:paraId="305FF499">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29</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14:paraId="4E08E141">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5032044C">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78C1AD3E">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bl>
    <w:p w14:paraId="744D9547">
      <w:pPr>
        <w:spacing w:line="480" w:lineRule="auto"/>
        <w:jc w:val="left"/>
        <w:rPr>
          <w:rFonts w:ascii="宋体" w:hAnsi="宋体"/>
          <w:kern w:val="0"/>
          <w:sz w:val="24"/>
        </w:rPr>
      </w:pPr>
    </w:p>
    <w:p w14:paraId="4B9FA851">
      <w:pPr>
        <w:spacing w:line="200" w:lineRule="exact"/>
        <w:rPr>
          <w:rFonts w:ascii="宋体" w:hAnsi="宋体"/>
          <w:kern w:val="0"/>
        </w:rPr>
      </w:pPr>
      <w:r>
        <w:rPr>
          <w:rFonts w:ascii="宋体" w:hAnsi="宋体"/>
          <w:snapToGrid w:val="0"/>
          <w:kern w:val="0"/>
        </w:rPr>
        <w:br w:type="page"/>
      </w:r>
    </w:p>
    <w:p w14:paraId="251CC699">
      <w:pPr>
        <w:pStyle w:val="3"/>
        <w:spacing w:line="360" w:lineRule="auto"/>
        <w:jc w:val="center"/>
        <w:rPr>
          <w:rFonts w:ascii="宋体" w:hAnsi="宋体"/>
          <w:color w:val="auto"/>
          <w:kern w:val="0"/>
          <w:highlight w:val="none"/>
        </w:rPr>
      </w:pPr>
      <w:bookmarkStart w:id="613" w:name="_Toc25701"/>
      <w:r>
        <w:rPr>
          <w:rFonts w:hint="eastAsia" w:ascii="宋体" w:hAnsi="宋体"/>
          <w:color w:val="auto"/>
          <w:kern w:val="0"/>
          <w:highlight w:val="none"/>
        </w:rPr>
        <w:t>第四章  合同条款及格式</w:t>
      </w:r>
      <w:bookmarkEnd w:id="577"/>
      <w:bookmarkEnd w:id="578"/>
      <w:bookmarkEnd w:id="579"/>
      <w:bookmarkEnd w:id="613"/>
    </w:p>
    <w:p w14:paraId="550CEE49">
      <w:pPr>
        <w:rPr>
          <w:rFonts w:ascii="宋体" w:hAnsi="宋体"/>
          <w:color w:val="auto"/>
          <w:sz w:val="44"/>
          <w:szCs w:val="44"/>
          <w:highlight w:val="none"/>
        </w:rPr>
      </w:pPr>
      <w:r>
        <w:rPr>
          <w:rFonts w:ascii="宋体" w:hAnsi="宋体"/>
          <w:color w:val="auto"/>
          <w:highlight w:val="none"/>
        </w:rPr>
        <w:br w:type="page"/>
      </w:r>
      <w:bookmarkStart w:id="614" w:name="_Toc351203480"/>
      <w:bookmarkStart w:id="615" w:name="_Toc296503025"/>
      <w:bookmarkStart w:id="616" w:name="_Toc296890982"/>
    </w:p>
    <w:p w14:paraId="52A6D698">
      <w:pPr>
        <w:spacing w:line="360" w:lineRule="auto"/>
        <w:jc w:val="center"/>
        <w:rPr>
          <w:rFonts w:ascii="宋体" w:hAnsi="宋体"/>
          <w:color w:val="auto"/>
          <w:sz w:val="44"/>
          <w:szCs w:val="44"/>
          <w:highlight w:val="none"/>
        </w:rPr>
      </w:pPr>
      <w:r>
        <w:rPr>
          <w:rFonts w:hint="eastAsia" w:ascii="宋体" w:hAnsi="宋体"/>
          <w:color w:val="auto"/>
          <w:sz w:val="44"/>
          <w:szCs w:val="44"/>
          <w:highlight w:val="none"/>
        </w:rPr>
        <w:t>第一部分 合同协议书</w:t>
      </w:r>
    </w:p>
    <w:p w14:paraId="5C49ABB5">
      <w:pPr>
        <w:pStyle w:val="137"/>
        <w:snapToGrid w:val="0"/>
        <w:spacing w:before="0" w:line="360" w:lineRule="auto"/>
        <w:ind w:firstLine="562" w:firstLineChars="200"/>
        <w:rPr>
          <w:rFonts w:ascii="宋体" w:hAnsi="宋体"/>
          <w:color w:val="auto"/>
          <w:highlight w:val="none"/>
        </w:rPr>
      </w:pPr>
    </w:p>
    <w:p w14:paraId="236BD31C">
      <w:pPr>
        <w:rPr>
          <w:rFonts w:ascii="宋体" w:hAnsi="宋体"/>
          <w:b/>
          <w:color w:val="auto"/>
          <w:highlight w:val="none"/>
        </w:rPr>
      </w:pPr>
      <w:r>
        <w:rPr>
          <w:rFonts w:ascii="宋体" w:hAnsi="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10" name="矩形 130"/>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6F296501"/>
                        </w:txbxContent>
                      </wps:txbx>
                      <wps:bodyPr rot="0" vert="horz" wrap="square" lIns="91440" tIns="45720" rIns="91440" bIns="45720" anchor="t" anchorCtr="0" upright="1">
                        <a:noAutofit/>
                      </wps:bodyPr>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PXnd9kAAAANAQAADwAAAAAAAAABACAAAAAiAAAAZHJzL2Rvd25yZXYueG1sUEsBAhQAFAAAAAgA&#10;h07iQG38y2ckAgAAQgQAAA4AAAAAAAAAAQAgAAAAKAEAAGRycy9lMm9Eb2MueG1sUEsFBgAAAAAG&#10;AAYAWQEAAL4FAAAAAA==&#10;">
                <v:fill on="t" focussize="0,0"/>
                <v:stroke on="f"/>
                <v:imagedata o:title=""/>
                <o:lock v:ext="edit" aspectratio="f"/>
                <v:textbox>
                  <w:txbxContent>
                    <w:p w14:paraId="6F296501"/>
                  </w:txbxContent>
                </v:textbox>
              </v:rect>
            </w:pict>
          </mc:Fallback>
        </mc:AlternateContent>
      </w:r>
      <w:r>
        <w:rPr>
          <w:rFonts w:ascii="宋体" w:hAnsi="宋体"/>
          <w:color w:val="auto"/>
          <w:highlight w:val="none"/>
        </w:rPr>
        <w:br w:type="page"/>
      </w:r>
    </w:p>
    <w:p w14:paraId="1A44423E">
      <w:pPr>
        <w:pStyle w:val="5"/>
        <w:jc w:val="center"/>
        <w:rPr>
          <w:rFonts w:ascii="宋体" w:hAnsi="宋体"/>
          <w:b w:val="0"/>
          <w:color w:val="auto"/>
          <w:sz w:val="44"/>
          <w:szCs w:val="44"/>
          <w:highlight w:val="none"/>
        </w:rPr>
      </w:pPr>
      <w:bookmarkStart w:id="617" w:name="_Toc534185765"/>
      <w:bookmarkStart w:id="618" w:name="_Toc27682"/>
      <w:bookmarkStart w:id="619" w:name="_Toc509218786"/>
      <w:bookmarkStart w:id="620" w:name="_Toc12845"/>
      <w:bookmarkStart w:id="621" w:name="_Toc351203494"/>
      <w:r>
        <w:rPr>
          <w:rFonts w:ascii="宋体" w:hAnsi="宋体"/>
          <w:color w:val="auto"/>
          <w:sz w:val="44"/>
          <w:szCs w:val="44"/>
          <w:highlight w:val="none"/>
        </w:rPr>
        <w:t>第一部分 合同协议书</w:t>
      </w:r>
      <w:bookmarkEnd w:id="617"/>
      <w:bookmarkEnd w:id="618"/>
      <w:bookmarkEnd w:id="619"/>
      <w:bookmarkEnd w:id="620"/>
    </w:p>
    <w:bookmarkEnd w:id="621"/>
    <w:p w14:paraId="357B95D4">
      <w:pPr>
        <w:snapToGrid w:val="0"/>
        <w:spacing w:line="600" w:lineRule="exact"/>
        <w:ind w:firstLine="480" w:firstLineChars="200"/>
        <w:rPr>
          <w:rFonts w:ascii="宋体" w:hAnsi="宋体"/>
          <w:color w:val="auto"/>
          <w:sz w:val="24"/>
          <w:highlight w:val="none"/>
        </w:rPr>
      </w:pPr>
      <w:bookmarkStart w:id="622" w:name="_Toc351203632"/>
    </w:p>
    <w:p w14:paraId="5A4945F2">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3AD3A4FC">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639A51F1">
      <w:pPr>
        <w:spacing w:line="360" w:lineRule="auto"/>
        <w:ind w:firstLine="420" w:firstLineChars="200"/>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14:paraId="53CA1FD0">
      <w:pPr>
        <w:pStyle w:val="6"/>
        <w:keepNext/>
        <w:keepLines/>
        <w:spacing w:before="120" w:after="120" w:line="360" w:lineRule="auto"/>
        <w:ind w:firstLine="422" w:firstLineChars="200"/>
        <w:jc w:val="both"/>
        <w:rPr>
          <w:color w:val="auto"/>
          <w:kern w:val="2"/>
          <w:sz w:val="21"/>
          <w:szCs w:val="21"/>
          <w:highlight w:val="none"/>
        </w:rPr>
      </w:pPr>
      <w:bookmarkStart w:id="623" w:name="_Toc532375573"/>
      <w:bookmarkStart w:id="624" w:name="_Toc351203481"/>
      <w:bookmarkStart w:id="625" w:name="_Toc532377166"/>
      <w:r>
        <w:rPr>
          <w:rFonts w:hint="eastAsia"/>
          <w:color w:val="auto"/>
          <w:kern w:val="2"/>
          <w:sz w:val="21"/>
          <w:szCs w:val="21"/>
          <w:highlight w:val="none"/>
        </w:rPr>
        <w:t>一、工程概况</w:t>
      </w:r>
      <w:bookmarkEnd w:id="623"/>
      <w:bookmarkEnd w:id="624"/>
      <w:bookmarkEnd w:id="625"/>
    </w:p>
    <w:p w14:paraId="1918A22A">
      <w:pPr>
        <w:snapToGrid w:val="0"/>
        <w:spacing w:line="360" w:lineRule="auto"/>
        <w:ind w:firstLine="420" w:firstLineChars="200"/>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791ECF73">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630EF48">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3.工程立项批准文号：</w:t>
      </w:r>
      <w:r>
        <w:rPr>
          <w:rFonts w:hint="eastAsia" w:ascii="宋体" w:hAnsi="宋体"/>
          <w:color w:val="auto"/>
          <w:szCs w:val="21"/>
          <w:highlight w:val="none"/>
          <w:u w:val="single"/>
        </w:rPr>
        <w:t xml:space="preserve">                        </w:t>
      </w:r>
      <w:r>
        <w:rPr>
          <w:rFonts w:hint="eastAsia" w:ascii="宋体" w:hAnsi="宋体"/>
          <w:bCs/>
          <w:color w:val="auto"/>
          <w:szCs w:val="21"/>
          <w:highlight w:val="none"/>
        </w:rPr>
        <w:t>。</w:t>
      </w:r>
    </w:p>
    <w:p w14:paraId="5E93910D">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CB20D70">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208AAD85">
      <w:pPr>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791EEC57">
      <w:pPr>
        <w:pStyle w:val="6"/>
        <w:keepNext/>
        <w:keepLines/>
        <w:spacing w:before="120" w:after="120" w:line="360" w:lineRule="auto"/>
        <w:ind w:firstLine="422" w:firstLineChars="200"/>
        <w:jc w:val="both"/>
        <w:rPr>
          <w:color w:val="auto"/>
          <w:kern w:val="2"/>
          <w:sz w:val="21"/>
          <w:szCs w:val="21"/>
          <w:highlight w:val="none"/>
        </w:rPr>
      </w:pPr>
      <w:bookmarkStart w:id="626" w:name="_Toc532375574"/>
      <w:bookmarkStart w:id="627" w:name="_Toc351203482"/>
      <w:bookmarkStart w:id="628" w:name="_Toc532377167"/>
      <w:r>
        <w:rPr>
          <w:rFonts w:hint="eastAsia"/>
          <w:color w:val="auto"/>
          <w:kern w:val="2"/>
          <w:sz w:val="21"/>
          <w:szCs w:val="21"/>
          <w:highlight w:val="none"/>
        </w:rPr>
        <w:t>二、合同工期</w:t>
      </w:r>
      <w:bookmarkEnd w:id="626"/>
      <w:bookmarkEnd w:id="627"/>
      <w:bookmarkEnd w:id="628"/>
    </w:p>
    <w:p w14:paraId="292E1D6D">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承包人投标函中承诺的工期：</w:t>
      </w:r>
      <w:r>
        <w:rPr>
          <w:rFonts w:hint="eastAsia" w:ascii="宋体" w:hAnsi="宋体"/>
          <w:bCs/>
          <w:color w:val="auto"/>
          <w:szCs w:val="21"/>
          <w:highlight w:val="none"/>
          <w:u w:val="single"/>
          <w:lang w:val="en-US" w:eastAsia="zh-CN"/>
        </w:rPr>
        <w:t xml:space="preserve">         </w:t>
      </w:r>
      <w:bookmarkStart w:id="2271" w:name="_GoBack"/>
      <w:bookmarkEnd w:id="2271"/>
      <w:r>
        <w:rPr>
          <w:rFonts w:hint="eastAsia" w:ascii="宋体" w:hAnsi="宋体"/>
          <w:bCs/>
          <w:color w:val="auto"/>
          <w:szCs w:val="21"/>
          <w:highlight w:val="none"/>
        </w:rPr>
        <w:t>。</w:t>
      </w:r>
    </w:p>
    <w:p w14:paraId="48FCECAB">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计划开工日期：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日，实际开工日期以</w:t>
      </w:r>
      <w:r>
        <w:rPr>
          <w:rFonts w:hint="eastAsia" w:ascii="宋体" w:hAnsi="宋体"/>
          <w:bCs/>
          <w:color w:val="auto"/>
          <w:szCs w:val="21"/>
          <w:highlight w:val="none"/>
          <w:lang w:eastAsia="zh-CN"/>
        </w:rPr>
        <w:t>建设单位</w:t>
      </w:r>
      <w:r>
        <w:rPr>
          <w:rFonts w:hint="eastAsia" w:ascii="宋体" w:hAnsi="宋体"/>
          <w:bCs/>
          <w:color w:val="auto"/>
          <w:szCs w:val="21"/>
          <w:highlight w:val="none"/>
        </w:rPr>
        <w:t>签发的工程开工通知明确的开工日期为准。</w:t>
      </w:r>
    </w:p>
    <w:p w14:paraId="1622BC9D">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计划竣工日期：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日，实际竣工日期以工程竣工验收合格之日为准。</w:t>
      </w:r>
    </w:p>
    <w:p w14:paraId="5F5E26E7">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工期总日历天数</w:t>
      </w:r>
      <w:r>
        <w:rPr>
          <w:rFonts w:hint="eastAsia" w:ascii="宋体" w:hAnsi="宋体"/>
          <w:bCs/>
          <w:color w:val="auto"/>
          <w:szCs w:val="21"/>
          <w:highlight w:val="none"/>
          <w:u w:val="single"/>
        </w:rPr>
        <w:t></w:t>
      </w:r>
      <w:r>
        <w:rPr>
          <w:rFonts w:hint="eastAsia" w:ascii="宋体" w:hAnsi="宋体"/>
          <w:bCs/>
          <w:color w:val="auto"/>
          <w:szCs w:val="21"/>
          <w:highlight w:val="none"/>
        </w:rPr>
        <w:t>天。工期总日历天数与根据前述计划开竣工日期计算的工期天数不一</w:t>
      </w:r>
      <w:r>
        <w:rPr>
          <w:rFonts w:hint="eastAsia" w:ascii="宋体" w:hAnsi="宋体"/>
          <w:color w:val="auto"/>
          <w:szCs w:val="21"/>
          <w:highlight w:val="none"/>
        </w:rPr>
        <w:t>致的，以工期总日历天数为准。</w:t>
      </w:r>
    </w:p>
    <w:p w14:paraId="696C435A">
      <w:pPr>
        <w:pStyle w:val="6"/>
        <w:keepNext/>
        <w:keepLines/>
        <w:spacing w:before="120" w:after="120" w:line="360" w:lineRule="auto"/>
        <w:ind w:firstLine="422" w:firstLineChars="200"/>
        <w:jc w:val="both"/>
        <w:rPr>
          <w:color w:val="auto"/>
          <w:kern w:val="2"/>
          <w:sz w:val="21"/>
          <w:szCs w:val="21"/>
          <w:highlight w:val="none"/>
        </w:rPr>
      </w:pPr>
      <w:bookmarkStart w:id="629" w:name="_Toc532377168"/>
      <w:bookmarkStart w:id="630" w:name="_Toc351203483"/>
      <w:bookmarkStart w:id="631" w:name="_Toc532375575"/>
      <w:r>
        <w:rPr>
          <w:rFonts w:hint="eastAsia"/>
          <w:color w:val="auto"/>
          <w:kern w:val="2"/>
          <w:sz w:val="21"/>
          <w:szCs w:val="21"/>
          <w:highlight w:val="none"/>
        </w:rPr>
        <w:t>三、质量标准</w:t>
      </w:r>
      <w:bookmarkEnd w:id="629"/>
      <w:bookmarkEnd w:id="630"/>
      <w:bookmarkEnd w:id="631"/>
    </w:p>
    <w:p w14:paraId="35831479">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工程质量符合</w:t>
      </w:r>
      <w:r>
        <w:rPr>
          <w:rFonts w:hint="eastAsia" w:ascii="宋体" w:hAnsi="宋体"/>
          <w:color w:val="auto"/>
          <w:szCs w:val="21"/>
          <w:highlight w:val="none"/>
          <w:u w:val="single"/>
        </w:rPr>
        <w:t>国家和重庆市现行有关施工质量验收规范和标准要求，并达到合格</w:t>
      </w:r>
      <w:r>
        <w:rPr>
          <w:rFonts w:hint="eastAsia" w:ascii="宋体" w:hAnsi="宋体"/>
          <w:color w:val="auto"/>
          <w:szCs w:val="21"/>
          <w:highlight w:val="none"/>
        </w:rPr>
        <w:t>标准</w:t>
      </w:r>
      <w:r>
        <w:rPr>
          <w:rFonts w:hint="eastAsia" w:ascii="宋体" w:hAnsi="宋体"/>
          <w:color w:val="auto"/>
          <w:szCs w:val="21"/>
          <w:highlight w:val="none"/>
          <w:lang w:eastAsia="zh-CN"/>
        </w:rPr>
        <w:t>，提供围栏合格证和检测报告</w:t>
      </w:r>
      <w:r>
        <w:rPr>
          <w:rFonts w:hint="eastAsia" w:ascii="宋体" w:hAnsi="宋体"/>
          <w:color w:val="auto"/>
          <w:szCs w:val="21"/>
          <w:highlight w:val="none"/>
        </w:rPr>
        <w:t>。</w:t>
      </w:r>
    </w:p>
    <w:p w14:paraId="475E9F3A">
      <w:pPr>
        <w:pStyle w:val="6"/>
        <w:keepNext/>
        <w:keepLines/>
        <w:spacing w:before="120" w:after="120" w:line="360" w:lineRule="auto"/>
        <w:ind w:firstLine="422" w:firstLineChars="200"/>
        <w:jc w:val="both"/>
        <w:rPr>
          <w:color w:val="auto"/>
          <w:kern w:val="2"/>
          <w:sz w:val="21"/>
          <w:szCs w:val="21"/>
          <w:highlight w:val="none"/>
        </w:rPr>
      </w:pPr>
      <w:bookmarkStart w:id="632" w:name="_Toc532377169"/>
      <w:bookmarkStart w:id="633" w:name="_Toc532375576"/>
      <w:bookmarkStart w:id="634" w:name="_Toc351203484"/>
      <w:r>
        <w:rPr>
          <w:rFonts w:hint="eastAsia"/>
          <w:color w:val="auto"/>
          <w:kern w:val="2"/>
          <w:sz w:val="21"/>
          <w:szCs w:val="21"/>
          <w:highlight w:val="none"/>
        </w:rPr>
        <w:t>四、签约合同价与合同价格形式</w:t>
      </w:r>
      <w:bookmarkEnd w:id="632"/>
      <w:bookmarkEnd w:id="633"/>
      <w:bookmarkEnd w:id="634"/>
      <w:r>
        <w:rPr>
          <w:rFonts w:hint="eastAsia"/>
          <w:color w:val="auto"/>
          <w:kern w:val="2"/>
          <w:sz w:val="21"/>
          <w:szCs w:val="21"/>
          <w:highlight w:val="none"/>
        </w:rPr>
        <w:tab/>
      </w:r>
    </w:p>
    <w:p w14:paraId="51F14D9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1.承包人投标函中承诺的中标价为：</w:t>
      </w:r>
    </w:p>
    <w:p w14:paraId="2DC5705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24EBE77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2.签约合同价为：</w:t>
      </w:r>
    </w:p>
    <w:p w14:paraId="59E6273B">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74967E40">
      <w:pPr>
        <w:snapToGrid w:val="0"/>
        <w:spacing w:line="360" w:lineRule="auto"/>
        <w:ind w:firstLine="420" w:firstLineChars="200"/>
        <w:rPr>
          <w:rFonts w:ascii="宋体" w:hAnsi="宋体"/>
          <w:color w:val="auto"/>
          <w:szCs w:val="21"/>
          <w:highlight w:val="none"/>
        </w:rPr>
      </w:pPr>
      <w:r>
        <w:rPr>
          <w:rFonts w:hint="eastAsia" w:ascii="宋体" w:hAnsi="宋体"/>
          <w:szCs w:val="21"/>
        </w:rPr>
        <w:t>3.合同价格形式：</w:t>
      </w:r>
      <w:r>
        <w:rPr>
          <w:rFonts w:ascii="宋体" w:hAnsi="宋体"/>
          <w:szCs w:val="21"/>
          <w:u w:val="single"/>
        </w:rPr>
        <w:t xml:space="preserve">              </w:t>
      </w:r>
      <w:r>
        <w:rPr>
          <w:rFonts w:hint="eastAsia" w:ascii="宋体" w:hAnsi="宋体"/>
          <w:szCs w:val="21"/>
        </w:rPr>
        <w:t>。</w:t>
      </w:r>
    </w:p>
    <w:p w14:paraId="737B353F">
      <w:pPr>
        <w:pStyle w:val="6"/>
        <w:keepNext/>
        <w:keepLines/>
        <w:spacing w:before="120" w:after="120" w:line="360" w:lineRule="auto"/>
        <w:ind w:firstLine="422" w:firstLineChars="200"/>
        <w:jc w:val="both"/>
        <w:rPr>
          <w:color w:val="auto"/>
          <w:kern w:val="2"/>
          <w:sz w:val="21"/>
          <w:szCs w:val="21"/>
          <w:highlight w:val="none"/>
        </w:rPr>
      </w:pPr>
      <w:bookmarkStart w:id="635" w:name="_Toc351203485"/>
      <w:bookmarkStart w:id="636" w:name="_Toc532377170"/>
      <w:bookmarkStart w:id="637" w:name="_Toc532375577"/>
      <w:r>
        <w:rPr>
          <w:rFonts w:hint="eastAsia"/>
          <w:color w:val="auto"/>
          <w:kern w:val="2"/>
          <w:sz w:val="21"/>
          <w:szCs w:val="21"/>
          <w:highlight w:val="none"/>
        </w:rPr>
        <w:t>五、</w:t>
      </w:r>
      <w:bookmarkEnd w:id="635"/>
      <w:r>
        <w:rPr>
          <w:rFonts w:hint="eastAsia"/>
          <w:color w:val="auto"/>
          <w:kern w:val="2"/>
          <w:sz w:val="21"/>
          <w:szCs w:val="21"/>
          <w:highlight w:val="none"/>
        </w:rPr>
        <w:t>项目经理及技术负责人</w:t>
      </w:r>
      <w:bookmarkEnd w:id="636"/>
      <w:bookmarkEnd w:id="637"/>
    </w:p>
    <w:p w14:paraId="2339BC9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承包人投标文件中承诺的项目经理：</w:t>
      </w:r>
    </w:p>
    <w:p w14:paraId="30DF649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2E639B1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0675E43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6167E29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承包人投标文件中承诺的技术负责人：</w:t>
      </w:r>
    </w:p>
    <w:p w14:paraId="367CE5E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3C494B2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43D1F9F9">
      <w:pPr>
        <w:pStyle w:val="2"/>
        <w:spacing w:line="360" w:lineRule="auto"/>
        <w:rPr>
          <w:rFonts w:ascii="宋体" w:hAnsi="宋体"/>
          <w:color w:val="auto"/>
          <w:szCs w:val="21"/>
          <w:highlight w:val="none"/>
        </w:rPr>
      </w:pPr>
      <w:r>
        <w:rPr>
          <w:rFonts w:hint="eastAsia" w:ascii="宋体" w:hAnsi="宋体"/>
          <w:color w:val="auto"/>
          <w:szCs w:val="21"/>
          <w:highlight w:val="none"/>
        </w:rPr>
        <w:t xml:space="preserve">    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D563FC6">
      <w:pPr>
        <w:pStyle w:val="6"/>
        <w:keepNext/>
        <w:keepLines/>
        <w:spacing w:before="120" w:after="120" w:line="360" w:lineRule="auto"/>
        <w:ind w:firstLine="422" w:firstLineChars="200"/>
        <w:jc w:val="both"/>
        <w:rPr>
          <w:color w:val="auto"/>
          <w:kern w:val="2"/>
          <w:sz w:val="21"/>
          <w:szCs w:val="21"/>
          <w:highlight w:val="none"/>
        </w:rPr>
      </w:pPr>
      <w:bookmarkStart w:id="638" w:name="_Toc532375578"/>
      <w:bookmarkStart w:id="639" w:name="_Toc532377171"/>
      <w:bookmarkStart w:id="640" w:name="_Toc351203486"/>
      <w:r>
        <w:rPr>
          <w:rFonts w:hint="eastAsia"/>
          <w:color w:val="auto"/>
          <w:kern w:val="2"/>
          <w:sz w:val="21"/>
          <w:szCs w:val="21"/>
          <w:highlight w:val="none"/>
        </w:rPr>
        <w:t>六、合同文件构成</w:t>
      </w:r>
      <w:bookmarkEnd w:id="638"/>
      <w:bookmarkEnd w:id="639"/>
      <w:bookmarkEnd w:id="640"/>
    </w:p>
    <w:p w14:paraId="1C23CB48">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合同由以下文件构成：</w:t>
      </w:r>
    </w:p>
    <w:p w14:paraId="354512E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（1）合同协议书；</w:t>
      </w:r>
    </w:p>
    <w:p w14:paraId="3CEE603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（2）中标通知书；</w:t>
      </w:r>
    </w:p>
    <w:p w14:paraId="76C7BC2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（3）投标函及投标函附录；</w:t>
      </w:r>
    </w:p>
    <w:p w14:paraId="6B160B0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（4）专用合同条款及其附件；</w:t>
      </w:r>
    </w:p>
    <w:p w14:paraId="24B9D5E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（5）通用合同条款；</w:t>
      </w:r>
    </w:p>
    <w:p w14:paraId="15DB23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（6）投标文件（投标函及投标函附录除外）；</w:t>
      </w:r>
    </w:p>
    <w:p w14:paraId="51870B2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lang w:eastAsia="zh-CN"/>
        </w:rPr>
        <w:t>比选</w:t>
      </w:r>
      <w:r>
        <w:rPr>
          <w:rFonts w:hint="eastAsia" w:ascii="宋体" w:hAnsi="宋体"/>
          <w:color w:val="auto"/>
          <w:szCs w:val="21"/>
          <w:highlight w:val="none"/>
        </w:rPr>
        <w:t>文件及修改文件；</w:t>
      </w:r>
    </w:p>
    <w:p w14:paraId="1AC98A1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（8）技术标准和要求；</w:t>
      </w:r>
    </w:p>
    <w:p w14:paraId="22D5314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9</w:t>
      </w:r>
      <w:r>
        <w:rPr>
          <w:rFonts w:hint="eastAsia" w:ascii="宋体" w:hAnsi="宋体"/>
          <w:color w:val="auto"/>
          <w:szCs w:val="21"/>
          <w:highlight w:val="none"/>
        </w:rPr>
        <w:t>）其他合同文件。</w:t>
      </w:r>
    </w:p>
    <w:p w14:paraId="408F0BB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14:paraId="614EC60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6E529FDB">
      <w:pPr>
        <w:pStyle w:val="6"/>
        <w:keepNext/>
        <w:keepLines/>
        <w:spacing w:before="120" w:after="120" w:line="360" w:lineRule="auto"/>
        <w:ind w:firstLine="422" w:firstLineChars="200"/>
        <w:jc w:val="both"/>
        <w:rPr>
          <w:color w:val="auto"/>
          <w:kern w:val="2"/>
          <w:sz w:val="21"/>
          <w:szCs w:val="21"/>
          <w:highlight w:val="none"/>
        </w:rPr>
      </w:pPr>
      <w:bookmarkStart w:id="641" w:name="_Toc351203487"/>
      <w:bookmarkStart w:id="642" w:name="_Toc532377172"/>
      <w:bookmarkStart w:id="643" w:name="_Toc532375579"/>
      <w:r>
        <w:rPr>
          <w:rFonts w:hint="eastAsia"/>
          <w:color w:val="auto"/>
          <w:kern w:val="2"/>
          <w:sz w:val="21"/>
          <w:szCs w:val="21"/>
          <w:highlight w:val="none"/>
        </w:rPr>
        <w:t>七、承诺</w:t>
      </w:r>
      <w:bookmarkEnd w:id="641"/>
      <w:bookmarkEnd w:id="642"/>
      <w:bookmarkEnd w:id="643"/>
    </w:p>
    <w:p w14:paraId="3F67DFA1">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1.发包人承诺按照法律规定履行项目审批手续、筹集工程建设资金并按照合同约定的期限和方式支付合同价款。</w:t>
      </w:r>
    </w:p>
    <w:p w14:paraId="713F0760">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highlight w:val="none"/>
        </w:rPr>
        <w:t>。</w:t>
      </w:r>
    </w:p>
    <w:p w14:paraId="353D2C8F">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3.发包人和承包人通过招投标形式签订合同的，双方理解并承诺不再就同一工程另行签订与合同实质性内容相背离的协议。</w:t>
      </w:r>
    </w:p>
    <w:p w14:paraId="2A4EF17C">
      <w:pPr>
        <w:pStyle w:val="6"/>
        <w:keepNext/>
        <w:keepLines/>
        <w:spacing w:before="120" w:after="120" w:line="360" w:lineRule="auto"/>
        <w:ind w:firstLine="422" w:firstLineChars="200"/>
        <w:jc w:val="both"/>
        <w:rPr>
          <w:rFonts w:hint="eastAsia"/>
          <w:color w:val="auto"/>
          <w:kern w:val="2"/>
          <w:sz w:val="21"/>
          <w:szCs w:val="21"/>
          <w:highlight w:val="none"/>
          <w:lang w:val="en-US" w:eastAsia="zh-CN"/>
        </w:rPr>
      </w:pPr>
      <w:bookmarkStart w:id="644" w:name="_Toc532377173"/>
      <w:bookmarkStart w:id="645" w:name="_Toc532375580"/>
      <w:bookmarkStart w:id="646" w:name="_Toc351203488"/>
      <w:r>
        <w:rPr>
          <w:rFonts w:hint="eastAsia"/>
          <w:color w:val="auto"/>
          <w:kern w:val="2"/>
          <w:sz w:val="21"/>
          <w:szCs w:val="21"/>
          <w:highlight w:val="none"/>
        </w:rPr>
        <w:t>八、</w:t>
      </w:r>
      <w:r>
        <w:rPr>
          <w:rFonts w:hint="eastAsia"/>
          <w:color w:val="auto"/>
          <w:kern w:val="2"/>
          <w:sz w:val="21"/>
          <w:szCs w:val="21"/>
          <w:highlight w:val="none"/>
          <w:lang w:val="en-US" w:eastAsia="zh-CN"/>
        </w:rPr>
        <w:t>农民工工资保证金</w:t>
      </w:r>
    </w:p>
    <w:p w14:paraId="3E0CD1CD">
      <w:pPr>
        <w:pStyle w:val="6"/>
        <w:keepNext/>
        <w:keepLines/>
        <w:spacing w:before="120" w:after="120" w:line="360" w:lineRule="auto"/>
        <w:ind w:firstLine="420" w:firstLineChars="200"/>
        <w:jc w:val="both"/>
        <w:rPr>
          <w:rFonts w:hint="default" w:ascii="宋体" w:hAnsi="宋体" w:eastAsia="宋体" w:cs="Times New Roman"/>
          <w:b w:val="0"/>
          <w:bCs/>
          <w:color w:val="auto"/>
          <w:kern w:val="2"/>
          <w:sz w:val="21"/>
          <w:szCs w:val="21"/>
          <w:highlight w:val="none"/>
          <w:lang w:val="en-US" w:eastAsia="zh-CN" w:bidi="ar-SA"/>
        </w:rPr>
      </w:pPr>
      <w:r>
        <w:rPr>
          <w:rFonts w:hint="eastAsia" w:ascii="宋体" w:hAnsi="宋体" w:eastAsia="宋体" w:cs="Times New Roman"/>
          <w:b w:val="0"/>
          <w:bCs/>
          <w:color w:val="auto"/>
          <w:kern w:val="2"/>
          <w:sz w:val="21"/>
          <w:szCs w:val="21"/>
          <w:highlight w:val="none"/>
          <w:lang w:val="en-US" w:eastAsia="zh-CN" w:bidi="ar-SA"/>
        </w:rPr>
        <w:t>金额：</w:t>
      </w:r>
      <w:r>
        <w:rPr>
          <w:rFonts w:hint="default" w:ascii="宋体" w:hAnsi="宋体" w:eastAsia="宋体" w:cs="Times New Roman"/>
          <w:b w:val="0"/>
          <w:bCs/>
          <w:color w:val="auto"/>
          <w:kern w:val="2"/>
          <w:sz w:val="21"/>
          <w:szCs w:val="21"/>
          <w:highlight w:val="none"/>
          <w:lang w:val="en-US" w:eastAsia="zh-CN" w:bidi="ar-SA"/>
        </w:rPr>
        <w:t>农民工工资保证金金额为合同金额的2%。</w:t>
      </w:r>
    </w:p>
    <w:p w14:paraId="22E8E5D8">
      <w:pPr>
        <w:pStyle w:val="6"/>
        <w:keepNext/>
        <w:keepLines/>
        <w:spacing w:before="120" w:after="120" w:line="360" w:lineRule="auto"/>
        <w:ind w:firstLine="420" w:firstLineChars="200"/>
        <w:jc w:val="both"/>
        <w:rPr>
          <w:rFonts w:hint="eastAsia" w:ascii="宋体" w:hAnsi="宋体" w:eastAsia="宋体" w:cs="Times New Roman"/>
          <w:b w:val="0"/>
          <w:bCs/>
          <w:color w:val="auto"/>
          <w:kern w:val="2"/>
          <w:sz w:val="21"/>
          <w:szCs w:val="21"/>
          <w:highlight w:val="none"/>
          <w:lang w:val="en-US" w:eastAsia="zh-CN" w:bidi="ar-SA"/>
        </w:rPr>
      </w:pPr>
      <w:r>
        <w:rPr>
          <w:rFonts w:hint="default" w:ascii="宋体" w:hAnsi="宋体" w:eastAsia="宋体" w:cs="Times New Roman"/>
          <w:b w:val="0"/>
          <w:bCs/>
          <w:color w:val="auto"/>
          <w:kern w:val="2"/>
          <w:sz w:val="21"/>
          <w:szCs w:val="21"/>
          <w:highlight w:val="none"/>
          <w:lang w:val="en-US" w:eastAsia="zh-CN" w:bidi="ar-SA"/>
        </w:rPr>
        <w:t>缴纳方式：</w:t>
      </w:r>
      <w:r>
        <w:rPr>
          <w:rFonts w:hint="eastAsia" w:ascii="宋体" w:hAnsi="宋体" w:eastAsia="宋体" w:cs="Times New Roman"/>
          <w:b w:val="0"/>
          <w:bCs/>
          <w:color w:val="auto"/>
          <w:kern w:val="2"/>
          <w:sz w:val="21"/>
          <w:szCs w:val="21"/>
          <w:highlight w:val="none"/>
          <w:lang w:val="en-US" w:eastAsia="zh-CN" w:bidi="ar-SA"/>
        </w:rPr>
        <w:t>转账</w:t>
      </w:r>
      <w:r>
        <w:rPr>
          <w:rFonts w:hint="eastAsia" w:cs="Times New Roman"/>
          <w:b w:val="0"/>
          <w:bCs/>
          <w:color w:val="auto"/>
          <w:kern w:val="2"/>
          <w:sz w:val="21"/>
          <w:szCs w:val="21"/>
          <w:highlight w:val="none"/>
          <w:lang w:val="en-US" w:eastAsia="zh-CN" w:bidi="ar-SA"/>
        </w:rPr>
        <w:t>。</w:t>
      </w:r>
    </w:p>
    <w:p w14:paraId="422F3854">
      <w:pPr>
        <w:pStyle w:val="6"/>
        <w:keepNext/>
        <w:keepLines/>
        <w:spacing w:before="120" w:after="120" w:line="360" w:lineRule="auto"/>
        <w:ind w:firstLine="420" w:firstLineChars="200"/>
        <w:jc w:val="both"/>
        <w:rPr>
          <w:rFonts w:hint="eastAsia" w:ascii="宋体" w:hAnsi="宋体" w:eastAsia="宋体" w:cs="Times New Roman"/>
          <w:b w:val="0"/>
          <w:bCs/>
          <w:color w:val="auto"/>
          <w:kern w:val="2"/>
          <w:sz w:val="21"/>
          <w:szCs w:val="21"/>
          <w:highlight w:val="none"/>
          <w:lang w:val="en-US" w:eastAsia="zh-CN" w:bidi="ar-SA"/>
        </w:rPr>
      </w:pPr>
      <w:r>
        <w:rPr>
          <w:rFonts w:hint="eastAsia" w:ascii="宋体" w:hAnsi="宋体" w:eastAsia="宋体" w:cs="Times New Roman"/>
          <w:b w:val="0"/>
          <w:bCs/>
          <w:color w:val="auto"/>
          <w:kern w:val="2"/>
          <w:sz w:val="21"/>
          <w:szCs w:val="21"/>
          <w:highlight w:val="none"/>
          <w:lang w:val="en-US" w:eastAsia="zh-CN" w:bidi="ar-SA"/>
        </w:rPr>
        <w:t>缴纳时间：签订合同之前。</w:t>
      </w:r>
    </w:p>
    <w:p w14:paraId="0FDB1C5E">
      <w:pPr>
        <w:pStyle w:val="6"/>
        <w:keepNext/>
        <w:keepLines/>
        <w:spacing w:before="120" w:after="120" w:line="360" w:lineRule="auto"/>
        <w:ind w:firstLine="420" w:firstLineChars="200"/>
        <w:jc w:val="both"/>
        <w:rPr>
          <w:rFonts w:hint="default" w:ascii="宋体" w:hAnsi="宋体" w:eastAsia="宋体" w:cs="Times New Roman"/>
          <w:b w:val="0"/>
          <w:bCs/>
          <w:color w:val="auto"/>
          <w:kern w:val="2"/>
          <w:sz w:val="21"/>
          <w:szCs w:val="21"/>
          <w:highlight w:val="none"/>
          <w:lang w:val="en-US" w:eastAsia="zh-CN" w:bidi="ar-SA"/>
        </w:rPr>
      </w:pPr>
      <w:r>
        <w:rPr>
          <w:rFonts w:hint="default" w:ascii="宋体" w:hAnsi="宋体" w:eastAsia="宋体" w:cs="Times New Roman"/>
          <w:b w:val="0"/>
          <w:bCs/>
          <w:color w:val="auto"/>
          <w:kern w:val="2"/>
          <w:sz w:val="21"/>
          <w:szCs w:val="21"/>
          <w:highlight w:val="none"/>
          <w:lang w:val="en-US" w:eastAsia="zh-CN" w:bidi="ar-SA"/>
        </w:rPr>
        <w:t>农民工工资保证金返还：工程竣工验收合格且支付完农民工工资后28日内一次性退还（不计息）</w:t>
      </w:r>
      <w:r>
        <w:rPr>
          <w:rFonts w:hint="eastAsia" w:cs="Times New Roman"/>
          <w:b w:val="0"/>
          <w:bCs/>
          <w:color w:val="auto"/>
          <w:kern w:val="2"/>
          <w:sz w:val="21"/>
          <w:szCs w:val="21"/>
          <w:highlight w:val="none"/>
          <w:lang w:val="en-US" w:eastAsia="zh-CN" w:bidi="ar-SA"/>
        </w:rPr>
        <w:t>。</w:t>
      </w:r>
    </w:p>
    <w:p w14:paraId="4B069DCA">
      <w:pPr>
        <w:pStyle w:val="6"/>
        <w:keepNext/>
        <w:keepLines/>
        <w:spacing w:before="120" w:after="120" w:line="360" w:lineRule="auto"/>
        <w:ind w:firstLine="422" w:firstLineChars="200"/>
        <w:jc w:val="both"/>
        <w:rPr>
          <w:color w:val="auto"/>
          <w:kern w:val="2"/>
          <w:sz w:val="21"/>
          <w:szCs w:val="21"/>
          <w:highlight w:val="none"/>
        </w:rPr>
      </w:pPr>
      <w:r>
        <w:rPr>
          <w:rFonts w:hint="eastAsia"/>
          <w:color w:val="auto"/>
          <w:kern w:val="2"/>
          <w:sz w:val="21"/>
          <w:szCs w:val="21"/>
          <w:highlight w:val="none"/>
          <w:lang w:val="en-US" w:eastAsia="zh-CN"/>
        </w:rPr>
        <w:t>九</w:t>
      </w:r>
      <w:r>
        <w:rPr>
          <w:rFonts w:hint="eastAsia"/>
          <w:color w:val="auto"/>
          <w:kern w:val="2"/>
          <w:sz w:val="21"/>
          <w:szCs w:val="21"/>
          <w:highlight w:val="none"/>
        </w:rPr>
        <w:t>、词语含义</w:t>
      </w:r>
      <w:bookmarkEnd w:id="644"/>
      <w:bookmarkEnd w:id="645"/>
      <w:bookmarkEnd w:id="646"/>
    </w:p>
    <w:p w14:paraId="48746612">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本协议书中词语含义与专用合同条款及通用合同条款中赋予的含义相同。</w:t>
      </w:r>
    </w:p>
    <w:p w14:paraId="21CBFCA1">
      <w:pPr>
        <w:pStyle w:val="6"/>
        <w:keepNext/>
        <w:keepLines/>
        <w:spacing w:before="120" w:after="120" w:line="360" w:lineRule="auto"/>
        <w:ind w:firstLine="422" w:firstLineChars="200"/>
        <w:jc w:val="both"/>
        <w:rPr>
          <w:color w:val="auto"/>
          <w:kern w:val="2"/>
          <w:sz w:val="21"/>
          <w:szCs w:val="21"/>
          <w:highlight w:val="none"/>
        </w:rPr>
      </w:pPr>
      <w:bookmarkStart w:id="647" w:name="_Toc532375581"/>
      <w:bookmarkStart w:id="648" w:name="_Toc532377174"/>
      <w:r>
        <w:rPr>
          <w:rFonts w:hint="eastAsia"/>
          <w:color w:val="auto"/>
          <w:kern w:val="2"/>
          <w:sz w:val="21"/>
          <w:szCs w:val="21"/>
          <w:highlight w:val="none"/>
          <w:lang w:val="en-US" w:eastAsia="zh-CN"/>
        </w:rPr>
        <w:t>十</w:t>
      </w:r>
      <w:r>
        <w:rPr>
          <w:rFonts w:hint="eastAsia"/>
          <w:color w:val="auto"/>
          <w:kern w:val="2"/>
          <w:sz w:val="21"/>
          <w:szCs w:val="21"/>
          <w:highlight w:val="none"/>
        </w:rPr>
        <w:t>、签订时间</w:t>
      </w:r>
      <w:bookmarkEnd w:id="647"/>
      <w:bookmarkEnd w:id="648"/>
    </w:p>
    <w:p w14:paraId="1CD463D6">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合同于</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日签订</w:t>
      </w:r>
    </w:p>
    <w:p w14:paraId="60FF3073">
      <w:pPr>
        <w:pStyle w:val="6"/>
        <w:keepNext/>
        <w:keepLines/>
        <w:spacing w:before="120" w:after="120" w:line="360" w:lineRule="auto"/>
        <w:ind w:firstLine="422" w:firstLineChars="200"/>
        <w:jc w:val="both"/>
        <w:rPr>
          <w:color w:val="auto"/>
          <w:kern w:val="2"/>
          <w:sz w:val="21"/>
          <w:szCs w:val="21"/>
          <w:highlight w:val="none"/>
        </w:rPr>
      </w:pPr>
      <w:bookmarkStart w:id="649" w:name="_Toc351203489"/>
      <w:bookmarkStart w:id="650" w:name="_Toc532375582"/>
      <w:bookmarkStart w:id="651" w:name="_Toc532377175"/>
      <w:r>
        <w:rPr>
          <w:rFonts w:hint="eastAsia"/>
          <w:color w:val="auto"/>
          <w:kern w:val="2"/>
          <w:sz w:val="21"/>
          <w:szCs w:val="21"/>
          <w:highlight w:val="none"/>
        </w:rPr>
        <w:t>十</w:t>
      </w:r>
      <w:r>
        <w:rPr>
          <w:rFonts w:hint="eastAsia"/>
          <w:color w:val="auto"/>
          <w:kern w:val="2"/>
          <w:sz w:val="21"/>
          <w:szCs w:val="21"/>
          <w:highlight w:val="none"/>
          <w:lang w:val="en-US" w:eastAsia="zh-CN"/>
        </w:rPr>
        <w:t>一</w:t>
      </w:r>
      <w:r>
        <w:rPr>
          <w:rFonts w:hint="eastAsia"/>
          <w:color w:val="auto"/>
          <w:kern w:val="2"/>
          <w:sz w:val="21"/>
          <w:szCs w:val="21"/>
          <w:highlight w:val="none"/>
        </w:rPr>
        <w:t>、</w:t>
      </w:r>
      <w:bookmarkEnd w:id="649"/>
      <w:bookmarkStart w:id="652" w:name="_Toc351203490"/>
      <w:r>
        <w:rPr>
          <w:rFonts w:hint="eastAsia"/>
          <w:color w:val="auto"/>
          <w:kern w:val="2"/>
          <w:sz w:val="21"/>
          <w:szCs w:val="21"/>
          <w:highlight w:val="none"/>
        </w:rPr>
        <w:t>签订地点</w:t>
      </w:r>
      <w:bookmarkEnd w:id="650"/>
      <w:bookmarkEnd w:id="651"/>
      <w:bookmarkEnd w:id="652"/>
    </w:p>
    <w:p w14:paraId="65234138">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签订。</w:t>
      </w:r>
    </w:p>
    <w:p w14:paraId="01F656E3">
      <w:pPr>
        <w:pStyle w:val="6"/>
        <w:keepNext/>
        <w:keepLines/>
        <w:spacing w:before="120" w:after="120" w:line="360" w:lineRule="auto"/>
        <w:ind w:firstLine="422" w:firstLineChars="200"/>
        <w:jc w:val="both"/>
        <w:rPr>
          <w:color w:val="auto"/>
          <w:kern w:val="2"/>
          <w:sz w:val="21"/>
          <w:szCs w:val="21"/>
          <w:highlight w:val="none"/>
        </w:rPr>
      </w:pPr>
      <w:bookmarkStart w:id="653" w:name="_Toc532375583"/>
      <w:bookmarkStart w:id="654" w:name="_Toc532377176"/>
      <w:bookmarkStart w:id="655" w:name="_Toc351203491"/>
      <w:r>
        <w:rPr>
          <w:rFonts w:hint="eastAsia"/>
          <w:color w:val="auto"/>
          <w:kern w:val="2"/>
          <w:sz w:val="21"/>
          <w:szCs w:val="21"/>
          <w:highlight w:val="none"/>
        </w:rPr>
        <w:t>十</w:t>
      </w:r>
      <w:r>
        <w:rPr>
          <w:rFonts w:hint="eastAsia"/>
          <w:color w:val="auto"/>
          <w:kern w:val="2"/>
          <w:sz w:val="21"/>
          <w:szCs w:val="21"/>
          <w:highlight w:val="none"/>
          <w:lang w:val="en-US" w:eastAsia="zh-CN"/>
        </w:rPr>
        <w:t>二</w:t>
      </w:r>
      <w:r>
        <w:rPr>
          <w:rFonts w:hint="eastAsia"/>
          <w:color w:val="auto"/>
          <w:kern w:val="2"/>
          <w:sz w:val="21"/>
          <w:szCs w:val="21"/>
          <w:highlight w:val="none"/>
        </w:rPr>
        <w:t>、补充协议</w:t>
      </w:r>
      <w:bookmarkEnd w:id="653"/>
      <w:bookmarkEnd w:id="654"/>
      <w:bookmarkEnd w:id="655"/>
    </w:p>
    <w:p w14:paraId="6A9F23C8">
      <w:pPr>
        <w:spacing w:line="360" w:lineRule="auto"/>
        <w:ind w:firstLine="420" w:firstLineChars="200"/>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14:paraId="202BB9D3">
      <w:pPr>
        <w:pStyle w:val="6"/>
        <w:keepNext/>
        <w:keepLines/>
        <w:spacing w:before="120" w:after="120" w:line="360" w:lineRule="auto"/>
        <w:ind w:firstLine="422" w:firstLineChars="200"/>
        <w:jc w:val="both"/>
        <w:rPr>
          <w:color w:val="auto"/>
          <w:kern w:val="2"/>
          <w:sz w:val="21"/>
          <w:szCs w:val="21"/>
          <w:highlight w:val="none"/>
        </w:rPr>
      </w:pPr>
      <w:bookmarkStart w:id="656" w:name="_Toc532375584"/>
      <w:bookmarkStart w:id="657" w:name="_Toc532377177"/>
      <w:bookmarkStart w:id="658" w:name="_Toc351203492"/>
      <w:r>
        <w:rPr>
          <w:rFonts w:hint="eastAsia"/>
          <w:color w:val="auto"/>
          <w:kern w:val="2"/>
          <w:sz w:val="21"/>
          <w:szCs w:val="21"/>
          <w:highlight w:val="none"/>
        </w:rPr>
        <w:t>十</w:t>
      </w:r>
      <w:r>
        <w:rPr>
          <w:rFonts w:hint="eastAsia"/>
          <w:color w:val="auto"/>
          <w:kern w:val="2"/>
          <w:sz w:val="21"/>
          <w:szCs w:val="21"/>
          <w:highlight w:val="none"/>
          <w:lang w:val="en-US" w:eastAsia="zh-CN"/>
        </w:rPr>
        <w:t>三</w:t>
      </w:r>
      <w:r>
        <w:rPr>
          <w:rFonts w:hint="eastAsia"/>
          <w:color w:val="auto"/>
          <w:kern w:val="2"/>
          <w:sz w:val="21"/>
          <w:szCs w:val="21"/>
          <w:highlight w:val="none"/>
        </w:rPr>
        <w:t>、合同生效</w:t>
      </w:r>
      <w:bookmarkEnd w:id="656"/>
      <w:bookmarkEnd w:id="657"/>
      <w:bookmarkEnd w:id="658"/>
    </w:p>
    <w:p w14:paraId="2F5D9292">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合同在以下条件全部满足之后生效：</w:t>
      </w:r>
    </w:p>
    <w:p w14:paraId="6D876FD2">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1.合同</w:t>
      </w:r>
      <w:r>
        <w:rPr>
          <w:rFonts w:hint="eastAsia" w:ascii="宋体" w:hAnsi="宋体"/>
          <w:color w:val="auto"/>
          <w:szCs w:val="21"/>
          <w:highlight w:val="none"/>
        </w:rPr>
        <w:t>经双方法定代表人或其委托代理人签字并加盖</w:t>
      </w:r>
      <w:r>
        <w:rPr>
          <w:rFonts w:hint="eastAsia" w:ascii="宋体" w:hAnsi="宋体"/>
          <w:snapToGrid w:val="0"/>
          <w:color w:val="auto"/>
          <w:kern w:val="0"/>
          <w:szCs w:val="21"/>
          <w:highlight w:val="none"/>
        </w:rPr>
        <w:t>公章或合同专用章</w:t>
      </w:r>
      <w:r>
        <w:rPr>
          <w:rFonts w:hint="eastAsia" w:ascii="宋体" w:hAnsi="宋体"/>
          <w:color w:val="auto"/>
          <w:szCs w:val="21"/>
          <w:highlight w:val="none"/>
        </w:rPr>
        <w:t>；</w:t>
      </w:r>
    </w:p>
    <w:p w14:paraId="2371F90E">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97449F3">
      <w:pPr>
        <w:pStyle w:val="6"/>
        <w:keepNext/>
        <w:keepLines/>
        <w:spacing w:before="120" w:after="120" w:line="360" w:lineRule="auto"/>
        <w:ind w:firstLine="422" w:firstLineChars="200"/>
        <w:jc w:val="both"/>
        <w:rPr>
          <w:color w:val="auto"/>
          <w:kern w:val="2"/>
          <w:sz w:val="21"/>
          <w:szCs w:val="21"/>
          <w:highlight w:val="none"/>
        </w:rPr>
      </w:pPr>
      <w:bookmarkStart w:id="659" w:name="_Toc532375585"/>
      <w:bookmarkStart w:id="660" w:name="_Toc532377178"/>
      <w:bookmarkStart w:id="661" w:name="_Toc351203493"/>
      <w:r>
        <w:rPr>
          <w:rFonts w:hint="eastAsia"/>
          <w:color w:val="auto"/>
          <w:kern w:val="2"/>
          <w:sz w:val="21"/>
          <w:szCs w:val="21"/>
          <w:highlight w:val="none"/>
        </w:rPr>
        <w:t>十</w:t>
      </w:r>
      <w:r>
        <w:rPr>
          <w:rFonts w:hint="eastAsia"/>
          <w:color w:val="auto"/>
          <w:kern w:val="2"/>
          <w:sz w:val="21"/>
          <w:szCs w:val="21"/>
          <w:highlight w:val="none"/>
          <w:lang w:val="en-US" w:eastAsia="zh-CN"/>
        </w:rPr>
        <w:t>四</w:t>
      </w:r>
      <w:r>
        <w:rPr>
          <w:rFonts w:hint="eastAsia"/>
          <w:color w:val="auto"/>
          <w:kern w:val="2"/>
          <w:sz w:val="21"/>
          <w:szCs w:val="21"/>
          <w:highlight w:val="none"/>
        </w:rPr>
        <w:t>、合同份数</w:t>
      </w:r>
      <w:bookmarkEnd w:id="659"/>
      <w:bookmarkEnd w:id="660"/>
      <w:bookmarkEnd w:id="661"/>
    </w:p>
    <w:p w14:paraId="29628B33">
      <w:pPr>
        <w:spacing w:line="360" w:lineRule="auto"/>
        <w:ind w:firstLine="420" w:firstLineChars="200"/>
        <w:rPr>
          <w:rFonts w:ascii="宋体" w:hAnsi="宋体"/>
          <w:bCs/>
          <w:color w:val="auto"/>
          <w:szCs w:val="21"/>
          <w:highlight w:val="none"/>
        </w:rPr>
      </w:pPr>
      <w:r>
        <w:rPr>
          <w:rFonts w:hint="eastAsia" w:ascii="宋体" w:hAnsi="宋体" w:cs="Times New Roman"/>
          <w:szCs w:val="21"/>
          <w:lang w:val="en-US" w:eastAsia="zh-CN"/>
        </w:rPr>
        <w:t>合同一式</w:t>
      </w:r>
      <w:r>
        <w:rPr>
          <w:rFonts w:hint="eastAsia" w:ascii="宋体" w:hAnsi="宋体" w:cs="Times New Roman"/>
          <w:szCs w:val="21"/>
          <w:u w:val="single"/>
          <w:lang w:val="en-US" w:eastAsia="zh-CN"/>
        </w:rPr>
        <w:t xml:space="preserve"> 陆 </w:t>
      </w:r>
      <w:r>
        <w:rPr>
          <w:rFonts w:hint="eastAsia" w:ascii="宋体" w:hAnsi="宋体" w:cs="Times New Roman"/>
          <w:szCs w:val="21"/>
          <w:lang w:val="en-US" w:eastAsia="zh-CN"/>
        </w:rPr>
        <w:t>份，发包人持</w:t>
      </w:r>
      <w:r>
        <w:rPr>
          <w:rFonts w:hint="eastAsia" w:ascii="宋体" w:hAnsi="宋体" w:cs="Times New Roman"/>
          <w:szCs w:val="21"/>
          <w:u w:val="single"/>
          <w:lang w:val="en-US" w:eastAsia="zh-CN"/>
        </w:rPr>
        <w:t xml:space="preserve"> 肆 </w:t>
      </w:r>
      <w:r>
        <w:rPr>
          <w:rFonts w:hint="eastAsia" w:ascii="宋体" w:hAnsi="宋体" w:cs="Times New Roman"/>
          <w:szCs w:val="21"/>
          <w:lang w:val="en-US" w:eastAsia="zh-CN"/>
        </w:rPr>
        <w:t>份，承包人执</w:t>
      </w:r>
      <w:r>
        <w:rPr>
          <w:rFonts w:hint="eastAsia" w:ascii="宋体" w:hAnsi="宋体" w:cs="Times New Roman"/>
          <w:szCs w:val="21"/>
          <w:u w:val="single"/>
          <w:lang w:val="en-US" w:eastAsia="zh-CN"/>
        </w:rPr>
        <w:t xml:space="preserve"> 贰 </w:t>
      </w:r>
      <w:r>
        <w:rPr>
          <w:rFonts w:hint="eastAsia" w:ascii="宋体" w:hAnsi="宋体" w:cs="Times New Roman"/>
          <w:szCs w:val="21"/>
          <w:lang w:val="en-US" w:eastAsia="zh-CN"/>
        </w:rPr>
        <w:t>份，具有相同法律效力</w:t>
      </w:r>
      <w:r>
        <w:rPr>
          <w:rFonts w:hint="eastAsia" w:ascii="宋体" w:hAnsi="宋体"/>
          <w:bCs/>
          <w:color w:val="auto"/>
          <w:szCs w:val="21"/>
          <w:highlight w:val="none"/>
        </w:rPr>
        <w:t>。</w:t>
      </w:r>
    </w:p>
    <w:p w14:paraId="6A8E16B8">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（以下为签字盖章页）。</w:t>
      </w:r>
    </w:p>
    <w:p w14:paraId="29829AB2">
      <w:pPr>
        <w:adjustRightInd w:val="0"/>
        <w:spacing w:line="360" w:lineRule="auto"/>
        <w:ind w:firstLine="420" w:firstLineChars="200"/>
        <w:rPr>
          <w:rFonts w:ascii="宋体" w:hAnsi="宋体"/>
          <w:snapToGrid w:val="0"/>
          <w:color w:val="auto"/>
          <w:kern w:val="0"/>
          <w:szCs w:val="21"/>
          <w:highlight w:val="none"/>
        </w:rPr>
      </w:pPr>
      <w:bookmarkStart w:id="662" w:name="_Toc467689623"/>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2A715949">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6856D497">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4AADB07">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BD10B0F">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9ED5121">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B0E0065">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249D153F">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877135C">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708A9614">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（签字）</w:t>
      </w:r>
    </w:p>
    <w:p w14:paraId="1106CFA8">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1FA8952">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AAFDD10">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78B8BE8">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7D2654D">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310FDD66">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E4AE530">
      <w:pPr>
        <w:spacing w:line="360" w:lineRule="auto"/>
        <w:jc w:val="both"/>
        <w:rPr>
          <w:rFonts w:hint="eastAsia" w:ascii="宋体" w:hAnsi="宋体"/>
          <w:snapToGrid w:val="0"/>
          <w:color w:val="auto"/>
          <w:kern w:val="0"/>
          <w:szCs w:val="21"/>
          <w:highlight w:val="none"/>
        </w:rPr>
      </w:pPr>
    </w:p>
    <w:p w14:paraId="59E1AD32">
      <w:pPr>
        <w:spacing w:line="360" w:lineRule="auto"/>
        <w:jc w:val="right"/>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662"/>
    </w:p>
    <w:p w14:paraId="77463102">
      <w:pPr>
        <w:pStyle w:val="5"/>
        <w:jc w:val="center"/>
        <w:rPr>
          <w:rFonts w:ascii="宋体" w:hAnsi="宋体"/>
          <w:bCs w:val="0"/>
          <w:color w:val="auto"/>
          <w:sz w:val="21"/>
          <w:szCs w:val="21"/>
          <w:highlight w:val="none"/>
        </w:rPr>
      </w:pPr>
      <w:r>
        <w:rPr>
          <w:rFonts w:hint="eastAsia" w:ascii="宋体" w:hAnsi="宋体"/>
          <w:b w:val="0"/>
          <w:snapToGrid w:val="0"/>
          <w:color w:val="auto"/>
          <w:sz w:val="21"/>
          <w:szCs w:val="21"/>
          <w:highlight w:val="none"/>
          <w:lang w:val="zh-CN"/>
        </w:rPr>
        <w:br w:type="page"/>
      </w:r>
      <w:bookmarkStart w:id="663" w:name="_Toc532377179"/>
      <w:bookmarkStart w:id="664" w:name="_Toc529388289"/>
      <w:bookmarkStart w:id="665" w:name="_Toc19856"/>
      <w:bookmarkStart w:id="666" w:name="_Toc1357"/>
      <w:bookmarkStart w:id="667" w:name="_Toc532375586"/>
      <w:r>
        <w:rPr>
          <w:rFonts w:hint="eastAsia" w:ascii="宋体" w:hAnsi="宋体"/>
          <w:color w:val="auto"/>
          <w:sz w:val="44"/>
          <w:szCs w:val="44"/>
          <w:highlight w:val="none"/>
        </w:rPr>
        <w:t>第二部分 通用合同条款</w:t>
      </w:r>
      <w:bookmarkEnd w:id="663"/>
      <w:bookmarkEnd w:id="664"/>
      <w:bookmarkEnd w:id="665"/>
      <w:bookmarkEnd w:id="666"/>
      <w:bookmarkEnd w:id="667"/>
    </w:p>
    <w:p w14:paraId="623ACEC9">
      <w:pPr>
        <w:pStyle w:val="6"/>
        <w:keepNext/>
        <w:keepLines/>
        <w:spacing w:before="156" w:beforeLines="50" w:beforeAutospacing="0" w:after="156" w:afterLines="50" w:afterAutospacing="0" w:line="360" w:lineRule="auto"/>
        <w:jc w:val="both"/>
        <w:rPr>
          <w:color w:val="auto"/>
          <w:kern w:val="2"/>
          <w:sz w:val="21"/>
          <w:szCs w:val="21"/>
          <w:highlight w:val="none"/>
        </w:rPr>
      </w:pPr>
      <w:bookmarkStart w:id="668" w:name="_Toc532377180"/>
      <w:bookmarkStart w:id="669" w:name="_Toc532375587"/>
      <w:bookmarkStart w:id="670" w:name="_Toc351203495"/>
      <w:r>
        <w:rPr>
          <w:rFonts w:hint="eastAsia"/>
          <w:color w:val="auto"/>
          <w:kern w:val="2"/>
          <w:sz w:val="21"/>
          <w:szCs w:val="21"/>
          <w:highlight w:val="none"/>
        </w:rPr>
        <w:t>1.</w:t>
      </w:r>
      <w:bookmarkStart w:id="671" w:name="_Toc303538976"/>
      <w:bookmarkEnd w:id="671"/>
      <w:bookmarkStart w:id="672" w:name="_Toc303538974"/>
      <w:bookmarkEnd w:id="672"/>
      <w:bookmarkStart w:id="673" w:name="_Toc303538973"/>
      <w:bookmarkEnd w:id="673"/>
      <w:bookmarkStart w:id="674" w:name="_Toc303538972"/>
      <w:bookmarkEnd w:id="674"/>
      <w:bookmarkStart w:id="675" w:name="_Toc303538975"/>
      <w:bookmarkEnd w:id="675"/>
      <w:bookmarkStart w:id="676" w:name="_Toc296346528"/>
      <w:bookmarkStart w:id="677" w:name="_Toc296503027"/>
      <w:r>
        <w:rPr>
          <w:rFonts w:hint="eastAsia"/>
          <w:color w:val="auto"/>
          <w:kern w:val="2"/>
          <w:sz w:val="21"/>
          <w:szCs w:val="21"/>
          <w:highlight w:val="none"/>
        </w:rPr>
        <w:t>一般约定</w:t>
      </w:r>
      <w:bookmarkEnd w:id="668"/>
      <w:bookmarkEnd w:id="669"/>
      <w:bookmarkEnd w:id="670"/>
      <w:bookmarkEnd w:id="676"/>
      <w:bookmarkEnd w:id="677"/>
    </w:p>
    <w:p w14:paraId="4326FFA8">
      <w:pPr>
        <w:pStyle w:val="7"/>
        <w:spacing w:before="0" w:beforeAutospacing="0" w:after="0" w:afterAutospacing="0" w:line="360" w:lineRule="auto"/>
        <w:ind w:firstLine="422" w:firstLineChars="200"/>
        <w:rPr>
          <w:color w:val="auto"/>
          <w:sz w:val="21"/>
          <w:szCs w:val="21"/>
          <w:highlight w:val="none"/>
        </w:rPr>
      </w:pPr>
      <w:bookmarkStart w:id="678" w:name="_Toc337558728"/>
      <w:bookmarkStart w:id="679" w:name="_Toc296346529"/>
      <w:bookmarkStart w:id="680" w:name="_Toc296503028"/>
      <w:bookmarkStart w:id="681" w:name="_Toc532377181"/>
      <w:bookmarkStart w:id="682" w:name="_Toc351203496"/>
      <w:r>
        <w:rPr>
          <w:rFonts w:hint="eastAsia"/>
          <w:color w:val="auto"/>
          <w:sz w:val="21"/>
          <w:szCs w:val="21"/>
          <w:highlight w:val="none"/>
        </w:rPr>
        <w:t>1.1词语定义</w:t>
      </w:r>
      <w:bookmarkEnd w:id="678"/>
      <w:bookmarkEnd w:id="679"/>
      <w:bookmarkEnd w:id="680"/>
      <w:r>
        <w:rPr>
          <w:rFonts w:hint="eastAsia"/>
          <w:color w:val="auto"/>
          <w:sz w:val="21"/>
          <w:szCs w:val="21"/>
          <w:highlight w:val="none"/>
        </w:rPr>
        <w:t>与解释</w:t>
      </w:r>
      <w:bookmarkEnd w:id="681"/>
      <w:bookmarkEnd w:id="682"/>
    </w:p>
    <w:p w14:paraId="2298FD5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合同协议书、通用合同条款、专用合同条款中的下列词语具有本款所赋予的含义：</w:t>
      </w:r>
    </w:p>
    <w:p w14:paraId="076568FE">
      <w:pPr>
        <w:pStyle w:val="7"/>
        <w:spacing w:before="0" w:beforeAutospacing="0" w:after="0" w:afterAutospacing="0" w:line="360" w:lineRule="auto"/>
        <w:ind w:firstLine="420" w:firstLineChars="200"/>
        <w:rPr>
          <w:b w:val="0"/>
          <w:bCs w:val="0"/>
          <w:color w:val="auto"/>
          <w:sz w:val="21"/>
          <w:szCs w:val="21"/>
          <w:highlight w:val="none"/>
        </w:rPr>
      </w:pPr>
      <w:bookmarkStart w:id="683" w:name="_Toc532377182"/>
      <w:r>
        <w:rPr>
          <w:rFonts w:hint="eastAsia"/>
          <w:b w:val="0"/>
          <w:bCs w:val="0"/>
          <w:color w:val="auto"/>
          <w:sz w:val="21"/>
          <w:szCs w:val="21"/>
          <w:highlight w:val="none"/>
        </w:rPr>
        <w:t>1.1.1 合同</w:t>
      </w:r>
      <w:bookmarkEnd w:id="683"/>
    </w:p>
    <w:p w14:paraId="5ABF38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 合同：是指根据法律规定和合同当事人约定具有约束力的文件，构成合同的文件包括合同协议书、中标通知书（如有）、投标函及其附录（如有）、专用合同条款</w:t>
      </w:r>
      <w:r>
        <w:rPr>
          <w:rFonts w:hint="eastAsia" w:ascii="宋体" w:hAnsi="宋体"/>
          <w:color w:val="auto"/>
          <w:szCs w:val="21"/>
          <w:highlight w:val="none"/>
        </w:rPr>
        <w:t>及其附件</w:t>
      </w:r>
      <w:r>
        <w:rPr>
          <w:rFonts w:hint="eastAsia" w:ascii="宋体" w:hAnsi="宋体"/>
          <w:color w:val="auto"/>
          <w:kern w:val="0"/>
          <w:szCs w:val="21"/>
          <w:highlight w:val="none"/>
        </w:rPr>
        <w:t>、通用合同条款、技术标准和要求、图纸、已标价工程量清单或预算书以及其他合同文件。</w:t>
      </w:r>
    </w:p>
    <w:p w14:paraId="7CE8908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1.1.1.2 合同协议书：是指构成合同的由发包人和承包人共同签署的称为“合同协议书”的书面文件。</w:t>
      </w:r>
    </w:p>
    <w:p w14:paraId="3C8627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1.1.1.3 中标通知书：是指构成合同的由发包人通知承包人中标的书面文件。</w:t>
      </w:r>
    </w:p>
    <w:p w14:paraId="2FE295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1.1.1.4 投标函：是指构成合同的由承包人填写并签署的用于投标的称为“投标函”的文件。</w:t>
      </w:r>
    </w:p>
    <w:p w14:paraId="02F8A5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1.1.1.5 投标函附录：是指构成合同的附在投标函后的称为“投标函附录”的文件。</w:t>
      </w:r>
    </w:p>
    <w:p w14:paraId="7FE3AC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1.1.1.6 技术标准和要求：是指构成合同的施工应当遵守的或指导施工的国家、行业或地方的技术标准和要求，以及合同约定的技术标准和要求。</w:t>
      </w:r>
    </w:p>
    <w:p w14:paraId="3A318E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31BE09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1.1.1.8 已标价工程量清单：是指构成合同的由承包人按照规定的格式和要求填写并标明价格的工程量清单，包括说明和表格。</w:t>
      </w:r>
    </w:p>
    <w:p w14:paraId="39DA00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1.1.1.9 预算书：是指构成合同的由承包人按照发包人规定的格式和要求编制的工程预算文件。</w:t>
      </w:r>
    </w:p>
    <w:p w14:paraId="0B825F8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1.1.1.10 其他合同文件：是指经合同当事人约定的与工程施工有关的具有合同约束力的文件或书面协议。合同当事人可以在专用合同条款中进行约定。</w:t>
      </w:r>
    </w:p>
    <w:p w14:paraId="0A8D745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 合同当事人及其他相关方</w:t>
      </w:r>
    </w:p>
    <w:p w14:paraId="4069F69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1.1.2.1 合同当事人：是指发包人和（或）承包人。</w:t>
      </w:r>
    </w:p>
    <w:p w14:paraId="0F082E1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1.1.2.2 发包人：是指与承包人签订合同协议书的当事人及取得该当事人资格的合法继承人。</w:t>
      </w:r>
    </w:p>
    <w:p w14:paraId="66DC38D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1.1.2.3 承包人：是指与发包人签订合同协议书的，具有相应工程施工承包资质的当事人及取得该当事人资格的合法继承人。</w:t>
      </w:r>
    </w:p>
    <w:p w14:paraId="39EE624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1.1.2.4 监理人：是指在专用合同条款中指明的，受发包人委托按照法律规定进行工程监督管理的法人或其他组织。</w:t>
      </w:r>
    </w:p>
    <w:p w14:paraId="585D22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1.1.2.5 设计人：是指在专用合同条款中指明的，受发包人委托负责工程设计并具备相应工程设计资质的法人或其他组织。</w:t>
      </w:r>
    </w:p>
    <w:p w14:paraId="3B13258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1.1.2.6 分包人：</w:t>
      </w:r>
      <w:bookmarkStart w:id="684" w:name="#go5"/>
      <w:bookmarkEnd w:id="684"/>
      <w:r>
        <w:rPr>
          <w:rFonts w:hint="eastAsia" w:ascii="宋体" w:hAnsi="宋体"/>
          <w:color w:val="auto"/>
          <w:kern w:val="0"/>
          <w:szCs w:val="21"/>
          <w:highlight w:val="none"/>
        </w:rPr>
        <w:t>是指按照法律规定和合同约定，分包部分工程或工作，并与承包人签订分包合同的具有相应资质的法人。</w:t>
      </w:r>
    </w:p>
    <w:p w14:paraId="0B3A497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1.1.2.7 发包人代表：是指由发包人任命并派驻施工现场在发包人授权范围内行使发包人权利的人。</w:t>
      </w:r>
    </w:p>
    <w:p w14:paraId="0B1635A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1.1.2.8 项目经理：是指由承包人任命并派驻施工现场，在承包人授权范围内负责合同履行，且按照法律规定具有相应资格的项目负责人。</w:t>
      </w:r>
    </w:p>
    <w:p w14:paraId="10DD8DE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1.1.2.9 总监理工程师：是指由监理人任命并派驻施工现场进行工程监理的总负责人。</w:t>
      </w:r>
    </w:p>
    <w:p w14:paraId="01409A3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 工程和设备</w:t>
      </w:r>
    </w:p>
    <w:p w14:paraId="07E9989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1.1.3.1 工程：是指与合同协议书中工程承包范围对应的永久工程和（或）临时工程。</w:t>
      </w:r>
    </w:p>
    <w:p w14:paraId="54A71C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1.1.3.2 永久工程：是指按合同约定建造并移交给发包人的工程，包括工程设备。</w:t>
      </w:r>
    </w:p>
    <w:p w14:paraId="12D7880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1.1.3.3 临时工程：是指为完成合同约定的永久工程所修建的各类临时性工程，不包括施工设备。</w:t>
      </w:r>
    </w:p>
    <w:p w14:paraId="662DCD8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1.1.3.4 单位工程：是指在合同协议书中指明的，具备独立施工条件并能形成独立使用功能的永久工程。</w:t>
      </w:r>
    </w:p>
    <w:p w14:paraId="1E9DC3E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1.1.3.5 工程设备：是指构成永久工程的机电设备、金属结构设备、仪器及其他类似的设备和装置。</w:t>
      </w:r>
    </w:p>
    <w:p w14:paraId="1D700FF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1.1.3.6 施工设备：是指为完成合同约定的各项工作所需的设备、器具和其他物品，但不包括工程设备、临时工程和材料。</w:t>
      </w:r>
    </w:p>
    <w:p w14:paraId="639AB7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1.1.3.7 施工现场：是指用于工程施工的场所，以及在专用合同条款中指明作为施工场所组成部分的其他场所，包括永久占地和临时占地。</w:t>
      </w:r>
    </w:p>
    <w:p w14:paraId="7D0A23D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1.1.3.8临时设施：是指为完成合同约定的各项工作所服务的临时性生产和生活设施。</w:t>
      </w:r>
    </w:p>
    <w:p w14:paraId="783227B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1.1.3.9 永久占地：是指专用合同条款中指明为实施工程需永久占用的土地。</w:t>
      </w:r>
    </w:p>
    <w:p w14:paraId="14EB617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1.1.3.10 临时占地：是指专用合同条款中指明为实施工程需要临时占用的土地。</w:t>
      </w:r>
    </w:p>
    <w:p w14:paraId="324572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 日期和期限</w:t>
      </w:r>
    </w:p>
    <w:p w14:paraId="3D422A3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1BF51D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1.1.4.2 竣工日期：包括计划竣工日期和实际竣工日期。计划竣工日期是指合同协议书约定的竣工日期；实际竣工日期按照第13.2.3项〔竣工日期〕的约定确定。 </w:t>
      </w:r>
    </w:p>
    <w:p w14:paraId="7C9AC49D">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1.1.4.3 工期：是指在合同协议书约定的承包人完成工程所需的期限，包括按照合同约定所作的期限变更。</w:t>
      </w:r>
    </w:p>
    <w:p w14:paraId="6A257B7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1.1.4.4 缺陷责任期：是指承包人按照合同约定承担缺陷修复义务，且发包人预留质量保证金（已缴纳履约保证金的除外）的期限，自工程实际竣工日期起计算。</w:t>
      </w:r>
    </w:p>
    <w:p w14:paraId="6FA11D6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1.1.4.5 保修期：是指承包人按照合同约定对工程承担保修责任的期限，从工程竣工验收合格之日起计算。</w:t>
      </w:r>
    </w:p>
    <w:p w14:paraId="30EC5F8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1.1.4.6 基准日期：</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发包的工程以投标截止日前28天的日期为基准日期，直接发包的工程以合同签订日前28天的日期为基准日期。</w:t>
      </w:r>
    </w:p>
    <w:p w14:paraId="3E5EEF3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1.1.4.7 天：除特别指明外，均指日历天。合同中按天计算时间的，开始当天不计入，从次日开始计算，期限最后一天的截止时间为当天24：00时。</w:t>
      </w:r>
    </w:p>
    <w:p w14:paraId="7646DE5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 合同价格和费用</w:t>
      </w:r>
    </w:p>
    <w:p w14:paraId="21F084B2">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1.1.5.1 签约合同价：是指</w:t>
      </w:r>
      <w:r>
        <w:rPr>
          <w:rFonts w:hint="eastAsia" w:ascii="宋体" w:hAnsi="宋体"/>
          <w:color w:val="auto"/>
          <w:szCs w:val="21"/>
          <w:highlight w:val="none"/>
        </w:rPr>
        <w:t>发包人和承包人在合同协议书中确定的总金额，包括安全文明施工费、暂估价及暂列金额等。</w:t>
      </w:r>
    </w:p>
    <w:p w14:paraId="46191C4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1.1.5.2 合同价格：是指发包人用于支付承包人按照合同约定完成承包范围内全部工作的金额，包括合同履行过程中按合同约定发生的价格变化。</w:t>
      </w:r>
    </w:p>
    <w:p w14:paraId="328585A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1.1.5.3 费用：是指为履行合同所发生的或将要发生的所有必需的开支，包括管理费和应分摊的其他费用，但不包括利润。</w:t>
      </w:r>
    </w:p>
    <w:p w14:paraId="2CDADA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1.1.5.4 暂估价：是指发包人在工程量清单或预算书中提供的用于支付必然发生但暂时不能确定价格的材料、工程设备的单价、专业工程以及服务工作的金额。</w:t>
      </w:r>
    </w:p>
    <w:p w14:paraId="18E0502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DF666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1.1.5.6 计日工：是指合同履行过程中，承包人完成发包人提出的零星工作或需要采用计日工计价的变更工作时，按合同中约定的单价计价的一种方式。</w:t>
      </w:r>
    </w:p>
    <w:p w14:paraId="06F1B675">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1.1.5.7 质量保证金</w:t>
      </w:r>
      <w:bookmarkStart w:id="685" w:name="#go2"/>
      <w:bookmarkEnd w:id="685"/>
      <w:r>
        <w:rPr>
          <w:rFonts w:hint="eastAsia" w:ascii="宋体" w:hAnsi="宋体"/>
          <w:color w:val="auto"/>
          <w:kern w:val="0"/>
          <w:szCs w:val="21"/>
          <w:highlight w:val="none"/>
        </w:rPr>
        <w:t>：是指按照第15.3款〔质量保证金〕约定承包人用于保证其在缺陷责任期内履行缺陷修补义务的担保</w:t>
      </w:r>
      <w:r>
        <w:rPr>
          <w:rFonts w:hint="eastAsia" w:ascii="宋体" w:hAnsi="宋体"/>
          <w:color w:val="auto"/>
          <w:szCs w:val="21"/>
          <w:highlight w:val="none"/>
        </w:rPr>
        <w:t>。</w:t>
      </w:r>
    </w:p>
    <w:p w14:paraId="5D46B67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1.1.5.8 总价项目：是指在现行国家、行业以及地方的计量规则中无工程量计算规则，在已标价工程量清单或预算书中以总价或以费率形式计算的项目。</w:t>
      </w:r>
    </w:p>
    <w:p w14:paraId="58334B1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 其他</w:t>
      </w:r>
    </w:p>
    <w:p w14:paraId="1FADA14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1.1.6.1 书面形式：是指合同文件、信函、电报、传真等可以有形地表现所载内容的形式。</w:t>
      </w:r>
    </w:p>
    <w:p w14:paraId="1D6DA9BF">
      <w:pPr>
        <w:pStyle w:val="7"/>
        <w:spacing w:before="0" w:beforeAutospacing="0" w:after="0" w:afterAutospacing="0" w:line="360" w:lineRule="auto"/>
        <w:ind w:firstLine="422" w:firstLineChars="200"/>
        <w:rPr>
          <w:color w:val="auto"/>
          <w:sz w:val="21"/>
          <w:szCs w:val="21"/>
          <w:highlight w:val="none"/>
        </w:rPr>
      </w:pPr>
      <w:bookmarkStart w:id="686" w:name="_Toc532377183"/>
      <w:r>
        <w:rPr>
          <w:rFonts w:hint="eastAsia"/>
          <w:color w:val="auto"/>
          <w:sz w:val="21"/>
          <w:szCs w:val="21"/>
          <w:highlight w:val="none"/>
        </w:rPr>
        <w:t>1.2 语言文字</w:t>
      </w:r>
      <w:bookmarkEnd w:id="686"/>
    </w:p>
    <w:p w14:paraId="1C7B409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合同以中国的汉语简体文字编写、解释和说明。合同当事人在专用合同条款中约定使用两种以上语言时，汉语为优先解释和说明合同的语言。</w:t>
      </w:r>
    </w:p>
    <w:p w14:paraId="7232DF20">
      <w:pPr>
        <w:pStyle w:val="7"/>
        <w:spacing w:before="0" w:beforeAutospacing="0" w:after="0" w:afterAutospacing="0" w:line="360" w:lineRule="auto"/>
        <w:ind w:firstLine="422" w:firstLineChars="200"/>
        <w:rPr>
          <w:color w:val="auto"/>
          <w:sz w:val="21"/>
          <w:szCs w:val="21"/>
          <w:highlight w:val="none"/>
        </w:rPr>
      </w:pPr>
      <w:bookmarkStart w:id="687" w:name="_Toc351203498"/>
      <w:bookmarkStart w:id="688" w:name="_Toc296346531"/>
      <w:bookmarkStart w:id="689" w:name="_Toc337558730"/>
      <w:bookmarkStart w:id="690" w:name="_Toc296503030"/>
      <w:bookmarkStart w:id="691" w:name="_Toc532377184"/>
      <w:r>
        <w:rPr>
          <w:rFonts w:hint="eastAsia"/>
          <w:color w:val="auto"/>
          <w:sz w:val="21"/>
          <w:szCs w:val="21"/>
          <w:highlight w:val="none"/>
        </w:rPr>
        <w:t>1.3法律</w:t>
      </w:r>
      <w:bookmarkEnd w:id="687"/>
      <w:bookmarkEnd w:id="688"/>
      <w:bookmarkEnd w:id="689"/>
      <w:bookmarkEnd w:id="690"/>
      <w:bookmarkEnd w:id="691"/>
    </w:p>
    <w:p w14:paraId="454FBC8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合同所称法律是指中华人民共和国法律、行政法规、部门规章，以及工程所在地的地方性法规、自治条例、单行条例和地方政府规章等。</w:t>
      </w:r>
    </w:p>
    <w:p w14:paraId="500DB83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合同当事人可以在专用合同条款中约定合同适用的其他规范性文件。</w:t>
      </w:r>
    </w:p>
    <w:p w14:paraId="774F4AFD">
      <w:pPr>
        <w:pStyle w:val="7"/>
        <w:spacing w:before="0" w:beforeAutospacing="0" w:after="0" w:afterAutospacing="0" w:line="360" w:lineRule="auto"/>
        <w:ind w:firstLine="422" w:firstLineChars="200"/>
        <w:rPr>
          <w:color w:val="auto"/>
          <w:sz w:val="21"/>
          <w:szCs w:val="21"/>
          <w:highlight w:val="none"/>
        </w:rPr>
      </w:pPr>
      <w:bookmarkStart w:id="692" w:name="_Toc532377185"/>
      <w:bookmarkStart w:id="693" w:name="_Toc351203499"/>
      <w:r>
        <w:rPr>
          <w:rFonts w:hint="eastAsia"/>
          <w:color w:val="auto"/>
          <w:sz w:val="21"/>
          <w:szCs w:val="21"/>
          <w:highlight w:val="none"/>
        </w:rPr>
        <w:t>1.4 标准和规范</w:t>
      </w:r>
      <w:bookmarkEnd w:id="692"/>
      <w:bookmarkEnd w:id="693"/>
    </w:p>
    <w:p w14:paraId="290EC66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1.4.1 适用于工程的国家标准、行业标准、工程所在地的地方性标准，以及相应的规范、规程等，合同当事人有特别要求的，应在专用合同条款中约定。</w:t>
      </w:r>
    </w:p>
    <w:p w14:paraId="40FCE8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1.4.2 发包人要求使用国外标准、规范的，发包人负责提供原文版本和中文译本，并在专用合同条款中约定提供标准规范的名称、份数和时间。</w:t>
      </w:r>
    </w:p>
    <w:p w14:paraId="167A15D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4D0BC8AA">
      <w:pPr>
        <w:pStyle w:val="7"/>
        <w:spacing w:before="0" w:beforeAutospacing="0" w:after="0" w:afterAutospacing="0" w:line="360" w:lineRule="auto"/>
        <w:ind w:firstLine="422" w:firstLineChars="200"/>
        <w:rPr>
          <w:color w:val="auto"/>
          <w:sz w:val="21"/>
          <w:szCs w:val="21"/>
          <w:highlight w:val="none"/>
        </w:rPr>
      </w:pPr>
      <w:bookmarkStart w:id="694" w:name="_Toc351203500"/>
      <w:bookmarkStart w:id="695" w:name="_Toc532377186"/>
      <w:r>
        <w:rPr>
          <w:rFonts w:hint="eastAsia"/>
          <w:color w:val="auto"/>
          <w:sz w:val="21"/>
          <w:szCs w:val="21"/>
          <w:highlight w:val="none"/>
        </w:rPr>
        <w:t>1</w:t>
      </w:r>
      <w:bookmarkStart w:id="696" w:name="_Toc296503031"/>
      <w:bookmarkStart w:id="697" w:name="_Toc337558731"/>
      <w:bookmarkStart w:id="698" w:name="_Toc296346532"/>
      <w:r>
        <w:rPr>
          <w:rFonts w:hint="eastAsia"/>
          <w:color w:val="auto"/>
          <w:sz w:val="21"/>
          <w:szCs w:val="21"/>
          <w:highlight w:val="none"/>
        </w:rPr>
        <w:t>.5 合同文件的优先顺序</w:t>
      </w:r>
      <w:bookmarkEnd w:id="694"/>
      <w:bookmarkEnd w:id="695"/>
    </w:p>
    <w:bookmarkEnd w:id="696"/>
    <w:bookmarkEnd w:id="697"/>
    <w:bookmarkEnd w:id="698"/>
    <w:p w14:paraId="47D70D7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组成合同的各项文件应互相解释，互为说明。除专用合同条款另有约定外，解释合同文件的优先顺序如下：</w:t>
      </w:r>
    </w:p>
    <w:p w14:paraId="468E085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（1）合同协议书；</w:t>
      </w:r>
    </w:p>
    <w:p w14:paraId="0A665CD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（2）中标通知书（如有）；</w:t>
      </w:r>
    </w:p>
    <w:p w14:paraId="48D1E0B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（3）投标函及其附录（如有）；</w:t>
      </w:r>
    </w:p>
    <w:p w14:paraId="60B668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（4）专用合同条款及其附件；</w:t>
      </w:r>
    </w:p>
    <w:p w14:paraId="771F2E6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（5）通用合同条款；</w:t>
      </w:r>
    </w:p>
    <w:p w14:paraId="6D4E56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（6）技术标准和要求；</w:t>
      </w:r>
    </w:p>
    <w:p w14:paraId="113D7DA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（7）图纸；</w:t>
      </w:r>
    </w:p>
    <w:p w14:paraId="7E96E19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（8）已标价工程量清单或预算书；</w:t>
      </w:r>
    </w:p>
    <w:p w14:paraId="51E61BE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（9）其他合同文件。</w:t>
      </w:r>
    </w:p>
    <w:p w14:paraId="7751CE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上述各项合同文件包括合同当事人就该项合同文件所作出的补充和修改，属于同一类内容的文件，应以最新签署的为准。</w:t>
      </w:r>
    </w:p>
    <w:p w14:paraId="7A25512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在合同订立及履行过程中形成的与合同有关的文件均构成合同文件组成部分，并根据其性质确定优先解释顺序。</w:t>
      </w:r>
    </w:p>
    <w:p w14:paraId="7B792E9C">
      <w:pPr>
        <w:pStyle w:val="7"/>
        <w:spacing w:before="0" w:beforeAutospacing="0" w:after="0" w:afterAutospacing="0" w:line="360" w:lineRule="auto"/>
        <w:ind w:firstLine="422" w:firstLineChars="200"/>
        <w:rPr>
          <w:color w:val="auto"/>
          <w:sz w:val="21"/>
          <w:szCs w:val="21"/>
          <w:highlight w:val="none"/>
        </w:rPr>
      </w:pPr>
      <w:bookmarkStart w:id="699" w:name="_Toc351203501"/>
      <w:bookmarkStart w:id="700" w:name="_Toc532377187"/>
      <w:r>
        <w:rPr>
          <w:rFonts w:hint="eastAsia"/>
          <w:color w:val="auto"/>
          <w:sz w:val="21"/>
          <w:szCs w:val="21"/>
          <w:highlight w:val="none"/>
        </w:rPr>
        <w:t>1</w:t>
      </w:r>
      <w:bookmarkStart w:id="701" w:name="_Toc296346533"/>
      <w:bookmarkStart w:id="702" w:name="_Toc296503032"/>
      <w:bookmarkStart w:id="703" w:name="_Toc337558732"/>
      <w:r>
        <w:rPr>
          <w:rFonts w:hint="eastAsia"/>
          <w:color w:val="auto"/>
          <w:sz w:val="21"/>
          <w:szCs w:val="21"/>
          <w:highlight w:val="none"/>
        </w:rPr>
        <w:t>.6图纸和承包人文件</w:t>
      </w:r>
      <w:bookmarkEnd w:id="699"/>
      <w:bookmarkEnd w:id="700"/>
    </w:p>
    <w:bookmarkEnd w:id="701"/>
    <w:bookmarkEnd w:id="702"/>
    <w:bookmarkEnd w:id="703"/>
    <w:p w14:paraId="3E5B5FC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 图纸的提供和交底</w:t>
      </w:r>
    </w:p>
    <w:p w14:paraId="44178C2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9B74EF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因发包人未按合同约定提供图纸导致承包人费用增加和（或）工期延误的，按照第7.5.1项〔因发包人原因导致工期延误〕约定办理。</w:t>
      </w:r>
    </w:p>
    <w:p w14:paraId="494587C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 图纸的错误</w:t>
      </w:r>
    </w:p>
    <w:p w14:paraId="64ABFE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445C8D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1.6.3 图纸的修改和补充</w:t>
      </w:r>
    </w:p>
    <w:p w14:paraId="4F382E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FBCF0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1.6.4 承包人文件</w:t>
      </w:r>
    </w:p>
    <w:p w14:paraId="76BC87A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承包人应按照专用合同条款的约定提供应当由其编制的与工程施工有关的文件，并按照专用合同条款约定的期限、数量和形式提交监理人，并由监理人报送发包人。</w:t>
      </w:r>
    </w:p>
    <w:p w14:paraId="3F2EF9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D80FF1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1.6.5 图纸和承包人文件的保管</w:t>
      </w:r>
    </w:p>
    <w:p w14:paraId="4A505A8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除专用合同条款另有约定外，承包人应在施工现场另外保存一套完整的图纸和承包人文件，供发包人、监理人及有关人员进行工程检查时使用。</w:t>
      </w:r>
    </w:p>
    <w:p w14:paraId="00960290">
      <w:pPr>
        <w:pStyle w:val="7"/>
        <w:spacing w:before="0" w:beforeAutospacing="0" w:after="0" w:afterAutospacing="0" w:line="360" w:lineRule="auto"/>
        <w:ind w:firstLine="422" w:firstLineChars="200"/>
        <w:rPr>
          <w:color w:val="auto"/>
          <w:sz w:val="21"/>
          <w:szCs w:val="21"/>
          <w:highlight w:val="none"/>
        </w:rPr>
      </w:pPr>
      <w:bookmarkStart w:id="704" w:name="_Toc351203502"/>
      <w:bookmarkStart w:id="705" w:name="_Toc532377188"/>
      <w:r>
        <w:rPr>
          <w:rFonts w:hint="eastAsia"/>
          <w:color w:val="auto"/>
          <w:sz w:val="21"/>
          <w:szCs w:val="21"/>
          <w:highlight w:val="none"/>
        </w:rPr>
        <w:t>1</w:t>
      </w:r>
      <w:bookmarkStart w:id="706" w:name="_Toc337558733"/>
      <w:bookmarkStart w:id="707" w:name="_Toc296503033"/>
      <w:bookmarkStart w:id="708" w:name="_Toc296346534"/>
      <w:r>
        <w:rPr>
          <w:rFonts w:hint="eastAsia"/>
          <w:color w:val="auto"/>
          <w:sz w:val="21"/>
          <w:szCs w:val="21"/>
          <w:highlight w:val="none"/>
        </w:rPr>
        <w:t>.7联络</w:t>
      </w:r>
      <w:bookmarkEnd w:id="704"/>
      <w:bookmarkEnd w:id="705"/>
    </w:p>
    <w:bookmarkEnd w:id="706"/>
    <w:bookmarkEnd w:id="707"/>
    <w:bookmarkEnd w:id="708"/>
    <w:p w14:paraId="12AC8CA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1.7.1 与合同有关的通知、批准、证明、证书、指示、指令、要求、请求、同意、意见、确定和决定等，均应采用书面形式，并应在合同约定的期限内送达接收人和送达地点。</w:t>
      </w:r>
    </w:p>
    <w:p w14:paraId="0D85FFE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1.7.2 发包人和承包人应在专用合同条款中约定各自的送达接收人和送达地点。任何一方合同当事人指定的接收人或送达地点发生变动的，应提前3天以书面形式通知对方。</w:t>
      </w:r>
    </w:p>
    <w:p w14:paraId="0F2FDC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 发包人和承包人应当及时签收另一方送达至送达地点和指定接收人的来往信函。拒不签收的，由此增加的费用和（或）延误的工期由拒绝接收一方承担。</w:t>
      </w:r>
    </w:p>
    <w:p w14:paraId="5F251A71">
      <w:pPr>
        <w:pStyle w:val="7"/>
        <w:spacing w:before="0" w:beforeAutospacing="0" w:after="0" w:afterAutospacing="0" w:line="360" w:lineRule="auto"/>
        <w:ind w:firstLine="422" w:firstLineChars="200"/>
        <w:rPr>
          <w:color w:val="auto"/>
          <w:sz w:val="21"/>
          <w:szCs w:val="21"/>
          <w:highlight w:val="none"/>
        </w:rPr>
      </w:pPr>
      <w:bookmarkStart w:id="709" w:name="_Toc532377189"/>
      <w:bookmarkStart w:id="710" w:name="_Toc351203503"/>
      <w:r>
        <w:rPr>
          <w:rFonts w:hint="eastAsia"/>
          <w:color w:val="auto"/>
          <w:sz w:val="21"/>
          <w:szCs w:val="21"/>
          <w:highlight w:val="none"/>
        </w:rPr>
        <w:t>1</w:t>
      </w:r>
      <w:bookmarkStart w:id="711" w:name="_Toc296346536"/>
      <w:bookmarkStart w:id="712" w:name="_Toc296503035"/>
      <w:bookmarkStart w:id="713" w:name="_Toc337558734"/>
      <w:r>
        <w:rPr>
          <w:rFonts w:hint="eastAsia"/>
          <w:color w:val="auto"/>
          <w:sz w:val="21"/>
          <w:szCs w:val="21"/>
          <w:highlight w:val="none"/>
        </w:rPr>
        <w:t>.8严禁贿赂</w:t>
      </w:r>
      <w:bookmarkEnd w:id="709"/>
      <w:bookmarkEnd w:id="710"/>
    </w:p>
    <w:bookmarkEnd w:id="711"/>
    <w:bookmarkEnd w:id="712"/>
    <w:bookmarkEnd w:id="713"/>
    <w:p w14:paraId="55F977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合同当事人不得以贿赂或变相贿赂的方式，谋取非法利益或损害对方权益。因一方合同当事人的贿赂造成对方损失的，应赔偿损失，并承担相应的法律责任。</w:t>
      </w:r>
    </w:p>
    <w:p w14:paraId="0C007F3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3E10D3DC">
      <w:pPr>
        <w:pStyle w:val="7"/>
        <w:spacing w:before="0" w:beforeAutospacing="0" w:after="0" w:afterAutospacing="0" w:line="360" w:lineRule="auto"/>
        <w:ind w:firstLine="422" w:firstLineChars="200"/>
        <w:rPr>
          <w:color w:val="auto"/>
          <w:sz w:val="21"/>
          <w:szCs w:val="21"/>
          <w:highlight w:val="none"/>
        </w:rPr>
      </w:pPr>
      <w:bookmarkStart w:id="714" w:name="_Toc532377190"/>
      <w:bookmarkStart w:id="715" w:name="_Toc351203504"/>
      <w:r>
        <w:rPr>
          <w:rFonts w:hint="eastAsia"/>
          <w:color w:val="auto"/>
          <w:sz w:val="21"/>
          <w:szCs w:val="21"/>
          <w:highlight w:val="none"/>
        </w:rPr>
        <w:t>1</w:t>
      </w:r>
      <w:bookmarkStart w:id="716" w:name="_Toc296503036"/>
      <w:bookmarkStart w:id="717" w:name="_Toc337558735"/>
      <w:bookmarkStart w:id="718" w:name="_Toc296346537"/>
      <w:r>
        <w:rPr>
          <w:rFonts w:hint="eastAsia"/>
          <w:color w:val="auto"/>
          <w:sz w:val="21"/>
          <w:szCs w:val="21"/>
          <w:highlight w:val="none"/>
        </w:rPr>
        <w:t>.9化石、文物</w:t>
      </w:r>
      <w:bookmarkEnd w:id="714"/>
      <w:bookmarkEnd w:id="715"/>
    </w:p>
    <w:bookmarkEnd w:id="716"/>
    <w:bookmarkEnd w:id="717"/>
    <w:bookmarkEnd w:id="718"/>
    <w:p w14:paraId="2EF440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CFCF23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发包人、监理人和承包人应按有关政府行政管理部门要求采取妥善的保护措施，由此增加的费用和（或）延误的工期由发包人承担。</w:t>
      </w:r>
    </w:p>
    <w:p w14:paraId="6C1095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承包人发现文物后不及时报告或隐瞒不报，致使文物丢失或损坏的，应赔偿损失，并承担相应的法律责任。</w:t>
      </w:r>
    </w:p>
    <w:p w14:paraId="33C4966F">
      <w:pPr>
        <w:pStyle w:val="7"/>
        <w:spacing w:before="0" w:beforeAutospacing="0" w:after="0" w:afterAutospacing="0" w:line="360" w:lineRule="auto"/>
        <w:ind w:firstLine="422" w:firstLineChars="200"/>
        <w:rPr>
          <w:color w:val="auto"/>
          <w:sz w:val="21"/>
          <w:szCs w:val="21"/>
          <w:highlight w:val="none"/>
        </w:rPr>
      </w:pPr>
      <w:bookmarkStart w:id="719" w:name="_Toc532377191"/>
      <w:bookmarkStart w:id="720" w:name="_Toc351203505"/>
      <w:r>
        <w:rPr>
          <w:rFonts w:hint="eastAsia"/>
          <w:color w:val="auto"/>
          <w:sz w:val="21"/>
          <w:szCs w:val="21"/>
          <w:highlight w:val="none"/>
        </w:rPr>
        <w:t>1</w:t>
      </w:r>
      <w:bookmarkStart w:id="721" w:name="_Toc337558736"/>
      <w:r>
        <w:rPr>
          <w:rFonts w:hint="eastAsia"/>
          <w:color w:val="auto"/>
          <w:sz w:val="21"/>
          <w:szCs w:val="21"/>
          <w:highlight w:val="none"/>
        </w:rPr>
        <w:t>.10交通运输</w:t>
      </w:r>
      <w:bookmarkEnd w:id="719"/>
      <w:bookmarkEnd w:id="720"/>
    </w:p>
    <w:bookmarkEnd w:id="721"/>
    <w:p w14:paraId="70F30D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1.10.1 出入现场的权利</w:t>
      </w:r>
    </w:p>
    <w:p w14:paraId="0F4EA2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42EA48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DF35E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1.10.2 场外交通</w:t>
      </w:r>
    </w:p>
    <w:p w14:paraId="7726627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25E8923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1.10.3场内交通</w:t>
      </w:r>
    </w:p>
    <w:p w14:paraId="4EAEF91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6D943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17D78A4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场外交通和场内交通的边界由合同当事人在专用合同条款中约定。</w:t>
      </w:r>
    </w:p>
    <w:p w14:paraId="5D40DB9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1.10.4 超大件和超重件的运输</w:t>
      </w:r>
    </w:p>
    <w:p w14:paraId="39230CE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C06945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1.10.5 道路和桥梁的损坏责任</w:t>
      </w:r>
    </w:p>
    <w:p w14:paraId="5AF6798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因承包人运输造成施工场地内外公共道路和桥梁损坏的，由承包人承担修复损坏的全部费用和可能引起的赔偿。</w:t>
      </w:r>
    </w:p>
    <w:p w14:paraId="1EC21D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1.10.6 水路和航空运输</w:t>
      </w:r>
    </w:p>
    <w:p w14:paraId="1BE4B85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6B8B4BDE">
      <w:pPr>
        <w:pStyle w:val="7"/>
        <w:spacing w:before="0" w:beforeAutospacing="0" w:after="0" w:afterAutospacing="0" w:line="360" w:lineRule="auto"/>
        <w:ind w:firstLine="422" w:firstLineChars="200"/>
        <w:rPr>
          <w:color w:val="auto"/>
          <w:sz w:val="21"/>
          <w:szCs w:val="21"/>
          <w:highlight w:val="none"/>
        </w:rPr>
      </w:pPr>
      <w:bookmarkStart w:id="722" w:name="_Toc532377192"/>
      <w:bookmarkStart w:id="723" w:name="_Toc351203506"/>
      <w:r>
        <w:rPr>
          <w:rFonts w:hint="eastAsia"/>
          <w:color w:val="auto"/>
          <w:sz w:val="21"/>
          <w:szCs w:val="21"/>
          <w:highlight w:val="none"/>
        </w:rPr>
        <w:t>1</w:t>
      </w:r>
      <w:bookmarkStart w:id="724" w:name="_Toc337558737"/>
      <w:bookmarkStart w:id="725" w:name="_Toc296503037"/>
      <w:bookmarkStart w:id="726" w:name="_Toc296346538"/>
      <w:r>
        <w:rPr>
          <w:rFonts w:hint="eastAsia"/>
          <w:color w:val="auto"/>
          <w:sz w:val="21"/>
          <w:szCs w:val="21"/>
          <w:highlight w:val="none"/>
        </w:rPr>
        <w:t>.11知识产权</w:t>
      </w:r>
      <w:bookmarkEnd w:id="722"/>
      <w:bookmarkEnd w:id="723"/>
      <w:bookmarkEnd w:id="724"/>
    </w:p>
    <w:bookmarkEnd w:id="725"/>
    <w:bookmarkEnd w:id="726"/>
    <w:p w14:paraId="619BC2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657A6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AF7F3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17EE98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1.11.4 除专用合同条款另有约定外，承包人在合同签订前和签订时已确定采用的专利、专有技术、技术秘密的使用费已包含在签约合同价中。</w:t>
      </w:r>
    </w:p>
    <w:p w14:paraId="42341314">
      <w:pPr>
        <w:pStyle w:val="7"/>
        <w:spacing w:before="0" w:beforeAutospacing="0" w:after="0" w:afterAutospacing="0" w:line="360" w:lineRule="auto"/>
        <w:ind w:firstLine="422" w:firstLineChars="200"/>
        <w:rPr>
          <w:color w:val="auto"/>
          <w:sz w:val="21"/>
          <w:szCs w:val="21"/>
          <w:highlight w:val="none"/>
        </w:rPr>
      </w:pPr>
      <w:bookmarkStart w:id="727" w:name="_Toc532377193"/>
      <w:bookmarkStart w:id="728" w:name="_Toc351203507"/>
      <w:r>
        <w:rPr>
          <w:rFonts w:hint="eastAsia"/>
          <w:color w:val="auto"/>
          <w:sz w:val="21"/>
          <w:szCs w:val="21"/>
          <w:highlight w:val="none"/>
        </w:rPr>
        <w:t>1</w:t>
      </w:r>
      <w:bookmarkStart w:id="729" w:name="_Toc337558738"/>
      <w:r>
        <w:rPr>
          <w:rFonts w:hint="eastAsia"/>
          <w:color w:val="auto"/>
          <w:sz w:val="21"/>
          <w:szCs w:val="21"/>
          <w:highlight w:val="none"/>
        </w:rPr>
        <w:t>.12保密</w:t>
      </w:r>
      <w:bookmarkEnd w:id="727"/>
      <w:bookmarkEnd w:id="728"/>
    </w:p>
    <w:bookmarkEnd w:id="729"/>
    <w:p w14:paraId="622FEE6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除法律规定或合同另有约定外，未经发包人同意，承包人不得将发包人提供的图纸、文件以及声明需要保密的资料信息等商业秘密泄露给第三方。</w:t>
      </w:r>
    </w:p>
    <w:p w14:paraId="791454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除法律规定或合同另有约定外，未经承包人同意，发包人不得将承包人提供的技术秘密及声明需要保密的资料信息等商业秘密泄露给第三方。</w:t>
      </w:r>
    </w:p>
    <w:p w14:paraId="04FC947C">
      <w:pPr>
        <w:pStyle w:val="7"/>
        <w:spacing w:before="0" w:beforeAutospacing="0" w:after="0" w:afterAutospacing="0" w:line="360" w:lineRule="auto"/>
        <w:ind w:firstLine="422" w:firstLineChars="200"/>
        <w:rPr>
          <w:color w:val="auto"/>
          <w:sz w:val="21"/>
          <w:szCs w:val="21"/>
          <w:highlight w:val="none"/>
        </w:rPr>
      </w:pPr>
      <w:bookmarkStart w:id="730" w:name="_Toc351203508"/>
      <w:bookmarkStart w:id="731" w:name="_Toc532377194"/>
      <w:r>
        <w:rPr>
          <w:rFonts w:hint="eastAsia"/>
          <w:color w:val="auto"/>
          <w:sz w:val="21"/>
          <w:szCs w:val="21"/>
          <w:highlight w:val="none"/>
        </w:rPr>
        <w:t>1.13工程量清单错误的修正</w:t>
      </w:r>
      <w:bookmarkEnd w:id="730"/>
      <w:bookmarkEnd w:id="731"/>
    </w:p>
    <w:p w14:paraId="2826BE3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除专用合同条款另有约定外，发包人提供的工程量清单，应被认为是准确的和完整的。出现下列情形之一时，发包人应予以修正，并相应调整合同价格：</w:t>
      </w:r>
    </w:p>
    <w:p w14:paraId="3BD9FF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（1）工程量清单存在缺项、漏项的；</w:t>
      </w:r>
    </w:p>
    <w:p w14:paraId="425C9DB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（2）工程量清单偏差超出专用合同条款约定的工程量偏差范围的；</w:t>
      </w:r>
    </w:p>
    <w:p w14:paraId="2C3292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（3）未按照国家现行计量规范强制性规定计量的。</w:t>
      </w:r>
    </w:p>
    <w:p w14:paraId="1BAC1886">
      <w:pPr>
        <w:pStyle w:val="6"/>
        <w:keepNext/>
        <w:keepLines/>
        <w:spacing w:before="156" w:beforeLines="50" w:beforeAutospacing="0" w:after="156" w:afterLines="50" w:afterAutospacing="0" w:line="360" w:lineRule="auto"/>
        <w:jc w:val="both"/>
        <w:rPr>
          <w:color w:val="auto"/>
          <w:kern w:val="2"/>
          <w:sz w:val="21"/>
          <w:szCs w:val="21"/>
          <w:highlight w:val="none"/>
        </w:rPr>
      </w:pPr>
      <w:bookmarkStart w:id="732" w:name="_Toc532377195"/>
      <w:bookmarkStart w:id="733" w:name="_Toc532375588"/>
      <w:bookmarkStart w:id="734" w:name="_Toc351203509"/>
      <w:r>
        <w:rPr>
          <w:rFonts w:hint="eastAsia"/>
          <w:color w:val="auto"/>
          <w:kern w:val="2"/>
          <w:sz w:val="21"/>
          <w:szCs w:val="21"/>
          <w:highlight w:val="none"/>
        </w:rPr>
        <w:t>2</w:t>
      </w:r>
      <w:bookmarkStart w:id="735" w:name="_Toc296346539"/>
      <w:bookmarkStart w:id="736" w:name="_Toc296503038"/>
      <w:bookmarkStart w:id="737" w:name="_Toc337558739"/>
      <w:bookmarkStart w:id="738" w:name="OLE_LINK2"/>
      <w:r>
        <w:rPr>
          <w:rFonts w:hint="eastAsia"/>
          <w:color w:val="auto"/>
          <w:kern w:val="2"/>
          <w:sz w:val="21"/>
          <w:szCs w:val="21"/>
          <w:highlight w:val="none"/>
        </w:rPr>
        <w:t>. 发包人</w:t>
      </w:r>
      <w:bookmarkEnd w:id="732"/>
      <w:bookmarkEnd w:id="733"/>
      <w:bookmarkEnd w:id="734"/>
    </w:p>
    <w:bookmarkEnd w:id="735"/>
    <w:bookmarkEnd w:id="736"/>
    <w:bookmarkEnd w:id="737"/>
    <w:p w14:paraId="1CD3A923">
      <w:pPr>
        <w:pStyle w:val="7"/>
        <w:spacing w:before="0" w:beforeAutospacing="0" w:after="0" w:afterAutospacing="0" w:line="360" w:lineRule="auto"/>
        <w:ind w:firstLine="422" w:firstLineChars="200"/>
        <w:rPr>
          <w:color w:val="auto"/>
          <w:sz w:val="21"/>
          <w:szCs w:val="21"/>
          <w:highlight w:val="none"/>
        </w:rPr>
      </w:pPr>
      <w:bookmarkStart w:id="739" w:name="_Toc351203510"/>
      <w:bookmarkStart w:id="740" w:name="_Toc532377196"/>
      <w:r>
        <w:rPr>
          <w:rFonts w:hint="eastAsia"/>
          <w:color w:val="auto"/>
          <w:sz w:val="21"/>
          <w:szCs w:val="21"/>
          <w:highlight w:val="none"/>
        </w:rPr>
        <w:t>2</w:t>
      </w:r>
      <w:bookmarkStart w:id="741" w:name="_Toc296503039"/>
      <w:bookmarkStart w:id="742" w:name="_Toc296346540"/>
      <w:bookmarkStart w:id="743" w:name="_Toc337558740"/>
      <w:r>
        <w:rPr>
          <w:rFonts w:hint="eastAsia"/>
          <w:color w:val="auto"/>
          <w:sz w:val="21"/>
          <w:szCs w:val="21"/>
          <w:highlight w:val="none"/>
        </w:rPr>
        <w:t>.1 许可或批准</w:t>
      </w:r>
      <w:bookmarkEnd w:id="739"/>
      <w:bookmarkEnd w:id="740"/>
    </w:p>
    <w:p w14:paraId="4F92C7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497375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因发包人原因未能及时办理完毕前述许可、批准或备案，由发包人承担由此增加的费用和（或）延误的工期，并支付承包人合理的利润。</w:t>
      </w:r>
    </w:p>
    <w:p w14:paraId="4547042A">
      <w:pPr>
        <w:pStyle w:val="7"/>
        <w:spacing w:before="0" w:beforeAutospacing="0" w:after="0" w:afterAutospacing="0" w:line="360" w:lineRule="auto"/>
        <w:ind w:firstLine="422" w:firstLineChars="200"/>
        <w:rPr>
          <w:color w:val="auto"/>
          <w:sz w:val="21"/>
          <w:szCs w:val="21"/>
          <w:highlight w:val="none"/>
        </w:rPr>
      </w:pPr>
      <w:bookmarkStart w:id="744" w:name="_Toc351203511"/>
      <w:bookmarkStart w:id="745" w:name="_Toc532377197"/>
      <w:r>
        <w:rPr>
          <w:rFonts w:hint="eastAsia"/>
          <w:color w:val="auto"/>
          <w:sz w:val="21"/>
          <w:szCs w:val="21"/>
          <w:highlight w:val="none"/>
        </w:rPr>
        <w:t>2.2 发包人代表</w:t>
      </w:r>
      <w:bookmarkEnd w:id="744"/>
      <w:bookmarkEnd w:id="745"/>
    </w:p>
    <w:p w14:paraId="130CE17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EF8E8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发包人代表不能按照合同约定履行其职责及义务，并导致合同无法继续正常履行的，承包人可以要求发包人撤换发包人代表。</w:t>
      </w:r>
    </w:p>
    <w:p w14:paraId="7A88A9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不属于法定必须监理的工程，监理人的职权可以由发包人代表或发包人指定的其他人员行使。</w:t>
      </w:r>
    </w:p>
    <w:p w14:paraId="2B5584FE">
      <w:pPr>
        <w:pStyle w:val="7"/>
        <w:spacing w:before="0" w:beforeAutospacing="0" w:after="0" w:afterAutospacing="0" w:line="360" w:lineRule="auto"/>
        <w:ind w:firstLine="422" w:firstLineChars="200"/>
        <w:rPr>
          <w:color w:val="auto"/>
          <w:sz w:val="21"/>
          <w:szCs w:val="21"/>
          <w:highlight w:val="none"/>
        </w:rPr>
      </w:pPr>
      <w:bookmarkStart w:id="746" w:name="_Toc532377198"/>
      <w:bookmarkStart w:id="747" w:name="_Toc351203512"/>
      <w:r>
        <w:rPr>
          <w:rFonts w:hint="eastAsia"/>
          <w:color w:val="auto"/>
          <w:sz w:val="21"/>
          <w:szCs w:val="21"/>
          <w:highlight w:val="none"/>
        </w:rPr>
        <w:t>2.3 发包人人员</w:t>
      </w:r>
      <w:bookmarkEnd w:id="746"/>
      <w:bookmarkEnd w:id="747"/>
    </w:p>
    <w:p w14:paraId="5A3969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2160517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发包人人员包括发包人代表及其他由发包人派驻施工现场的人员。</w:t>
      </w:r>
      <w:bookmarkEnd w:id="741"/>
      <w:bookmarkEnd w:id="742"/>
      <w:bookmarkEnd w:id="743"/>
    </w:p>
    <w:p w14:paraId="51357746">
      <w:pPr>
        <w:pStyle w:val="7"/>
        <w:spacing w:before="0" w:beforeAutospacing="0" w:after="0" w:afterAutospacing="0" w:line="360" w:lineRule="auto"/>
        <w:ind w:firstLine="422" w:firstLineChars="200"/>
        <w:rPr>
          <w:color w:val="auto"/>
          <w:sz w:val="21"/>
          <w:szCs w:val="21"/>
          <w:highlight w:val="none"/>
        </w:rPr>
      </w:pPr>
      <w:bookmarkStart w:id="748" w:name="_Toc532377199"/>
      <w:bookmarkStart w:id="749" w:name="_Toc351203513"/>
      <w:r>
        <w:rPr>
          <w:rFonts w:hint="eastAsia"/>
          <w:color w:val="auto"/>
          <w:sz w:val="21"/>
          <w:szCs w:val="21"/>
          <w:highlight w:val="none"/>
        </w:rPr>
        <w:t>2</w:t>
      </w:r>
      <w:bookmarkStart w:id="750" w:name="_Toc296346541"/>
      <w:bookmarkStart w:id="751" w:name="_Toc296503040"/>
      <w:bookmarkStart w:id="752" w:name="_Toc337558741"/>
      <w:r>
        <w:rPr>
          <w:rFonts w:hint="eastAsia"/>
          <w:color w:val="auto"/>
          <w:sz w:val="21"/>
          <w:szCs w:val="21"/>
          <w:highlight w:val="none"/>
        </w:rPr>
        <w:t>.4 施工现场、施工条件和基础资料的提供</w:t>
      </w:r>
      <w:bookmarkEnd w:id="748"/>
      <w:bookmarkEnd w:id="749"/>
      <w:bookmarkEnd w:id="750"/>
      <w:bookmarkEnd w:id="751"/>
      <w:bookmarkEnd w:id="752"/>
    </w:p>
    <w:p w14:paraId="7C76AC8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2.4.1 提供施工现场</w:t>
      </w:r>
    </w:p>
    <w:p w14:paraId="2720904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w:t>
      </w:r>
      <w:bookmarkEnd w:id="738"/>
      <w:r>
        <w:rPr>
          <w:rFonts w:hint="eastAsia" w:ascii="宋体" w:hAnsi="宋体"/>
          <w:color w:val="auto"/>
          <w:kern w:val="0"/>
          <w:szCs w:val="21"/>
          <w:highlight w:val="none"/>
        </w:rPr>
        <w:t>专用合同条款另有约定外，发包人应最迟于开工日期7天前向承包人移交施工现场。</w:t>
      </w:r>
    </w:p>
    <w:p w14:paraId="59564A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2.4.2 提供施工条件</w:t>
      </w:r>
    </w:p>
    <w:p w14:paraId="76140A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除专用合同条款另有约定外，发包人应负责提供施工所需要的条件，包括：</w:t>
      </w:r>
    </w:p>
    <w:p w14:paraId="0DE6F63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（1）将施工用水、电力、通讯线路等施工所必需的条件接至施工现场内；</w:t>
      </w:r>
    </w:p>
    <w:p w14:paraId="39BBBB9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（2）保证向承包人提供正常施工所需要的进入施工现场的交通条件；</w:t>
      </w:r>
    </w:p>
    <w:p w14:paraId="299AC92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（3）协调处理施工现场周围地下管线和邻近建筑物、构筑物、古树名木的保护工作，并承担相关费用；</w:t>
      </w:r>
    </w:p>
    <w:p w14:paraId="6CC7C8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（4）按照专用合同条款约定应提供的其他设施和条件。</w:t>
      </w:r>
    </w:p>
    <w:p w14:paraId="0CBC2C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2.4.3 提供基础资料</w:t>
      </w:r>
    </w:p>
    <w:p w14:paraId="37B79B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43992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按照法律规定确需在开工后方能提供的基础资料，发包人应尽其努力及时地在相应工程施工前的合理期限内提供，合理期限应以不影响承包人的正常施工为限。</w:t>
      </w:r>
    </w:p>
    <w:p w14:paraId="380CCDD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2.4.4 逾期提供的责任</w:t>
      </w:r>
    </w:p>
    <w:p w14:paraId="40CD633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因发包人原因未能按合同约定及时向承包人提供施工现场、施工条件、基础资料的，由发包人承担由此增加的费用和（或）延误的工期。</w:t>
      </w:r>
    </w:p>
    <w:p w14:paraId="52451A26">
      <w:pPr>
        <w:pStyle w:val="7"/>
        <w:spacing w:before="0" w:beforeAutospacing="0" w:after="0" w:afterAutospacing="0" w:line="360" w:lineRule="auto"/>
        <w:ind w:firstLine="422" w:firstLineChars="200"/>
        <w:rPr>
          <w:color w:val="auto"/>
          <w:sz w:val="21"/>
          <w:szCs w:val="21"/>
          <w:highlight w:val="none"/>
        </w:rPr>
      </w:pPr>
      <w:bookmarkStart w:id="753" w:name="_Toc351203514"/>
      <w:bookmarkStart w:id="754" w:name="_Toc532377200"/>
      <w:r>
        <w:rPr>
          <w:rFonts w:hint="eastAsia"/>
          <w:color w:val="auto"/>
          <w:sz w:val="21"/>
          <w:szCs w:val="21"/>
          <w:highlight w:val="none"/>
        </w:rPr>
        <w:t>2</w:t>
      </w:r>
      <w:bookmarkStart w:id="755" w:name="_Toc337558745"/>
      <w:bookmarkStart w:id="756" w:name="_Toc296503042"/>
      <w:bookmarkStart w:id="757" w:name="_Toc296346543"/>
      <w:r>
        <w:rPr>
          <w:rFonts w:hint="eastAsia"/>
          <w:color w:val="auto"/>
          <w:sz w:val="21"/>
          <w:szCs w:val="21"/>
          <w:highlight w:val="none"/>
        </w:rPr>
        <w:t>.5 资</w:t>
      </w:r>
      <w:bookmarkEnd w:id="755"/>
      <w:bookmarkEnd w:id="756"/>
      <w:bookmarkEnd w:id="757"/>
      <w:r>
        <w:rPr>
          <w:rFonts w:hint="eastAsia"/>
          <w:color w:val="auto"/>
          <w:sz w:val="21"/>
          <w:szCs w:val="21"/>
          <w:highlight w:val="none"/>
        </w:rPr>
        <w:t>金来源证明及支付担保</w:t>
      </w:r>
      <w:bookmarkEnd w:id="753"/>
      <w:bookmarkEnd w:id="754"/>
    </w:p>
    <w:p w14:paraId="2D3C1C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除专用合同条款另有约定外，发包人应在收到承包人要求提供资金来源证明的书面通知后28天内，向承包人提供能够按照合同约定支付合同价款的相应资金来源证明。</w:t>
      </w:r>
    </w:p>
    <w:p w14:paraId="2606F0A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8DBA4DC">
      <w:pPr>
        <w:pStyle w:val="7"/>
        <w:spacing w:before="0" w:beforeAutospacing="0" w:after="0" w:afterAutospacing="0" w:line="360" w:lineRule="auto"/>
        <w:ind w:firstLine="422" w:firstLineChars="200"/>
        <w:rPr>
          <w:color w:val="auto"/>
          <w:sz w:val="21"/>
          <w:szCs w:val="21"/>
          <w:highlight w:val="none"/>
        </w:rPr>
      </w:pPr>
      <w:bookmarkStart w:id="758" w:name="_Toc351203515"/>
      <w:bookmarkStart w:id="759" w:name="_Toc532377201"/>
      <w:r>
        <w:rPr>
          <w:rFonts w:hint="eastAsia"/>
          <w:color w:val="auto"/>
          <w:sz w:val="21"/>
          <w:szCs w:val="21"/>
          <w:highlight w:val="none"/>
        </w:rPr>
        <w:t>2.6 支付合同价款</w:t>
      </w:r>
      <w:bookmarkEnd w:id="758"/>
      <w:bookmarkEnd w:id="759"/>
    </w:p>
    <w:p w14:paraId="766A92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发包人应按合同约定向承包人及时支付合同价款。</w:t>
      </w:r>
    </w:p>
    <w:p w14:paraId="713EAA0C">
      <w:pPr>
        <w:pStyle w:val="7"/>
        <w:spacing w:before="0" w:beforeAutospacing="0" w:after="0" w:afterAutospacing="0" w:line="360" w:lineRule="auto"/>
        <w:ind w:firstLine="422" w:firstLineChars="200"/>
        <w:rPr>
          <w:color w:val="auto"/>
          <w:sz w:val="21"/>
          <w:szCs w:val="21"/>
          <w:highlight w:val="none"/>
        </w:rPr>
      </w:pPr>
      <w:bookmarkStart w:id="760" w:name="_Toc351203516"/>
      <w:bookmarkStart w:id="761" w:name="_Toc532377202"/>
      <w:r>
        <w:rPr>
          <w:rFonts w:hint="eastAsia"/>
          <w:color w:val="auto"/>
          <w:sz w:val="21"/>
          <w:szCs w:val="21"/>
          <w:highlight w:val="none"/>
        </w:rPr>
        <w:t>2.7 组织竣工验收</w:t>
      </w:r>
      <w:bookmarkEnd w:id="760"/>
      <w:bookmarkEnd w:id="761"/>
    </w:p>
    <w:p w14:paraId="7427E57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发包人应按合同约定及时组织竣工验收。</w:t>
      </w:r>
    </w:p>
    <w:p w14:paraId="2A39C993">
      <w:pPr>
        <w:pStyle w:val="7"/>
        <w:spacing w:before="0" w:beforeAutospacing="0" w:after="0" w:afterAutospacing="0" w:line="360" w:lineRule="auto"/>
        <w:ind w:firstLine="422" w:firstLineChars="200"/>
        <w:rPr>
          <w:color w:val="auto"/>
          <w:sz w:val="21"/>
          <w:szCs w:val="21"/>
          <w:highlight w:val="none"/>
        </w:rPr>
      </w:pPr>
      <w:bookmarkStart w:id="762" w:name="_Toc532377203"/>
      <w:bookmarkStart w:id="763" w:name="_Toc351203517"/>
      <w:r>
        <w:rPr>
          <w:rFonts w:hint="eastAsia"/>
          <w:color w:val="auto"/>
          <w:sz w:val="21"/>
          <w:szCs w:val="21"/>
          <w:highlight w:val="none"/>
        </w:rPr>
        <w:t>2.8 现场统一管理协议</w:t>
      </w:r>
      <w:bookmarkEnd w:id="762"/>
      <w:bookmarkEnd w:id="763"/>
    </w:p>
    <w:p w14:paraId="7FEFA2A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发包人应与承包人、由发包人直接发包的专业工程的承包人签订施工现场统一管理协议，明确各方的权利义务。施工现场统一管理协议作为专用合同条款的附件。</w:t>
      </w:r>
    </w:p>
    <w:p w14:paraId="4F68313A">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764" w:name="_Toc532375589"/>
      <w:bookmarkStart w:id="765" w:name="_Toc351203518"/>
      <w:bookmarkStart w:id="766" w:name="_Toc532377204"/>
      <w:r>
        <w:rPr>
          <w:rFonts w:hint="eastAsia"/>
          <w:color w:val="auto"/>
          <w:kern w:val="2"/>
          <w:sz w:val="21"/>
          <w:szCs w:val="21"/>
          <w:highlight w:val="none"/>
        </w:rPr>
        <w:t>3</w:t>
      </w:r>
      <w:bookmarkStart w:id="767" w:name="_Toc337558746"/>
      <w:bookmarkStart w:id="768" w:name="_Toc296346546"/>
      <w:bookmarkStart w:id="769" w:name="_Toc296503045"/>
      <w:r>
        <w:rPr>
          <w:rFonts w:hint="eastAsia"/>
          <w:color w:val="auto"/>
          <w:kern w:val="2"/>
          <w:sz w:val="21"/>
          <w:szCs w:val="21"/>
          <w:highlight w:val="none"/>
        </w:rPr>
        <w:t>. 承包人</w:t>
      </w:r>
      <w:bookmarkEnd w:id="764"/>
      <w:bookmarkEnd w:id="765"/>
      <w:bookmarkEnd w:id="766"/>
    </w:p>
    <w:bookmarkEnd w:id="767"/>
    <w:bookmarkEnd w:id="768"/>
    <w:bookmarkEnd w:id="769"/>
    <w:p w14:paraId="144FC188">
      <w:pPr>
        <w:pStyle w:val="7"/>
        <w:spacing w:before="0" w:beforeAutospacing="0" w:after="0" w:afterAutospacing="0" w:line="360" w:lineRule="auto"/>
        <w:ind w:firstLine="422" w:firstLineChars="200"/>
        <w:rPr>
          <w:color w:val="auto"/>
          <w:sz w:val="21"/>
          <w:szCs w:val="21"/>
          <w:highlight w:val="none"/>
        </w:rPr>
      </w:pPr>
      <w:bookmarkStart w:id="770" w:name="_Toc532377205"/>
      <w:bookmarkStart w:id="771" w:name="_Toc351203519"/>
      <w:r>
        <w:rPr>
          <w:rFonts w:hint="eastAsia"/>
          <w:color w:val="auto"/>
          <w:sz w:val="21"/>
          <w:szCs w:val="21"/>
          <w:highlight w:val="none"/>
        </w:rPr>
        <w:t>3</w:t>
      </w:r>
      <w:bookmarkStart w:id="772" w:name="_Toc296503046"/>
      <w:bookmarkStart w:id="773" w:name="_Toc296346547"/>
      <w:bookmarkStart w:id="774" w:name="_Toc337558747"/>
      <w:r>
        <w:rPr>
          <w:rFonts w:hint="eastAsia"/>
          <w:color w:val="auto"/>
          <w:sz w:val="21"/>
          <w:szCs w:val="21"/>
          <w:highlight w:val="none"/>
        </w:rPr>
        <w:t>.1 承包人的一般义务</w:t>
      </w:r>
      <w:bookmarkEnd w:id="770"/>
      <w:bookmarkEnd w:id="771"/>
    </w:p>
    <w:bookmarkEnd w:id="772"/>
    <w:bookmarkEnd w:id="773"/>
    <w:bookmarkEnd w:id="774"/>
    <w:p w14:paraId="56B4115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承包人在履行合同过程中应遵守法律和工程建设标准规范，并履行以下义务：</w:t>
      </w:r>
    </w:p>
    <w:p w14:paraId="5E84A05D">
      <w:pPr>
        <w:numPr>
          <w:ilvl w:val="0"/>
          <w:numId w:val="3"/>
        </w:num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办理法律规定应由承包人办理的许可和批准，并将办理结果书面报送发包人留存；</w:t>
      </w:r>
    </w:p>
    <w:p w14:paraId="1781D9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（2）按法律规定和合同约定完成工程，并在保修期内承担保修义务；</w:t>
      </w:r>
    </w:p>
    <w:p w14:paraId="3BB20FE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（3）按法律规定和合同约定采取施工安全和环境保护措施，办理工伤保险，确保工程及人员、材料、设备和设施的安全；</w:t>
      </w:r>
    </w:p>
    <w:p w14:paraId="69D13C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（4）按合同约定的工作内容和施工进度要求，编制施工组织设计和施工措施计划，并对所有施工作业和施工方法的完备性和安全可靠性负责；</w:t>
      </w:r>
    </w:p>
    <w:p w14:paraId="14D52DC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578816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（6）按照第6.3款〔环境保护〕约定负责施工场地及其周边环境与生态的保护工作；</w:t>
      </w:r>
    </w:p>
    <w:p w14:paraId="639B549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（7）按第6.1款〔安全文明施工〕约定采取施工安全措施，确保工程及其人员、材料、设备和设施的安全，防止因工程施工造成的人身伤害和财产损失；</w:t>
      </w:r>
    </w:p>
    <w:p w14:paraId="36DB24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（8）将发包人按合同约定支付的各项价款专用于合同工程，且应及时支付其雇用人员工资，并及时向分包人支付合同价款；</w:t>
      </w:r>
    </w:p>
    <w:p w14:paraId="18CE1C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（9）按照法律规定和合同约定编制竣工资料，完成竣工资料立卷及归档，并按专用合同条款约定的竣工资料的套数、内容、时间等要求移交发包人；</w:t>
      </w:r>
    </w:p>
    <w:p w14:paraId="7420B4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（10）应履行的其他义务。</w:t>
      </w:r>
    </w:p>
    <w:p w14:paraId="16FC1C9E">
      <w:pPr>
        <w:pStyle w:val="7"/>
        <w:spacing w:before="0" w:beforeAutospacing="0" w:after="0" w:afterAutospacing="0" w:line="360" w:lineRule="auto"/>
        <w:ind w:firstLine="422" w:firstLineChars="200"/>
        <w:rPr>
          <w:color w:val="auto"/>
          <w:sz w:val="21"/>
          <w:szCs w:val="21"/>
          <w:highlight w:val="none"/>
        </w:rPr>
      </w:pPr>
      <w:bookmarkStart w:id="775" w:name="_Toc351203520"/>
      <w:bookmarkStart w:id="776" w:name="_Toc532377206"/>
      <w:r>
        <w:rPr>
          <w:rFonts w:hint="eastAsia"/>
          <w:color w:val="auto"/>
          <w:sz w:val="21"/>
          <w:szCs w:val="21"/>
          <w:highlight w:val="none"/>
        </w:rPr>
        <w:t>3</w:t>
      </w:r>
      <w:bookmarkStart w:id="777" w:name="_Toc337558748"/>
      <w:bookmarkStart w:id="778" w:name="_Toc296503047"/>
      <w:bookmarkStart w:id="779" w:name="_Toc296346548"/>
      <w:r>
        <w:rPr>
          <w:rFonts w:hint="eastAsia"/>
          <w:color w:val="auto"/>
          <w:sz w:val="21"/>
          <w:szCs w:val="21"/>
          <w:highlight w:val="none"/>
        </w:rPr>
        <w:t xml:space="preserve">.2 </w:t>
      </w:r>
      <w:bookmarkEnd w:id="775"/>
      <w:r>
        <w:rPr>
          <w:rFonts w:hint="eastAsia"/>
          <w:color w:val="auto"/>
          <w:sz w:val="21"/>
          <w:szCs w:val="21"/>
          <w:highlight w:val="none"/>
        </w:rPr>
        <w:t>项目经理</w:t>
      </w:r>
      <w:bookmarkEnd w:id="776"/>
    </w:p>
    <w:bookmarkEnd w:id="777"/>
    <w:bookmarkEnd w:id="778"/>
    <w:bookmarkEnd w:id="779"/>
    <w:p w14:paraId="02192C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24168A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D02D6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承包人违反上述约定的，应按照专用合同条款的约定，承担违约责任。</w:t>
      </w:r>
    </w:p>
    <w:p w14:paraId="4F27501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574BDA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872C41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4526AD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0D6CDBE1">
      <w:pPr>
        <w:pStyle w:val="7"/>
        <w:spacing w:before="0" w:beforeAutospacing="0" w:after="0" w:afterAutospacing="0" w:line="360" w:lineRule="auto"/>
        <w:ind w:firstLine="422" w:firstLineChars="200"/>
        <w:rPr>
          <w:color w:val="auto"/>
          <w:sz w:val="21"/>
          <w:szCs w:val="21"/>
          <w:highlight w:val="none"/>
        </w:rPr>
      </w:pPr>
      <w:bookmarkStart w:id="780" w:name="_Toc351203521"/>
      <w:bookmarkStart w:id="781" w:name="_Toc532377207"/>
      <w:r>
        <w:rPr>
          <w:rFonts w:hint="eastAsia"/>
          <w:color w:val="auto"/>
          <w:sz w:val="21"/>
          <w:szCs w:val="21"/>
          <w:highlight w:val="none"/>
        </w:rPr>
        <w:t>3</w:t>
      </w:r>
      <w:bookmarkStart w:id="782" w:name="_Toc296503048"/>
      <w:bookmarkStart w:id="783" w:name="_Toc296346549"/>
      <w:bookmarkStart w:id="784" w:name="_Toc337558749"/>
      <w:r>
        <w:rPr>
          <w:rFonts w:hint="eastAsia"/>
          <w:color w:val="auto"/>
          <w:sz w:val="21"/>
          <w:szCs w:val="21"/>
          <w:highlight w:val="none"/>
        </w:rPr>
        <w:t xml:space="preserve">.3 </w:t>
      </w:r>
      <w:bookmarkEnd w:id="782"/>
      <w:bookmarkEnd w:id="783"/>
      <w:r>
        <w:rPr>
          <w:rFonts w:hint="eastAsia"/>
          <w:color w:val="auto"/>
          <w:sz w:val="21"/>
          <w:szCs w:val="21"/>
          <w:highlight w:val="none"/>
        </w:rPr>
        <w:t>承包人人员</w:t>
      </w:r>
      <w:bookmarkEnd w:id="780"/>
      <w:bookmarkEnd w:id="781"/>
    </w:p>
    <w:bookmarkEnd w:id="784"/>
    <w:p w14:paraId="73D2978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3FB8E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677B0D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特殊工种作业人员均应持有相应的资格证明，监理人可以随时检查。</w:t>
      </w:r>
    </w:p>
    <w:p w14:paraId="2E639D7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52C93D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D3287C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3.3.5 承包人擅自更换主要施工管理人员，或前述人员未经监理人或发包人同意擅自离开施工现场的，应按照专用合同条款约定承担违约责任。</w:t>
      </w:r>
    </w:p>
    <w:p w14:paraId="4390460A">
      <w:pPr>
        <w:pStyle w:val="7"/>
        <w:spacing w:before="0" w:beforeAutospacing="0" w:after="0" w:afterAutospacing="0" w:line="360" w:lineRule="auto"/>
        <w:ind w:firstLine="422" w:firstLineChars="200"/>
        <w:rPr>
          <w:color w:val="auto"/>
          <w:sz w:val="21"/>
          <w:szCs w:val="21"/>
          <w:highlight w:val="none"/>
        </w:rPr>
      </w:pPr>
      <w:bookmarkStart w:id="785" w:name="_Toc351203522"/>
      <w:bookmarkStart w:id="786" w:name="_Toc532377208"/>
      <w:r>
        <w:rPr>
          <w:rFonts w:hint="eastAsia"/>
          <w:color w:val="auto"/>
          <w:sz w:val="21"/>
          <w:szCs w:val="21"/>
          <w:highlight w:val="none"/>
        </w:rPr>
        <w:t>3</w:t>
      </w:r>
      <w:bookmarkStart w:id="787" w:name="_Toc296503050"/>
      <w:bookmarkStart w:id="788" w:name="_Toc296346551"/>
      <w:bookmarkStart w:id="789" w:name="_Toc337558750"/>
      <w:r>
        <w:rPr>
          <w:rFonts w:hint="eastAsia"/>
          <w:color w:val="auto"/>
          <w:sz w:val="21"/>
          <w:szCs w:val="21"/>
          <w:highlight w:val="none"/>
        </w:rPr>
        <w:t>.4 承包人现场查勘</w:t>
      </w:r>
      <w:bookmarkEnd w:id="785"/>
      <w:bookmarkEnd w:id="786"/>
    </w:p>
    <w:bookmarkEnd w:id="787"/>
    <w:bookmarkEnd w:id="788"/>
    <w:bookmarkEnd w:id="789"/>
    <w:p w14:paraId="06B268C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承包人应对基于发包人按照第2.4.3项〔提供基础资料〕提交的基础资料所做出的解释和推断负责，但因基础资料存在错误、遗漏导致承包人解释或推断失实的，由发包人承担责任。</w:t>
      </w:r>
    </w:p>
    <w:p w14:paraId="4D41F9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00C28FF">
      <w:pPr>
        <w:pStyle w:val="7"/>
        <w:spacing w:before="0" w:beforeAutospacing="0" w:after="0" w:afterAutospacing="0" w:line="360" w:lineRule="auto"/>
        <w:ind w:firstLine="422" w:firstLineChars="200"/>
        <w:rPr>
          <w:color w:val="auto"/>
          <w:sz w:val="21"/>
          <w:szCs w:val="21"/>
          <w:highlight w:val="none"/>
        </w:rPr>
      </w:pPr>
      <w:bookmarkStart w:id="790" w:name="_Toc532377209"/>
      <w:bookmarkStart w:id="791" w:name="_Toc351203523"/>
      <w:r>
        <w:rPr>
          <w:rFonts w:hint="eastAsia"/>
          <w:color w:val="auto"/>
          <w:sz w:val="21"/>
          <w:szCs w:val="21"/>
          <w:highlight w:val="none"/>
        </w:rPr>
        <w:t>3</w:t>
      </w:r>
      <w:bookmarkStart w:id="792" w:name="_Toc296503051"/>
      <w:bookmarkStart w:id="793" w:name="_Toc296346552"/>
      <w:bookmarkStart w:id="794" w:name="_Toc337558751"/>
      <w:r>
        <w:rPr>
          <w:rFonts w:hint="eastAsia"/>
          <w:color w:val="auto"/>
          <w:sz w:val="21"/>
          <w:szCs w:val="21"/>
          <w:highlight w:val="none"/>
        </w:rPr>
        <w:t>.5 分包</w:t>
      </w:r>
      <w:bookmarkEnd w:id="790"/>
      <w:bookmarkEnd w:id="791"/>
    </w:p>
    <w:bookmarkEnd w:id="792"/>
    <w:bookmarkEnd w:id="793"/>
    <w:bookmarkEnd w:id="794"/>
    <w:p w14:paraId="188BCD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3.5.1 分包的一般约定</w:t>
      </w:r>
    </w:p>
    <w:p w14:paraId="298BE66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64E062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承包人不得以劳务分包的名义转包或违法分包工程。</w:t>
      </w:r>
    </w:p>
    <w:p w14:paraId="0B93962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3.5.2 分包的确定</w:t>
      </w:r>
    </w:p>
    <w:p w14:paraId="5CE763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CB3F11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3.5.3 分包管理</w:t>
      </w:r>
    </w:p>
    <w:p w14:paraId="2D69C12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承包人应向监理人提交分包人的主要施工管理人员表，并对分包人的施工人员进行实名制管理，包括但不限于进出场管理、登记造册以及各种证照的办理。</w:t>
      </w:r>
    </w:p>
    <w:p w14:paraId="755510F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3.5.4 分包合同价款</w:t>
      </w:r>
    </w:p>
    <w:p w14:paraId="2683023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（1）除本项第（2）目约定的情况或专用合同条款另有约定外，分包合同价款由承包人与分包人结算，未经承包人同意，发包人不得向分包人支付分包工程价款；</w:t>
      </w:r>
    </w:p>
    <w:p w14:paraId="12F7BBC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（2）生效法律文书要求发包人向分包人支付分包合同价款的，发包人有权从应付承包人工程款中扣除该部分款项。</w:t>
      </w:r>
    </w:p>
    <w:p w14:paraId="316AB76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3.5.5 分包合同权益的转让</w:t>
      </w:r>
    </w:p>
    <w:p w14:paraId="00C12EB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795" w:name="_Toc351203524"/>
    </w:p>
    <w:p w14:paraId="661F40FD">
      <w:pPr>
        <w:pStyle w:val="7"/>
        <w:spacing w:before="0" w:beforeAutospacing="0" w:after="0" w:afterAutospacing="0" w:line="360" w:lineRule="auto"/>
        <w:ind w:firstLine="422" w:firstLineChars="200"/>
        <w:rPr>
          <w:color w:val="auto"/>
          <w:sz w:val="21"/>
          <w:szCs w:val="21"/>
          <w:highlight w:val="none"/>
        </w:rPr>
      </w:pPr>
      <w:bookmarkStart w:id="796" w:name="_Toc532377210"/>
      <w:r>
        <w:rPr>
          <w:rFonts w:hint="eastAsia"/>
          <w:color w:val="auto"/>
          <w:sz w:val="21"/>
          <w:szCs w:val="21"/>
          <w:highlight w:val="none"/>
        </w:rPr>
        <w:t>3.6 工程照管与成品、半成品保护</w:t>
      </w:r>
      <w:bookmarkEnd w:id="795"/>
      <w:bookmarkEnd w:id="796"/>
    </w:p>
    <w:p w14:paraId="0098CCA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（1）除专用合同条款另有约定外，自发包人向承包人移交施工现场之日起，承包人应负责照管工程及工程相关的材料、工程设备，直到颁发工程接收证书之日止。</w:t>
      </w:r>
    </w:p>
    <w:p w14:paraId="3C54998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（2）在承包人负责照管期间，因承包人原因造成工程、材料、工程设备损坏的，由承包人负责修复或更换，并承担由此增加的费用和（或）延误的工期。</w:t>
      </w:r>
    </w:p>
    <w:p w14:paraId="4408133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7F7CD922">
      <w:pPr>
        <w:pStyle w:val="7"/>
        <w:spacing w:before="0" w:beforeAutospacing="0" w:after="0" w:afterAutospacing="0" w:line="360" w:lineRule="auto"/>
        <w:ind w:firstLine="422" w:firstLineChars="200"/>
        <w:rPr>
          <w:color w:val="auto"/>
          <w:sz w:val="21"/>
          <w:szCs w:val="21"/>
          <w:highlight w:val="none"/>
        </w:rPr>
      </w:pPr>
      <w:bookmarkStart w:id="797" w:name="_Toc351203525"/>
      <w:bookmarkStart w:id="798" w:name="_Toc532377211"/>
      <w:r>
        <w:rPr>
          <w:rFonts w:hint="eastAsia"/>
          <w:color w:val="auto"/>
          <w:sz w:val="21"/>
          <w:szCs w:val="21"/>
          <w:highlight w:val="none"/>
        </w:rPr>
        <w:t>3</w:t>
      </w:r>
      <w:bookmarkStart w:id="799" w:name="_Toc337558752"/>
      <w:bookmarkStart w:id="800" w:name="_Toc296503052"/>
      <w:bookmarkStart w:id="801" w:name="_Toc296346553"/>
      <w:r>
        <w:rPr>
          <w:rFonts w:hint="eastAsia"/>
          <w:color w:val="auto"/>
          <w:sz w:val="21"/>
          <w:szCs w:val="21"/>
          <w:highlight w:val="none"/>
        </w:rPr>
        <w:t>.7 履约担保</w:t>
      </w:r>
      <w:bookmarkEnd w:id="797"/>
      <w:bookmarkEnd w:id="798"/>
    </w:p>
    <w:bookmarkEnd w:id="799"/>
    <w:bookmarkEnd w:id="800"/>
    <w:bookmarkEnd w:id="801"/>
    <w:p w14:paraId="45BF627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0E7F4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因承包人原因导致工期延长的，继续提供履约担保所增加的费用由承包人承担；非因承包人原因导致工期延长的，继续提供履约担保所增加的费用由发包人承担。</w:t>
      </w:r>
    </w:p>
    <w:p w14:paraId="32AD488F">
      <w:pPr>
        <w:pStyle w:val="7"/>
        <w:spacing w:before="0" w:beforeAutospacing="0" w:after="0" w:afterAutospacing="0" w:line="360" w:lineRule="auto"/>
        <w:ind w:firstLine="422" w:firstLineChars="200"/>
        <w:rPr>
          <w:color w:val="auto"/>
          <w:sz w:val="21"/>
          <w:szCs w:val="21"/>
          <w:highlight w:val="none"/>
        </w:rPr>
      </w:pPr>
      <w:bookmarkStart w:id="802" w:name="_Toc351203526"/>
      <w:bookmarkStart w:id="803" w:name="_Toc532377212"/>
      <w:r>
        <w:rPr>
          <w:rFonts w:hint="eastAsia"/>
          <w:color w:val="auto"/>
          <w:sz w:val="21"/>
          <w:szCs w:val="21"/>
          <w:highlight w:val="none"/>
        </w:rPr>
        <w:t>3.8 联合体</w:t>
      </w:r>
      <w:bookmarkEnd w:id="802"/>
      <w:bookmarkEnd w:id="803"/>
    </w:p>
    <w:p w14:paraId="0D807B8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3.8.1 联合体各方应共同与发包人签订合同协议书。联合体各方应为履行合同向发包人承担连带责任。</w:t>
      </w:r>
    </w:p>
    <w:p w14:paraId="5C815BF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3.8.2 联合体协议经发包人确认后作为合同附件。在履行合同过程中，未经发包人同意，不得修改联合体协议。</w:t>
      </w:r>
    </w:p>
    <w:p w14:paraId="7415370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3.8.3 联合体牵头人负责与发包人和监理人联系，并接受指示，负责组织联合体各成员全面履行合同。</w:t>
      </w:r>
    </w:p>
    <w:p w14:paraId="4C567C52">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04" w:name="_Toc532377213"/>
      <w:bookmarkStart w:id="805" w:name="_Toc351203527"/>
      <w:bookmarkStart w:id="806" w:name="_Toc532375590"/>
      <w:r>
        <w:rPr>
          <w:rFonts w:hint="eastAsia"/>
          <w:color w:val="auto"/>
          <w:kern w:val="2"/>
          <w:sz w:val="21"/>
          <w:szCs w:val="21"/>
          <w:highlight w:val="none"/>
        </w:rPr>
        <w:t>4</w:t>
      </w:r>
      <w:bookmarkStart w:id="807" w:name="_Toc296346554"/>
      <w:bookmarkStart w:id="808" w:name="_Toc296503053"/>
      <w:bookmarkStart w:id="809" w:name="_Toc337558753"/>
      <w:r>
        <w:rPr>
          <w:rFonts w:hint="eastAsia"/>
          <w:color w:val="auto"/>
          <w:kern w:val="2"/>
          <w:sz w:val="21"/>
          <w:szCs w:val="21"/>
          <w:highlight w:val="none"/>
        </w:rPr>
        <w:t>. 监</w:t>
      </w:r>
      <w:bookmarkEnd w:id="807"/>
      <w:bookmarkEnd w:id="808"/>
      <w:r>
        <w:rPr>
          <w:rFonts w:hint="eastAsia"/>
          <w:color w:val="auto"/>
          <w:kern w:val="2"/>
          <w:sz w:val="21"/>
          <w:szCs w:val="21"/>
          <w:highlight w:val="none"/>
        </w:rPr>
        <w:t>理人</w:t>
      </w:r>
      <w:bookmarkEnd w:id="804"/>
      <w:bookmarkEnd w:id="805"/>
      <w:bookmarkEnd w:id="806"/>
    </w:p>
    <w:bookmarkEnd w:id="809"/>
    <w:p w14:paraId="50A1F31C">
      <w:pPr>
        <w:pStyle w:val="7"/>
        <w:spacing w:before="0" w:beforeAutospacing="0" w:after="0" w:afterAutospacing="0" w:line="360" w:lineRule="auto"/>
        <w:ind w:firstLine="422" w:firstLineChars="200"/>
        <w:rPr>
          <w:color w:val="auto"/>
          <w:sz w:val="21"/>
          <w:szCs w:val="21"/>
          <w:highlight w:val="none"/>
        </w:rPr>
      </w:pPr>
      <w:bookmarkStart w:id="810" w:name="_Toc351203528"/>
      <w:bookmarkStart w:id="811" w:name="_Toc532377214"/>
      <w:r>
        <w:rPr>
          <w:rFonts w:hint="eastAsia"/>
          <w:color w:val="auto"/>
          <w:sz w:val="21"/>
          <w:szCs w:val="21"/>
          <w:highlight w:val="none"/>
        </w:rPr>
        <w:t>4</w:t>
      </w:r>
      <w:bookmarkStart w:id="812" w:name="_Toc296503054"/>
      <w:bookmarkStart w:id="813" w:name="_Toc337558754"/>
      <w:bookmarkStart w:id="814" w:name="_Toc296346555"/>
      <w:r>
        <w:rPr>
          <w:rFonts w:hint="eastAsia"/>
          <w:color w:val="auto"/>
          <w:sz w:val="21"/>
          <w:szCs w:val="21"/>
          <w:highlight w:val="none"/>
        </w:rPr>
        <w:t>.1监理人的一般规定</w:t>
      </w:r>
      <w:bookmarkEnd w:id="810"/>
      <w:bookmarkEnd w:id="811"/>
    </w:p>
    <w:bookmarkEnd w:id="812"/>
    <w:bookmarkEnd w:id="813"/>
    <w:bookmarkEnd w:id="814"/>
    <w:p w14:paraId="1513099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A5DB13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除专用合同条款另有约定外，监理人在施工现场的办公场所、生活场所由承包人提供，所发生的费用由发包人承担。</w:t>
      </w:r>
    </w:p>
    <w:p w14:paraId="50AB0A81">
      <w:pPr>
        <w:pStyle w:val="7"/>
        <w:spacing w:before="0" w:beforeAutospacing="0" w:after="0" w:afterAutospacing="0" w:line="360" w:lineRule="auto"/>
        <w:ind w:firstLine="422" w:firstLineChars="200"/>
        <w:rPr>
          <w:color w:val="auto"/>
          <w:sz w:val="21"/>
          <w:szCs w:val="21"/>
          <w:highlight w:val="none"/>
        </w:rPr>
      </w:pPr>
      <w:bookmarkStart w:id="815" w:name="_Toc351203529"/>
      <w:bookmarkStart w:id="816" w:name="_Toc532377215"/>
      <w:r>
        <w:rPr>
          <w:rFonts w:hint="eastAsia"/>
          <w:color w:val="auto"/>
          <w:sz w:val="21"/>
          <w:szCs w:val="21"/>
          <w:highlight w:val="none"/>
        </w:rPr>
        <w:t>4</w:t>
      </w:r>
      <w:bookmarkStart w:id="817" w:name="_Toc337558755"/>
      <w:r>
        <w:rPr>
          <w:rFonts w:hint="eastAsia"/>
          <w:color w:val="auto"/>
          <w:sz w:val="21"/>
          <w:szCs w:val="21"/>
          <w:highlight w:val="none"/>
        </w:rPr>
        <w:t>.2监理人员</w:t>
      </w:r>
      <w:bookmarkEnd w:id="815"/>
      <w:bookmarkEnd w:id="816"/>
    </w:p>
    <w:bookmarkEnd w:id="817"/>
    <w:p w14:paraId="26F659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2090A20">
      <w:pPr>
        <w:pStyle w:val="7"/>
        <w:spacing w:before="0" w:beforeAutospacing="0" w:after="0" w:afterAutospacing="0" w:line="360" w:lineRule="auto"/>
        <w:ind w:firstLine="422" w:firstLineChars="200"/>
        <w:rPr>
          <w:color w:val="auto"/>
          <w:sz w:val="21"/>
          <w:szCs w:val="21"/>
          <w:highlight w:val="none"/>
        </w:rPr>
      </w:pPr>
      <w:bookmarkStart w:id="818" w:name="_Toc351203530"/>
      <w:bookmarkStart w:id="819" w:name="_Toc532377216"/>
      <w:r>
        <w:rPr>
          <w:rFonts w:hint="eastAsia"/>
          <w:color w:val="auto"/>
          <w:sz w:val="21"/>
          <w:szCs w:val="21"/>
          <w:highlight w:val="none"/>
        </w:rPr>
        <w:t>4</w:t>
      </w:r>
      <w:bookmarkStart w:id="820" w:name="_Toc296346556"/>
      <w:bookmarkStart w:id="821" w:name="_Toc296503055"/>
      <w:bookmarkStart w:id="822" w:name="_Toc337558756"/>
      <w:r>
        <w:rPr>
          <w:rFonts w:hint="eastAsia"/>
          <w:color w:val="auto"/>
          <w:sz w:val="21"/>
          <w:szCs w:val="21"/>
          <w:highlight w:val="none"/>
        </w:rPr>
        <w:t>.3</w:t>
      </w:r>
      <w:bookmarkEnd w:id="820"/>
      <w:bookmarkEnd w:id="821"/>
      <w:r>
        <w:rPr>
          <w:rFonts w:hint="eastAsia"/>
          <w:color w:val="auto"/>
          <w:sz w:val="21"/>
          <w:szCs w:val="21"/>
          <w:highlight w:val="none"/>
        </w:rPr>
        <w:t>监理人的指</w:t>
      </w:r>
      <w:bookmarkEnd w:id="822"/>
      <w:r>
        <w:rPr>
          <w:rFonts w:hint="eastAsia"/>
          <w:color w:val="auto"/>
          <w:sz w:val="21"/>
          <w:szCs w:val="21"/>
          <w:highlight w:val="none"/>
        </w:rPr>
        <w:t>示</w:t>
      </w:r>
      <w:bookmarkEnd w:id="818"/>
      <w:bookmarkEnd w:id="819"/>
    </w:p>
    <w:p w14:paraId="7C669F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38D8F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11058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承包人对监理人发出的指示有疑问的，应向监理人提出书面异议，监理人应在48小时内对该指示予以确认、更改或撤销，监理人逾期未回复的，承包人有权拒绝执行上述指示。</w:t>
      </w:r>
    </w:p>
    <w:p w14:paraId="22CB00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03C9204E">
      <w:pPr>
        <w:pStyle w:val="7"/>
        <w:spacing w:before="0" w:beforeAutospacing="0" w:after="0" w:afterAutospacing="0" w:line="360" w:lineRule="auto"/>
        <w:ind w:firstLine="422" w:firstLineChars="200"/>
        <w:rPr>
          <w:color w:val="auto"/>
          <w:sz w:val="21"/>
          <w:szCs w:val="21"/>
          <w:highlight w:val="none"/>
        </w:rPr>
      </w:pPr>
      <w:bookmarkStart w:id="823" w:name="_Toc351203531"/>
      <w:bookmarkStart w:id="824" w:name="_Toc532377217"/>
      <w:r>
        <w:rPr>
          <w:rFonts w:hint="eastAsia"/>
          <w:color w:val="auto"/>
          <w:sz w:val="21"/>
          <w:szCs w:val="21"/>
          <w:highlight w:val="none"/>
        </w:rPr>
        <w:t>4</w:t>
      </w:r>
      <w:bookmarkStart w:id="825" w:name="_Toc337558757"/>
      <w:bookmarkStart w:id="826" w:name="_Toc296346558"/>
      <w:bookmarkStart w:id="827" w:name="_Toc296503057"/>
      <w:r>
        <w:rPr>
          <w:rFonts w:hint="eastAsia"/>
          <w:color w:val="auto"/>
          <w:sz w:val="21"/>
          <w:szCs w:val="21"/>
          <w:highlight w:val="none"/>
        </w:rPr>
        <w:t>.4 商定或确定</w:t>
      </w:r>
      <w:bookmarkEnd w:id="823"/>
      <w:bookmarkEnd w:id="824"/>
    </w:p>
    <w:bookmarkEnd w:id="825"/>
    <w:bookmarkEnd w:id="826"/>
    <w:bookmarkEnd w:id="827"/>
    <w:p w14:paraId="4A11E16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合同当事人进行商定或确定时，总监理工程师应当会同合同当事人尽量通过协商达成一致，不能达成一致的，由总监理工程师按照合同约定审慎做出公正的确定。</w:t>
      </w:r>
    </w:p>
    <w:p w14:paraId="464F7DC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03BDF9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28" w:name="_Toc351203532"/>
      <w:bookmarkStart w:id="829" w:name="_Toc532375591"/>
      <w:bookmarkStart w:id="830" w:name="_Toc532377218"/>
      <w:r>
        <w:rPr>
          <w:rFonts w:hint="eastAsia"/>
          <w:color w:val="auto"/>
          <w:kern w:val="2"/>
          <w:sz w:val="21"/>
          <w:szCs w:val="21"/>
          <w:highlight w:val="none"/>
        </w:rPr>
        <w:t>5</w:t>
      </w:r>
      <w:bookmarkStart w:id="831" w:name="_Toc337558758"/>
      <w:r>
        <w:rPr>
          <w:rFonts w:hint="eastAsia"/>
          <w:color w:val="auto"/>
          <w:kern w:val="2"/>
          <w:sz w:val="21"/>
          <w:szCs w:val="21"/>
          <w:highlight w:val="none"/>
        </w:rPr>
        <w:t>. 工程质量</w:t>
      </w:r>
      <w:bookmarkEnd w:id="828"/>
      <w:bookmarkEnd w:id="829"/>
      <w:bookmarkEnd w:id="830"/>
    </w:p>
    <w:bookmarkEnd w:id="831"/>
    <w:p w14:paraId="5AA4EE4B">
      <w:pPr>
        <w:pStyle w:val="7"/>
        <w:spacing w:before="0" w:beforeAutospacing="0" w:after="0" w:afterAutospacing="0" w:line="360" w:lineRule="auto"/>
        <w:ind w:firstLine="422" w:firstLineChars="200"/>
        <w:rPr>
          <w:color w:val="auto"/>
          <w:sz w:val="21"/>
          <w:szCs w:val="21"/>
          <w:highlight w:val="none"/>
        </w:rPr>
      </w:pPr>
      <w:bookmarkStart w:id="832" w:name="_Toc351203533"/>
      <w:bookmarkStart w:id="833" w:name="_Toc532377219"/>
      <w:r>
        <w:rPr>
          <w:rFonts w:hint="eastAsia"/>
          <w:color w:val="auto"/>
          <w:sz w:val="21"/>
          <w:szCs w:val="21"/>
          <w:highlight w:val="none"/>
        </w:rPr>
        <w:t>5</w:t>
      </w:r>
      <w:bookmarkStart w:id="834" w:name="_Toc337558759"/>
      <w:r>
        <w:rPr>
          <w:rFonts w:hint="eastAsia"/>
          <w:color w:val="auto"/>
          <w:sz w:val="21"/>
          <w:szCs w:val="21"/>
          <w:highlight w:val="none"/>
        </w:rPr>
        <w:t>.1质量要求</w:t>
      </w:r>
      <w:bookmarkEnd w:id="832"/>
      <w:bookmarkEnd w:id="833"/>
    </w:p>
    <w:bookmarkEnd w:id="834"/>
    <w:p w14:paraId="6C185F8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5.1.1 工程质量标准必须符合现行国家有关工程施工质量验收规范和标准的要求。有关工程质量的特殊标准或要求由合同当事人在专用合同条款中约定。</w:t>
      </w:r>
    </w:p>
    <w:p w14:paraId="74F1B1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5.1.2 因发包人原因造成工程质量未达到合同约定标准的，由发包人承担由此增加的费用和（或）延误的工期，并支付承包人合理的利润。</w:t>
      </w:r>
    </w:p>
    <w:p w14:paraId="764A9B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2EA3D115">
      <w:pPr>
        <w:pStyle w:val="7"/>
        <w:spacing w:before="0" w:beforeAutospacing="0" w:after="0" w:afterAutospacing="0" w:line="360" w:lineRule="auto"/>
        <w:ind w:firstLine="422" w:firstLineChars="200"/>
        <w:rPr>
          <w:color w:val="auto"/>
          <w:sz w:val="21"/>
          <w:szCs w:val="21"/>
          <w:highlight w:val="none"/>
        </w:rPr>
      </w:pPr>
      <w:bookmarkStart w:id="835" w:name="_Toc351203534"/>
      <w:bookmarkStart w:id="836" w:name="_Toc532377220"/>
      <w:r>
        <w:rPr>
          <w:rFonts w:hint="eastAsia"/>
          <w:color w:val="auto"/>
          <w:sz w:val="21"/>
          <w:szCs w:val="21"/>
          <w:highlight w:val="none"/>
        </w:rPr>
        <w:t>5</w:t>
      </w:r>
      <w:bookmarkStart w:id="837" w:name="_Toc337558760"/>
      <w:r>
        <w:rPr>
          <w:rFonts w:hint="eastAsia"/>
          <w:color w:val="auto"/>
          <w:sz w:val="21"/>
          <w:szCs w:val="21"/>
          <w:highlight w:val="none"/>
        </w:rPr>
        <w:t>.2质量保证措施</w:t>
      </w:r>
      <w:bookmarkEnd w:id="835"/>
      <w:bookmarkEnd w:id="836"/>
    </w:p>
    <w:bookmarkEnd w:id="837"/>
    <w:p w14:paraId="7CD0F04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5.2.1 发包人的质量管理</w:t>
      </w:r>
    </w:p>
    <w:p w14:paraId="0DF6F65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发包人应按照法律规定及合同约定完成与工程质量有关的各项工作。</w:t>
      </w:r>
    </w:p>
    <w:p w14:paraId="4ADB49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5.2.2 承包人的质量管理</w:t>
      </w:r>
    </w:p>
    <w:p w14:paraId="142D44A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EF0225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承包人应对施工人员进行质量教育和技术培训，定期考核施工人员的劳动技能，严格执行施工规范和操作规程。</w:t>
      </w:r>
    </w:p>
    <w:p w14:paraId="301B10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50E8CFE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5.2.3 监理人的质量检查和检验</w:t>
      </w:r>
    </w:p>
    <w:p w14:paraId="24D0D76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EC5D40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E1223F4">
      <w:pPr>
        <w:pStyle w:val="7"/>
        <w:spacing w:before="0" w:beforeAutospacing="0" w:after="0" w:afterAutospacing="0" w:line="360" w:lineRule="auto"/>
        <w:ind w:firstLine="422" w:firstLineChars="200"/>
        <w:rPr>
          <w:color w:val="auto"/>
          <w:sz w:val="21"/>
          <w:szCs w:val="21"/>
          <w:highlight w:val="none"/>
        </w:rPr>
      </w:pPr>
      <w:bookmarkStart w:id="838" w:name="_Toc351203535"/>
      <w:bookmarkStart w:id="839" w:name="_Toc532377221"/>
      <w:r>
        <w:rPr>
          <w:rFonts w:hint="eastAsia"/>
          <w:color w:val="auto"/>
          <w:sz w:val="21"/>
          <w:szCs w:val="21"/>
          <w:highlight w:val="none"/>
        </w:rPr>
        <w:t>5</w:t>
      </w:r>
      <w:bookmarkStart w:id="840" w:name="_Toc337558761"/>
      <w:r>
        <w:rPr>
          <w:rFonts w:hint="eastAsia"/>
          <w:color w:val="auto"/>
          <w:sz w:val="21"/>
          <w:szCs w:val="21"/>
          <w:highlight w:val="none"/>
        </w:rPr>
        <w:t>.3 隐蔽工程检查</w:t>
      </w:r>
      <w:bookmarkEnd w:id="838"/>
      <w:bookmarkEnd w:id="839"/>
    </w:p>
    <w:bookmarkEnd w:id="840"/>
    <w:p w14:paraId="395EFE1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5.3.1承包人自检</w:t>
      </w:r>
    </w:p>
    <w:p w14:paraId="6E9C528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承包人应当对工程隐蔽部位进行自检，并经自检确认是否具备覆盖条件。</w:t>
      </w:r>
    </w:p>
    <w:p w14:paraId="22A8499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5.3.2检查程序</w:t>
      </w:r>
    </w:p>
    <w:p w14:paraId="0A5544D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FAF02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FD909B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17BA86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5.3.3 重新检查</w:t>
      </w:r>
    </w:p>
    <w:p w14:paraId="26FA18B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1EEE47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5.3.4 承包人私自覆盖</w:t>
      </w:r>
    </w:p>
    <w:p w14:paraId="207F23D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D2731D2">
      <w:pPr>
        <w:pStyle w:val="7"/>
        <w:spacing w:before="0" w:beforeAutospacing="0" w:after="0" w:afterAutospacing="0" w:line="360" w:lineRule="auto"/>
        <w:ind w:firstLine="422" w:firstLineChars="200"/>
        <w:rPr>
          <w:color w:val="auto"/>
          <w:sz w:val="21"/>
          <w:szCs w:val="21"/>
          <w:highlight w:val="none"/>
        </w:rPr>
      </w:pPr>
      <w:bookmarkStart w:id="841" w:name="_Toc532377222"/>
      <w:r>
        <w:rPr>
          <w:rFonts w:hint="eastAsia"/>
          <w:color w:val="auto"/>
          <w:sz w:val="21"/>
          <w:szCs w:val="21"/>
          <w:highlight w:val="none"/>
        </w:rPr>
        <w:t>5.4不合格工程的处理</w:t>
      </w:r>
      <w:bookmarkEnd w:id="841"/>
    </w:p>
    <w:p w14:paraId="0E516D9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07EE707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5.4.2 因发包人原因造成工程不合格的，由此增加的费用和（或）延误的工期由发包人承担，并支付承包人合理的利润。</w:t>
      </w:r>
    </w:p>
    <w:p w14:paraId="11B6D6E2">
      <w:pPr>
        <w:pStyle w:val="7"/>
        <w:spacing w:before="0" w:beforeAutospacing="0" w:after="0" w:afterAutospacing="0" w:line="360" w:lineRule="auto"/>
        <w:ind w:firstLine="422" w:firstLineChars="200"/>
        <w:rPr>
          <w:color w:val="auto"/>
          <w:sz w:val="21"/>
          <w:szCs w:val="21"/>
          <w:highlight w:val="none"/>
        </w:rPr>
      </w:pPr>
      <w:bookmarkStart w:id="842" w:name="_Toc351203537"/>
      <w:bookmarkStart w:id="843" w:name="_Toc532377223"/>
      <w:r>
        <w:rPr>
          <w:rFonts w:hint="eastAsia"/>
          <w:color w:val="auto"/>
          <w:sz w:val="21"/>
          <w:szCs w:val="21"/>
          <w:highlight w:val="none"/>
        </w:rPr>
        <w:t>5.5 质量争议检测</w:t>
      </w:r>
      <w:bookmarkEnd w:id="842"/>
      <w:bookmarkEnd w:id="843"/>
    </w:p>
    <w:p w14:paraId="06C2CC5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合同当事人对工程质量有争议的，由双方协商确定的工程质量检测机构鉴定，由此产生的费用及因此造成的损失，由责任方承担。</w:t>
      </w:r>
    </w:p>
    <w:p w14:paraId="2880ED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合同当事人均有责任的，由双方根据其责任分别承担。合同当事人无法达成一致的，按照第4.4款〔商定或确定〕执行。</w:t>
      </w:r>
    </w:p>
    <w:p w14:paraId="48B9B262">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44" w:name="_Toc532375592"/>
      <w:bookmarkStart w:id="845" w:name="_Toc351203538"/>
      <w:bookmarkStart w:id="846" w:name="_Toc532377224"/>
      <w:r>
        <w:rPr>
          <w:rFonts w:hint="eastAsia"/>
          <w:color w:val="auto"/>
          <w:kern w:val="2"/>
          <w:sz w:val="21"/>
          <w:szCs w:val="21"/>
          <w:highlight w:val="none"/>
        </w:rPr>
        <w:t>6</w:t>
      </w:r>
      <w:bookmarkStart w:id="847" w:name="_Toc337558763"/>
      <w:r>
        <w:rPr>
          <w:rFonts w:hint="eastAsia"/>
          <w:color w:val="auto"/>
          <w:kern w:val="2"/>
          <w:sz w:val="21"/>
          <w:szCs w:val="21"/>
          <w:highlight w:val="none"/>
        </w:rPr>
        <w:t>. 安全文明施工与环境保护</w:t>
      </w:r>
      <w:bookmarkEnd w:id="844"/>
      <w:bookmarkEnd w:id="845"/>
      <w:bookmarkEnd w:id="846"/>
    </w:p>
    <w:bookmarkEnd w:id="847"/>
    <w:p w14:paraId="3585EBC4">
      <w:pPr>
        <w:pStyle w:val="7"/>
        <w:spacing w:before="0" w:beforeAutospacing="0" w:after="0" w:afterAutospacing="0" w:line="360" w:lineRule="auto"/>
        <w:ind w:firstLine="422" w:firstLineChars="200"/>
        <w:rPr>
          <w:color w:val="auto"/>
          <w:sz w:val="21"/>
          <w:szCs w:val="21"/>
          <w:highlight w:val="none"/>
        </w:rPr>
      </w:pPr>
      <w:bookmarkStart w:id="848" w:name="_Toc351203539"/>
      <w:bookmarkStart w:id="849" w:name="_Toc532377225"/>
      <w:r>
        <w:rPr>
          <w:rFonts w:hint="eastAsia"/>
          <w:color w:val="auto"/>
          <w:sz w:val="21"/>
          <w:szCs w:val="21"/>
          <w:highlight w:val="none"/>
        </w:rPr>
        <w:t>6</w:t>
      </w:r>
      <w:bookmarkStart w:id="850" w:name="_Toc337558764"/>
      <w:r>
        <w:rPr>
          <w:rFonts w:hint="eastAsia"/>
          <w:color w:val="auto"/>
          <w:sz w:val="21"/>
          <w:szCs w:val="21"/>
          <w:highlight w:val="none"/>
        </w:rPr>
        <w:t>.1安全文明施工</w:t>
      </w:r>
      <w:bookmarkEnd w:id="848"/>
      <w:bookmarkEnd w:id="849"/>
    </w:p>
    <w:bookmarkEnd w:id="850"/>
    <w:p w14:paraId="5D64297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6.1.1安全生产要求</w:t>
      </w:r>
    </w:p>
    <w:p w14:paraId="4209FBE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44310C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0313325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因安全生产需要暂停施工的，按照第7.8款〔暂停施工〕的约定执行。</w:t>
      </w:r>
    </w:p>
    <w:p w14:paraId="0C3FDFA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6.1.2 安全生产保证措施</w:t>
      </w:r>
    </w:p>
    <w:p w14:paraId="5F96992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5C0F284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6.1.3特别安全生产事项</w:t>
      </w:r>
    </w:p>
    <w:p w14:paraId="73464D9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FA1CB2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274BBC9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4EFB0C3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需单独编制危险性较大分部分项专项工程施工方案的，及要求进行专家论证的超过一定规模的危险性较大的分部分项工程，承包人应及时编制和组织论证。</w:t>
      </w:r>
    </w:p>
    <w:p w14:paraId="08B06F4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6.1.4 治安保卫</w:t>
      </w:r>
    </w:p>
    <w:p w14:paraId="6901FE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除专用合同条款另有约定外，发包人应与当地公安部门协商，在现场建立治安管理机构或联防组织，统一管理施工场地的治安保卫事项，履行合同工程的治安保卫职责。</w:t>
      </w:r>
    </w:p>
    <w:p w14:paraId="64301C6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发包人和承包人除应协助现场治安管理机构或联防组织维护施工场地的社会治安外，还应做好包括生活区在内的各自管辖区的治安保卫工作。</w:t>
      </w:r>
    </w:p>
    <w:p w14:paraId="4E80AC1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313256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6.1.5 文明施工</w:t>
      </w:r>
    </w:p>
    <w:p w14:paraId="663A736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03FFC0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BF78D7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6.1.6 安全文明施工费</w:t>
      </w:r>
    </w:p>
    <w:p w14:paraId="500966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安全文明施工费由发包人承担，发包人不得以任何形式扣减该部分费用。因基准日期后合同所适用的法律或政府有关规定发生变化，增加的安全文明施工费由发包人承担。</w:t>
      </w:r>
    </w:p>
    <w:p w14:paraId="0837EA4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229DB0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0B1F79A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67AE65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6.1.7 紧急情况处理</w:t>
      </w:r>
    </w:p>
    <w:p w14:paraId="385A33A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AFD5B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6.1.8 事故处理</w:t>
      </w:r>
    </w:p>
    <w:p w14:paraId="290E40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528BDA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 安全生产责任</w:t>
      </w:r>
    </w:p>
    <w:p w14:paraId="12A394B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6.1.9.1 发包人的安全责任</w:t>
      </w:r>
    </w:p>
    <w:p w14:paraId="4099F72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发包人应负责赔偿以下各种情况造成的损失：</w:t>
      </w:r>
    </w:p>
    <w:p w14:paraId="243DD3C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（1）工程或工程的任何部分对土地的占用所造成的第三者财产损失；</w:t>
      </w:r>
    </w:p>
    <w:p w14:paraId="7CA8BB0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（2）由于发包人原因在施工场地及其毗邻地带造成的第三者人身伤亡和财产损失；</w:t>
      </w:r>
    </w:p>
    <w:p w14:paraId="256ADC4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（3）由于发包人原因对承包人、监理人造成的人员人身伤亡和财产损失；</w:t>
      </w:r>
    </w:p>
    <w:p w14:paraId="48F32EC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（4）由于发包人原因造成的发包人自身人员的人身伤害以及财产损失。</w:t>
      </w:r>
    </w:p>
    <w:p w14:paraId="20BCCD3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6.1.9.2 承包人的安全责任</w:t>
      </w:r>
    </w:p>
    <w:p w14:paraId="4E39D05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由于承包人原因在施工场地内及其毗邻地带造成的发包人、监理人以及第三者人员伤亡和财产损失，由承包人负责赔偿。</w:t>
      </w:r>
    </w:p>
    <w:p w14:paraId="07D8AA73">
      <w:pPr>
        <w:pStyle w:val="7"/>
        <w:spacing w:before="0" w:beforeAutospacing="0" w:after="0" w:afterAutospacing="0" w:line="360" w:lineRule="auto"/>
        <w:ind w:firstLine="422" w:firstLineChars="200"/>
        <w:rPr>
          <w:color w:val="auto"/>
          <w:sz w:val="21"/>
          <w:szCs w:val="21"/>
          <w:highlight w:val="none"/>
        </w:rPr>
      </w:pPr>
      <w:bookmarkStart w:id="851" w:name="_Toc532377226"/>
      <w:bookmarkStart w:id="852" w:name="_Toc351203540"/>
      <w:r>
        <w:rPr>
          <w:rFonts w:hint="eastAsia"/>
          <w:color w:val="auto"/>
          <w:sz w:val="21"/>
          <w:szCs w:val="21"/>
          <w:highlight w:val="none"/>
        </w:rPr>
        <w:t>6</w:t>
      </w:r>
      <w:bookmarkStart w:id="853" w:name="_Toc337558765"/>
      <w:r>
        <w:rPr>
          <w:rFonts w:hint="eastAsia"/>
          <w:color w:val="auto"/>
          <w:sz w:val="21"/>
          <w:szCs w:val="21"/>
          <w:highlight w:val="none"/>
        </w:rPr>
        <w:t>.2 职业健康</w:t>
      </w:r>
      <w:bookmarkEnd w:id="851"/>
      <w:bookmarkEnd w:id="852"/>
    </w:p>
    <w:bookmarkEnd w:id="853"/>
    <w:p w14:paraId="41B5EB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6.2.1 劳动保护</w:t>
      </w:r>
    </w:p>
    <w:p w14:paraId="6E4527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15A0FC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0214A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46E36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6.2.2 生活条件</w:t>
      </w:r>
    </w:p>
    <w:p w14:paraId="44FCF1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37D7CD7">
      <w:pPr>
        <w:pStyle w:val="7"/>
        <w:spacing w:before="0" w:beforeAutospacing="0" w:after="0" w:afterAutospacing="0" w:line="360" w:lineRule="auto"/>
        <w:ind w:firstLine="422" w:firstLineChars="200"/>
        <w:rPr>
          <w:color w:val="auto"/>
          <w:sz w:val="21"/>
          <w:szCs w:val="21"/>
          <w:highlight w:val="none"/>
        </w:rPr>
      </w:pPr>
      <w:bookmarkStart w:id="854" w:name="_Toc351203541"/>
      <w:bookmarkStart w:id="855" w:name="_Toc532377227"/>
      <w:r>
        <w:rPr>
          <w:rFonts w:hint="eastAsia"/>
          <w:color w:val="auto"/>
          <w:sz w:val="21"/>
          <w:szCs w:val="21"/>
          <w:highlight w:val="none"/>
        </w:rPr>
        <w:t>6</w:t>
      </w:r>
      <w:bookmarkStart w:id="856" w:name="_Toc337558766"/>
      <w:r>
        <w:rPr>
          <w:rFonts w:hint="eastAsia"/>
          <w:color w:val="auto"/>
          <w:sz w:val="21"/>
          <w:szCs w:val="21"/>
          <w:highlight w:val="none"/>
        </w:rPr>
        <w:t>.3 环境保护</w:t>
      </w:r>
      <w:bookmarkEnd w:id="854"/>
      <w:bookmarkEnd w:id="855"/>
    </w:p>
    <w:bookmarkEnd w:id="856"/>
    <w:p w14:paraId="4805859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9D5B1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承包人应当承担因其原因引起的环境污染侵权损害赔偿责任，因上述环境污染引起纠纷而导致暂停施工的，由此增加的费用和（或）延误的工期由承包人承担。</w:t>
      </w:r>
    </w:p>
    <w:p w14:paraId="435D8F5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57" w:name="_Toc532375593"/>
      <w:bookmarkStart w:id="858" w:name="_Toc351203542"/>
      <w:bookmarkStart w:id="859" w:name="_Toc532377228"/>
      <w:r>
        <w:rPr>
          <w:rFonts w:hint="eastAsia"/>
          <w:color w:val="auto"/>
          <w:kern w:val="2"/>
          <w:sz w:val="21"/>
          <w:szCs w:val="21"/>
          <w:highlight w:val="none"/>
        </w:rPr>
        <w:t>7</w:t>
      </w:r>
      <w:bookmarkStart w:id="860" w:name="_Toc337558767"/>
      <w:r>
        <w:rPr>
          <w:rFonts w:hint="eastAsia"/>
          <w:color w:val="auto"/>
          <w:kern w:val="2"/>
          <w:sz w:val="21"/>
          <w:szCs w:val="21"/>
          <w:highlight w:val="none"/>
        </w:rPr>
        <w:t>. 工期和进度</w:t>
      </w:r>
      <w:bookmarkEnd w:id="857"/>
      <w:bookmarkEnd w:id="858"/>
      <w:bookmarkEnd w:id="859"/>
    </w:p>
    <w:bookmarkEnd w:id="860"/>
    <w:p w14:paraId="70AC2888">
      <w:pPr>
        <w:pStyle w:val="7"/>
        <w:spacing w:before="0" w:beforeAutospacing="0" w:after="0" w:afterAutospacing="0" w:line="360" w:lineRule="auto"/>
        <w:ind w:firstLine="422" w:firstLineChars="200"/>
        <w:rPr>
          <w:color w:val="auto"/>
          <w:sz w:val="21"/>
          <w:szCs w:val="21"/>
          <w:highlight w:val="none"/>
        </w:rPr>
      </w:pPr>
      <w:bookmarkStart w:id="861" w:name="_Toc351203543"/>
      <w:bookmarkStart w:id="862" w:name="_Toc532377229"/>
      <w:r>
        <w:rPr>
          <w:rFonts w:hint="eastAsia"/>
          <w:color w:val="auto"/>
          <w:sz w:val="21"/>
          <w:szCs w:val="21"/>
          <w:highlight w:val="none"/>
        </w:rPr>
        <w:t>7</w:t>
      </w:r>
      <w:bookmarkStart w:id="863" w:name="_Toc337558768"/>
      <w:bookmarkStart w:id="864" w:name="_Toc296503066"/>
      <w:bookmarkStart w:id="865" w:name="_Toc296346567"/>
      <w:r>
        <w:rPr>
          <w:rFonts w:hint="eastAsia"/>
          <w:color w:val="auto"/>
          <w:sz w:val="21"/>
          <w:szCs w:val="21"/>
          <w:highlight w:val="none"/>
        </w:rPr>
        <w:t>.1施工组织设计</w:t>
      </w:r>
      <w:bookmarkEnd w:id="861"/>
      <w:bookmarkEnd w:id="862"/>
    </w:p>
    <w:bookmarkEnd w:id="863"/>
    <w:p w14:paraId="57A72B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7.1.1 施工组织设计的内容</w:t>
      </w:r>
    </w:p>
    <w:p w14:paraId="389B60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施工组织设计应包含以下内容：</w:t>
      </w:r>
    </w:p>
    <w:p w14:paraId="047C8FC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（1）施工方案； </w:t>
      </w:r>
    </w:p>
    <w:p w14:paraId="554091A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（2）施工现场平面布置图；</w:t>
      </w:r>
    </w:p>
    <w:p w14:paraId="3403BA2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（3）施工进度计划和保证措施； </w:t>
      </w:r>
    </w:p>
    <w:p w14:paraId="0E1D547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（4）劳动力及材料供应计划；</w:t>
      </w:r>
    </w:p>
    <w:p w14:paraId="50B025D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（5）施工机械设备的选用；</w:t>
      </w:r>
    </w:p>
    <w:p w14:paraId="65EA05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（6）质量保证体系及措施；</w:t>
      </w:r>
    </w:p>
    <w:p w14:paraId="7B020DF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（7）安全生产、文明施工措施；</w:t>
      </w:r>
    </w:p>
    <w:p w14:paraId="379982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（8）环境保护、成本控制措施；</w:t>
      </w:r>
    </w:p>
    <w:p w14:paraId="45EB661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（9）合同当事人约定的其他内容。</w:t>
      </w:r>
    </w:p>
    <w:p w14:paraId="57515DB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7.1.2 施工组织设计的提交和修改</w:t>
      </w:r>
    </w:p>
    <w:p w14:paraId="3261962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0E5E10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施工进度计划的编制和修改按照第7.2款〔施工进度计划〕执行。</w:t>
      </w:r>
    </w:p>
    <w:p w14:paraId="231CE17C">
      <w:pPr>
        <w:pStyle w:val="7"/>
        <w:spacing w:before="0" w:beforeAutospacing="0" w:after="0" w:afterAutospacing="0" w:line="360" w:lineRule="auto"/>
        <w:ind w:firstLine="422" w:firstLineChars="200"/>
        <w:rPr>
          <w:color w:val="auto"/>
          <w:sz w:val="21"/>
          <w:szCs w:val="21"/>
          <w:highlight w:val="none"/>
        </w:rPr>
      </w:pPr>
      <w:bookmarkStart w:id="866" w:name="_Toc532377230"/>
      <w:bookmarkStart w:id="867" w:name="_Toc351203544"/>
      <w:r>
        <w:rPr>
          <w:rFonts w:hint="eastAsia"/>
          <w:color w:val="auto"/>
          <w:sz w:val="21"/>
          <w:szCs w:val="21"/>
          <w:highlight w:val="none"/>
        </w:rPr>
        <w:t>7</w:t>
      </w:r>
      <w:bookmarkStart w:id="868" w:name="_Toc337558769"/>
      <w:r>
        <w:rPr>
          <w:rFonts w:hint="eastAsia"/>
          <w:color w:val="auto"/>
          <w:sz w:val="21"/>
          <w:szCs w:val="21"/>
          <w:highlight w:val="none"/>
        </w:rPr>
        <w:t>.2 施工进度计划</w:t>
      </w:r>
      <w:bookmarkEnd w:id="866"/>
      <w:bookmarkEnd w:id="867"/>
    </w:p>
    <w:bookmarkEnd w:id="868"/>
    <w:p w14:paraId="61325A2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7.2.1 施工进度计划的编制</w:t>
      </w:r>
    </w:p>
    <w:p w14:paraId="56AF06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429FC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7.2.2 施工进度计划的修订</w:t>
      </w:r>
    </w:p>
    <w:p w14:paraId="1804614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6A8D4DB">
      <w:pPr>
        <w:pStyle w:val="7"/>
        <w:spacing w:before="0" w:beforeAutospacing="0" w:after="0" w:afterAutospacing="0" w:line="360" w:lineRule="auto"/>
        <w:ind w:firstLine="422" w:firstLineChars="200"/>
        <w:rPr>
          <w:color w:val="auto"/>
          <w:sz w:val="21"/>
          <w:szCs w:val="21"/>
          <w:highlight w:val="none"/>
        </w:rPr>
      </w:pPr>
      <w:bookmarkStart w:id="869" w:name="_Toc532377231"/>
      <w:bookmarkStart w:id="870" w:name="_Toc351203545"/>
      <w:r>
        <w:rPr>
          <w:rFonts w:hint="eastAsia"/>
          <w:color w:val="auto"/>
          <w:sz w:val="21"/>
          <w:szCs w:val="21"/>
          <w:highlight w:val="none"/>
        </w:rPr>
        <w:t>7</w:t>
      </w:r>
      <w:bookmarkStart w:id="871" w:name="_Toc337558770"/>
      <w:r>
        <w:rPr>
          <w:rFonts w:hint="eastAsia"/>
          <w:color w:val="auto"/>
          <w:sz w:val="21"/>
          <w:szCs w:val="21"/>
          <w:highlight w:val="none"/>
        </w:rPr>
        <w:t>.3 开工</w:t>
      </w:r>
      <w:bookmarkEnd w:id="869"/>
      <w:bookmarkEnd w:id="870"/>
    </w:p>
    <w:p w14:paraId="667D275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7.3.1 开工准备</w:t>
      </w:r>
    </w:p>
    <w:p w14:paraId="28C6CF8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B88880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除专用合同条款另有约定外，合同当事人应按约定完成开工准备工作。</w:t>
      </w:r>
    </w:p>
    <w:p w14:paraId="5871679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7.3.2 开工通知</w:t>
      </w:r>
    </w:p>
    <w:bookmarkEnd w:id="871"/>
    <w:p w14:paraId="74329E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D560D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47DF9C0">
      <w:pPr>
        <w:pStyle w:val="7"/>
        <w:spacing w:before="0" w:beforeAutospacing="0" w:after="0" w:afterAutospacing="0" w:line="360" w:lineRule="auto"/>
        <w:ind w:firstLine="422" w:firstLineChars="200"/>
        <w:rPr>
          <w:color w:val="auto"/>
          <w:sz w:val="21"/>
          <w:szCs w:val="21"/>
          <w:highlight w:val="none"/>
        </w:rPr>
      </w:pPr>
      <w:bookmarkStart w:id="872" w:name="_Toc532377232"/>
      <w:bookmarkStart w:id="873" w:name="_Toc351203546"/>
      <w:r>
        <w:rPr>
          <w:rFonts w:hint="eastAsia"/>
          <w:color w:val="auto"/>
          <w:sz w:val="21"/>
          <w:szCs w:val="21"/>
          <w:highlight w:val="none"/>
        </w:rPr>
        <w:t>7.4测量放线</w:t>
      </w:r>
      <w:bookmarkEnd w:id="872"/>
      <w:bookmarkEnd w:id="873"/>
    </w:p>
    <w:p w14:paraId="575F12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7AF77F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104645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AC24B7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施工过程中对施工现场内水准点等测量标志物的保护工作由承包人负责。</w:t>
      </w:r>
      <w:bookmarkStart w:id="874" w:name="_Toc351203547"/>
    </w:p>
    <w:p w14:paraId="2221F0FD">
      <w:pPr>
        <w:pStyle w:val="7"/>
        <w:spacing w:before="0" w:beforeAutospacing="0" w:after="0" w:afterAutospacing="0" w:line="360" w:lineRule="auto"/>
        <w:ind w:firstLine="422" w:firstLineChars="200"/>
        <w:rPr>
          <w:color w:val="auto"/>
          <w:sz w:val="21"/>
          <w:szCs w:val="21"/>
          <w:highlight w:val="none"/>
        </w:rPr>
      </w:pPr>
      <w:bookmarkStart w:id="875" w:name="_Toc532377233"/>
      <w:r>
        <w:rPr>
          <w:rFonts w:hint="eastAsia"/>
          <w:color w:val="auto"/>
          <w:sz w:val="21"/>
          <w:szCs w:val="21"/>
          <w:highlight w:val="none"/>
        </w:rPr>
        <w:t>7</w:t>
      </w:r>
      <w:bookmarkEnd w:id="864"/>
      <w:bookmarkEnd w:id="865"/>
      <w:bookmarkStart w:id="876" w:name="_Toc296346574"/>
      <w:bookmarkStart w:id="877" w:name="_Toc296503073"/>
      <w:bookmarkStart w:id="878" w:name="_Toc337558772"/>
      <w:r>
        <w:rPr>
          <w:rFonts w:hint="eastAsia"/>
          <w:color w:val="auto"/>
          <w:sz w:val="21"/>
          <w:szCs w:val="21"/>
          <w:highlight w:val="none"/>
        </w:rPr>
        <w:t>.5 工期延误</w:t>
      </w:r>
      <w:bookmarkEnd w:id="874"/>
      <w:bookmarkEnd w:id="875"/>
    </w:p>
    <w:bookmarkEnd w:id="876"/>
    <w:bookmarkEnd w:id="877"/>
    <w:bookmarkEnd w:id="878"/>
    <w:p w14:paraId="1453A9A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7.5.1 因发包人原因导致工期延误</w:t>
      </w:r>
    </w:p>
    <w:p w14:paraId="445E31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在合同履行过程中，因下列情况导致工期延误和（或）费用增加的，由发包人承担由此延误的工期和（或）增加的费用，且发包人应支付承包人合理的利润： </w:t>
      </w:r>
    </w:p>
    <w:p w14:paraId="59EE691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（1）发包人未能按合同约定提供图纸或所提供图纸不符合合同约定的；</w:t>
      </w:r>
    </w:p>
    <w:p w14:paraId="4B05EDA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（2）发包人未能按合同约定提供施工现场、施工条件、基础资料、许可、批准等开工条件的；</w:t>
      </w:r>
    </w:p>
    <w:p w14:paraId="34C97B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（3）发包人提供的测量基准点、基准线和水准点及其书面资料存在错误或疏漏的；</w:t>
      </w:r>
    </w:p>
    <w:p w14:paraId="641E252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（4）发包人未能在计划开工日期之日起7天内同意下达开工通知的；</w:t>
      </w:r>
    </w:p>
    <w:p w14:paraId="49D5371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（5）发包人未能按合同约定日期支付工程预付款、进度款或竣工结算款的；</w:t>
      </w:r>
    </w:p>
    <w:p w14:paraId="3148B9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（6）监理人未按合同约定发出指示、批准等文件的；</w:t>
      </w:r>
    </w:p>
    <w:p w14:paraId="4C7FA38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（7）专用合同条款中约定的其他情形。</w:t>
      </w:r>
    </w:p>
    <w:p w14:paraId="6E72ECB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3742D3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7.5.2 因承包人原因导致工期延误</w:t>
      </w:r>
    </w:p>
    <w:p w14:paraId="16D5ECD7">
      <w:pPr>
        <w:autoSpaceDE w:val="0"/>
        <w:autoSpaceDN w:val="0"/>
        <w:spacing w:line="360" w:lineRule="auto"/>
        <w:ind w:firstLine="420" w:firstLineChars="200"/>
        <w:jc w:val="left"/>
        <w:rPr>
          <w:rFonts w:ascii="宋体" w:hAnsi="宋体"/>
          <w:color w:val="auto"/>
          <w:kern w:val="0"/>
          <w:szCs w:val="21"/>
          <w:highlight w:val="none"/>
        </w:rPr>
      </w:pPr>
      <w:bookmarkStart w:id="879" w:name="_Toc296503076"/>
      <w:bookmarkStart w:id="880" w:name="_Toc296346577"/>
      <w:r>
        <w:rPr>
          <w:rFonts w:hint="eastAsia" w:ascii="宋体" w:hAnsi="宋体"/>
          <w:color w:val="auto"/>
          <w:kern w:val="0"/>
          <w:szCs w:val="21"/>
          <w:highlight w:val="none"/>
        </w:rPr>
        <w:t>因</w:t>
      </w:r>
      <w:bookmarkEnd w:id="879"/>
      <w:bookmarkEnd w:id="880"/>
      <w:r>
        <w:rPr>
          <w:rFonts w:hint="eastAsia" w:ascii="宋体" w:hAnsi="宋体"/>
          <w:color w:val="auto"/>
          <w:kern w:val="0"/>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5086DE2E">
      <w:pPr>
        <w:pStyle w:val="7"/>
        <w:spacing w:before="0" w:beforeAutospacing="0" w:after="0" w:afterAutospacing="0" w:line="360" w:lineRule="auto"/>
        <w:ind w:firstLine="422" w:firstLineChars="200"/>
        <w:rPr>
          <w:color w:val="auto"/>
          <w:sz w:val="21"/>
          <w:szCs w:val="21"/>
          <w:highlight w:val="none"/>
        </w:rPr>
      </w:pPr>
      <w:bookmarkStart w:id="881" w:name="_Toc351203548"/>
      <w:bookmarkStart w:id="882" w:name="_Toc532377234"/>
      <w:r>
        <w:rPr>
          <w:rFonts w:hint="eastAsia"/>
          <w:color w:val="auto"/>
          <w:sz w:val="21"/>
          <w:szCs w:val="21"/>
          <w:highlight w:val="none"/>
        </w:rPr>
        <w:t>7</w:t>
      </w:r>
      <w:bookmarkStart w:id="883" w:name="_Toc296346575"/>
      <w:bookmarkStart w:id="884" w:name="_Toc296503074"/>
      <w:bookmarkStart w:id="885" w:name="_Toc337558773"/>
      <w:bookmarkStart w:id="886" w:name="_Toc296346578"/>
      <w:bookmarkStart w:id="887" w:name="_Toc296503077"/>
      <w:r>
        <w:rPr>
          <w:rFonts w:hint="eastAsia"/>
          <w:color w:val="auto"/>
          <w:sz w:val="21"/>
          <w:szCs w:val="21"/>
          <w:highlight w:val="none"/>
        </w:rPr>
        <w:t>.6 不利物质条件</w:t>
      </w:r>
      <w:bookmarkEnd w:id="881"/>
      <w:bookmarkEnd w:id="882"/>
    </w:p>
    <w:bookmarkEnd w:id="883"/>
    <w:bookmarkEnd w:id="884"/>
    <w:bookmarkEnd w:id="885"/>
    <w:p w14:paraId="44A883F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9E83F8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3395D23">
      <w:pPr>
        <w:pStyle w:val="7"/>
        <w:spacing w:before="0" w:beforeAutospacing="0" w:after="0" w:afterAutospacing="0" w:line="360" w:lineRule="auto"/>
        <w:ind w:firstLine="422" w:firstLineChars="200"/>
        <w:rPr>
          <w:color w:val="auto"/>
          <w:sz w:val="21"/>
          <w:szCs w:val="21"/>
          <w:highlight w:val="none"/>
        </w:rPr>
      </w:pPr>
      <w:bookmarkStart w:id="888" w:name="_Toc351203549"/>
      <w:bookmarkStart w:id="889" w:name="_Toc532377235"/>
      <w:r>
        <w:rPr>
          <w:rFonts w:hint="eastAsia"/>
          <w:color w:val="auto"/>
          <w:sz w:val="21"/>
          <w:szCs w:val="21"/>
          <w:highlight w:val="none"/>
        </w:rPr>
        <w:t>7</w:t>
      </w:r>
      <w:bookmarkStart w:id="890" w:name="_Toc296503075"/>
      <w:bookmarkStart w:id="891" w:name="_Toc337558774"/>
      <w:bookmarkStart w:id="892" w:name="_Toc296346576"/>
      <w:r>
        <w:rPr>
          <w:rFonts w:hint="eastAsia"/>
          <w:color w:val="auto"/>
          <w:sz w:val="21"/>
          <w:szCs w:val="21"/>
          <w:highlight w:val="none"/>
        </w:rPr>
        <w:t>.7 异常恶劣的气候条件</w:t>
      </w:r>
      <w:bookmarkEnd w:id="888"/>
      <w:bookmarkEnd w:id="889"/>
    </w:p>
    <w:bookmarkEnd w:id="890"/>
    <w:bookmarkEnd w:id="891"/>
    <w:bookmarkEnd w:id="892"/>
    <w:p w14:paraId="5E1EBDB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4C4241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893" w:name="_Toc351203550"/>
    </w:p>
    <w:p w14:paraId="15A55EE5">
      <w:pPr>
        <w:pStyle w:val="7"/>
        <w:spacing w:before="0" w:beforeAutospacing="0" w:after="0" w:afterAutospacing="0" w:line="360" w:lineRule="auto"/>
        <w:ind w:firstLine="422" w:firstLineChars="200"/>
        <w:rPr>
          <w:color w:val="auto"/>
          <w:sz w:val="21"/>
          <w:szCs w:val="21"/>
          <w:highlight w:val="none"/>
        </w:rPr>
      </w:pPr>
      <w:bookmarkStart w:id="894" w:name="_Toc532377236"/>
      <w:r>
        <w:rPr>
          <w:rFonts w:hint="eastAsia"/>
          <w:color w:val="auto"/>
          <w:sz w:val="21"/>
          <w:szCs w:val="21"/>
          <w:highlight w:val="none"/>
        </w:rPr>
        <w:t>7</w:t>
      </w:r>
      <w:bookmarkStart w:id="895" w:name="_Toc337558775"/>
      <w:r>
        <w:rPr>
          <w:rFonts w:hint="eastAsia"/>
          <w:color w:val="auto"/>
          <w:sz w:val="21"/>
          <w:szCs w:val="21"/>
          <w:highlight w:val="none"/>
        </w:rPr>
        <w:t>.8 暂停施工</w:t>
      </w:r>
      <w:bookmarkEnd w:id="893"/>
      <w:bookmarkEnd w:id="894"/>
    </w:p>
    <w:bookmarkEnd w:id="886"/>
    <w:bookmarkEnd w:id="887"/>
    <w:bookmarkEnd w:id="895"/>
    <w:p w14:paraId="67A730B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7.8.1发包人原因引起的暂停施工</w:t>
      </w:r>
    </w:p>
    <w:p w14:paraId="4125909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因发包人原因引起暂停施工的，监理人经发包人同意后，应及时下达暂停施工指示。情况紧急且监理人未及时下达暂停施工指示的，按照第7.8.4项〔紧急情况下的暂停施工〕执行。</w:t>
      </w:r>
    </w:p>
    <w:p w14:paraId="5D5C4F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因发包人原因引起的暂停施工，发包人应承担由此增加的费用和（或）延误的工期，并支付承包人合理的利润。</w:t>
      </w:r>
    </w:p>
    <w:p w14:paraId="7040CEF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7.8.2 承包人原因引起的暂停施工</w:t>
      </w:r>
    </w:p>
    <w:p w14:paraId="4B276E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66E080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7.8.3 指示暂停施工</w:t>
      </w:r>
    </w:p>
    <w:p w14:paraId="139A8D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监理人认为有必要时，并经发包人批准后，可向承包人作出暂停施工的指示，承包人应按监理人指示暂停施工。</w:t>
      </w:r>
    </w:p>
    <w:p w14:paraId="3C0144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7.8.4 紧急情况下的暂停施工</w:t>
      </w:r>
    </w:p>
    <w:p w14:paraId="5AB5694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0DB58AC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7.8.5 暂停施工后的复工</w:t>
      </w:r>
    </w:p>
    <w:p w14:paraId="7490A5D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A8AFB0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承包人无故拖延和拒绝复工的，承包人承担由此增加的费用和（或）延误的工期；因发包人原因无法按时复工的，按照第7.5.1项〔因发包人原因导致工期延误〕约定办理。</w:t>
      </w:r>
    </w:p>
    <w:p w14:paraId="4E0E9F6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7.8.6 暂停施工持续56天以上</w:t>
      </w:r>
    </w:p>
    <w:p w14:paraId="03D41F9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765A83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1E5D5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7.8.7 暂停施工期间的工程照管</w:t>
      </w:r>
    </w:p>
    <w:p w14:paraId="013A200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暂停施工期间，承包人应负责妥善照管工程并提供安全保障，由此增加的费用由责任方承担。</w:t>
      </w:r>
    </w:p>
    <w:p w14:paraId="4DDD785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7.8.8 暂停施工的措施</w:t>
      </w:r>
    </w:p>
    <w:p w14:paraId="64D9B0B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暂停施工期间，发包人和承包人均应采取必要的措施确保工程质量及安全，防止因暂停施工扩大损失。</w:t>
      </w:r>
    </w:p>
    <w:p w14:paraId="7465022A">
      <w:pPr>
        <w:pStyle w:val="7"/>
        <w:spacing w:before="0" w:beforeAutospacing="0" w:after="0" w:afterAutospacing="0" w:line="360" w:lineRule="auto"/>
        <w:ind w:firstLine="422" w:firstLineChars="200"/>
        <w:rPr>
          <w:color w:val="auto"/>
          <w:sz w:val="21"/>
          <w:szCs w:val="21"/>
          <w:highlight w:val="none"/>
        </w:rPr>
      </w:pPr>
      <w:bookmarkStart w:id="896" w:name="_Toc532377237"/>
      <w:bookmarkStart w:id="897" w:name="_Toc351203551"/>
      <w:r>
        <w:rPr>
          <w:rFonts w:hint="eastAsia"/>
          <w:color w:val="auto"/>
          <w:sz w:val="21"/>
          <w:szCs w:val="21"/>
          <w:highlight w:val="none"/>
        </w:rPr>
        <w:t>7.9提前竣工</w:t>
      </w:r>
      <w:bookmarkEnd w:id="896"/>
      <w:bookmarkEnd w:id="897"/>
    </w:p>
    <w:p w14:paraId="3B899E0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60A3CE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7.9.2 发包人要求承包人提前竣工，或承包人提出提前竣工的建议能够给发包人带来效益的，合同当事人可以在专用合同条款中约定提前竣工的奖励。</w:t>
      </w:r>
    </w:p>
    <w:p w14:paraId="67147840">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898" w:name="_Toc532375594"/>
      <w:bookmarkStart w:id="899" w:name="_Toc351203552"/>
      <w:bookmarkStart w:id="900" w:name="_Toc532377238"/>
      <w:r>
        <w:rPr>
          <w:rFonts w:hint="eastAsia"/>
          <w:color w:val="auto"/>
          <w:kern w:val="2"/>
          <w:sz w:val="21"/>
          <w:szCs w:val="21"/>
          <w:highlight w:val="none"/>
        </w:rPr>
        <w:t>8</w:t>
      </w:r>
      <w:bookmarkStart w:id="901" w:name="_Toc296503058"/>
      <w:bookmarkStart w:id="902" w:name="_Toc296346559"/>
      <w:bookmarkStart w:id="903" w:name="_Toc337558776"/>
      <w:r>
        <w:rPr>
          <w:rFonts w:hint="eastAsia"/>
          <w:color w:val="auto"/>
          <w:kern w:val="2"/>
          <w:sz w:val="21"/>
          <w:szCs w:val="21"/>
          <w:highlight w:val="none"/>
        </w:rPr>
        <w:t>. 材料与设备</w:t>
      </w:r>
      <w:bookmarkEnd w:id="898"/>
      <w:bookmarkEnd w:id="899"/>
      <w:bookmarkEnd w:id="900"/>
    </w:p>
    <w:bookmarkEnd w:id="901"/>
    <w:bookmarkEnd w:id="902"/>
    <w:bookmarkEnd w:id="903"/>
    <w:p w14:paraId="55D7166F">
      <w:pPr>
        <w:pStyle w:val="7"/>
        <w:spacing w:before="0" w:beforeAutospacing="0" w:after="0" w:afterAutospacing="0" w:line="360" w:lineRule="auto"/>
        <w:ind w:firstLine="422" w:firstLineChars="200"/>
        <w:rPr>
          <w:color w:val="auto"/>
          <w:sz w:val="21"/>
          <w:szCs w:val="21"/>
          <w:highlight w:val="none"/>
        </w:rPr>
      </w:pPr>
      <w:bookmarkStart w:id="904" w:name="_Toc351203553"/>
      <w:bookmarkStart w:id="905" w:name="_Toc532377239"/>
      <w:r>
        <w:rPr>
          <w:rFonts w:hint="eastAsia"/>
          <w:color w:val="auto"/>
          <w:sz w:val="21"/>
          <w:szCs w:val="21"/>
          <w:highlight w:val="none"/>
        </w:rPr>
        <w:t>8</w:t>
      </w:r>
      <w:bookmarkStart w:id="906" w:name="_Toc296503059"/>
      <w:bookmarkStart w:id="907" w:name="_Toc337558777"/>
      <w:bookmarkStart w:id="908" w:name="_Toc296346560"/>
      <w:bookmarkStart w:id="909" w:name="_Toc468936960"/>
      <w:r>
        <w:rPr>
          <w:rFonts w:hint="eastAsia"/>
          <w:color w:val="auto"/>
          <w:sz w:val="21"/>
          <w:szCs w:val="21"/>
          <w:highlight w:val="none"/>
        </w:rPr>
        <w:t>.1发包人供应材料与工程设备</w:t>
      </w:r>
      <w:bookmarkEnd w:id="904"/>
      <w:bookmarkEnd w:id="905"/>
    </w:p>
    <w:bookmarkEnd w:id="906"/>
    <w:bookmarkEnd w:id="907"/>
    <w:bookmarkEnd w:id="908"/>
    <w:p w14:paraId="30F791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发包人自行供应材料、工程设备的，应在签订合同时在专用合同条款的附件《发包人供应材料设备一览表》中明确材料、工程设备的品种、规格、型号、数量、单价、质量等级和送达地点。</w:t>
      </w:r>
    </w:p>
    <w:p w14:paraId="2FF66A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30C15FE">
      <w:pPr>
        <w:pStyle w:val="7"/>
        <w:spacing w:before="0" w:beforeAutospacing="0" w:after="0" w:afterAutospacing="0" w:line="360" w:lineRule="auto"/>
        <w:ind w:firstLine="422" w:firstLineChars="200"/>
        <w:rPr>
          <w:color w:val="auto"/>
          <w:sz w:val="21"/>
          <w:szCs w:val="21"/>
          <w:highlight w:val="none"/>
        </w:rPr>
      </w:pPr>
      <w:bookmarkStart w:id="910" w:name="_Toc532377240"/>
      <w:r>
        <w:rPr>
          <w:rFonts w:hint="eastAsia"/>
          <w:color w:val="auto"/>
          <w:sz w:val="21"/>
          <w:szCs w:val="21"/>
          <w:highlight w:val="none"/>
        </w:rPr>
        <w:t>8.2承包人采购材料与工程设备</w:t>
      </w:r>
      <w:bookmarkEnd w:id="910"/>
    </w:p>
    <w:p w14:paraId="614340F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7BCBC480">
      <w:pPr>
        <w:pStyle w:val="7"/>
        <w:spacing w:before="0" w:beforeAutospacing="0" w:after="0" w:afterAutospacing="0" w:line="360" w:lineRule="auto"/>
        <w:ind w:firstLine="422" w:firstLineChars="200"/>
        <w:rPr>
          <w:color w:val="auto"/>
          <w:sz w:val="21"/>
          <w:szCs w:val="21"/>
          <w:highlight w:val="none"/>
        </w:rPr>
      </w:pPr>
      <w:bookmarkStart w:id="911" w:name="_Toc532377241"/>
      <w:bookmarkStart w:id="912" w:name="_Toc351203555"/>
      <w:r>
        <w:rPr>
          <w:rFonts w:hint="eastAsia"/>
          <w:color w:val="auto"/>
          <w:sz w:val="21"/>
          <w:szCs w:val="21"/>
          <w:highlight w:val="none"/>
        </w:rPr>
        <w:t>8</w:t>
      </w:r>
      <w:bookmarkStart w:id="913" w:name="_Toc296503061"/>
      <w:bookmarkStart w:id="914" w:name="_Toc337558779"/>
      <w:bookmarkStart w:id="915" w:name="_Toc296346562"/>
      <w:r>
        <w:rPr>
          <w:rFonts w:hint="eastAsia"/>
          <w:color w:val="auto"/>
          <w:sz w:val="21"/>
          <w:szCs w:val="21"/>
          <w:highlight w:val="none"/>
        </w:rPr>
        <w:t>.3材料与工程设备的接收与拒收</w:t>
      </w:r>
      <w:bookmarkEnd w:id="911"/>
      <w:bookmarkEnd w:id="912"/>
    </w:p>
    <w:bookmarkEnd w:id="913"/>
    <w:bookmarkEnd w:id="914"/>
    <w:bookmarkEnd w:id="915"/>
    <w:p w14:paraId="3369FE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6B9CAE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发包人提供的材料和工程设备的规格、数量或质量不符合合同约定的，或因发包人原因导致交货日期延误或交货地点变更等情况的，按照第16.1款〔发包人违约〕约定办理。</w:t>
      </w:r>
    </w:p>
    <w:p w14:paraId="60CA61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8.3.2 承包人采购的材料和工程设备，应保证产品质量合格，承包人应在材料和工程设备到货前24小时通知监理人检验。承</w:t>
      </w:r>
      <w:bookmarkStart w:id="916" w:name="_Toc250655469"/>
      <w:r>
        <w:rPr>
          <w:rFonts w:hint="eastAsia" w:ascii="宋体" w:hAnsi="宋体"/>
          <w:color w:val="auto"/>
          <w:kern w:val="0"/>
          <w:szCs w:val="21"/>
          <w:highlight w:val="none"/>
        </w:rPr>
        <w:t>包人进行永久设备、材料的制造和生产的，应符合相关质量标准，并向监理人提交材料的样本以及有关资料，并应在使用该材料或工程设备之前获得监理人同意。</w:t>
      </w:r>
    </w:p>
    <w:bookmarkEnd w:id="916"/>
    <w:p w14:paraId="74DAF5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F0BC7B2">
      <w:pPr>
        <w:pStyle w:val="7"/>
        <w:spacing w:before="0" w:beforeAutospacing="0" w:after="0" w:afterAutospacing="0" w:line="360" w:lineRule="auto"/>
        <w:ind w:firstLine="422" w:firstLineChars="200"/>
        <w:rPr>
          <w:color w:val="auto"/>
          <w:sz w:val="21"/>
          <w:szCs w:val="21"/>
          <w:highlight w:val="none"/>
        </w:rPr>
      </w:pPr>
      <w:bookmarkStart w:id="917" w:name="_Toc532377242"/>
      <w:bookmarkStart w:id="918" w:name="_Toc351203556"/>
      <w:r>
        <w:rPr>
          <w:rFonts w:hint="eastAsia"/>
          <w:color w:val="auto"/>
          <w:sz w:val="21"/>
          <w:szCs w:val="21"/>
          <w:highlight w:val="none"/>
        </w:rPr>
        <w:t>8</w:t>
      </w:r>
      <w:bookmarkStart w:id="919" w:name="_Toc296503062"/>
      <w:bookmarkStart w:id="920" w:name="_Toc337558780"/>
      <w:bookmarkStart w:id="921" w:name="_Toc296346563"/>
      <w:r>
        <w:rPr>
          <w:rFonts w:hint="eastAsia"/>
          <w:color w:val="auto"/>
          <w:sz w:val="21"/>
          <w:szCs w:val="21"/>
          <w:highlight w:val="none"/>
        </w:rPr>
        <w:t>.4材料与工程设备的保管与使用</w:t>
      </w:r>
      <w:bookmarkEnd w:id="917"/>
      <w:bookmarkEnd w:id="918"/>
    </w:p>
    <w:bookmarkEnd w:id="919"/>
    <w:bookmarkEnd w:id="920"/>
    <w:bookmarkEnd w:id="921"/>
    <w:p w14:paraId="46354B4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8.4.1 发包人供应材料与工程设备的保管与使用</w:t>
      </w:r>
    </w:p>
    <w:p w14:paraId="10227B6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7814CE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发包人供应的材料和工程设备使用前，由承包人负责检验，检验费用由发包人承担，不合格的不得使用。</w:t>
      </w:r>
    </w:p>
    <w:p w14:paraId="5C04FB3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8.4.2 承包人采购材料与工程设备的保管与使用</w:t>
      </w:r>
    </w:p>
    <w:p w14:paraId="65A2D0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F16A1B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2C0D2843">
      <w:pPr>
        <w:pStyle w:val="7"/>
        <w:spacing w:before="0" w:beforeAutospacing="0" w:after="0" w:afterAutospacing="0" w:line="360" w:lineRule="auto"/>
        <w:ind w:firstLine="422" w:firstLineChars="200"/>
        <w:rPr>
          <w:color w:val="auto"/>
          <w:sz w:val="21"/>
          <w:szCs w:val="21"/>
          <w:highlight w:val="none"/>
        </w:rPr>
      </w:pPr>
      <w:bookmarkStart w:id="922" w:name="_Toc351203557"/>
      <w:bookmarkStart w:id="923" w:name="_Toc532377243"/>
      <w:r>
        <w:rPr>
          <w:rFonts w:hint="eastAsia"/>
          <w:color w:val="auto"/>
          <w:sz w:val="21"/>
          <w:szCs w:val="21"/>
          <w:highlight w:val="none"/>
        </w:rPr>
        <w:t>8.5禁止使用不合格的材料和工程设备</w:t>
      </w:r>
      <w:bookmarkEnd w:id="922"/>
      <w:bookmarkEnd w:id="923"/>
    </w:p>
    <w:p w14:paraId="74ED36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5304867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8.5.2 监理人发现承包人使用了不合格的材料和工程设备，承包人应按照监理人的指示立即改正，并禁止在工程中继续使用不合格的材料和工程设备。</w:t>
      </w:r>
    </w:p>
    <w:p w14:paraId="7BD8A4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8.5.3 发包人提供的材料或工程设备不符合合同要求的，承包人有权拒绝，并可要求发包人更换，由此增加的费用和（或）延误的工期由发包人承担，并支付承包人合理的利润。</w:t>
      </w:r>
    </w:p>
    <w:p w14:paraId="19F33BDA">
      <w:pPr>
        <w:pStyle w:val="7"/>
        <w:spacing w:before="0" w:beforeAutospacing="0" w:after="0" w:afterAutospacing="0" w:line="360" w:lineRule="auto"/>
        <w:ind w:firstLine="422" w:firstLineChars="200"/>
        <w:rPr>
          <w:color w:val="auto"/>
          <w:sz w:val="21"/>
          <w:szCs w:val="21"/>
          <w:highlight w:val="none"/>
        </w:rPr>
      </w:pPr>
      <w:bookmarkStart w:id="924" w:name="_Toc532377244"/>
      <w:bookmarkStart w:id="925" w:name="_Toc351203558"/>
      <w:r>
        <w:rPr>
          <w:rFonts w:hint="eastAsia"/>
          <w:color w:val="auto"/>
          <w:sz w:val="21"/>
          <w:szCs w:val="21"/>
          <w:highlight w:val="none"/>
        </w:rPr>
        <w:t>8.6 样品</w:t>
      </w:r>
      <w:bookmarkEnd w:id="924"/>
      <w:bookmarkEnd w:id="925"/>
    </w:p>
    <w:p w14:paraId="3E30DE6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8.6.1</w:t>
      </w:r>
      <w:r>
        <w:rPr>
          <w:rFonts w:hint="eastAsia" w:ascii="宋体" w:hAnsi="宋体"/>
          <w:color w:val="auto"/>
          <w:kern w:val="0"/>
          <w:szCs w:val="21"/>
          <w:highlight w:val="none"/>
        </w:rPr>
        <w:tab/>
      </w:r>
      <w:r>
        <w:rPr>
          <w:rFonts w:hint="eastAsia" w:ascii="宋体" w:hAnsi="宋体"/>
          <w:color w:val="auto"/>
          <w:kern w:val="0"/>
          <w:szCs w:val="21"/>
          <w:highlight w:val="none"/>
        </w:rPr>
        <w:t>样品的报送与封存</w:t>
      </w:r>
    </w:p>
    <w:p w14:paraId="258BDD3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需要承包人报送样品的材料或工程设备，样品的种类、名称、规格、数量等要求均应在专用合同条款中约定。样品的报送程序如下：</w:t>
      </w:r>
    </w:p>
    <w:p w14:paraId="307E62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11002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C02AAD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（3）经发包人和监理人审批确认的样品应按约定的方法封样，封存的样品作为检验工程相关部分的标准之一。承包人在施工过程中不得使用与样品不符的材料或工程设备。</w:t>
      </w:r>
    </w:p>
    <w:p w14:paraId="35F155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AF875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8.6.2 样品的保管</w:t>
      </w:r>
    </w:p>
    <w:p w14:paraId="6BB4D9B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经批准的样品应由监理人负责封存于现场，承包人应在现场为保存样品提供适当和固定的场所并保持适当和良好的存储环境条件。</w:t>
      </w:r>
    </w:p>
    <w:p w14:paraId="4AEB8ABD">
      <w:pPr>
        <w:pStyle w:val="7"/>
        <w:spacing w:before="0" w:beforeAutospacing="0" w:after="0" w:afterAutospacing="0" w:line="360" w:lineRule="auto"/>
        <w:ind w:firstLine="422" w:firstLineChars="200"/>
        <w:rPr>
          <w:color w:val="auto"/>
          <w:sz w:val="21"/>
          <w:szCs w:val="21"/>
          <w:highlight w:val="none"/>
        </w:rPr>
      </w:pPr>
      <w:bookmarkStart w:id="926" w:name="_Toc351203559"/>
      <w:bookmarkStart w:id="927" w:name="_Toc532377245"/>
      <w:r>
        <w:rPr>
          <w:rFonts w:hint="eastAsia"/>
          <w:color w:val="auto"/>
          <w:sz w:val="21"/>
          <w:szCs w:val="21"/>
          <w:highlight w:val="none"/>
        </w:rPr>
        <w:t>8.7材料与工程设备的替代</w:t>
      </w:r>
      <w:bookmarkEnd w:id="926"/>
      <w:bookmarkEnd w:id="927"/>
    </w:p>
    <w:p w14:paraId="283A11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8.7.1 出现下列情况需要使用替代材料和工程设备的，承包人应按照第8.7.2项约定的程序执行：</w:t>
      </w:r>
    </w:p>
    <w:p w14:paraId="6B36C4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（1）基准日期后生效的法律规定禁止使用的；</w:t>
      </w:r>
    </w:p>
    <w:p w14:paraId="429E265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（2）发包人要求使用替代品的；</w:t>
      </w:r>
    </w:p>
    <w:p w14:paraId="6FCDD9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（3）因其他原因必须使用替代品的。</w:t>
      </w:r>
    </w:p>
    <w:p w14:paraId="3CAB73A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8.7.2 承包人应在使用替代材料和工程设备28天前书面通知监理人，并附下列文件：</w:t>
      </w:r>
    </w:p>
    <w:p w14:paraId="4D0C46C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（1）被替代的材料和工程设备的名称、数量、规格、型号、品牌、性能、价格及其他相关资料；</w:t>
      </w:r>
    </w:p>
    <w:p w14:paraId="2D2DB59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（2）替代品的名称、数量、规格、型号、品牌、性能、价格及其他相关资料；</w:t>
      </w:r>
    </w:p>
    <w:p w14:paraId="25F00B5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（3）替代品与被替代产品之间的差异以及使用替代品可能对工程产生的影响；</w:t>
      </w:r>
    </w:p>
    <w:p w14:paraId="1709EA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（4）替代品与被替代产品的价格差异；</w:t>
      </w:r>
    </w:p>
    <w:p w14:paraId="48FA0E2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（5）使用替代品的理由和原因说明；</w:t>
      </w:r>
    </w:p>
    <w:p w14:paraId="1A71ACF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（6）监理人要求的其他文件。</w:t>
      </w:r>
    </w:p>
    <w:p w14:paraId="7F24EC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监理人应在收到通知后14天内向承包人发出经发包人签认的书面指示；监理人逾期发出书面指示的，视为发包人和监理人同意使用替代品。</w:t>
      </w:r>
    </w:p>
    <w:p w14:paraId="528D436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4C9477A">
      <w:pPr>
        <w:pStyle w:val="7"/>
        <w:spacing w:before="0" w:beforeAutospacing="0" w:after="0" w:afterAutospacing="0" w:line="360" w:lineRule="auto"/>
        <w:ind w:firstLine="422" w:firstLineChars="200"/>
        <w:rPr>
          <w:color w:val="auto"/>
          <w:sz w:val="21"/>
          <w:szCs w:val="21"/>
          <w:highlight w:val="none"/>
        </w:rPr>
      </w:pPr>
      <w:bookmarkStart w:id="928" w:name="_Toc532377246"/>
      <w:bookmarkStart w:id="929" w:name="_Toc351203560"/>
      <w:r>
        <w:rPr>
          <w:rFonts w:hint="eastAsia"/>
          <w:color w:val="auto"/>
          <w:sz w:val="21"/>
          <w:szCs w:val="21"/>
          <w:highlight w:val="none"/>
        </w:rPr>
        <w:t>8.8施工设备和临时设施</w:t>
      </w:r>
      <w:bookmarkEnd w:id="928"/>
      <w:bookmarkEnd w:id="929"/>
    </w:p>
    <w:p w14:paraId="627624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8.8.1 承包人提供的施工设备和临时设施</w:t>
      </w:r>
    </w:p>
    <w:p w14:paraId="108E7F9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F50CC5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除专用合同条款另有约定外，承包人应自行承担修建临时设施的费用，需要临时占地的，应由发包人办理申请手续并承担相应费用。</w:t>
      </w:r>
    </w:p>
    <w:p w14:paraId="504AFF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8.8.2发包人提供的施工设备和临时设施</w:t>
      </w:r>
    </w:p>
    <w:p w14:paraId="31984CC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发包人提供的施工设备或临时设施在专用合同条款中约定。</w:t>
      </w:r>
    </w:p>
    <w:p w14:paraId="616837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8.8.3要求承包人增加或更换施工设备</w:t>
      </w:r>
    </w:p>
    <w:p w14:paraId="079318E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87BA858">
      <w:pPr>
        <w:pStyle w:val="7"/>
        <w:spacing w:before="0" w:beforeAutospacing="0" w:after="0" w:afterAutospacing="0" w:line="360" w:lineRule="auto"/>
        <w:ind w:firstLine="422" w:firstLineChars="200"/>
        <w:rPr>
          <w:color w:val="auto"/>
          <w:sz w:val="21"/>
          <w:szCs w:val="21"/>
          <w:highlight w:val="none"/>
        </w:rPr>
      </w:pPr>
      <w:bookmarkStart w:id="930" w:name="_Toc351203561"/>
      <w:bookmarkStart w:id="931" w:name="_Toc532377247"/>
      <w:r>
        <w:rPr>
          <w:rFonts w:hint="eastAsia"/>
          <w:color w:val="auto"/>
          <w:sz w:val="21"/>
          <w:szCs w:val="21"/>
          <w:highlight w:val="none"/>
        </w:rPr>
        <w:t>8</w:t>
      </w:r>
      <w:bookmarkStart w:id="932" w:name="_Toc296346564"/>
      <w:bookmarkStart w:id="933" w:name="_Toc296503063"/>
      <w:bookmarkStart w:id="934" w:name="_Toc337558781"/>
      <w:r>
        <w:rPr>
          <w:rFonts w:hint="eastAsia"/>
          <w:color w:val="auto"/>
          <w:sz w:val="21"/>
          <w:szCs w:val="21"/>
          <w:highlight w:val="none"/>
        </w:rPr>
        <w:t>.9材料与设备专用</w:t>
      </w:r>
      <w:bookmarkEnd w:id="930"/>
      <w:r>
        <w:rPr>
          <w:rFonts w:hint="eastAsia"/>
          <w:color w:val="auto"/>
          <w:sz w:val="21"/>
          <w:szCs w:val="21"/>
          <w:highlight w:val="none"/>
        </w:rPr>
        <w:t>要求</w:t>
      </w:r>
      <w:bookmarkEnd w:id="931"/>
    </w:p>
    <w:bookmarkEnd w:id="932"/>
    <w:bookmarkEnd w:id="933"/>
    <w:bookmarkEnd w:id="934"/>
    <w:p w14:paraId="5F3126E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909"/>
      <w:r>
        <w:rPr>
          <w:rFonts w:hint="eastAsia" w:ascii="宋体" w:hAnsi="宋体"/>
          <w:color w:val="auto"/>
          <w:kern w:val="0"/>
          <w:szCs w:val="21"/>
          <w:highlight w:val="none"/>
        </w:rPr>
        <w:t>经发包人批准，承包人可以根据施工进度计划撤走闲置的施工设备和其他物品。</w:t>
      </w:r>
    </w:p>
    <w:p w14:paraId="6A33B888">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35" w:name="_Toc532375595"/>
      <w:bookmarkStart w:id="936" w:name="_Toc351203562"/>
      <w:bookmarkStart w:id="937" w:name="_Toc532377248"/>
      <w:r>
        <w:rPr>
          <w:rFonts w:hint="eastAsia"/>
          <w:color w:val="auto"/>
          <w:kern w:val="2"/>
          <w:sz w:val="21"/>
          <w:szCs w:val="21"/>
          <w:highlight w:val="none"/>
        </w:rPr>
        <w:t>9</w:t>
      </w:r>
      <w:bookmarkStart w:id="938" w:name="_Toc337558782"/>
      <w:bookmarkStart w:id="939" w:name="_Toc296503083"/>
      <w:bookmarkStart w:id="940" w:name="_Toc296346584"/>
      <w:r>
        <w:rPr>
          <w:rFonts w:hint="eastAsia"/>
          <w:color w:val="auto"/>
          <w:kern w:val="2"/>
          <w:sz w:val="21"/>
          <w:szCs w:val="21"/>
          <w:highlight w:val="none"/>
        </w:rPr>
        <w:t>. 试验与检验</w:t>
      </w:r>
      <w:bookmarkEnd w:id="935"/>
      <w:bookmarkEnd w:id="936"/>
      <w:bookmarkEnd w:id="937"/>
    </w:p>
    <w:bookmarkEnd w:id="938"/>
    <w:p w14:paraId="5E42443A">
      <w:pPr>
        <w:pStyle w:val="7"/>
        <w:spacing w:before="0" w:beforeAutospacing="0" w:after="0" w:afterAutospacing="0" w:line="360" w:lineRule="auto"/>
        <w:ind w:firstLine="422" w:firstLineChars="200"/>
        <w:rPr>
          <w:color w:val="auto"/>
          <w:sz w:val="21"/>
          <w:szCs w:val="21"/>
          <w:highlight w:val="none"/>
        </w:rPr>
      </w:pPr>
      <w:bookmarkStart w:id="941" w:name="_Toc532377249"/>
      <w:bookmarkStart w:id="942" w:name="_Toc351203563"/>
      <w:r>
        <w:rPr>
          <w:rFonts w:hint="eastAsia"/>
          <w:color w:val="auto"/>
          <w:sz w:val="21"/>
          <w:szCs w:val="21"/>
          <w:highlight w:val="none"/>
        </w:rPr>
        <w:t>9</w:t>
      </w:r>
      <w:bookmarkStart w:id="943" w:name="_Toc337558783"/>
      <w:r>
        <w:rPr>
          <w:rFonts w:hint="eastAsia"/>
          <w:color w:val="auto"/>
          <w:sz w:val="21"/>
          <w:szCs w:val="21"/>
          <w:highlight w:val="none"/>
        </w:rPr>
        <w:t>.1试验设备与试验人员</w:t>
      </w:r>
      <w:bookmarkEnd w:id="941"/>
      <w:bookmarkEnd w:id="942"/>
    </w:p>
    <w:bookmarkEnd w:id="943"/>
    <w:p w14:paraId="35C07C9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631E4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9.1.2 承包人应按专用合同条款的约定提供试验设备、取样装置、试验场所和试验条件，并向监理人提交相应进场计划表。</w:t>
      </w:r>
    </w:p>
    <w:p w14:paraId="7BB74AE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承包人配置的试验设备要符合相应试验规程的要求并经过具有资质的检测单位检测，且在正式使用该试验设备前，需要经过监理人与承包人共同校定。</w:t>
      </w:r>
    </w:p>
    <w:p w14:paraId="3680389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9.1.3 承包人应向监理人提交试验人员的名单及其岗位、资格等证明资料，试验人员必须能够熟练进行相应的检测试验，承包人对试验人员的试验程序和试验结果的正确性负责。</w:t>
      </w:r>
    </w:p>
    <w:p w14:paraId="1C719586">
      <w:pPr>
        <w:pStyle w:val="7"/>
        <w:spacing w:before="0" w:beforeAutospacing="0" w:after="0" w:afterAutospacing="0" w:line="360" w:lineRule="auto"/>
        <w:ind w:firstLine="422" w:firstLineChars="200"/>
        <w:rPr>
          <w:color w:val="auto"/>
          <w:sz w:val="21"/>
          <w:szCs w:val="21"/>
          <w:highlight w:val="none"/>
        </w:rPr>
      </w:pPr>
      <w:bookmarkStart w:id="944" w:name="_Toc532377250"/>
      <w:bookmarkStart w:id="945" w:name="_Toc351203564"/>
      <w:r>
        <w:rPr>
          <w:rFonts w:hint="eastAsia"/>
          <w:color w:val="auto"/>
          <w:sz w:val="21"/>
          <w:szCs w:val="21"/>
          <w:highlight w:val="none"/>
        </w:rPr>
        <w:t>9</w:t>
      </w:r>
      <w:bookmarkStart w:id="946" w:name="_Toc337558784"/>
      <w:r>
        <w:rPr>
          <w:rFonts w:hint="eastAsia"/>
          <w:color w:val="auto"/>
          <w:sz w:val="21"/>
          <w:szCs w:val="21"/>
          <w:highlight w:val="none"/>
        </w:rPr>
        <w:t>.2取样</w:t>
      </w:r>
      <w:bookmarkEnd w:id="944"/>
      <w:bookmarkEnd w:id="945"/>
    </w:p>
    <w:bookmarkEnd w:id="946"/>
    <w:p w14:paraId="7DD0CC0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试验属于自检性质的，承包人可以单独取样。试验属于监理人抽检性质的，可由监理人取样，也可由承包人的试验人员在监理人的监督下取样。</w:t>
      </w:r>
    </w:p>
    <w:p w14:paraId="07C078F5">
      <w:pPr>
        <w:pStyle w:val="7"/>
        <w:spacing w:before="0" w:beforeAutospacing="0" w:after="0" w:afterAutospacing="0" w:line="360" w:lineRule="auto"/>
        <w:ind w:firstLine="422" w:firstLineChars="200"/>
        <w:rPr>
          <w:color w:val="auto"/>
          <w:sz w:val="21"/>
          <w:szCs w:val="21"/>
          <w:highlight w:val="none"/>
        </w:rPr>
      </w:pPr>
      <w:bookmarkStart w:id="947" w:name="_Toc351203565"/>
      <w:bookmarkStart w:id="948" w:name="_Toc532377251"/>
      <w:r>
        <w:rPr>
          <w:rFonts w:hint="eastAsia"/>
          <w:color w:val="auto"/>
          <w:sz w:val="21"/>
          <w:szCs w:val="21"/>
          <w:highlight w:val="none"/>
        </w:rPr>
        <w:t>9</w:t>
      </w:r>
      <w:bookmarkStart w:id="949" w:name="_Toc337558785"/>
      <w:r>
        <w:rPr>
          <w:rFonts w:hint="eastAsia"/>
          <w:color w:val="auto"/>
          <w:sz w:val="21"/>
          <w:szCs w:val="21"/>
          <w:highlight w:val="none"/>
        </w:rPr>
        <w:t>.3材料、工程设备和工程的试验和检验</w:t>
      </w:r>
      <w:bookmarkEnd w:id="947"/>
      <w:bookmarkEnd w:id="948"/>
    </w:p>
    <w:bookmarkEnd w:id="949"/>
    <w:p w14:paraId="37231F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0DBA1D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641F8B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032E190">
      <w:pPr>
        <w:pStyle w:val="7"/>
        <w:spacing w:before="0" w:beforeAutospacing="0" w:after="0" w:afterAutospacing="0" w:line="360" w:lineRule="auto"/>
        <w:ind w:firstLine="422" w:firstLineChars="200"/>
        <w:rPr>
          <w:color w:val="auto"/>
          <w:sz w:val="21"/>
          <w:szCs w:val="21"/>
          <w:highlight w:val="none"/>
        </w:rPr>
      </w:pPr>
      <w:bookmarkStart w:id="950" w:name="_Toc532377252"/>
      <w:bookmarkStart w:id="951" w:name="_Toc351203566"/>
      <w:r>
        <w:rPr>
          <w:rFonts w:hint="eastAsia"/>
          <w:color w:val="auto"/>
          <w:sz w:val="21"/>
          <w:szCs w:val="21"/>
          <w:highlight w:val="none"/>
        </w:rPr>
        <w:t>9</w:t>
      </w:r>
      <w:bookmarkStart w:id="952" w:name="_Toc337558786"/>
      <w:r>
        <w:rPr>
          <w:rFonts w:hint="eastAsia"/>
          <w:color w:val="auto"/>
          <w:sz w:val="21"/>
          <w:szCs w:val="21"/>
          <w:highlight w:val="none"/>
        </w:rPr>
        <w:t>.4现场工艺试验</w:t>
      </w:r>
      <w:bookmarkEnd w:id="950"/>
      <w:bookmarkEnd w:id="951"/>
    </w:p>
    <w:bookmarkEnd w:id="952"/>
    <w:p w14:paraId="03CB781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3884D08C">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53" w:name="_Toc532375596"/>
      <w:bookmarkStart w:id="954" w:name="_Toc532377253"/>
      <w:bookmarkStart w:id="955" w:name="_Toc351203567"/>
      <w:r>
        <w:rPr>
          <w:rFonts w:hint="eastAsia"/>
          <w:color w:val="auto"/>
          <w:kern w:val="2"/>
          <w:sz w:val="21"/>
          <w:szCs w:val="21"/>
          <w:highlight w:val="none"/>
        </w:rPr>
        <w:t>1</w:t>
      </w:r>
      <w:bookmarkStart w:id="956" w:name="_Toc337558787"/>
      <w:r>
        <w:rPr>
          <w:rFonts w:hint="eastAsia"/>
          <w:color w:val="auto"/>
          <w:kern w:val="2"/>
          <w:sz w:val="21"/>
          <w:szCs w:val="21"/>
          <w:highlight w:val="none"/>
        </w:rPr>
        <w:t>0. 变更</w:t>
      </w:r>
      <w:bookmarkEnd w:id="939"/>
      <w:bookmarkEnd w:id="940"/>
      <w:bookmarkEnd w:id="953"/>
      <w:bookmarkEnd w:id="954"/>
      <w:bookmarkEnd w:id="955"/>
    </w:p>
    <w:bookmarkEnd w:id="956"/>
    <w:p w14:paraId="7ABAAF49">
      <w:pPr>
        <w:pStyle w:val="7"/>
        <w:spacing w:before="0" w:beforeAutospacing="0" w:after="0" w:afterAutospacing="0" w:line="360" w:lineRule="auto"/>
        <w:ind w:firstLine="422" w:firstLineChars="200"/>
        <w:rPr>
          <w:color w:val="auto"/>
          <w:sz w:val="21"/>
          <w:szCs w:val="21"/>
          <w:highlight w:val="none"/>
        </w:rPr>
      </w:pPr>
      <w:bookmarkStart w:id="957" w:name="_Toc532377254"/>
      <w:bookmarkStart w:id="958" w:name="_Toc351203568"/>
      <w:r>
        <w:rPr>
          <w:rFonts w:hint="eastAsia"/>
          <w:color w:val="auto"/>
          <w:sz w:val="21"/>
          <w:szCs w:val="21"/>
          <w:highlight w:val="none"/>
        </w:rPr>
        <w:t>1</w:t>
      </w:r>
      <w:bookmarkStart w:id="959" w:name="_Toc296503084"/>
      <w:bookmarkStart w:id="960" w:name="_Toc337558788"/>
      <w:bookmarkStart w:id="961" w:name="_Toc296346585"/>
      <w:r>
        <w:rPr>
          <w:rFonts w:hint="eastAsia"/>
          <w:color w:val="auto"/>
          <w:sz w:val="21"/>
          <w:szCs w:val="21"/>
          <w:highlight w:val="none"/>
        </w:rPr>
        <w:t>0.1变更的范围</w:t>
      </w:r>
      <w:bookmarkEnd w:id="957"/>
      <w:bookmarkEnd w:id="958"/>
    </w:p>
    <w:bookmarkEnd w:id="959"/>
    <w:bookmarkEnd w:id="960"/>
    <w:bookmarkEnd w:id="961"/>
    <w:p w14:paraId="59625E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除专用合同条款另有约定外，合同履行过程中发生以下情形的，应按照本条约定进行变更：</w:t>
      </w:r>
    </w:p>
    <w:p w14:paraId="07C6CC9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（1）增加或减少合同中任何工作，或追加额外的工作；</w:t>
      </w:r>
    </w:p>
    <w:p w14:paraId="1DC03D5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（2）取消合同中任何工作，但转由他人实施的工作除外；</w:t>
      </w:r>
    </w:p>
    <w:p w14:paraId="1E9E2C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（3）改变合同中任何工作的质量标准或其他特性；</w:t>
      </w:r>
    </w:p>
    <w:p w14:paraId="51C9DBB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（4）改变工程的基线、标高、位置和尺寸；</w:t>
      </w:r>
    </w:p>
    <w:p w14:paraId="601711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（5）改变工程的时间安排或实施顺序。</w:t>
      </w:r>
    </w:p>
    <w:p w14:paraId="3E6A22CB">
      <w:pPr>
        <w:pStyle w:val="7"/>
        <w:spacing w:before="0" w:beforeAutospacing="0" w:after="0" w:afterAutospacing="0" w:line="360" w:lineRule="auto"/>
        <w:ind w:firstLine="422" w:firstLineChars="200"/>
        <w:rPr>
          <w:color w:val="auto"/>
          <w:sz w:val="21"/>
          <w:szCs w:val="21"/>
          <w:highlight w:val="none"/>
        </w:rPr>
      </w:pPr>
      <w:bookmarkStart w:id="962" w:name="_Toc532377255"/>
      <w:r>
        <w:rPr>
          <w:rFonts w:hint="eastAsia"/>
          <w:color w:val="auto"/>
          <w:sz w:val="21"/>
          <w:szCs w:val="21"/>
          <w:highlight w:val="none"/>
        </w:rPr>
        <w:t>10.2变更权</w:t>
      </w:r>
      <w:bookmarkEnd w:id="962"/>
    </w:p>
    <w:p w14:paraId="456B38B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12924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涉及设计变更的，应由设计人提供变更后的图纸和说明。如变更超过原设计标准或批准的建设规模时，发包人应及时办理规划、设计变更等审批手续。</w:t>
      </w:r>
    </w:p>
    <w:p w14:paraId="421D86F4">
      <w:pPr>
        <w:pStyle w:val="7"/>
        <w:spacing w:before="0" w:beforeAutospacing="0" w:after="0" w:afterAutospacing="0" w:line="360" w:lineRule="auto"/>
        <w:ind w:firstLine="422" w:firstLineChars="200"/>
        <w:rPr>
          <w:color w:val="auto"/>
          <w:sz w:val="21"/>
          <w:szCs w:val="21"/>
          <w:highlight w:val="none"/>
        </w:rPr>
      </w:pPr>
      <w:bookmarkStart w:id="963" w:name="_Toc532377256"/>
      <w:r>
        <w:rPr>
          <w:rFonts w:hint="eastAsia"/>
          <w:color w:val="auto"/>
          <w:sz w:val="21"/>
          <w:szCs w:val="21"/>
          <w:highlight w:val="none"/>
        </w:rPr>
        <w:t>10.3变更程序</w:t>
      </w:r>
      <w:bookmarkEnd w:id="963"/>
    </w:p>
    <w:p w14:paraId="55C072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10.3.1 发包人提出变更</w:t>
      </w:r>
    </w:p>
    <w:p w14:paraId="6184722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发包人提出变更的，应通过监理人向承包人发出变更指示，变更指示应说明计划变更的工程范围和变更的内容。</w:t>
      </w:r>
    </w:p>
    <w:p w14:paraId="0964E02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10.3.2 监理人提出变更建议</w:t>
      </w:r>
    </w:p>
    <w:p w14:paraId="39E7A6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D6DCB0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10.3.3 变更执行</w:t>
      </w:r>
    </w:p>
    <w:p w14:paraId="506079E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C14E395">
      <w:pPr>
        <w:pStyle w:val="7"/>
        <w:spacing w:before="0" w:beforeAutospacing="0" w:after="0" w:afterAutospacing="0" w:line="360" w:lineRule="auto"/>
        <w:ind w:firstLine="422" w:firstLineChars="200"/>
        <w:rPr>
          <w:color w:val="auto"/>
          <w:sz w:val="21"/>
          <w:szCs w:val="21"/>
          <w:highlight w:val="none"/>
        </w:rPr>
      </w:pPr>
      <w:bookmarkStart w:id="964" w:name="_Toc532377257"/>
      <w:bookmarkStart w:id="965" w:name="_Toc351203571"/>
      <w:r>
        <w:rPr>
          <w:rFonts w:hint="eastAsia"/>
          <w:color w:val="auto"/>
          <w:sz w:val="21"/>
          <w:szCs w:val="21"/>
          <w:highlight w:val="none"/>
        </w:rPr>
        <w:t>1</w:t>
      </w:r>
      <w:bookmarkStart w:id="966" w:name="_Toc296346588"/>
      <w:bookmarkStart w:id="967" w:name="_Toc296503087"/>
      <w:bookmarkStart w:id="968" w:name="_Toc337558791"/>
      <w:r>
        <w:rPr>
          <w:rFonts w:hint="eastAsia"/>
          <w:color w:val="auto"/>
          <w:sz w:val="21"/>
          <w:szCs w:val="21"/>
          <w:highlight w:val="none"/>
        </w:rPr>
        <w:t>0.4变更估价</w:t>
      </w:r>
      <w:bookmarkEnd w:id="964"/>
      <w:bookmarkEnd w:id="965"/>
    </w:p>
    <w:bookmarkEnd w:id="966"/>
    <w:bookmarkEnd w:id="967"/>
    <w:bookmarkEnd w:id="968"/>
    <w:p w14:paraId="329B975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10.4.1 变更估价原则</w:t>
      </w:r>
    </w:p>
    <w:p w14:paraId="190A19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除专用合同条款另有约定外，变更估价按照本款约定处理：</w:t>
      </w:r>
    </w:p>
    <w:p w14:paraId="7CFB5C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（1）已标价工程量清单或预算书有相同项目的，按照相同项目单价认定；</w:t>
      </w:r>
    </w:p>
    <w:p w14:paraId="1CFA326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（2）已标价工程量清单或预算书中无相同项目，但有类似项目的，参照类似项目的单价认定；</w:t>
      </w:r>
    </w:p>
    <w:p w14:paraId="380585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4BC73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10.4.2 变更估价程序</w:t>
      </w:r>
    </w:p>
    <w:p w14:paraId="20A4D29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B8AFE8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因变更引起的价格调整应计入最近一期的进度款中支付。</w:t>
      </w:r>
    </w:p>
    <w:p w14:paraId="3B6BF841">
      <w:pPr>
        <w:pStyle w:val="7"/>
        <w:spacing w:before="0" w:beforeAutospacing="0" w:after="0" w:afterAutospacing="0" w:line="360" w:lineRule="auto"/>
        <w:ind w:firstLine="422" w:firstLineChars="200"/>
        <w:rPr>
          <w:color w:val="auto"/>
          <w:sz w:val="21"/>
          <w:szCs w:val="21"/>
          <w:highlight w:val="none"/>
        </w:rPr>
      </w:pPr>
      <w:bookmarkStart w:id="969" w:name="_Toc532377258"/>
      <w:bookmarkStart w:id="970" w:name="_Toc351203572"/>
      <w:r>
        <w:rPr>
          <w:rFonts w:hint="eastAsia"/>
          <w:color w:val="auto"/>
          <w:sz w:val="21"/>
          <w:szCs w:val="21"/>
          <w:highlight w:val="none"/>
        </w:rPr>
        <w:t>1</w:t>
      </w:r>
      <w:bookmarkStart w:id="971" w:name="_Toc296346595"/>
      <w:bookmarkStart w:id="972" w:name="_Toc296503094"/>
      <w:bookmarkStart w:id="973" w:name="_Toc337558792"/>
      <w:r>
        <w:rPr>
          <w:rFonts w:hint="eastAsia"/>
          <w:color w:val="auto"/>
          <w:sz w:val="21"/>
          <w:szCs w:val="21"/>
          <w:highlight w:val="none"/>
        </w:rPr>
        <w:t>0.5承包人的合理化建议</w:t>
      </w:r>
      <w:bookmarkEnd w:id="969"/>
      <w:bookmarkEnd w:id="970"/>
    </w:p>
    <w:bookmarkEnd w:id="971"/>
    <w:bookmarkEnd w:id="972"/>
    <w:bookmarkEnd w:id="973"/>
    <w:p w14:paraId="5E832E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承包人提出合理化建议的，应向监理人提交合理化建议说明，说明建议的内容和理由，以及实施该建议对合同价格和工期的影响。</w:t>
      </w:r>
    </w:p>
    <w:p w14:paraId="315566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0DA8AB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合理化建议降低了合同价格或者提高了工程经济效益的，发包人可对承包人给予奖励，奖励的方法和金额在专用合同条款中约定。</w:t>
      </w:r>
    </w:p>
    <w:p w14:paraId="40D483C8">
      <w:pPr>
        <w:pStyle w:val="7"/>
        <w:spacing w:before="0" w:beforeAutospacing="0" w:after="0" w:afterAutospacing="0" w:line="360" w:lineRule="auto"/>
        <w:ind w:firstLine="422" w:firstLineChars="200"/>
        <w:rPr>
          <w:color w:val="auto"/>
          <w:sz w:val="21"/>
          <w:szCs w:val="21"/>
          <w:highlight w:val="none"/>
        </w:rPr>
      </w:pPr>
      <w:bookmarkStart w:id="974" w:name="_Toc351203573"/>
      <w:bookmarkStart w:id="975" w:name="_Toc532377259"/>
      <w:r>
        <w:rPr>
          <w:rFonts w:hint="eastAsia"/>
          <w:color w:val="auto"/>
          <w:sz w:val="21"/>
          <w:szCs w:val="21"/>
          <w:highlight w:val="none"/>
        </w:rPr>
        <w:t>1</w:t>
      </w:r>
      <w:bookmarkStart w:id="976" w:name="_Toc337558793"/>
      <w:r>
        <w:rPr>
          <w:rFonts w:hint="eastAsia"/>
          <w:color w:val="auto"/>
          <w:sz w:val="21"/>
          <w:szCs w:val="21"/>
          <w:highlight w:val="none"/>
        </w:rPr>
        <w:t>0.6变更引起的工期调整</w:t>
      </w:r>
      <w:bookmarkEnd w:id="974"/>
      <w:bookmarkEnd w:id="975"/>
      <w:bookmarkEnd w:id="976"/>
    </w:p>
    <w:p w14:paraId="7D13CA3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因变更引起工期变化的，合同当事人均可要求调整合同工期，由合同当事人按照第4.4款〔商定或确定〕并参考工程所在地的工期定额标准确定增减工期天数。</w:t>
      </w:r>
    </w:p>
    <w:p w14:paraId="58ED779E">
      <w:pPr>
        <w:pStyle w:val="7"/>
        <w:spacing w:before="0" w:beforeAutospacing="0" w:after="0" w:afterAutospacing="0" w:line="360" w:lineRule="auto"/>
        <w:ind w:firstLine="422" w:firstLineChars="200"/>
        <w:rPr>
          <w:color w:val="auto"/>
          <w:sz w:val="21"/>
          <w:szCs w:val="21"/>
          <w:highlight w:val="none"/>
        </w:rPr>
      </w:pPr>
      <w:bookmarkStart w:id="977" w:name="_Toc351203574"/>
      <w:bookmarkStart w:id="978" w:name="_Toc532377260"/>
      <w:r>
        <w:rPr>
          <w:rFonts w:hint="eastAsia"/>
          <w:color w:val="auto"/>
          <w:sz w:val="21"/>
          <w:szCs w:val="21"/>
          <w:highlight w:val="none"/>
        </w:rPr>
        <w:t>10.7暂估价</w:t>
      </w:r>
      <w:bookmarkEnd w:id="977"/>
      <w:bookmarkEnd w:id="978"/>
    </w:p>
    <w:p w14:paraId="596AA6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暂估价专业分包工程、服务、材料和工程设备的明细由合同当事人在专用合同条款中约定。</w:t>
      </w:r>
    </w:p>
    <w:p w14:paraId="7F3F305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10.7.1 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w:t>
      </w:r>
    </w:p>
    <w:p w14:paraId="15AA39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的暂估价项目，采取以下第1种方式确定。合同当事人也可以在专用合同条款中选择其他</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方式。</w:t>
      </w:r>
    </w:p>
    <w:p w14:paraId="6C06B36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第1种方式：对于依法必须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的暂估价项目，由承包人</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，对该暂估价项目的确认和批准按照以下约定执行：</w:t>
      </w:r>
    </w:p>
    <w:p w14:paraId="502A45C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（1）承包人应当根据施工进度计划，在</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工作启动前14天将</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方案通过监理人报送发包人审查，发包人应当在收到承包人报送的</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方案后7天内批准或提出修改意见。承包人应当按照经过发包人批准的</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方案开展</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工作；</w:t>
      </w:r>
    </w:p>
    <w:p w14:paraId="2A01C42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（2）承包人应当根据施工进度计划，提前14天将</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文件通过监理人报送发包人审批，发包人应当在收到承包人报送的相关文件后7天内完成审批或提出修改意见；发包人有权确定最高限价并按照法律规定参加评标；</w:t>
      </w:r>
    </w:p>
    <w:p w14:paraId="634EDF2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A4A07D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第2种方式：对于依法必须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的暂估价项目，由发包人和承包人共同</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确定暂估价供应商或分包人的，承包人应按照施工进度计划，在</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工作启动前14天通知发包人，并提交暂估价</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方案和工作分工。发包人应在收到后7天内确认。确定中标人后，由发包人、承包人与中标人共同签订暂估价合同。</w:t>
      </w:r>
    </w:p>
    <w:p w14:paraId="249D47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10.7.2不属于依法必须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w:t>
      </w:r>
    </w:p>
    <w:p w14:paraId="1DA0C7D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除专用合同条款另有约定外，对于不属于依法必须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 xml:space="preserve">的暂估价项目，采取以下第1种方式确定： </w:t>
      </w:r>
    </w:p>
    <w:p w14:paraId="4D59C97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第1种方式：对于不属于依法必须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的暂估价项目，按本项约定确认和批准：</w:t>
      </w:r>
    </w:p>
    <w:p w14:paraId="153737D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B6D699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（2）发包人认为承包人确定的供应商、分包人无法满足工程质量或合同要求的，发包人可以要求承包人重新确定暂估价项目的供应商、分包人;</w:t>
      </w:r>
    </w:p>
    <w:p w14:paraId="4123C17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（3）承包人应当在签订暂估价合同后7天内，将暂估价合同副本报送发包人留存。</w:t>
      </w:r>
    </w:p>
    <w:p w14:paraId="4B00829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第2种方式：承包人按照第10.7.1项〔依法必须</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的暂估价项目〕约定的第1种方式确定暂估价项目。</w:t>
      </w:r>
    </w:p>
    <w:p w14:paraId="312074A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第3种方式：承包人直接实施的暂估价项目</w:t>
      </w:r>
    </w:p>
    <w:p w14:paraId="3FFF443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承包人具备实施暂估价项目的资格和条件的，经发包人和承包人协商一致后，可由承包人自行实施暂估价项目，合同当事人可以在专用合同条款约定具体事项。</w:t>
      </w:r>
    </w:p>
    <w:p w14:paraId="603842C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D0A6064">
      <w:pPr>
        <w:pStyle w:val="7"/>
        <w:spacing w:before="0" w:beforeAutospacing="0" w:after="0" w:afterAutospacing="0" w:line="360" w:lineRule="auto"/>
        <w:ind w:firstLine="422" w:firstLineChars="200"/>
        <w:rPr>
          <w:color w:val="auto"/>
          <w:sz w:val="21"/>
          <w:szCs w:val="21"/>
          <w:highlight w:val="none"/>
        </w:rPr>
      </w:pPr>
      <w:bookmarkStart w:id="979" w:name="_Toc351203575"/>
      <w:bookmarkStart w:id="980" w:name="_Toc532377261"/>
      <w:r>
        <w:rPr>
          <w:rFonts w:hint="eastAsia"/>
          <w:color w:val="auto"/>
          <w:sz w:val="21"/>
          <w:szCs w:val="21"/>
          <w:highlight w:val="none"/>
        </w:rPr>
        <w:t>1</w:t>
      </w:r>
      <w:bookmarkStart w:id="981" w:name="_Toc337558794"/>
      <w:bookmarkStart w:id="982" w:name="_Toc322522561"/>
      <w:bookmarkStart w:id="983" w:name="_Toc296346591"/>
      <w:bookmarkStart w:id="984" w:name="_Toc296503090"/>
      <w:r>
        <w:rPr>
          <w:rFonts w:hint="eastAsia"/>
          <w:color w:val="auto"/>
          <w:sz w:val="21"/>
          <w:szCs w:val="21"/>
          <w:highlight w:val="none"/>
        </w:rPr>
        <w:t>0.8暂列金额</w:t>
      </w:r>
      <w:bookmarkEnd w:id="979"/>
      <w:bookmarkEnd w:id="980"/>
    </w:p>
    <w:bookmarkEnd w:id="981"/>
    <w:p w14:paraId="0818822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暂列金额应按照发包人的要求使用，发包人的要求应通过监理人发出。合同当事人可以在专用合同条款中协商确定有关事项。</w:t>
      </w:r>
    </w:p>
    <w:bookmarkEnd w:id="982"/>
    <w:bookmarkEnd w:id="983"/>
    <w:bookmarkEnd w:id="984"/>
    <w:p w14:paraId="4E8DE740">
      <w:pPr>
        <w:pStyle w:val="7"/>
        <w:spacing w:before="0" w:beforeAutospacing="0" w:after="0" w:afterAutospacing="0" w:line="360" w:lineRule="auto"/>
        <w:ind w:firstLine="422" w:firstLineChars="200"/>
        <w:rPr>
          <w:color w:val="auto"/>
          <w:sz w:val="21"/>
          <w:szCs w:val="21"/>
          <w:highlight w:val="none"/>
        </w:rPr>
      </w:pPr>
      <w:bookmarkStart w:id="985" w:name="_Toc351203576"/>
      <w:bookmarkStart w:id="986" w:name="_Toc532377262"/>
      <w:r>
        <w:rPr>
          <w:rFonts w:hint="eastAsia"/>
          <w:color w:val="auto"/>
          <w:sz w:val="21"/>
          <w:szCs w:val="21"/>
          <w:highlight w:val="none"/>
        </w:rPr>
        <w:t>1</w:t>
      </w:r>
      <w:bookmarkStart w:id="987" w:name="_Toc296346592"/>
      <w:bookmarkStart w:id="988" w:name="_Toc337558796"/>
      <w:bookmarkStart w:id="989" w:name="_Toc296503091"/>
      <w:r>
        <w:rPr>
          <w:rFonts w:hint="eastAsia"/>
          <w:color w:val="auto"/>
          <w:sz w:val="21"/>
          <w:szCs w:val="21"/>
          <w:highlight w:val="none"/>
        </w:rPr>
        <w:t>0.9计日工</w:t>
      </w:r>
      <w:bookmarkEnd w:id="985"/>
      <w:bookmarkEnd w:id="986"/>
      <w:bookmarkEnd w:id="987"/>
      <w:bookmarkEnd w:id="988"/>
      <w:bookmarkEnd w:id="989"/>
    </w:p>
    <w:p w14:paraId="5CB87A2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165D383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采用计日工计价的任何一项工作，承包人应在该项工作实施过程中，每天提交以下报表和有关凭证报送监理人审查：</w:t>
      </w:r>
    </w:p>
    <w:p w14:paraId="705A7EA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（1）工作名称、内容和数量；</w:t>
      </w:r>
    </w:p>
    <w:p w14:paraId="0F494EA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（2）投入该工作的所有人员的姓名、专业、工种、级别和耗用工时；</w:t>
      </w:r>
    </w:p>
    <w:p w14:paraId="1E7CB68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（3）投入该工作的材料类别和数量；</w:t>
      </w:r>
    </w:p>
    <w:p w14:paraId="08FBDA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（4）投入该工作的施工设备型号、台数和耗用台时；</w:t>
      </w:r>
    </w:p>
    <w:p w14:paraId="788AD91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（5）其他有关资料和凭证。</w:t>
      </w:r>
    </w:p>
    <w:p w14:paraId="659FAEB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 计日工由承包人汇总后，列入最近一期进度付款申请单，由监理人审查并经发包人批准后列入进度付款。</w:t>
      </w:r>
    </w:p>
    <w:p w14:paraId="49A41FC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990" w:name="_Toc532375597"/>
      <w:bookmarkStart w:id="991" w:name="_Toc351203577"/>
      <w:bookmarkStart w:id="992" w:name="_Toc532377263"/>
      <w:r>
        <w:rPr>
          <w:rFonts w:hint="eastAsia"/>
          <w:color w:val="auto"/>
          <w:kern w:val="2"/>
          <w:sz w:val="21"/>
          <w:szCs w:val="21"/>
          <w:highlight w:val="none"/>
        </w:rPr>
        <w:t>11. 价格调整</w:t>
      </w:r>
      <w:bookmarkEnd w:id="990"/>
      <w:bookmarkEnd w:id="991"/>
      <w:bookmarkEnd w:id="992"/>
    </w:p>
    <w:p w14:paraId="076A8CC0">
      <w:pPr>
        <w:pStyle w:val="7"/>
        <w:spacing w:before="0" w:beforeAutospacing="0" w:after="0" w:afterAutospacing="0" w:line="360" w:lineRule="auto"/>
        <w:ind w:firstLine="422" w:firstLineChars="200"/>
        <w:rPr>
          <w:color w:val="auto"/>
          <w:sz w:val="21"/>
          <w:szCs w:val="21"/>
          <w:highlight w:val="none"/>
        </w:rPr>
      </w:pPr>
      <w:bookmarkStart w:id="993" w:name="_Toc532377264"/>
      <w:bookmarkStart w:id="994" w:name="_Toc351203578"/>
      <w:bookmarkStart w:id="995" w:name="_Toc337558797"/>
      <w:bookmarkStart w:id="996" w:name="_Toc296503092"/>
      <w:bookmarkStart w:id="997" w:name="_Toc296346593"/>
      <w:r>
        <w:rPr>
          <w:rFonts w:hint="eastAsia"/>
          <w:color w:val="auto"/>
          <w:sz w:val="21"/>
          <w:szCs w:val="21"/>
          <w:highlight w:val="none"/>
        </w:rPr>
        <w:t>11.1市场价格波动引起的调整</w:t>
      </w:r>
      <w:bookmarkEnd w:id="993"/>
      <w:bookmarkEnd w:id="994"/>
    </w:p>
    <w:bookmarkEnd w:id="995"/>
    <w:bookmarkEnd w:id="996"/>
    <w:bookmarkEnd w:id="997"/>
    <w:p w14:paraId="75E6EBA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除专用合同条款另有约定外，市场价格波动超过合同当事人约定的范围，合同价格应当调整。合同当事人可以在专用合同条款中约定选择以下一种方式对合同价格进行调整：</w:t>
      </w:r>
    </w:p>
    <w:p w14:paraId="5574294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第1种方式：采用价格指数进行价格调整。</w:t>
      </w:r>
    </w:p>
    <w:p w14:paraId="18EAB3BC">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（1）价格调整公式</w:t>
      </w:r>
    </w:p>
    <w:p w14:paraId="11F5A73D">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因人工、材料和设备等价格波动影响合同价格时，根据专用合同条款中约定的数据，按以下公式计算差额并调整合同价格：</w:t>
      </w:r>
    </w:p>
    <w:p w14:paraId="4E9CEBFF">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5" o:spt="75" type="#_x0000_t75" style="height:42.75pt;width:360pt;" o:ole="t" filled="f" o:preferrelative="t" stroked="f" coordsize="21600,21600">
            <v:path/>
            <v:fill on="f" focussize="0,0"/>
            <v:stroke on="f"/>
            <v:imagedata r:id="rId11" o:title=""/>
            <o:lock v:ext="edit" aspectratio="t"/>
            <w10:wrap type="none"/>
            <w10:anchorlock/>
          </v:shape>
          <o:OLEObject Type="Embed" ProgID="Equation.3" ShapeID="_x0000_i1025" DrawAspect="Content" ObjectID="_1468075725" r:id="rId10">
            <o:LockedField>false</o:LockedField>
          </o:OLEObject>
        </w:object>
      </w:r>
    </w:p>
    <w:p w14:paraId="30AD06BC">
      <w:pPr>
        <w:tabs>
          <w:tab w:val="left" w:pos="0"/>
          <w:tab w:val="left" w:pos="360"/>
          <w:tab w:val="left" w:pos="540"/>
        </w:tabs>
        <w:spacing w:line="360" w:lineRule="auto"/>
        <w:ind w:firstLine="200"/>
        <w:jc w:val="left"/>
        <w:rPr>
          <w:rFonts w:ascii="宋体" w:hAnsi="宋体"/>
          <w:color w:val="auto"/>
          <w:kern w:val="0"/>
          <w:szCs w:val="21"/>
          <w:highlight w:val="none"/>
        </w:rPr>
      </w:pPr>
      <w:r>
        <w:rPr>
          <w:rFonts w:hint="eastAsia" w:ascii="宋体" w:hAnsi="宋体"/>
          <w:color w:val="auto"/>
          <w:kern w:val="0"/>
          <w:szCs w:val="21"/>
          <w:highlight w:val="none"/>
        </w:rPr>
        <w:t>公式中：ΔP——需调整的价格差额；</w:t>
      </w:r>
    </w:p>
    <w:p w14:paraId="372A2CDE">
      <w:pPr>
        <w:tabs>
          <w:tab w:val="left" w:pos="0"/>
          <w:tab w:val="left" w:pos="360"/>
          <w:tab w:val="left" w:pos="540"/>
        </w:tabs>
        <w:spacing w:line="360" w:lineRule="auto"/>
        <w:ind w:firstLine="1260" w:firstLineChars="600"/>
        <w:jc w:val="left"/>
        <w:rPr>
          <w:rFonts w:ascii="宋体" w:hAnsi="宋体"/>
          <w:color w:val="auto"/>
          <w:kern w:val="0"/>
          <w:szCs w:val="21"/>
          <w:highlight w:val="none"/>
        </w:rPr>
      </w:pPr>
      <w:r>
        <w:rPr>
          <w:rFonts w:hint="eastAsia" w:ascii="宋体" w:hAnsi="宋体"/>
          <w:color w:val="auto"/>
          <w:kern w:val="0"/>
          <w:szCs w:val="21"/>
          <w:highlight w:val="none"/>
        </w:rPr>
        <w:object>
          <v:shape id="_x0000_i1026" o:spt="75" type="#_x0000_t75" style="height:18.7pt;width:18.7pt;" o:ole="t" filled="f" o:preferrelative="t" stroked="f" coordsize="21600,21600">
            <v:path/>
            <v:fill on="f" focussize="0,0"/>
            <v:stroke on="f"/>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ascii="宋体" w:hAnsi="宋体"/>
          <w:color w:val="auto"/>
          <w:kern w:val="0"/>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7ED51D5">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A——定值权重（即不调部分的权重）；</w:t>
      </w:r>
    </w:p>
    <w:p w14:paraId="5E0AB935">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7" o:spt="75" type="#_x0000_t75" style="height:21.75pt;width:100.55pt;" o:ole="t" filled="f" o:preferrelative="t" stroked="f" coordsize="21600,21600">
            <v:path/>
            <v:fill on="f" focussize="0,0"/>
            <v:stroke on="f"/>
            <v:imagedata r:id="rId15" o:title=""/>
            <o:lock v:ext="edit" aspectratio="t"/>
            <w10:wrap type="none"/>
            <w10:anchorlock/>
          </v:shape>
          <o:OLEObject Type="Embed" ProgID="Equation.3" ShapeID="_x0000_i1027" DrawAspect="Content" ObjectID="_1468075727" r:id="rId14">
            <o:LockedField>false</o:LockedField>
          </o:OLEObject>
        </w:object>
      </w:r>
      <w:r>
        <w:rPr>
          <w:rFonts w:hint="eastAsia" w:ascii="宋体" w:hAnsi="宋体"/>
          <w:color w:val="auto"/>
          <w:kern w:val="0"/>
          <w:szCs w:val="21"/>
          <w:highlight w:val="none"/>
        </w:rPr>
        <w:t>——各可调因子的变值权重（即可调部分的权重），为各可调因子在签约合同价中所占的比例；</w:t>
      </w:r>
    </w:p>
    <w:p w14:paraId="5ADFA528">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8" o:spt="75" type="#_x0000_t75" style="height:21.75pt;width:102.05pt;" o:ole="t" filled="f" o:preferrelative="t" stroked="f" coordsize="21600,21600">
            <v:path/>
            <v:fill on="f" focussize="0,0"/>
            <v:stroke on="f"/>
            <v:imagedata r:id="rId17" o:title=""/>
            <o:lock v:ext="edit" aspectratio="t"/>
            <w10:wrap type="none"/>
            <w10:anchorlock/>
          </v:shape>
          <o:OLEObject Type="Embed" ProgID="Equation.3" ShapeID="_x0000_i1028" DrawAspect="Content" ObjectID="_1468075728" r:id="rId16">
            <o:LockedField>false</o:LockedField>
          </o:OLEObject>
        </w:object>
      </w:r>
      <w:r>
        <w:rPr>
          <w:rFonts w:hint="eastAsia" w:ascii="宋体" w:hAnsi="宋体"/>
          <w:color w:val="auto"/>
          <w:kern w:val="0"/>
          <w:szCs w:val="21"/>
          <w:highlight w:val="none"/>
        </w:rPr>
        <w:t>——各可调因子的现行价格指数，指约定的付款证书相关周期最后一天的前42天的各可调因子的价格指数；</w:t>
      </w:r>
    </w:p>
    <w:p w14:paraId="64FE229E">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object>
          <v:shape id="_x0000_i1029" o:spt="75" type="#_x0000_t75" style="height:21.75pt;width:108.75pt;" o:ole="t" filled="f" o:preferrelative="t" stroked="f" coordsize="21600,21600">
            <v:path/>
            <v:fill on="f" focussize="0,0"/>
            <v:stroke on="f"/>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ascii="宋体" w:hAnsi="宋体"/>
          <w:color w:val="auto"/>
          <w:kern w:val="0"/>
          <w:szCs w:val="21"/>
          <w:highlight w:val="none"/>
        </w:rPr>
        <w:t>——各可调因子的基本价格指数，指基准日期的各可调因子的价格指数。</w:t>
      </w:r>
    </w:p>
    <w:p w14:paraId="35D5FC03">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以上价格调整公式中的各可调因子、定值和变值权重，以及基本价格指数及其来源在投标函附录价格指数和权重表中约定，非</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订立的合同，由合同当事人在专用合同条款中约定。价格指数应首先采用工程造价管理机构发布的价格指数，无前述价格指数时，可采用工程造价管理机构发布的价格代替。</w:t>
      </w:r>
    </w:p>
    <w:p w14:paraId="3B464E7B">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（2）暂时确定调整差额</w:t>
      </w:r>
    </w:p>
    <w:p w14:paraId="0A5DC222">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在计算调整差额时无现行价格指数的，合同当事人同意暂用前次价格指数计算。实际价格指数有调整的，合同当事人进行相应调整。</w:t>
      </w:r>
    </w:p>
    <w:p w14:paraId="62E17184">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（3）权重的调整</w:t>
      </w:r>
    </w:p>
    <w:p w14:paraId="427877A2">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因变更导致合同约定的权重不合理时，按照第4.4款〔商定或确定〕执行。</w:t>
      </w:r>
    </w:p>
    <w:p w14:paraId="73EF0774">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（4）因承包人原因工期延误后的价格调整</w:t>
      </w:r>
    </w:p>
    <w:p w14:paraId="44B325B6">
      <w:pPr>
        <w:tabs>
          <w:tab w:val="left" w:pos="0"/>
          <w:tab w:val="left" w:pos="360"/>
          <w:tab w:val="left" w:pos="540"/>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7A4A976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第2种方式：采用造价信息进行价格调整。</w:t>
      </w:r>
    </w:p>
    <w:p w14:paraId="5285B2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3B817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1397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（2）材料、工程设备价格变化的价款调整按照发包人提供的基准价格，按以下风险范围规定执行:</w:t>
      </w:r>
    </w:p>
    <w:p w14:paraId="384455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2925BC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2A0172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6234453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AE4D333">
      <w:pPr>
        <w:spacing w:line="360" w:lineRule="auto"/>
        <w:ind w:firstLine="420" w:firstLineChars="200"/>
        <w:jc w:val="left"/>
        <w:rPr>
          <w:rFonts w:ascii="宋体" w:hAnsi="宋体"/>
          <w:color w:val="auto"/>
          <w:kern w:val="0"/>
          <w:szCs w:val="21"/>
          <w:highlight w:val="none"/>
        </w:rPr>
      </w:pPr>
      <w:bookmarkStart w:id="998" w:name="OLE_LINK3"/>
      <w:r>
        <w:rPr>
          <w:rFonts w:hint="eastAsia" w:ascii="宋体" w:hAnsi="宋体"/>
          <w:color w:val="auto"/>
          <w:kern w:val="0"/>
          <w:szCs w:val="21"/>
          <w:highlight w:val="none"/>
        </w:rPr>
        <w:t>前述基准价格是指由发包人在</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文件或专用合同条款中给定的材料、工程设备的价格，该价格原则上应当按照省级或行业建设主管部门或其授权的工程造价管理机构发布的信息价编制。</w:t>
      </w:r>
    </w:p>
    <w:p w14:paraId="5B2CE38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（3）施工机械台班单价或施工机械使用费发生变化超过省级或行业建设主管部门或其授权的工程造价管理机构规定的范围时，按规定调整合同价格。</w:t>
      </w:r>
    </w:p>
    <w:p w14:paraId="7F2885E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第3种方式：专用合同条款约定的其他方式。</w:t>
      </w:r>
    </w:p>
    <w:p w14:paraId="440113E8">
      <w:pPr>
        <w:pStyle w:val="7"/>
        <w:spacing w:before="0" w:beforeAutospacing="0" w:after="0" w:afterAutospacing="0" w:line="360" w:lineRule="auto"/>
        <w:ind w:firstLine="422" w:firstLineChars="200"/>
        <w:rPr>
          <w:color w:val="auto"/>
          <w:sz w:val="21"/>
          <w:szCs w:val="21"/>
          <w:highlight w:val="none"/>
        </w:rPr>
      </w:pPr>
      <w:bookmarkStart w:id="999" w:name="_Toc351203579"/>
      <w:bookmarkStart w:id="1000" w:name="_Toc532377265"/>
      <w:bookmarkStart w:id="1001" w:name="_Toc337558798"/>
      <w:bookmarkStart w:id="1002" w:name="_Toc296346594"/>
      <w:bookmarkStart w:id="1003" w:name="_Toc296503093"/>
      <w:r>
        <w:rPr>
          <w:rFonts w:hint="eastAsia"/>
          <w:color w:val="auto"/>
          <w:sz w:val="21"/>
          <w:szCs w:val="21"/>
          <w:highlight w:val="none"/>
        </w:rPr>
        <w:t>11.2法律变化引起的调整</w:t>
      </w:r>
      <w:bookmarkEnd w:id="999"/>
      <w:bookmarkEnd w:id="1000"/>
    </w:p>
    <w:bookmarkEnd w:id="1001"/>
    <w:bookmarkEnd w:id="1002"/>
    <w:bookmarkEnd w:id="1003"/>
    <w:p w14:paraId="5ECEBF4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7192AFA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因法律变化引起的合同价格和工期调整，合同当事人无法达成一致的，由总监理工程师按第4.4款〔商定或确定〕的约定处理。</w:t>
      </w:r>
    </w:p>
    <w:p w14:paraId="786479B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因承包人原因造成工期延误，在工期延误期间出现法律变化的，由此增加的费用和（或）延误的工期由承包人承担。</w:t>
      </w:r>
    </w:p>
    <w:p w14:paraId="00E45BF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04" w:name="_Toc351203580"/>
      <w:bookmarkStart w:id="1005" w:name="_Toc532375598"/>
      <w:bookmarkStart w:id="1006" w:name="_Toc532377266"/>
      <w:bookmarkStart w:id="1007" w:name="_Toc337558799"/>
      <w:bookmarkStart w:id="1008" w:name="_Toc296346597"/>
      <w:bookmarkStart w:id="1009" w:name="_Toc296503096"/>
      <w:r>
        <w:rPr>
          <w:rFonts w:hint="eastAsia"/>
          <w:color w:val="auto"/>
          <w:kern w:val="2"/>
          <w:sz w:val="21"/>
          <w:szCs w:val="21"/>
          <w:highlight w:val="none"/>
        </w:rPr>
        <w:t>12. 合同价格、计量与支付</w:t>
      </w:r>
      <w:bookmarkEnd w:id="1004"/>
      <w:bookmarkEnd w:id="1005"/>
      <w:bookmarkEnd w:id="1006"/>
    </w:p>
    <w:bookmarkEnd w:id="1007"/>
    <w:p w14:paraId="2E45AA2C">
      <w:pPr>
        <w:pStyle w:val="7"/>
        <w:spacing w:before="0" w:beforeAutospacing="0" w:after="0" w:afterAutospacing="0" w:line="360" w:lineRule="auto"/>
        <w:ind w:firstLine="422" w:firstLineChars="200"/>
        <w:rPr>
          <w:color w:val="auto"/>
          <w:sz w:val="21"/>
          <w:szCs w:val="21"/>
          <w:highlight w:val="none"/>
        </w:rPr>
      </w:pPr>
      <w:bookmarkStart w:id="1010" w:name="_Toc532377267"/>
      <w:bookmarkStart w:id="1011" w:name="_Toc351203581"/>
      <w:bookmarkStart w:id="1012" w:name="_Toc337558800"/>
      <w:r>
        <w:rPr>
          <w:rFonts w:hint="eastAsia"/>
          <w:color w:val="auto"/>
          <w:sz w:val="21"/>
          <w:szCs w:val="21"/>
          <w:highlight w:val="none"/>
        </w:rPr>
        <w:t>12.1 合同价</w:t>
      </w:r>
      <w:bookmarkEnd w:id="1008"/>
      <w:bookmarkEnd w:id="1009"/>
      <w:r>
        <w:rPr>
          <w:rFonts w:hint="eastAsia"/>
          <w:color w:val="auto"/>
          <w:sz w:val="21"/>
          <w:szCs w:val="21"/>
          <w:highlight w:val="none"/>
        </w:rPr>
        <w:t>格形式</w:t>
      </w:r>
      <w:bookmarkEnd w:id="1010"/>
      <w:bookmarkEnd w:id="1011"/>
    </w:p>
    <w:bookmarkEnd w:id="1012"/>
    <w:p w14:paraId="1B84AF3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发包人和承包人应在合同协议书中选择下列一种合同价格形式： </w:t>
      </w:r>
    </w:p>
    <w:p w14:paraId="3A402EF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1.单价合同</w:t>
      </w:r>
    </w:p>
    <w:p w14:paraId="0181C3F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0E7CC22D">
      <w:pPr>
        <w:pStyle w:val="7"/>
        <w:spacing w:before="0" w:beforeAutospacing="0" w:after="0" w:afterAutospacing="0" w:line="360" w:lineRule="auto"/>
        <w:ind w:firstLine="420" w:firstLineChars="200"/>
        <w:rPr>
          <w:b w:val="0"/>
          <w:color w:val="auto"/>
          <w:sz w:val="21"/>
          <w:szCs w:val="21"/>
          <w:highlight w:val="none"/>
        </w:rPr>
      </w:pPr>
      <w:bookmarkStart w:id="1013" w:name="_Toc532377268"/>
      <w:r>
        <w:rPr>
          <w:rFonts w:hint="eastAsia"/>
          <w:b w:val="0"/>
          <w:color w:val="auto"/>
          <w:sz w:val="21"/>
          <w:szCs w:val="21"/>
          <w:highlight w:val="none"/>
        </w:rPr>
        <w:t>2.总价合同</w:t>
      </w:r>
      <w:bookmarkEnd w:id="1013"/>
    </w:p>
    <w:p w14:paraId="1B8ACF9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42AB9469">
      <w:pPr>
        <w:pStyle w:val="7"/>
        <w:spacing w:before="0" w:beforeAutospacing="0" w:after="0" w:afterAutospacing="0" w:line="360" w:lineRule="auto"/>
        <w:ind w:firstLine="420" w:firstLineChars="200"/>
        <w:rPr>
          <w:b w:val="0"/>
          <w:color w:val="auto"/>
          <w:sz w:val="21"/>
          <w:szCs w:val="21"/>
          <w:highlight w:val="none"/>
        </w:rPr>
      </w:pPr>
      <w:bookmarkStart w:id="1014" w:name="_Toc532377269"/>
      <w:r>
        <w:rPr>
          <w:rFonts w:hint="eastAsia"/>
          <w:b w:val="0"/>
          <w:color w:val="auto"/>
          <w:sz w:val="21"/>
          <w:szCs w:val="21"/>
          <w:highlight w:val="none"/>
        </w:rPr>
        <w:t>3.其它价格形式</w:t>
      </w:r>
      <w:bookmarkEnd w:id="1014"/>
    </w:p>
    <w:p w14:paraId="128D8B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合同当事人可在专用合同条款中约定其他合同价格形式。</w:t>
      </w:r>
    </w:p>
    <w:p w14:paraId="0550C851">
      <w:pPr>
        <w:pStyle w:val="7"/>
        <w:spacing w:before="0" w:beforeAutospacing="0" w:after="0" w:afterAutospacing="0" w:line="360" w:lineRule="auto"/>
        <w:ind w:firstLine="422" w:firstLineChars="200"/>
        <w:rPr>
          <w:color w:val="auto"/>
          <w:sz w:val="21"/>
          <w:szCs w:val="21"/>
          <w:highlight w:val="none"/>
        </w:rPr>
      </w:pPr>
      <w:bookmarkStart w:id="1015" w:name="_Toc296503097"/>
      <w:bookmarkStart w:id="1016" w:name="_Toc296346598"/>
      <w:bookmarkStart w:id="1017" w:name="_Toc351203582"/>
      <w:bookmarkStart w:id="1018" w:name="_Toc532377270"/>
      <w:bookmarkStart w:id="1019" w:name="_Toc337558801"/>
      <w:r>
        <w:rPr>
          <w:rFonts w:hint="eastAsia"/>
          <w:color w:val="auto"/>
          <w:sz w:val="21"/>
          <w:szCs w:val="21"/>
          <w:highlight w:val="none"/>
        </w:rPr>
        <w:t>12.2预</w:t>
      </w:r>
      <w:bookmarkEnd w:id="1015"/>
      <w:bookmarkEnd w:id="1016"/>
      <w:bookmarkStart w:id="1020" w:name="_Toc296503100"/>
      <w:bookmarkStart w:id="1021" w:name="_Toc296346601"/>
      <w:r>
        <w:rPr>
          <w:rFonts w:hint="eastAsia"/>
          <w:color w:val="auto"/>
          <w:sz w:val="21"/>
          <w:szCs w:val="21"/>
          <w:highlight w:val="none"/>
        </w:rPr>
        <w:t>付款</w:t>
      </w:r>
      <w:bookmarkEnd w:id="1017"/>
      <w:bookmarkEnd w:id="1018"/>
    </w:p>
    <w:bookmarkEnd w:id="1019"/>
    <w:bookmarkEnd w:id="1020"/>
    <w:bookmarkEnd w:id="1021"/>
    <w:p w14:paraId="18FDBFC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12.2.1预付款的支付</w:t>
      </w:r>
    </w:p>
    <w:p w14:paraId="66E0AD8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476BD5C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除专用合同条款另有约定外，预付款在进度付款中同比例扣回。</w:t>
      </w:r>
      <w:bookmarkEnd w:id="998"/>
      <w:r>
        <w:rPr>
          <w:rFonts w:hint="eastAsia" w:ascii="宋体" w:hAnsi="宋体"/>
          <w:color w:val="auto"/>
          <w:kern w:val="0"/>
          <w:szCs w:val="21"/>
          <w:highlight w:val="none"/>
        </w:rPr>
        <w:t>在颁发工程接收证书前，提前解除合同的，尚未扣完的预付款应与合同价款一并结算。</w:t>
      </w:r>
    </w:p>
    <w:p w14:paraId="4F8E73E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3D486DD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12.2.2 预付款担保</w:t>
      </w:r>
    </w:p>
    <w:p w14:paraId="77A591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2DAC279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发包人在工程款中逐期扣回预付款后，预付款担保额度应相应减少，但剩余的预付款担保金额不得低于未被扣回的预付款金额。</w:t>
      </w:r>
    </w:p>
    <w:p w14:paraId="09F6DA84">
      <w:pPr>
        <w:pStyle w:val="7"/>
        <w:spacing w:before="0" w:beforeAutospacing="0" w:after="0" w:afterAutospacing="0" w:line="360" w:lineRule="auto"/>
        <w:ind w:firstLine="422" w:firstLineChars="200"/>
        <w:rPr>
          <w:color w:val="auto"/>
          <w:sz w:val="21"/>
          <w:szCs w:val="21"/>
          <w:highlight w:val="none"/>
        </w:rPr>
      </w:pPr>
      <w:bookmarkStart w:id="1022" w:name="_Toc532377271"/>
      <w:bookmarkStart w:id="1023" w:name="_Toc351203583"/>
      <w:bookmarkStart w:id="1024" w:name="_Toc337558802"/>
      <w:r>
        <w:rPr>
          <w:rFonts w:hint="eastAsia"/>
          <w:color w:val="auto"/>
          <w:sz w:val="21"/>
          <w:szCs w:val="21"/>
          <w:highlight w:val="none"/>
        </w:rPr>
        <w:t>12.3计量</w:t>
      </w:r>
      <w:bookmarkEnd w:id="1022"/>
      <w:bookmarkEnd w:id="1023"/>
    </w:p>
    <w:bookmarkEnd w:id="1024"/>
    <w:p w14:paraId="45BDF23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12.3.1 计量原则</w:t>
      </w:r>
    </w:p>
    <w:p w14:paraId="431B414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工程量计量按照合同约定的工程量计算规则、图纸及变更指示等进行计量。工程量计算规则应以相关的国家标准、行业标准等为依据，由合同当事人在专用合同条款中约定。</w:t>
      </w:r>
    </w:p>
    <w:p w14:paraId="7FF8F9E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12.3.2 计量周期</w:t>
      </w:r>
    </w:p>
    <w:p w14:paraId="365B1BF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除专用合同条款另有约定外，工程量的计量按月进行。</w:t>
      </w:r>
    </w:p>
    <w:p w14:paraId="5A7E4AA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12.3.3 单价合同的计量</w:t>
      </w:r>
    </w:p>
    <w:p w14:paraId="415F338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除专用合同条款另有约定外，单价合同的计量按照本项约定执行：</w:t>
      </w:r>
    </w:p>
    <w:p w14:paraId="7A6DFFD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（1）承包人应于每月25日向监理人报送上月20日至当月19日已完成的工程量报告，并附具进度付款申请单、已完成工程量报表和有关资料。</w:t>
      </w:r>
    </w:p>
    <w:p w14:paraId="7BC45C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20D652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（3）监理人未在收到承包人提交的工程量报表后的7天内完成审核的，承包人报送的工程量报告中的工程量视为承包人实际完成的工程量，据此计算工程价款。</w:t>
      </w:r>
    </w:p>
    <w:p w14:paraId="696F8D22">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12.3.4 总价合同的计量</w:t>
      </w:r>
    </w:p>
    <w:p w14:paraId="07A9516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除专用合同条款另有约定外，按月计量支付的总价合同，按照本项约定执行：</w:t>
      </w:r>
    </w:p>
    <w:p w14:paraId="11A1F8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（1）承包人应于每月25日向监理人报送上月20日至当月19日已完成的工程量报告，并附具进度付款申请单、已完成工程量报表和有关资料。</w:t>
      </w:r>
    </w:p>
    <w:p w14:paraId="59A9D5D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ED82D7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（3）监理人未在收到承包人提交的工程量报表后的7天内完成复核的，承包人提交的工程量报告中的工程量视为承包人实际完成的工程量。</w:t>
      </w:r>
    </w:p>
    <w:p w14:paraId="522EE18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12.3.5 总价合同采用支付分解表计量支付的，可以按照第12.3.4项〔总价合同的计量〕约定进行计量，但合同价款按照支付分解表进行支付。</w:t>
      </w:r>
    </w:p>
    <w:p w14:paraId="3D2DDE2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12.3.6 其他价格形式合同的计量</w:t>
      </w:r>
    </w:p>
    <w:p w14:paraId="5E47599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合同当事人可在专用合同条款中约定其他价格形式合同的计量方式和程序。</w:t>
      </w:r>
    </w:p>
    <w:p w14:paraId="40380E4A">
      <w:pPr>
        <w:pStyle w:val="7"/>
        <w:spacing w:before="0" w:beforeAutospacing="0" w:after="0" w:afterAutospacing="0" w:line="360" w:lineRule="auto"/>
        <w:ind w:firstLine="422" w:firstLineChars="200"/>
        <w:rPr>
          <w:color w:val="auto"/>
          <w:sz w:val="21"/>
          <w:szCs w:val="21"/>
          <w:highlight w:val="none"/>
        </w:rPr>
      </w:pPr>
      <w:bookmarkStart w:id="1025" w:name="_Toc296503101"/>
      <w:bookmarkStart w:id="1026" w:name="_Toc296346602"/>
      <w:bookmarkStart w:id="1027" w:name="_Toc532377272"/>
      <w:bookmarkStart w:id="1028" w:name="_Toc351203584"/>
      <w:bookmarkStart w:id="1029" w:name="_Toc337558803"/>
      <w:r>
        <w:rPr>
          <w:rFonts w:hint="eastAsia"/>
          <w:color w:val="auto"/>
          <w:sz w:val="21"/>
          <w:szCs w:val="21"/>
          <w:highlight w:val="none"/>
        </w:rPr>
        <w:t>12.4工程进度款支</w:t>
      </w:r>
      <w:bookmarkEnd w:id="1025"/>
      <w:bookmarkEnd w:id="1026"/>
      <w:r>
        <w:rPr>
          <w:rFonts w:hint="eastAsia"/>
          <w:color w:val="auto"/>
          <w:sz w:val="21"/>
          <w:szCs w:val="21"/>
          <w:highlight w:val="none"/>
        </w:rPr>
        <w:t>付</w:t>
      </w:r>
      <w:bookmarkEnd w:id="1027"/>
      <w:bookmarkEnd w:id="1028"/>
    </w:p>
    <w:bookmarkEnd w:id="1029"/>
    <w:p w14:paraId="310060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12.4.1 付款周期</w:t>
      </w:r>
    </w:p>
    <w:p w14:paraId="68173B2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除专用合同条款另有约定外，付款周期应按照第12.3.2项〔计量周期〕的约定与计量周期保持一致。</w:t>
      </w:r>
    </w:p>
    <w:p w14:paraId="1D9F5E3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12.4.2 进度付款申请单的编制</w:t>
      </w:r>
    </w:p>
    <w:p w14:paraId="237A6C3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除专用合同条款另有约定外，进度付款申请单应包括下列内容：</w:t>
      </w:r>
    </w:p>
    <w:p w14:paraId="26BE97F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（1）截至本次付款周期已完成工作对应的金额；</w:t>
      </w:r>
    </w:p>
    <w:p w14:paraId="0209F4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（2）根据第10条〔变更〕应增加和扣减的变更金额；</w:t>
      </w:r>
    </w:p>
    <w:p w14:paraId="60825C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（3）根据第12.2款〔预付款〕约定应支付的预付款和扣减的返还预付款；</w:t>
      </w:r>
    </w:p>
    <w:p w14:paraId="0CA2501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（4）根据第15.3款〔质量保证金〕约定应扣减的质量保证金；</w:t>
      </w:r>
    </w:p>
    <w:p w14:paraId="65F4057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（5）根据第19条〔索赔〕应增加和扣减的索赔金额；</w:t>
      </w:r>
    </w:p>
    <w:p w14:paraId="74DF46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（6）对已签发的进度款支付证书中出现错误的修正，应在本次进度付款中支付或扣除的金额；</w:t>
      </w:r>
    </w:p>
    <w:p w14:paraId="72DDEE3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（7）根据合同约定应增加和扣减的其他金额。</w:t>
      </w:r>
    </w:p>
    <w:p w14:paraId="4554E1F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12.4.3 进度付款申请单的提交</w:t>
      </w:r>
    </w:p>
    <w:p w14:paraId="6C33FF8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（1）单价合同进度付款申请单的提交</w:t>
      </w:r>
    </w:p>
    <w:p w14:paraId="5862F8F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420D8D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（2）总价合同进度付款申请单的提交</w:t>
      </w:r>
    </w:p>
    <w:p w14:paraId="2C0D3B0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总价合同按月计量支付的，承包人按照第12.3.4项〔总价合同的计量〕约定的时间按月向监理人提交进度付款申请单，并附上已完成工程量报表和有关资料。</w:t>
      </w:r>
    </w:p>
    <w:p w14:paraId="4163574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总价合同按支付分解表支付的，承包人应按照第12.4.6项〔支付分解表〕及第12.4.2项〔进度付款申请单的编制〕的约定向监理人提交进度付款申请单。</w:t>
      </w:r>
    </w:p>
    <w:p w14:paraId="7235605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（3）其他价格形式合同的进度付款申请单的提交</w:t>
      </w:r>
    </w:p>
    <w:p w14:paraId="2E8B324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合同当事人可在专用合同条款中约定其他价格形式合同的进度付款申请单的编制和提交程序。</w:t>
      </w:r>
    </w:p>
    <w:p w14:paraId="610419D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12.4.4 进度款审核和支付</w:t>
      </w:r>
    </w:p>
    <w:p w14:paraId="376E785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075094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91ECD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582B04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（3）发包人签发进度款支付证书或临时进度款支付证书，不表明发包人已同意、批准或接受了承包人完成的相应部分的工作。</w:t>
      </w:r>
    </w:p>
    <w:p w14:paraId="070247D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12.4.5 进度付款的修正</w:t>
      </w:r>
    </w:p>
    <w:p w14:paraId="7462C6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3A208B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12.4.6 支付分解表</w:t>
      </w:r>
    </w:p>
    <w:p w14:paraId="46BF8C4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1.支付分解表的编制要求</w:t>
      </w:r>
    </w:p>
    <w:p w14:paraId="1EC189D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（1）支付分解表中所列的每期付款金额，应为第12.4.2项〔进度付款申请单的编制〕第（1）目的估算金额；</w:t>
      </w:r>
    </w:p>
    <w:p w14:paraId="1E1F382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（2）实际进度与施工进度计划不一致的，合同当事人可按照第4.4款〔商定或确定〕修改支付分解表；</w:t>
      </w:r>
    </w:p>
    <w:p w14:paraId="4702CD1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（3）不采用支付分解表的，承包人应向发包人和监理人提交按季度编制的支付估算分解表，用于支付参考。</w:t>
      </w:r>
    </w:p>
    <w:p w14:paraId="30E9C62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2.总价合同支付分解表的编制与审批</w:t>
      </w:r>
    </w:p>
    <w:p w14:paraId="64F6C35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372CB2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2DFBF98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（3）发包人逾期未完成支付分解表审批的，也未及时要求承包人进行修正和提供补充资料的，则承包人提交的支付分解表视为已经获得发包人批准。</w:t>
      </w:r>
    </w:p>
    <w:p w14:paraId="5044DD5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3.单价合同的总价项目支付分解表的编制与审批</w:t>
      </w:r>
    </w:p>
    <w:p w14:paraId="04C87E2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18C173C">
      <w:pPr>
        <w:pStyle w:val="7"/>
        <w:spacing w:before="0" w:beforeAutospacing="0" w:after="0" w:afterAutospacing="0" w:line="360" w:lineRule="auto"/>
        <w:ind w:firstLine="422" w:firstLineChars="200"/>
        <w:rPr>
          <w:color w:val="auto"/>
          <w:sz w:val="21"/>
          <w:szCs w:val="21"/>
          <w:highlight w:val="none"/>
        </w:rPr>
      </w:pPr>
      <w:bookmarkStart w:id="1030" w:name="_Toc532377273"/>
      <w:r>
        <w:rPr>
          <w:rFonts w:hint="eastAsia"/>
          <w:color w:val="auto"/>
          <w:sz w:val="21"/>
          <w:szCs w:val="21"/>
          <w:highlight w:val="none"/>
        </w:rPr>
        <w:t>12.5支付账户</w:t>
      </w:r>
      <w:bookmarkEnd w:id="1030"/>
    </w:p>
    <w:p w14:paraId="162B891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发包人应将合同价款支付至合同协议书中约定的承包人账户。</w:t>
      </w:r>
    </w:p>
    <w:p w14:paraId="454A722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31" w:name="_Toc351203586"/>
      <w:bookmarkStart w:id="1032" w:name="_Toc532377274"/>
      <w:bookmarkStart w:id="1033" w:name="_Toc532375599"/>
      <w:bookmarkStart w:id="1034" w:name="_Toc296346607"/>
      <w:bookmarkStart w:id="1035" w:name="_Toc296503106"/>
      <w:bookmarkStart w:id="1036" w:name="_Toc337558804"/>
      <w:bookmarkStart w:id="1037" w:name="_Toc322522574"/>
      <w:r>
        <w:rPr>
          <w:rFonts w:hint="eastAsia"/>
          <w:color w:val="auto"/>
          <w:kern w:val="2"/>
          <w:sz w:val="21"/>
          <w:szCs w:val="21"/>
          <w:highlight w:val="none"/>
        </w:rPr>
        <w:t>13. 验收和工程试车</w:t>
      </w:r>
      <w:bookmarkEnd w:id="1031"/>
      <w:bookmarkEnd w:id="1032"/>
      <w:bookmarkEnd w:id="1033"/>
    </w:p>
    <w:bookmarkEnd w:id="1034"/>
    <w:bookmarkEnd w:id="1035"/>
    <w:bookmarkEnd w:id="1036"/>
    <w:bookmarkEnd w:id="1037"/>
    <w:p w14:paraId="0915661B">
      <w:pPr>
        <w:pStyle w:val="7"/>
        <w:spacing w:before="0" w:beforeAutospacing="0" w:after="0" w:afterAutospacing="0" w:line="360" w:lineRule="auto"/>
        <w:ind w:firstLine="422" w:firstLineChars="200"/>
        <w:rPr>
          <w:color w:val="auto"/>
          <w:sz w:val="21"/>
          <w:szCs w:val="21"/>
          <w:highlight w:val="none"/>
        </w:rPr>
      </w:pPr>
      <w:bookmarkStart w:id="1038" w:name="_Toc351203587"/>
      <w:bookmarkStart w:id="1039" w:name="_Toc532377275"/>
      <w:bookmarkStart w:id="1040" w:name="_Toc337558805"/>
      <w:bookmarkStart w:id="1041" w:name="_Toc296346611"/>
      <w:bookmarkStart w:id="1042" w:name="_Toc296503110"/>
      <w:r>
        <w:rPr>
          <w:rFonts w:hint="eastAsia"/>
          <w:color w:val="auto"/>
          <w:sz w:val="21"/>
          <w:szCs w:val="21"/>
          <w:highlight w:val="none"/>
        </w:rPr>
        <w:t>13.1分部分项工程验收</w:t>
      </w:r>
      <w:bookmarkEnd w:id="1038"/>
      <w:bookmarkEnd w:id="1039"/>
    </w:p>
    <w:bookmarkEnd w:id="1040"/>
    <w:p w14:paraId="205072B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13.1.1 分部分项工程质量应符合国家有关工程施工验收规范、标准及合同约定，承包人应按照施工组织设计的要求完成分部分项工程施工。</w:t>
      </w:r>
    </w:p>
    <w:p w14:paraId="49C49E9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342C45C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分部分项工程的验收资料应当作为竣工资料的组成部分。</w:t>
      </w:r>
    </w:p>
    <w:p w14:paraId="2F7BAAE8">
      <w:pPr>
        <w:pStyle w:val="7"/>
        <w:spacing w:before="0" w:beforeAutospacing="0" w:after="0" w:afterAutospacing="0" w:line="360" w:lineRule="auto"/>
        <w:ind w:firstLine="422" w:firstLineChars="200"/>
        <w:rPr>
          <w:color w:val="auto"/>
          <w:sz w:val="21"/>
          <w:szCs w:val="21"/>
          <w:highlight w:val="none"/>
        </w:rPr>
      </w:pPr>
      <w:bookmarkStart w:id="1043" w:name="_Toc351203588"/>
      <w:bookmarkStart w:id="1044" w:name="_Toc532377276"/>
      <w:bookmarkStart w:id="1045" w:name="_Toc337558806"/>
      <w:r>
        <w:rPr>
          <w:rFonts w:hint="eastAsia"/>
          <w:color w:val="auto"/>
          <w:sz w:val="21"/>
          <w:szCs w:val="21"/>
          <w:highlight w:val="none"/>
        </w:rPr>
        <w:t>13.2竣工验收</w:t>
      </w:r>
      <w:bookmarkEnd w:id="1043"/>
      <w:bookmarkEnd w:id="1044"/>
    </w:p>
    <w:bookmarkEnd w:id="1041"/>
    <w:bookmarkEnd w:id="1042"/>
    <w:bookmarkEnd w:id="1045"/>
    <w:p w14:paraId="7944A11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13.2.1竣工验收条件</w:t>
      </w:r>
    </w:p>
    <w:p w14:paraId="56B60C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工程具备以下条件的，承包人可以申请竣工验收：</w:t>
      </w:r>
    </w:p>
    <w:p w14:paraId="75546CB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（1）除发包人同意的甩项工作和缺陷修补工作外，合同范围内的全部工程以及有关工作，包括合同要求的试验、试运行以及检验均已完成，并符合合同要求；</w:t>
      </w:r>
    </w:p>
    <w:p w14:paraId="5C17748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（2）已按合同约定编制了甩项工作和缺陷修补工作清单以及相应的施工计划；</w:t>
      </w:r>
    </w:p>
    <w:p w14:paraId="0F56F7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（3）已按合同约定的内容和份数备齐竣工资料。</w:t>
      </w:r>
    </w:p>
    <w:p w14:paraId="3279AEE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13.2.2竣工验收程序</w:t>
      </w:r>
    </w:p>
    <w:p w14:paraId="3822E43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除专用合同条款另有约定外，承包人申请竣工验收的，应当按照以下程序进行：</w:t>
      </w:r>
    </w:p>
    <w:p w14:paraId="0F2872F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0438A7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4C49F0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67FC87F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71E0C8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5BAAE3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1637D3D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13.2.3竣工日期</w:t>
      </w:r>
    </w:p>
    <w:p w14:paraId="624B83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046" w:name="#go14"/>
      <w:bookmarkEnd w:id="1046"/>
      <w:r>
        <w:rPr>
          <w:rFonts w:hint="eastAsia" w:ascii="宋体" w:hAnsi="宋体"/>
          <w:color w:val="auto"/>
          <w:kern w:val="0"/>
          <w:szCs w:val="21"/>
          <w:highlight w:val="none"/>
        </w:rPr>
        <w:t>收申请报告的日期为实际竣工日期；工程未经竣工验收，发包人擅自使用的，以转移占有工程之日为实际竣工日期。</w:t>
      </w:r>
    </w:p>
    <w:p w14:paraId="364321E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13.2.4 拒绝接收全部或部分工程</w:t>
      </w:r>
    </w:p>
    <w:p w14:paraId="4883E8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3BF12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13.2.5 移交、接收全部与部分工程</w:t>
      </w:r>
    </w:p>
    <w:p w14:paraId="6C6C362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除专用合同条款另有约定外，合同当事人应当在颁发工程接收证书后7天内完成工程的移交。</w:t>
      </w:r>
    </w:p>
    <w:p w14:paraId="78C8C17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3DA07B3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63DBFA47">
      <w:pPr>
        <w:pStyle w:val="7"/>
        <w:spacing w:before="0" w:beforeAutospacing="0" w:after="0" w:afterAutospacing="0" w:line="360" w:lineRule="auto"/>
        <w:ind w:firstLine="422" w:firstLineChars="200"/>
        <w:rPr>
          <w:color w:val="auto"/>
          <w:sz w:val="21"/>
          <w:szCs w:val="21"/>
          <w:highlight w:val="none"/>
        </w:rPr>
      </w:pPr>
      <w:bookmarkStart w:id="1047" w:name="_Toc532377277"/>
      <w:bookmarkStart w:id="1048" w:name="_Toc351203589"/>
      <w:bookmarkStart w:id="1049" w:name="_Toc296346612"/>
      <w:bookmarkStart w:id="1050" w:name="_Toc296503111"/>
      <w:bookmarkStart w:id="1051" w:name="_Toc337558807"/>
      <w:r>
        <w:rPr>
          <w:rFonts w:hint="eastAsia"/>
          <w:color w:val="auto"/>
          <w:sz w:val="21"/>
          <w:szCs w:val="21"/>
          <w:highlight w:val="none"/>
        </w:rPr>
        <w:t>13.3工程试车</w:t>
      </w:r>
      <w:bookmarkEnd w:id="1047"/>
      <w:bookmarkEnd w:id="1048"/>
    </w:p>
    <w:bookmarkEnd w:id="1049"/>
    <w:bookmarkEnd w:id="1050"/>
    <w:bookmarkEnd w:id="1051"/>
    <w:p w14:paraId="315252E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13.3.1试车程序</w:t>
      </w:r>
    </w:p>
    <w:p w14:paraId="44308C5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工程需要试车的，除专用合同条款另有约定外，试车内容应与承包人承包范围相一致，试车费用由承包人承担。工程试车应按如下程序进行：</w:t>
      </w:r>
    </w:p>
    <w:p w14:paraId="2DC0AE9E">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0946D54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447284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17C89D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13.3.2 试车中的责任</w:t>
      </w:r>
    </w:p>
    <w:p w14:paraId="794579C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CAE482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E24B12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13.3.3 投料试车</w:t>
      </w:r>
    </w:p>
    <w:p w14:paraId="44C690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0B0DD4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61B446F">
      <w:pPr>
        <w:pStyle w:val="7"/>
        <w:spacing w:before="0" w:beforeAutospacing="0" w:after="0" w:afterAutospacing="0" w:line="360" w:lineRule="auto"/>
        <w:ind w:firstLine="422" w:firstLineChars="200"/>
        <w:rPr>
          <w:color w:val="auto"/>
          <w:sz w:val="21"/>
          <w:szCs w:val="21"/>
          <w:highlight w:val="none"/>
        </w:rPr>
      </w:pPr>
      <w:bookmarkStart w:id="1052" w:name="_Toc532377278"/>
      <w:r>
        <w:rPr>
          <w:rFonts w:hint="eastAsia"/>
          <w:color w:val="auto"/>
          <w:sz w:val="21"/>
          <w:szCs w:val="21"/>
          <w:highlight w:val="none"/>
        </w:rPr>
        <w:t>13.4提前交付单位工程的验收</w:t>
      </w:r>
      <w:bookmarkEnd w:id="1052"/>
    </w:p>
    <w:p w14:paraId="5EABA83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20EB59D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1BB722B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13.4.2 发包人要求在工程竣工前交付单位工程，由此导致承包人费用增加和（或）工期延误的，由发包人承担由此增加的费用和（或）延误的工期，并支付承包人合理的利润。</w:t>
      </w:r>
    </w:p>
    <w:p w14:paraId="59DD5E8A">
      <w:pPr>
        <w:pStyle w:val="7"/>
        <w:spacing w:before="0" w:beforeAutospacing="0" w:after="0" w:afterAutospacing="0" w:line="360" w:lineRule="auto"/>
        <w:ind w:firstLine="422" w:firstLineChars="200"/>
        <w:rPr>
          <w:color w:val="auto"/>
          <w:sz w:val="21"/>
          <w:szCs w:val="21"/>
          <w:highlight w:val="none"/>
        </w:rPr>
      </w:pPr>
      <w:bookmarkStart w:id="1053" w:name="_Toc351203591"/>
      <w:bookmarkStart w:id="1054" w:name="_Toc532377279"/>
      <w:r>
        <w:rPr>
          <w:rFonts w:hint="eastAsia"/>
          <w:color w:val="auto"/>
          <w:sz w:val="21"/>
          <w:szCs w:val="21"/>
          <w:highlight w:val="none"/>
        </w:rPr>
        <w:t>13.5 施工期运行</w:t>
      </w:r>
      <w:bookmarkEnd w:id="1053"/>
      <w:bookmarkEnd w:id="1054"/>
    </w:p>
    <w:p w14:paraId="42703746">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22AA74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13.5.2 在施工期运行中发现工程或工程设备损坏或存在缺陷的，由承包人按第15.2款〔缺陷责任期〕约定进行修复。</w:t>
      </w:r>
    </w:p>
    <w:p w14:paraId="0C31DB14">
      <w:pPr>
        <w:pStyle w:val="7"/>
        <w:spacing w:before="0" w:beforeAutospacing="0" w:after="0" w:afterAutospacing="0" w:line="360" w:lineRule="auto"/>
        <w:ind w:firstLine="422" w:firstLineChars="200"/>
        <w:rPr>
          <w:color w:val="auto"/>
          <w:sz w:val="21"/>
          <w:szCs w:val="21"/>
          <w:highlight w:val="none"/>
        </w:rPr>
      </w:pPr>
      <w:bookmarkStart w:id="1055" w:name="_Toc296503112"/>
      <w:bookmarkStart w:id="1056" w:name="_Toc296346613"/>
      <w:bookmarkStart w:id="1057" w:name="_Toc351203592"/>
      <w:bookmarkStart w:id="1058" w:name="_Toc532377280"/>
      <w:bookmarkStart w:id="1059" w:name="_Toc337558809"/>
      <w:r>
        <w:rPr>
          <w:rFonts w:hint="eastAsia"/>
          <w:color w:val="auto"/>
          <w:sz w:val="21"/>
          <w:szCs w:val="21"/>
          <w:highlight w:val="none"/>
        </w:rPr>
        <w:t>13.6 竣工退</w:t>
      </w:r>
      <w:bookmarkEnd w:id="1055"/>
      <w:bookmarkEnd w:id="1056"/>
      <w:r>
        <w:rPr>
          <w:rFonts w:hint="eastAsia"/>
          <w:color w:val="auto"/>
          <w:sz w:val="21"/>
          <w:szCs w:val="21"/>
          <w:highlight w:val="none"/>
        </w:rPr>
        <w:t>场</w:t>
      </w:r>
      <w:bookmarkEnd w:id="1057"/>
      <w:bookmarkEnd w:id="1058"/>
    </w:p>
    <w:bookmarkEnd w:id="1059"/>
    <w:p w14:paraId="420585E0">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13.6.1 竣工退场</w:t>
      </w:r>
    </w:p>
    <w:p w14:paraId="2852FF6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颁发工程接收证书后，承包人应按以下要求对施工现场进行清理：</w:t>
      </w:r>
    </w:p>
    <w:p w14:paraId="79FDB84D">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（1）施工现场内残留的垃圾已全部清除出场；</w:t>
      </w:r>
    </w:p>
    <w:p w14:paraId="15FD545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（2）临时工程已拆除，场地已进行清理、平整或复原；</w:t>
      </w:r>
    </w:p>
    <w:p w14:paraId="45CEC237">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（3）按合同约定应撤离的人员、承包人施工设备和剩余的材料，包括废弃的施工设备和材料，已按计划撤离施工现场；</w:t>
      </w:r>
    </w:p>
    <w:p w14:paraId="19C3493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（4）施工现场周边及其附近道路、河道的施工堆积物，已全部清理；</w:t>
      </w:r>
    </w:p>
    <w:p w14:paraId="49DC5CA4">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（5）施工现场其他场地清理工作已全部完成。</w:t>
      </w:r>
    </w:p>
    <w:p w14:paraId="366357D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6E6159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13.6.2 地表还原</w:t>
      </w:r>
    </w:p>
    <w:p w14:paraId="16A6B369">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39D284B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60" w:name="_Toc351203593"/>
      <w:bookmarkStart w:id="1061" w:name="_Toc532377281"/>
      <w:bookmarkStart w:id="1062" w:name="_Toc532375600"/>
      <w:bookmarkStart w:id="1063" w:name="_Toc337558810"/>
      <w:bookmarkStart w:id="1064" w:name="_Toc296503113"/>
      <w:bookmarkStart w:id="1065" w:name="_Toc296346614"/>
      <w:r>
        <w:rPr>
          <w:rFonts w:hint="eastAsia"/>
          <w:color w:val="auto"/>
          <w:kern w:val="2"/>
          <w:sz w:val="21"/>
          <w:szCs w:val="21"/>
          <w:highlight w:val="none"/>
        </w:rPr>
        <w:t>14. 竣工结算</w:t>
      </w:r>
      <w:bookmarkEnd w:id="1060"/>
      <w:bookmarkEnd w:id="1061"/>
      <w:bookmarkEnd w:id="1062"/>
    </w:p>
    <w:bookmarkEnd w:id="1063"/>
    <w:p w14:paraId="00AE0379">
      <w:pPr>
        <w:pStyle w:val="7"/>
        <w:spacing w:before="0" w:beforeAutospacing="0" w:after="0" w:afterAutospacing="0" w:line="360" w:lineRule="auto"/>
        <w:ind w:firstLine="422" w:firstLineChars="200"/>
        <w:rPr>
          <w:color w:val="auto"/>
          <w:sz w:val="21"/>
          <w:szCs w:val="21"/>
          <w:highlight w:val="none"/>
        </w:rPr>
      </w:pPr>
      <w:bookmarkStart w:id="1066" w:name="_Toc532377282"/>
      <w:bookmarkStart w:id="1067" w:name="_Toc351203594"/>
      <w:bookmarkStart w:id="1068" w:name="_Toc337558811"/>
      <w:r>
        <w:rPr>
          <w:rFonts w:hint="eastAsia"/>
          <w:color w:val="auto"/>
          <w:sz w:val="21"/>
          <w:szCs w:val="21"/>
          <w:highlight w:val="none"/>
        </w:rPr>
        <w:t>14.1 竣工结算申请</w:t>
      </w:r>
      <w:bookmarkEnd w:id="1066"/>
      <w:bookmarkEnd w:id="1067"/>
    </w:p>
    <w:bookmarkEnd w:id="1068"/>
    <w:p w14:paraId="35CC221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BAB73A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除专用合同条款另有约定外，竣工结算申请单应包括以下内容：</w:t>
      </w:r>
    </w:p>
    <w:p w14:paraId="1263543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（1）竣工结算合同价格；</w:t>
      </w:r>
    </w:p>
    <w:p w14:paraId="319B95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（2）发包人已支付承包人的款项；</w:t>
      </w:r>
    </w:p>
    <w:p w14:paraId="5C10ED2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（3）应扣留的质量保证金。已缴纳履约保证金的或提供其他工程质量担保方式的除外； </w:t>
      </w:r>
    </w:p>
    <w:p w14:paraId="26D8B53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（4）发包人应支付承包人的合同价款。</w:t>
      </w:r>
    </w:p>
    <w:p w14:paraId="710ECA5D">
      <w:pPr>
        <w:pStyle w:val="7"/>
        <w:spacing w:before="0" w:beforeAutospacing="0" w:after="0" w:afterAutospacing="0" w:line="360" w:lineRule="auto"/>
        <w:ind w:firstLine="422" w:firstLineChars="200"/>
        <w:rPr>
          <w:color w:val="auto"/>
          <w:sz w:val="21"/>
          <w:szCs w:val="21"/>
          <w:highlight w:val="none"/>
        </w:rPr>
      </w:pPr>
      <w:bookmarkStart w:id="1069" w:name="_Toc351203595"/>
      <w:bookmarkStart w:id="1070" w:name="_Toc532377283"/>
      <w:bookmarkStart w:id="1071" w:name="_Toc337558812"/>
      <w:r>
        <w:rPr>
          <w:rFonts w:hint="eastAsia"/>
          <w:color w:val="auto"/>
          <w:sz w:val="21"/>
          <w:szCs w:val="21"/>
          <w:highlight w:val="none"/>
        </w:rPr>
        <w:t>14.2 竣工结算审核</w:t>
      </w:r>
      <w:bookmarkEnd w:id="1069"/>
      <w:bookmarkEnd w:id="1070"/>
    </w:p>
    <w:bookmarkEnd w:id="1071"/>
    <w:p w14:paraId="6AEF0B5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3C8C88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948BD1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C450BE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611959A6">
      <w:pPr>
        <w:pStyle w:val="7"/>
        <w:spacing w:before="0" w:beforeAutospacing="0" w:after="0" w:afterAutospacing="0" w:line="360" w:lineRule="auto"/>
        <w:ind w:firstLine="422" w:firstLineChars="200"/>
        <w:rPr>
          <w:color w:val="auto"/>
          <w:sz w:val="21"/>
          <w:szCs w:val="21"/>
          <w:highlight w:val="none"/>
        </w:rPr>
      </w:pPr>
      <w:bookmarkStart w:id="1072" w:name="_Toc351203596"/>
      <w:bookmarkStart w:id="1073" w:name="_Toc532377284"/>
      <w:bookmarkStart w:id="1074" w:name="_Toc337558813"/>
      <w:r>
        <w:rPr>
          <w:rFonts w:hint="eastAsia"/>
          <w:color w:val="auto"/>
          <w:sz w:val="21"/>
          <w:szCs w:val="21"/>
          <w:highlight w:val="none"/>
        </w:rPr>
        <w:t>14.3 甩项竣工协议</w:t>
      </w:r>
      <w:bookmarkEnd w:id="1072"/>
      <w:bookmarkEnd w:id="1073"/>
    </w:p>
    <w:bookmarkEnd w:id="1074"/>
    <w:p w14:paraId="411C66DA">
      <w:pPr>
        <w:autoSpaceDE w:val="0"/>
        <w:autoSpaceDN w:val="0"/>
        <w:spacing w:line="360" w:lineRule="auto"/>
        <w:ind w:firstLine="411" w:firstLineChars="196"/>
        <w:jc w:val="left"/>
        <w:rPr>
          <w:rFonts w:ascii="宋体" w:hAnsi="宋体"/>
          <w:color w:val="auto"/>
          <w:kern w:val="0"/>
          <w:szCs w:val="21"/>
          <w:highlight w:val="none"/>
        </w:rPr>
      </w:pPr>
      <w:r>
        <w:rPr>
          <w:rFonts w:hint="eastAsia" w:ascii="宋体" w:hAnsi="宋体"/>
          <w:color w:val="auto"/>
          <w:kern w:val="0"/>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3805632D">
      <w:pPr>
        <w:pStyle w:val="7"/>
        <w:spacing w:before="0" w:beforeAutospacing="0" w:after="0" w:afterAutospacing="0" w:line="360" w:lineRule="auto"/>
        <w:ind w:firstLine="422" w:firstLineChars="200"/>
        <w:rPr>
          <w:color w:val="auto"/>
          <w:sz w:val="21"/>
          <w:szCs w:val="21"/>
          <w:highlight w:val="none"/>
        </w:rPr>
      </w:pPr>
      <w:bookmarkStart w:id="1075" w:name="_Toc532377285"/>
      <w:bookmarkStart w:id="1076" w:name="_Toc351203597"/>
      <w:bookmarkStart w:id="1077" w:name="_Toc337558814"/>
      <w:r>
        <w:rPr>
          <w:rFonts w:hint="eastAsia"/>
          <w:color w:val="auto"/>
          <w:sz w:val="21"/>
          <w:szCs w:val="21"/>
          <w:highlight w:val="none"/>
        </w:rPr>
        <w:t>14.4 最终结清</w:t>
      </w:r>
      <w:bookmarkEnd w:id="1075"/>
      <w:bookmarkEnd w:id="1076"/>
    </w:p>
    <w:bookmarkEnd w:id="1077"/>
    <w:p w14:paraId="41A0C94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14.4.1 最终结清申请单</w:t>
      </w:r>
    </w:p>
    <w:p w14:paraId="695BBA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（1）除专用合同条款另有约定外，承包人应在缺陷责任期终止证书颁发后7天内，按专用合同条款约定的份数向发包人提交最终结清申请单，并提供相关证明材料。</w:t>
      </w:r>
    </w:p>
    <w:p w14:paraId="7FD63A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除专用合同条款另有约定外，最终结清申请单应列明质量保证金、应扣除的质量保证金、缺陷责任期内发生的增减费用。</w:t>
      </w:r>
    </w:p>
    <w:p w14:paraId="7AD361E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（2）发包人对最终结清申请单内容有异议的，有权要求承包人进行修正和提供补充资料，承包人应向发包人提交修正后的最终结清申请单。</w:t>
      </w:r>
    </w:p>
    <w:p w14:paraId="09663C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14.4.2 最终结清证书和支付</w:t>
      </w:r>
    </w:p>
    <w:p w14:paraId="6051308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8DB616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314F2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（3）承包人对发包人颁发的最终结清证书有异议的，按第20条〔争议解决〕的约定办理。</w:t>
      </w:r>
    </w:p>
    <w:p w14:paraId="5BA082C4">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078" w:name="_Toc532375601"/>
      <w:bookmarkStart w:id="1079" w:name="_Toc532377286"/>
      <w:bookmarkStart w:id="1080" w:name="_Toc351203598"/>
      <w:bookmarkStart w:id="1081" w:name="_Toc337558815"/>
      <w:r>
        <w:rPr>
          <w:rFonts w:hint="eastAsia"/>
          <w:color w:val="auto"/>
          <w:kern w:val="2"/>
          <w:sz w:val="21"/>
          <w:szCs w:val="21"/>
          <w:highlight w:val="none"/>
        </w:rPr>
        <w:t>15. 缺陷责任与保修</w:t>
      </w:r>
      <w:bookmarkEnd w:id="1078"/>
      <w:bookmarkEnd w:id="1079"/>
      <w:bookmarkEnd w:id="1080"/>
    </w:p>
    <w:bookmarkEnd w:id="1064"/>
    <w:bookmarkEnd w:id="1065"/>
    <w:bookmarkEnd w:id="1081"/>
    <w:p w14:paraId="53111CB3">
      <w:pPr>
        <w:pStyle w:val="7"/>
        <w:spacing w:before="0" w:beforeAutospacing="0" w:after="0" w:afterAutospacing="0" w:line="360" w:lineRule="auto"/>
        <w:ind w:firstLine="422" w:firstLineChars="200"/>
        <w:rPr>
          <w:color w:val="auto"/>
          <w:sz w:val="21"/>
          <w:szCs w:val="21"/>
          <w:highlight w:val="none"/>
        </w:rPr>
      </w:pPr>
      <w:bookmarkStart w:id="1082" w:name="_Toc532377287"/>
      <w:bookmarkStart w:id="1083" w:name="_Toc351203599"/>
      <w:bookmarkStart w:id="1084" w:name="_Toc337558816"/>
      <w:bookmarkStart w:id="1085" w:name="_Toc296503114"/>
      <w:bookmarkStart w:id="1086" w:name="_Toc296346615"/>
      <w:r>
        <w:rPr>
          <w:rFonts w:hint="eastAsia"/>
          <w:color w:val="auto"/>
          <w:sz w:val="21"/>
          <w:szCs w:val="21"/>
          <w:highlight w:val="none"/>
        </w:rPr>
        <w:t>15.1 工程保修的原则</w:t>
      </w:r>
      <w:bookmarkEnd w:id="1082"/>
      <w:bookmarkEnd w:id="1083"/>
    </w:p>
    <w:bookmarkEnd w:id="1084"/>
    <w:p w14:paraId="2AF503F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在工程移交发包人后，因承包人原因产生的质量缺陷，承包人应承担质量缺陷责任和保修义务。缺陷责任期届满，承包人仍应按合同约定的工程各部位保修年限承担保修义务。</w:t>
      </w:r>
    </w:p>
    <w:p w14:paraId="5DA3C653">
      <w:pPr>
        <w:pStyle w:val="7"/>
        <w:spacing w:before="0" w:beforeAutospacing="0" w:after="0" w:afterAutospacing="0" w:line="360" w:lineRule="auto"/>
        <w:ind w:firstLine="422" w:firstLineChars="200"/>
        <w:rPr>
          <w:color w:val="auto"/>
          <w:sz w:val="21"/>
          <w:szCs w:val="21"/>
          <w:highlight w:val="none"/>
        </w:rPr>
      </w:pPr>
      <w:bookmarkStart w:id="1087" w:name="_Toc532377288"/>
      <w:bookmarkStart w:id="1088" w:name="_Toc351203600"/>
      <w:bookmarkStart w:id="1089" w:name="_Toc337558817"/>
      <w:r>
        <w:rPr>
          <w:rFonts w:hint="eastAsia"/>
          <w:color w:val="auto"/>
          <w:sz w:val="21"/>
          <w:szCs w:val="21"/>
          <w:highlight w:val="none"/>
        </w:rPr>
        <w:t>15.2 缺陷责任期</w:t>
      </w:r>
      <w:bookmarkEnd w:id="1085"/>
      <w:bookmarkEnd w:id="1086"/>
      <w:bookmarkEnd w:id="1087"/>
      <w:bookmarkEnd w:id="1088"/>
    </w:p>
    <w:bookmarkEnd w:id="1089"/>
    <w:p w14:paraId="37585C0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15.2.1 缺陷责任期从工程通过竣工验收之日起计算，合同当事人应在专用合同条款约定缺陷责任期的具体期限，但该期限最长不超过</w:t>
      </w:r>
      <w:r>
        <w:rPr>
          <w:rFonts w:hint="eastAsia" w:ascii="宋体" w:hAnsi="宋体"/>
          <w:color w:val="auto"/>
          <w:kern w:val="0"/>
          <w:szCs w:val="21"/>
          <w:highlight w:val="none"/>
          <w:lang w:eastAsia="zh-CN"/>
        </w:rPr>
        <w:t>12个月</w:t>
      </w:r>
      <w:r>
        <w:rPr>
          <w:rFonts w:hint="eastAsia" w:ascii="宋体" w:hAnsi="宋体"/>
          <w:color w:val="auto"/>
          <w:kern w:val="0"/>
          <w:szCs w:val="21"/>
          <w:highlight w:val="none"/>
        </w:rPr>
        <w:t>。</w:t>
      </w:r>
    </w:p>
    <w:p w14:paraId="43A89F7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1E1CFC0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w:t>
      </w:r>
      <w:r>
        <w:rPr>
          <w:rFonts w:hint="eastAsia" w:ascii="宋体" w:hAnsi="宋体"/>
          <w:color w:val="auto"/>
          <w:kern w:val="0"/>
          <w:szCs w:val="21"/>
          <w:highlight w:val="none"/>
          <w:lang w:eastAsia="zh-CN"/>
        </w:rPr>
        <w:t>12个月</w:t>
      </w:r>
      <w:r>
        <w:rPr>
          <w:rFonts w:hint="eastAsia" w:ascii="宋体" w:hAnsi="宋体"/>
          <w:color w:val="auto"/>
          <w:kern w:val="0"/>
          <w:szCs w:val="21"/>
          <w:highlight w:val="none"/>
        </w:rPr>
        <w:t>。</w:t>
      </w:r>
    </w:p>
    <w:p w14:paraId="43054D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由他人原因造成的缺陷，发包人负责组织维修，承包人不承担费用，且发包人不得从保证金中扣除费用。</w:t>
      </w:r>
    </w:p>
    <w:p w14:paraId="068FBC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15.2.3 任何一项缺陷或损坏修复后，经检查证明其影响了工程或工程设备的使用性能，承包人应重新进行合同约定的试验和试运行，试验和试运行的全部费用应由责任方承担。</w:t>
      </w:r>
    </w:p>
    <w:p w14:paraId="66FACB6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3FDC6603">
      <w:pPr>
        <w:pStyle w:val="7"/>
        <w:spacing w:before="0" w:beforeAutospacing="0" w:after="0" w:afterAutospacing="0" w:line="360" w:lineRule="auto"/>
        <w:ind w:firstLine="422" w:firstLineChars="200"/>
        <w:rPr>
          <w:color w:val="auto"/>
          <w:sz w:val="21"/>
          <w:szCs w:val="21"/>
          <w:highlight w:val="none"/>
        </w:rPr>
      </w:pPr>
      <w:bookmarkStart w:id="1090" w:name="_Toc532377289"/>
      <w:bookmarkStart w:id="1091" w:name="_Toc351203601"/>
      <w:bookmarkStart w:id="1092" w:name="_Toc337558818"/>
      <w:bookmarkStart w:id="1093" w:name="_Toc296346616"/>
      <w:bookmarkStart w:id="1094" w:name="_Toc296503115"/>
      <w:r>
        <w:rPr>
          <w:rFonts w:hint="eastAsia"/>
          <w:color w:val="auto"/>
          <w:sz w:val="21"/>
          <w:szCs w:val="21"/>
          <w:highlight w:val="none"/>
        </w:rPr>
        <w:t>15.3 质量保证金</w:t>
      </w:r>
      <w:bookmarkEnd w:id="1090"/>
      <w:bookmarkEnd w:id="1091"/>
    </w:p>
    <w:bookmarkEnd w:id="1092"/>
    <w:p w14:paraId="42FC552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经合同当事人协商一致扣留质量保证金的，应在专用合同条款中予以明确。</w:t>
      </w:r>
    </w:p>
    <w:p w14:paraId="50CC3E9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在工程项目竣工前，承包人已经提供履约担保的，发包人不得同时预留工程质量保证金。</w:t>
      </w:r>
    </w:p>
    <w:p w14:paraId="023065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15.3.1 承包人提供质量保证金的方式</w:t>
      </w:r>
    </w:p>
    <w:p w14:paraId="594790E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承包人提供质量保证金有以下三种方式：</w:t>
      </w:r>
    </w:p>
    <w:p w14:paraId="26329D7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（1）质量保证金保函；</w:t>
      </w:r>
    </w:p>
    <w:p w14:paraId="19B37D6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（2）相应比例的工程款；</w:t>
      </w:r>
    </w:p>
    <w:p w14:paraId="15B427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（3）双方约定的其他方式。</w:t>
      </w:r>
    </w:p>
    <w:p w14:paraId="06B147E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除专用合同条款另有约定外，质量保证金原则上采用上述第（1）种方式。</w:t>
      </w:r>
    </w:p>
    <w:p w14:paraId="22CE501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15.3.2 质量保证金的扣留</w:t>
      </w:r>
    </w:p>
    <w:p w14:paraId="6E1A3E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质量保证金的扣留有以下三种方式：</w:t>
      </w:r>
    </w:p>
    <w:p w14:paraId="5850DCF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（1）在支付工程进度款时逐次扣留，在此情形下，质量保证金的计算基数不包括预付款的支付、扣回以及价格调整的金额；</w:t>
      </w:r>
    </w:p>
    <w:p w14:paraId="7D502A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（2）工</w:t>
      </w:r>
      <w:bookmarkStart w:id="1095" w:name="#go6"/>
      <w:bookmarkEnd w:id="1095"/>
      <w:r>
        <w:rPr>
          <w:rFonts w:hint="eastAsia" w:ascii="宋体" w:hAnsi="宋体"/>
          <w:color w:val="auto"/>
          <w:kern w:val="0"/>
          <w:szCs w:val="21"/>
          <w:highlight w:val="none"/>
        </w:rPr>
        <w:t>程竣工结算时一次性扣留质量保证金；</w:t>
      </w:r>
    </w:p>
    <w:p w14:paraId="425F462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（3）双方约定的其他扣留方式。</w:t>
      </w:r>
    </w:p>
    <w:p w14:paraId="3D94F59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除专用合同条款另有约定外，质量保证金的扣留原则上采用上述第（1）种方式。</w:t>
      </w:r>
    </w:p>
    <w:p w14:paraId="2D23721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w:t>
      </w:r>
      <w:bookmarkStart w:id="1096" w:name="#go4"/>
      <w:bookmarkEnd w:id="1096"/>
      <w:r>
        <w:rPr>
          <w:rFonts w:hint="eastAsia" w:ascii="宋体" w:hAnsi="宋体"/>
          <w:color w:val="auto"/>
          <w:kern w:val="0"/>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093D610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发包人在退还质量保证金的同时按照中国人民银行发布的同期同类贷款基准利率支付利息。</w:t>
      </w:r>
    </w:p>
    <w:p w14:paraId="3483FC4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15.3.3 质量保证金的退还</w:t>
      </w:r>
    </w:p>
    <w:p w14:paraId="74BCE7F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缺陷责任期内，承包人认真履行合同约定的责任，到期后，承包人可向发包人申请返还保证金。</w:t>
      </w:r>
    </w:p>
    <w:p w14:paraId="064640A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D216DD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发包人和承包人对保证金预留、返还以及工程维修质量、费用有争议的，按合同第20条约定的争议和纠纷解决程序处理。</w:t>
      </w:r>
    </w:p>
    <w:p w14:paraId="4267FE69">
      <w:pPr>
        <w:pStyle w:val="7"/>
        <w:spacing w:before="0" w:beforeAutospacing="0" w:after="0" w:afterAutospacing="0" w:line="360" w:lineRule="auto"/>
        <w:ind w:firstLine="422" w:firstLineChars="200"/>
        <w:rPr>
          <w:color w:val="auto"/>
          <w:sz w:val="21"/>
          <w:szCs w:val="21"/>
          <w:highlight w:val="none"/>
        </w:rPr>
      </w:pPr>
      <w:bookmarkStart w:id="1097" w:name="_Toc532377290"/>
      <w:bookmarkStart w:id="1098" w:name="_Toc351203602"/>
      <w:bookmarkStart w:id="1099" w:name="_Toc337558819"/>
      <w:r>
        <w:rPr>
          <w:rFonts w:hint="eastAsia"/>
          <w:color w:val="auto"/>
          <w:sz w:val="21"/>
          <w:szCs w:val="21"/>
          <w:highlight w:val="none"/>
        </w:rPr>
        <w:t>15.4 保修</w:t>
      </w:r>
      <w:bookmarkEnd w:id="1097"/>
      <w:bookmarkEnd w:id="1098"/>
    </w:p>
    <w:bookmarkEnd w:id="1093"/>
    <w:bookmarkEnd w:id="1094"/>
    <w:bookmarkEnd w:id="1099"/>
    <w:p w14:paraId="4B9D7A0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15.4.1保修责任</w:t>
      </w:r>
    </w:p>
    <w:p w14:paraId="610816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EE3349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发包人未经竣工验收擅自使用工程的，保修期自转移占有之日起算。</w:t>
      </w:r>
    </w:p>
    <w:p w14:paraId="6327B03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15.4.2 修复费用</w:t>
      </w:r>
    </w:p>
    <w:p w14:paraId="5C7E78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保修期内，修复的费用按照以下约定处理：</w:t>
      </w:r>
    </w:p>
    <w:p w14:paraId="7FE9817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（1）保修期内，因承包人原因造成工程的缺陷、损坏，承包人应负责修复，并承担修复的费用以及因工程的缺陷、损坏造成的人身伤害和财产损失；</w:t>
      </w:r>
    </w:p>
    <w:p w14:paraId="65CC580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（2）保修期内，因发包人使用不当造成工程的缺陷、损坏，可以委托承包人修复，但发包人应承担修复的费用，并支付承包人合理利润；</w:t>
      </w:r>
    </w:p>
    <w:p w14:paraId="695439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（3）因其他原因造成工程的缺陷、损坏，可以委托承包人修复，发包人应承担修复的费用，并支付承包人合理的利润，因工程的缺陷、损坏造成的人身伤害和财产损失由责任方承担。</w:t>
      </w:r>
    </w:p>
    <w:p w14:paraId="79327B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15.4.3 修复通知</w:t>
      </w:r>
    </w:p>
    <w:p w14:paraId="1317BB0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21FF57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15.4.4 未能修复</w:t>
      </w:r>
    </w:p>
    <w:p w14:paraId="329019F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779AAA1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15.4.5 承包人出入权</w:t>
      </w:r>
    </w:p>
    <w:p w14:paraId="58CA9A9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0A900B6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00" w:name="_Toc532377291"/>
      <w:bookmarkStart w:id="1101" w:name="_Toc351203603"/>
      <w:bookmarkStart w:id="1102" w:name="_Toc532375602"/>
      <w:bookmarkStart w:id="1103" w:name="_Toc337558820"/>
      <w:r>
        <w:rPr>
          <w:rFonts w:hint="eastAsia"/>
          <w:color w:val="auto"/>
          <w:kern w:val="2"/>
          <w:sz w:val="21"/>
          <w:szCs w:val="21"/>
          <w:highlight w:val="none"/>
        </w:rPr>
        <w:t>16. 违约</w:t>
      </w:r>
      <w:bookmarkEnd w:id="1100"/>
      <w:bookmarkEnd w:id="1101"/>
      <w:bookmarkEnd w:id="1102"/>
    </w:p>
    <w:bookmarkEnd w:id="1103"/>
    <w:p w14:paraId="79DB28B5">
      <w:pPr>
        <w:pStyle w:val="7"/>
        <w:spacing w:before="0" w:beforeAutospacing="0" w:after="0" w:afterAutospacing="0" w:line="360" w:lineRule="auto"/>
        <w:ind w:firstLine="422" w:firstLineChars="200"/>
        <w:rPr>
          <w:color w:val="auto"/>
          <w:sz w:val="21"/>
          <w:szCs w:val="21"/>
          <w:highlight w:val="none"/>
        </w:rPr>
      </w:pPr>
      <w:bookmarkStart w:id="1104" w:name="_Toc296503129"/>
      <w:bookmarkStart w:id="1105" w:name="_Toc296346630"/>
      <w:bookmarkStart w:id="1106" w:name="_Toc532377292"/>
      <w:bookmarkStart w:id="1107" w:name="_Toc351203604"/>
      <w:bookmarkStart w:id="1108" w:name="_Toc337558821"/>
      <w:r>
        <w:rPr>
          <w:rFonts w:hint="eastAsia"/>
          <w:color w:val="auto"/>
          <w:sz w:val="21"/>
          <w:szCs w:val="21"/>
          <w:highlight w:val="none"/>
        </w:rPr>
        <w:t>16.1 发</w:t>
      </w:r>
      <w:bookmarkEnd w:id="1104"/>
      <w:bookmarkEnd w:id="1105"/>
      <w:r>
        <w:rPr>
          <w:rFonts w:hint="eastAsia"/>
          <w:color w:val="auto"/>
          <w:sz w:val="21"/>
          <w:szCs w:val="21"/>
          <w:highlight w:val="none"/>
        </w:rPr>
        <w:t>包人违约</w:t>
      </w:r>
      <w:bookmarkEnd w:id="1106"/>
      <w:bookmarkEnd w:id="1107"/>
    </w:p>
    <w:bookmarkEnd w:id="1108"/>
    <w:p w14:paraId="783C0DC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16.1.1 发包人违约的情形</w:t>
      </w:r>
    </w:p>
    <w:p w14:paraId="6BB7541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在合同履行过程中发生的下列情形，属于发包人违约：</w:t>
      </w:r>
    </w:p>
    <w:p w14:paraId="730F874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（1）因发包人原因未能在计划开工日期前7天内下达开工通知的；</w:t>
      </w:r>
    </w:p>
    <w:p w14:paraId="72F1AE7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（2）因发包人原因未能按合同约定支付合同价款的；</w:t>
      </w:r>
    </w:p>
    <w:p w14:paraId="61012D8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（3）发包人违反第10.1款〔变更的范围〕第（2）项约定，自行实施被取消的工作或转由他人实施的；</w:t>
      </w:r>
    </w:p>
    <w:p w14:paraId="52D1F81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（4）发包人提供的材料、工程设备的规格、数量或质量不符合合同约定，或因发包人原因导致交货日期延误或交货地点变更等情况的；</w:t>
      </w:r>
    </w:p>
    <w:p w14:paraId="4F1538E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（5）因发包人违反合同约定造成暂停施工的；</w:t>
      </w:r>
    </w:p>
    <w:p w14:paraId="54C868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（6）发包人无正当理由没有在约定期限内发出复工指示，导致承包人无法复工的；</w:t>
      </w:r>
    </w:p>
    <w:p w14:paraId="775BD60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（7）发包人明确表示或者以其行为表明不履行合同主要义务的；</w:t>
      </w:r>
    </w:p>
    <w:p w14:paraId="15418A8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（8）发包人未能按照合同约定履行其他义务的。</w:t>
      </w:r>
    </w:p>
    <w:p w14:paraId="23EE321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DCCE5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16.1.2 发包人违约的责任</w:t>
      </w:r>
    </w:p>
    <w:p w14:paraId="29216E8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12DC75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16.1.3 因发包人违约解除合同</w:t>
      </w:r>
    </w:p>
    <w:p w14:paraId="5FA4DD3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5CCE67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16.1.4 因发包人违约解除合同后的付款</w:t>
      </w:r>
    </w:p>
    <w:p w14:paraId="172C73F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承包人按照本款约定解除合同的，发包人应在解除合同后28天内支付下列款项，并解除履约担保：</w:t>
      </w:r>
    </w:p>
    <w:p w14:paraId="5615EBF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（1）合同解除前所完成工作的价款；</w:t>
      </w:r>
    </w:p>
    <w:p w14:paraId="4B79284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（2）承包人为工程施工订购并已付款的材料、工程设备和其他物品的价款；</w:t>
      </w:r>
    </w:p>
    <w:p w14:paraId="47C22F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（3）承包人撤离施工现场以及遣散承包人人员的款项；</w:t>
      </w:r>
    </w:p>
    <w:p w14:paraId="5AE0205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（4）按照合同约定在合同解除前应支付的违约金；</w:t>
      </w:r>
    </w:p>
    <w:p w14:paraId="605929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（5）按照合同约定应当支付给承包人的其他款项；</w:t>
      </w:r>
    </w:p>
    <w:p w14:paraId="599319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（6）按照合同约定应退还的质量保证金；</w:t>
      </w:r>
    </w:p>
    <w:p w14:paraId="059261C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（7）因解除合同给承包人造成的损失。</w:t>
      </w:r>
    </w:p>
    <w:p w14:paraId="181D447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合同当事人未能就解除合同后的结清达成一致的，按照第20条〔争议解决〕的约定处理。</w:t>
      </w:r>
    </w:p>
    <w:p w14:paraId="35874BC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3488A676">
      <w:pPr>
        <w:pStyle w:val="7"/>
        <w:spacing w:before="0" w:beforeAutospacing="0" w:after="0" w:afterAutospacing="0" w:line="360" w:lineRule="auto"/>
        <w:ind w:firstLine="422" w:firstLineChars="200"/>
        <w:rPr>
          <w:color w:val="auto"/>
          <w:sz w:val="21"/>
          <w:szCs w:val="21"/>
          <w:highlight w:val="none"/>
        </w:rPr>
      </w:pPr>
      <w:bookmarkStart w:id="1109" w:name="_Toc532377293"/>
      <w:bookmarkStart w:id="1110" w:name="_Toc351203605"/>
      <w:bookmarkStart w:id="1111" w:name="_Toc296346632"/>
      <w:bookmarkStart w:id="1112" w:name="_Toc337558822"/>
      <w:bookmarkStart w:id="1113" w:name="_Toc296503131"/>
      <w:r>
        <w:rPr>
          <w:rFonts w:hint="eastAsia"/>
          <w:color w:val="auto"/>
          <w:sz w:val="21"/>
          <w:szCs w:val="21"/>
          <w:highlight w:val="none"/>
        </w:rPr>
        <w:t>16.2 承包人违约</w:t>
      </w:r>
      <w:bookmarkEnd w:id="1109"/>
      <w:bookmarkEnd w:id="1110"/>
    </w:p>
    <w:bookmarkEnd w:id="1111"/>
    <w:bookmarkEnd w:id="1112"/>
    <w:bookmarkEnd w:id="1113"/>
    <w:p w14:paraId="029D3BA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16.2.1 承包人违约的情形</w:t>
      </w:r>
    </w:p>
    <w:p w14:paraId="07997A5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在合同履行过程中发生的下列情形，属于承包人违约：</w:t>
      </w:r>
    </w:p>
    <w:p w14:paraId="5EA2FA4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（1）承包人违反合同约定进行转包或违法分包的；</w:t>
      </w:r>
    </w:p>
    <w:p w14:paraId="13011D7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（2）承包人违反合同约定采购和使用不合格的材料和工程设备的；</w:t>
      </w:r>
    </w:p>
    <w:p w14:paraId="706889B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（3）因承包人原因导致工程质量不符合合同要求的； </w:t>
      </w:r>
    </w:p>
    <w:p w14:paraId="604753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（4）承包人违反第8.9款〔材料与设备专用要求〕的约定，未经批准，私自将已按照合同约定进入施工现场的材料或设备撤离施工现场的；</w:t>
      </w:r>
    </w:p>
    <w:p w14:paraId="5976DAB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（5）承包人未能按施工进度计划及时完成合同约定的工作，造成工期延误的；</w:t>
      </w:r>
    </w:p>
    <w:p w14:paraId="77B6086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（6）承包人在缺陷责任期及保修期内，未能在合理期限对工程缺陷进行修复，或拒绝按发包人要求进行修复的；</w:t>
      </w:r>
    </w:p>
    <w:p w14:paraId="0EC9E9C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（7）承包人明确表示或者以其行为表明不履行合同主要义务的；</w:t>
      </w:r>
    </w:p>
    <w:p w14:paraId="2791623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（8）承包人未能按照合同约定履行其他义务的。</w:t>
      </w:r>
    </w:p>
    <w:p w14:paraId="75D0BBB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承包人发生除本项第（7）目约定以外的其他违约情况时，监理人可向承包人发出整改通知，要求其在指定的期限内改正。</w:t>
      </w:r>
    </w:p>
    <w:p w14:paraId="3D4D23A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16.2.2 承包人违约的责任</w:t>
      </w:r>
    </w:p>
    <w:p w14:paraId="76BC63F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承包人应承担因其违约行为而增加的费用和（或）延误的工期。此外，合同当事人可在专用合同条款中另行约定承包人违约责任的承担方式和计算方法。</w:t>
      </w:r>
    </w:p>
    <w:p w14:paraId="1D0A4BB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16.2.3 因承包人违约解除合同</w:t>
      </w:r>
    </w:p>
    <w:p w14:paraId="010847E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9450C4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16.2.4因承包人违约解除合同后的处理</w:t>
      </w:r>
    </w:p>
    <w:p w14:paraId="6472DF7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因承包人原因导致合同解除的，则合同当事人应在合同解除后28天内完成估价、付款和清算，并按以下约定执行：</w:t>
      </w:r>
    </w:p>
    <w:p w14:paraId="07EF804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（1）合同解除后，按第4.4款〔商定或确定〕商定或确定承包人实际完成工作对应的合同价款，以及承包人已提供的材料、工程设备、施工设备和临时工程等的价值；</w:t>
      </w:r>
    </w:p>
    <w:p w14:paraId="1B8CFC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（2）合同解除后，承包人应支付的违约金；</w:t>
      </w:r>
    </w:p>
    <w:p w14:paraId="31877FA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（3）合同解除后，因解除合同给发包人造成的损失；</w:t>
      </w:r>
    </w:p>
    <w:p w14:paraId="7CA2433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（4）合同解除后，承包人应按照发包人要求和监理人的指示完成现场的清理和撤离；</w:t>
      </w:r>
    </w:p>
    <w:p w14:paraId="78DB1A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（5）发包人和承包人应在合同解除后进行清算，出具最终结清付款证书，结清全部款项。</w:t>
      </w:r>
    </w:p>
    <w:p w14:paraId="10A2925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531233C9">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16.2.5采购合同权益转让</w:t>
      </w:r>
    </w:p>
    <w:p w14:paraId="1E66E8F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BB09930">
      <w:pPr>
        <w:pStyle w:val="7"/>
        <w:spacing w:before="0" w:beforeAutospacing="0" w:after="0" w:afterAutospacing="0" w:line="360" w:lineRule="auto"/>
        <w:ind w:firstLine="422" w:firstLineChars="200"/>
        <w:rPr>
          <w:color w:val="auto"/>
          <w:sz w:val="21"/>
          <w:szCs w:val="21"/>
          <w:highlight w:val="none"/>
        </w:rPr>
      </w:pPr>
      <w:bookmarkStart w:id="1114" w:name="_Toc351203606"/>
      <w:bookmarkStart w:id="1115" w:name="_Toc532377294"/>
      <w:r>
        <w:rPr>
          <w:rFonts w:hint="eastAsia"/>
          <w:color w:val="auto"/>
          <w:sz w:val="21"/>
          <w:szCs w:val="21"/>
          <w:highlight w:val="none"/>
        </w:rPr>
        <w:t>16.3 第三人造成的违约</w:t>
      </w:r>
      <w:bookmarkEnd w:id="1114"/>
      <w:bookmarkEnd w:id="1115"/>
    </w:p>
    <w:p w14:paraId="06CA7BB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14:paraId="3A7F51B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16" w:name="_Toc296503116"/>
      <w:bookmarkStart w:id="1117" w:name="_Toc337558823"/>
      <w:bookmarkStart w:id="1118" w:name="_Toc532377295"/>
      <w:bookmarkStart w:id="1119" w:name="_Toc351203607"/>
      <w:bookmarkStart w:id="1120" w:name="_Toc532375603"/>
      <w:bookmarkStart w:id="1121" w:name="_Toc296346617"/>
      <w:r>
        <w:rPr>
          <w:rFonts w:hint="eastAsia"/>
          <w:color w:val="auto"/>
          <w:kern w:val="2"/>
          <w:sz w:val="21"/>
          <w:szCs w:val="21"/>
          <w:highlight w:val="none"/>
        </w:rPr>
        <w:t>17. 不可抗力</w:t>
      </w:r>
      <w:bookmarkEnd w:id="1116"/>
      <w:bookmarkEnd w:id="1117"/>
      <w:bookmarkEnd w:id="1118"/>
      <w:bookmarkEnd w:id="1119"/>
      <w:bookmarkEnd w:id="1120"/>
      <w:bookmarkEnd w:id="1121"/>
    </w:p>
    <w:p w14:paraId="684D4AF4">
      <w:pPr>
        <w:pStyle w:val="7"/>
        <w:spacing w:before="0" w:beforeAutospacing="0" w:after="0" w:afterAutospacing="0" w:line="360" w:lineRule="auto"/>
        <w:ind w:firstLine="422" w:firstLineChars="200"/>
        <w:rPr>
          <w:color w:val="auto"/>
          <w:sz w:val="21"/>
          <w:szCs w:val="21"/>
          <w:highlight w:val="none"/>
        </w:rPr>
      </w:pPr>
      <w:bookmarkStart w:id="1122" w:name="_Toc532377296"/>
      <w:bookmarkStart w:id="1123" w:name="_Toc351203608"/>
      <w:bookmarkStart w:id="1124" w:name="_Toc296346618"/>
      <w:bookmarkStart w:id="1125" w:name="_Toc296503117"/>
      <w:bookmarkStart w:id="1126" w:name="_Toc337558824"/>
      <w:r>
        <w:rPr>
          <w:rFonts w:hint="eastAsia"/>
          <w:color w:val="auto"/>
          <w:sz w:val="21"/>
          <w:szCs w:val="21"/>
          <w:highlight w:val="none"/>
        </w:rPr>
        <w:t>17.1 不可抗力的确认</w:t>
      </w:r>
      <w:bookmarkEnd w:id="1122"/>
      <w:bookmarkEnd w:id="1123"/>
    </w:p>
    <w:bookmarkEnd w:id="1124"/>
    <w:bookmarkEnd w:id="1125"/>
    <w:bookmarkEnd w:id="1126"/>
    <w:p w14:paraId="1796674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46DED33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BED8096">
      <w:pPr>
        <w:pStyle w:val="7"/>
        <w:spacing w:before="0" w:beforeAutospacing="0" w:after="0" w:afterAutospacing="0" w:line="360" w:lineRule="auto"/>
        <w:ind w:firstLine="422" w:firstLineChars="200"/>
        <w:rPr>
          <w:color w:val="auto"/>
          <w:sz w:val="21"/>
          <w:szCs w:val="21"/>
          <w:highlight w:val="none"/>
        </w:rPr>
      </w:pPr>
      <w:bookmarkStart w:id="1127" w:name="_Toc351203609"/>
      <w:bookmarkStart w:id="1128" w:name="_Toc532377297"/>
      <w:bookmarkStart w:id="1129" w:name="_Toc296503118"/>
      <w:bookmarkStart w:id="1130" w:name="_Toc337558825"/>
      <w:bookmarkStart w:id="1131" w:name="_Toc296346619"/>
      <w:r>
        <w:rPr>
          <w:rFonts w:hint="eastAsia"/>
          <w:color w:val="auto"/>
          <w:sz w:val="21"/>
          <w:szCs w:val="21"/>
          <w:highlight w:val="none"/>
        </w:rPr>
        <w:t>17.2 不可抗力的通知</w:t>
      </w:r>
      <w:bookmarkEnd w:id="1127"/>
      <w:bookmarkEnd w:id="1128"/>
    </w:p>
    <w:bookmarkEnd w:id="1129"/>
    <w:bookmarkEnd w:id="1130"/>
    <w:bookmarkEnd w:id="1131"/>
    <w:p w14:paraId="45EC122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合同一方当事人遇到不可抗力事件，使其履行合同义务受到阻碍时，应立即通知合同另一方当事人和监理人，书面说明不可抗力和受阻碍的详细情况，并提供必要的证明。</w:t>
      </w:r>
    </w:p>
    <w:p w14:paraId="2EB8CB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279A7574">
      <w:pPr>
        <w:pStyle w:val="7"/>
        <w:spacing w:before="0" w:beforeAutospacing="0" w:after="0" w:afterAutospacing="0" w:line="360" w:lineRule="auto"/>
        <w:ind w:firstLine="422" w:firstLineChars="200"/>
        <w:rPr>
          <w:color w:val="auto"/>
          <w:sz w:val="21"/>
          <w:szCs w:val="21"/>
          <w:highlight w:val="none"/>
        </w:rPr>
      </w:pPr>
      <w:bookmarkStart w:id="1132" w:name="_Toc532377298"/>
      <w:r>
        <w:rPr>
          <w:rFonts w:hint="eastAsia"/>
          <w:color w:val="auto"/>
          <w:sz w:val="21"/>
          <w:szCs w:val="21"/>
          <w:highlight w:val="none"/>
        </w:rPr>
        <w:t>17.3 不可抗力后果的承担</w:t>
      </w:r>
      <w:bookmarkEnd w:id="1132"/>
    </w:p>
    <w:p w14:paraId="7D444C9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17.3.1 不可抗力引起的后果及造成的损失由合同当事人按照法律规定及合同约定各自承担。不可抗力发生前已完成的工程应当按照合同约定进行计量支付。</w:t>
      </w:r>
    </w:p>
    <w:p w14:paraId="1F04F4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17.3.2 不可抗力导致的人员伤亡、财产损失、费用增加和（或）工期延误等后果，由合同当事人按以下原则承担：</w:t>
      </w:r>
    </w:p>
    <w:p w14:paraId="57B7FE5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（1）永久工程、已运至施工现场的材料和工程设备的损坏，以及因工程损坏造成的第三人人员伤亡和财产损失由发包人承担；</w:t>
      </w:r>
    </w:p>
    <w:p w14:paraId="3F2034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（2）承包人施工设备的损坏由承包人承担；</w:t>
      </w:r>
    </w:p>
    <w:p w14:paraId="1C25FEB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（3）发包人和承包人承担各自人员伤亡和财产的损失；</w:t>
      </w:r>
    </w:p>
    <w:p w14:paraId="7FFDE72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73074C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（5）因不可抗力引起或将引起工期延误，发包人要求赶工的，由此增加的赶工费用由发包人承担；</w:t>
      </w:r>
    </w:p>
    <w:p w14:paraId="3C1C6A0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（6）承包人在停工期间按照发包人要求照管、清理和修复工程的费用由发包人承担。</w:t>
      </w:r>
    </w:p>
    <w:p w14:paraId="48010FB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不可抗力发生后，合同当事人均应采取措施尽量避免和减少损失的扩大，任何一方当事人没有采取有效措施导致损失扩大的，应对扩大的损失承担责任。</w:t>
      </w:r>
    </w:p>
    <w:p w14:paraId="772A9D9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因合同一方迟延履行合同义务，在迟延履行期间遭遇不可抗力的，不免除其违约责任。</w:t>
      </w:r>
    </w:p>
    <w:p w14:paraId="239B42CF">
      <w:pPr>
        <w:pStyle w:val="7"/>
        <w:spacing w:before="0" w:beforeAutospacing="0" w:after="0" w:afterAutospacing="0" w:line="360" w:lineRule="auto"/>
        <w:ind w:firstLine="422" w:firstLineChars="200"/>
        <w:rPr>
          <w:color w:val="auto"/>
          <w:sz w:val="21"/>
          <w:szCs w:val="21"/>
          <w:highlight w:val="none"/>
        </w:rPr>
      </w:pPr>
      <w:bookmarkStart w:id="1133" w:name="_Toc532377299"/>
      <w:bookmarkStart w:id="1134" w:name="_Toc351203611"/>
      <w:bookmarkStart w:id="1135" w:name="_Toc337558827"/>
      <w:r>
        <w:rPr>
          <w:rFonts w:hint="eastAsia"/>
          <w:color w:val="auto"/>
          <w:sz w:val="21"/>
          <w:szCs w:val="21"/>
          <w:highlight w:val="none"/>
        </w:rPr>
        <w:t>17.4 因不可抗力解除合同</w:t>
      </w:r>
      <w:bookmarkEnd w:id="1133"/>
      <w:bookmarkEnd w:id="1134"/>
    </w:p>
    <w:bookmarkEnd w:id="1135"/>
    <w:p w14:paraId="0FCF709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168BD6F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（1）合同解除前承包人已完成工作的价款；</w:t>
      </w:r>
    </w:p>
    <w:p w14:paraId="545F3B3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（2）承包人为工程订购的并已交付给承包人，或承包人有责任接受交付的材料、工程设备和其他物品的价款；</w:t>
      </w:r>
    </w:p>
    <w:p w14:paraId="1801A6A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（3）发包人要求承包人退货或解除订货合同而产生的费用，或因不能退货或解除合同而产生的损失；</w:t>
      </w:r>
    </w:p>
    <w:p w14:paraId="020338A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（4）承包人撤离施工现场以及遣散承包人人员的费用；</w:t>
      </w:r>
    </w:p>
    <w:p w14:paraId="0C4026F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（5）按照合同约定在合同解除前应支付给承包人的其他款项；</w:t>
      </w:r>
    </w:p>
    <w:p w14:paraId="169009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（6）扣减承包人按照合同约定应向发包人支付的款项；</w:t>
      </w:r>
    </w:p>
    <w:p w14:paraId="2FDEBBE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（7）双方商定或确定的其他款项。</w:t>
      </w:r>
    </w:p>
    <w:p w14:paraId="78E1740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除专用合同条款另有约定外，合同解除后，发包人应在商定或确定上述款项后28天内完成上述款项的支付。</w:t>
      </w:r>
    </w:p>
    <w:p w14:paraId="0DBEB05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36" w:name="_Toc351203612"/>
      <w:bookmarkStart w:id="1137" w:name="_Toc532377300"/>
      <w:bookmarkStart w:id="1138" w:name="_Toc532375604"/>
      <w:bookmarkStart w:id="1139" w:name="_Toc337558828"/>
      <w:bookmarkStart w:id="1140" w:name="_Toc296346621"/>
      <w:bookmarkStart w:id="1141" w:name="_Toc296503120"/>
      <w:r>
        <w:rPr>
          <w:rFonts w:hint="eastAsia"/>
          <w:color w:val="auto"/>
          <w:kern w:val="2"/>
          <w:sz w:val="21"/>
          <w:szCs w:val="21"/>
          <w:highlight w:val="none"/>
        </w:rPr>
        <w:t>18. 保险</w:t>
      </w:r>
      <w:bookmarkEnd w:id="1136"/>
      <w:bookmarkEnd w:id="1137"/>
      <w:bookmarkEnd w:id="1138"/>
    </w:p>
    <w:bookmarkEnd w:id="1139"/>
    <w:bookmarkEnd w:id="1140"/>
    <w:bookmarkEnd w:id="1141"/>
    <w:p w14:paraId="278EADC6">
      <w:pPr>
        <w:pStyle w:val="7"/>
        <w:spacing w:before="0" w:beforeAutospacing="0" w:after="0" w:afterAutospacing="0" w:line="360" w:lineRule="auto"/>
        <w:ind w:firstLine="422" w:firstLineChars="200"/>
        <w:rPr>
          <w:color w:val="auto"/>
          <w:sz w:val="21"/>
          <w:szCs w:val="21"/>
          <w:highlight w:val="none"/>
        </w:rPr>
      </w:pPr>
      <w:bookmarkStart w:id="1142" w:name="_Toc351203613"/>
      <w:bookmarkStart w:id="1143" w:name="_Toc532377301"/>
      <w:bookmarkStart w:id="1144" w:name="_Toc296346622"/>
      <w:bookmarkStart w:id="1145" w:name="_Toc337558829"/>
      <w:bookmarkStart w:id="1146" w:name="_Toc296503121"/>
      <w:r>
        <w:rPr>
          <w:rFonts w:hint="eastAsia"/>
          <w:color w:val="auto"/>
          <w:sz w:val="21"/>
          <w:szCs w:val="21"/>
          <w:highlight w:val="none"/>
        </w:rPr>
        <w:t>18.1 工程保险</w:t>
      </w:r>
      <w:bookmarkEnd w:id="1142"/>
      <w:bookmarkEnd w:id="1143"/>
    </w:p>
    <w:bookmarkEnd w:id="1144"/>
    <w:bookmarkEnd w:id="1145"/>
    <w:bookmarkEnd w:id="1146"/>
    <w:p w14:paraId="0BDD20D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除专用合同条款另有约定外，发包人应投保建筑工程一切险或安装工程一切险；发包人委托承包人投保的，因投保产生的保险费和其他相关费用由发包人承担。</w:t>
      </w:r>
    </w:p>
    <w:p w14:paraId="0F7CEB7B">
      <w:pPr>
        <w:pStyle w:val="7"/>
        <w:spacing w:before="0" w:beforeAutospacing="0" w:after="0" w:afterAutospacing="0" w:line="360" w:lineRule="auto"/>
        <w:ind w:firstLine="422" w:firstLineChars="200"/>
        <w:rPr>
          <w:color w:val="auto"/>
          <w:sz w:val="21"/>
          <w:szCs w:val="21"/>
          <w:highlight w:val="none"/>
        </w:rPr>
      </w:pPr>
      <w:bookmarkStart w:id="1147" w:name="_Toc351203614"/>
      <w:bookmarkStart w:id="1148" w:name="_Toc532377302"/>
      <w:bookmarkStart w:id="1149" w:name="_Toc337558830"/>
      <w:bookmarkStart w:id="1150" w:name="_Toc296503122"/>
      <w:bookmarkStart w:id="1151" w:name="_Toc296346623"/>
      <w:r>
        <w:rPr>
          <w:rFonts w:hint="eastAsia"/>
          <w:color w:val="auto"/>
          <w:sz w:val="21"/>
          <w:szCs w:val="21"/>
          <w:highlight w:val="none"/>
        </w:rPr>
        <w:t>18.2 工伤保险</w:t>
      </w:r>
      <w:bookmarkEnd w:id="1147"/>
      <w:bookmarkEnd w:id="1148"/>
    </w:p>
    <w:bookmarkEnd w:id="1149"/>
    <w:bookmarkEnd w:id="1150"/>
    <w:bookmarkEnd w:id="1151"/>
    <w:p w14:paraId="12633D9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7E78CCE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63157C30">
      <w:pPr>
        <w:pStyle w:val="7"/>
        <w:spacing w:before="0" w:beforeAutospacing="0" w:after="0" w:afterAutospacing="0" w:line="360" w:lineRule="auto"/>
        <w:ind w:firstLine="422" w:firstLineChars="200"/>
        <w:rPr>
          <w:color w:val="auto"/>
          <w:sz w:val="21"/>
          <w:szCs w:val="21"/>
          <w:highlight w:val="none"/>
        </w:rPr>
      </w:pPr>
      <w:bookmarkStart w:id="1152" w:name="_Toc351203615"/>
      <w:bookmarkStart w:id="1153" w:name="_Toc532377303"/>
      <w:bookmarkStart w:id="1154" w:name="_Toc337558831"/>
      <w:bookmarkStart w:id="1155" w:name="_Toc296346626"/>
      <w:bookmarkStart w:id="1156" w:name="_Toc296503125"/>
      <w:r>
        <w:rPr>
          <w:rFonts w:hint="eastAsia"/>
          <w:color w:val="auto"/>
          <w:sz w:val="21"/>
          <w:szCs w:val="21"/>
          <w:highlight w:val="none"/>
        </w:rPr>
        <w:t>18.3其他保险</w:t>
      </w:r>
      <w:bookmarkEnd w:id="1152"/>
      <w:bookmarkEnd w:id="1153"/>
    </w:p>
    <w:bookmarkEnd w:id="1154"/>
    <w:bookmarkEnd w:id="1155"/>
    <w:bookmarkEnd w:id="1156"/>
    <w:p w14:paraId="538EB03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48143D1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除专用合同条款另有约定外，承包人应为其施工设备等办理财产保险。</w:t>
      </w:r>
    </w:p>
    <w:p w14:paraId="70CA8C94">
      <w:pPr>
        <w:pStyle w:val="7"/>
        <w:spacing w:before="0" w:beforeAutospacing="0" w:after="0" w:afterAutospacing="0" w:line="360" w:lineRule="auto"/>
        <w:ind w:firstLine="422" w:firstLineChars="200"/>
        <w:rPr>
          <w:color w:val="auto"/>
          <w:sz w:val="21"/>
          <w:szCs w:val="21"/>
          <w:highlight w:val="none"/>
        </w:rPr>
      </w:pPr>
      <w:bookmarkStart w:id="1157" w:name="_Toc351203616"/>
      <w:bookmarkStart w:id="1158" w:name="_Toc532377304"/>
      <w:r>
        <w:rPr>
          <w:rFonts w:hint="eastAsia"/>
          <w:color w:val="auto"/>
          <w:sz w:val="21"/>
          <w:szCs w:val="21"/>
          <w:highlight w:val="none"/>
        </w:rPr>
        <w:t>18.4持续保险</w:t>
      </w:r>
      <w:bookmarkEnd w:id="1157"/>
      <w:bookmarkEnd w:id="1158"/>
    </w:p>
    <w:p w14:paraId="327C03A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合同当事人应与保险人保持联系，使保险人能够随时了解工程实施中的变动，并确保按保险合同条款要求持续保险。</w:t>
      </w:r>
    </w:p>
    <w:p w14:paraId="38F5241F">
      <w:pPr>
        <w:pStyle w:val="7"/>
        <w:spacing w:before="0" w:beforeAutospacing="0" w:after="0" w:afterAutospacing="0" w:line="360" w:lineRule="auto"/>
        <w:ind w:firstLine="422" w:firstLineChars="200"/>
        <w:rPr>
          <w:color w:val="auto"/>
          <w:sz w:val="21"/>
          <w:szCs w:val="21"/>
          <w:highlight w:val="none"/>
        </w:rPr>
      </w:pPr>
      <w:bookmarkStart w:id="1159" w:name="_Toc351203617"/>
      <w:bookmarkStart w:id="1160" w:name="_Toc532377305"/>
      <w:bookmarkStart w:id="1161" w:name="_Toc296346627"/>
      <w:bookmarkStart w:id="1162" w:name="_Toc296503126"/>
      <w:bookmarkStart w:id="1163" w:name="_Toc337558832"/>
      <w:r>
        <w:rPr>
          <w:rFonts w:hint="eastAsia"/>
          <w:color w:val="auto"/>
          <w:sz w:val="21"/>
          <w:szCs w:val="21"/>
          <w:highlight w:val="none"/>
        </w:rPr>
        <w:t>18.5 保险凭证</w:t>
      </w:r>
      <w:bookmarkEnd w:id="1159"/>
      <w:bookmarkEnd w:id="1160"/>
    </w:p>
    <w:bookmarkEnd w:id="1161"/>
    <w:bookmarkEnd w:id="1162"/>
    <w:bookmarkEnd w:id="1163"/>
    <w:p w14:paraId="512633E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合同当事人应及时向另一方当事人提交其已投保的各项保险的凭证和保险单复印件。</w:t>
      </w:r>
    </w:p>
    <w:p w14:paraId="5D32337B">
      <w:pPr>
        <w:pStyle w:val="7"/>
        <w:spacing w:before="0" w:beforeAutospacing="0" w:after="0" w:afterAutospacing="0" w:line="360" w:lineRule="auto"/>
        <w:ind w:firstLine="422" w:firstLineChars="200"/>
        <w:rPr>
          <w:color w:val="auto"/>
          <w:sz w:val="21"/>
          <w:szCs w:val="21"/>
          <w:highlight w:val="none"/>
        </w:rPr>
      </w:pPr>
      <w:bookmarkStart w:id="1164" w:name="_Toc351203618"/>
      <w:bookmarkStart w:id="1165" w:name="_Toc532377306"/>
      <w:bookmarkStart w:id="1166" w:name="_Toc296503127"/>
      <w:bookmarkStart w:id="1167" w:name="_Toc296346628"/>
      <w:bookmarkStart w:id="1168" w:name="_Toc337558833"/>
      <w:r>
        <w:rPr>
          <w:rFonts w:hint="eastAsia"/>
          <w:color w:val="auto"/>
          <w:sz w:val="21"/>
          <w:szCs w:val="21"/>
          <w:highlight w:val="none"/>
        </w:rPr>
        <w:t>18.6 未按约定投保的补救</w:t>
      </w:r>
      <w:bookmarkEnd w:id="1164"/>
      <w:bookmarkEnd w:id="1165"/>
    </w:p>
    <w:bookmarkEnd w:id="1166"/>
    <w:bookmarkEnd w:id="1167"/>
    <w:bookmarkEnd w:id="1168"/>
    <w:p w14:paraId="530BCB3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5A6D26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0B101CCA">
      <w:pPr>
        <w:pStyle w:val="7"/>
        <w:spacing w:before="0" w:beforeAutospacing="0" w:after="0" w:afterAutospacing="0" w:line="360" w:lineRule="auto"/>
        <w:ind w:firstLine="422" w:firstLineChars="200"/>
        <w:rPr>
          <w:color w:val="auto"/>
          <w:sz w:val="21"/>
          <w:szCs w:val="21"/>
          <w:highlight w:val="none"/>
        </w:rPr>
      </w:pPr>
      <w:bookmarkStart w:id="1169" w:name="_Toc351203619"/>
      <w:bookmarkStart w:id="1170" w:name="_Toc532377307"/>
      <w:bookmarkStart w:id="1171" w:name="_Toc337558834"/>
      <w:r>
        <w:rPr>
          <w:rFonts w:hint="eastAsia"/>
          <w:color w:val="auto"/>
          <w:sz w:val="21"/>
          <w:szCs w:val="21"/>
          <w:highlight w:val="none"/>
        </w:rPr>
        <w:t>18.7 通知义务</w:t>
      </w:r>
      <w:bookmarkEnd w:id="1169"/>
      <w:bookmarkEnd w:id="1170"/>
    </w:p>
    <w:bookmarkEnd w:id="1171"/>
    <w:p w14:paraId="570772A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2D90FB6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保险事故发生时，投保人应按照保险合同规定的条件和期限及时向保险人报告。发包人和承包人应当在知道保险事故发生后及时通知对方。</w:t>
      </w:r>
    </w:p>
    <w:p w14:paraId="345774A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72" w:name="_Toc532377308"/>
      <w:bookmarkStart w:id="1173" w:name="_Toc532375605"/>
      <w:r>
        <w:rPr>
          <w:rFonts w:hint="eastAsia"/>
          <w:color w:val="auto"/>
          <w:kern w:val="2"/>
          <w:sz w:val="21"/>
          <w:szCs w:val="21"/>
          <w:highlight w:val="none"/>
        </w:rPr>
        <w:t>19. 索赔</w:t>
      </w:r>
      <w:bookmarkEnd w:id="1172"/>
      <w:bookmarkEnd w:id="1173"/>
    </w:p>
    <w:p w14:paraId="4A72BC61">
      <w:pPr>
        <w:pStyle w:val="7"/>
        <w:spacing w:before="0" w:beforeAutospacing="0" w:after="0" w:afterAutospacing="0" w:line="360" w:lineRule="auto"/>
        <w:ind w:firstLine="422" w:firstLineChars="200"/>
        <w:rPr>
          <w:color w:val="auto"/>
          <w:sz w:val="21"/>
          <w:szCs w:val="21"/>
          <w:highlight w:val="none"/>
        </w:rPr>
      </w:pPr>
      <w:bookmarkStart w:id="1174" w:name="_Toc532377309"/>
      <w:r>
        <w:rPr>
          <w:rFonts w:hint="eastAsia"/>
          <w:color w:val="auto"/>
          <w:sz w:val="21"/>
          <w:szCs w:val="21"/>
          <w:highlight w:val="none"/>
        </w:rPr>
        <w:t>19.1承包人的索赔</w:t>
      </w:r>
      <w:bookmarkEnd w:id="1174"/>
    </w:p>
    <w:p w14:paraId="2E4F7FD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根据合同约定，承包人认为有权得到追加付款和（或）延长工期的，应按以下程序向发包人提出索赔：</w:t>
      </w:r>
    </w:p>
    <w:p w14:paraId="0EF4AEFE">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A84DDF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24FDDCF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（3）索赔事件具有持续影响的，承包人应按合理时间间隔继续递交延续索赔通知，说明持续影响的实际情况和记录，列出累计的追加付款金额和（或）工期延长天数；</w:t>
      </w:r>
    </w:p>
    <w:p w14:paraId="3C79D86F">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（4）在索赔事件影响结束后28天内，承包人应向监理人递交最终索赔报告，说明最终要求索赔的追加付款金额和（或）延长的工期，并附必要的记录和证明材料。</w:t>
      </w:r>
    </w:p>
    <w:p w14:paraId="73D4BA58">
      <w:pPr>
        <w:pStyle w:val="7"/>
        <w:spacing w:before="0" w:beforeAutospacing="0" w:after="0" w:afterAutospacing="0" w:line="360" w:lineRule="auto"/>
        <w:ind w:firstLine="422" w:firstLineChars="200"/>
        <w:rPr>
          <w:color w:val="auto"/>
          <w:sz w:val="21"/>
          <w:szCs w:val="21"/>
          <w:highlight w:val="none"/>
        </w:rPr>
      </w:pPr>
      <w:bookmarkStart w:id="1175" w:name="_Toc351203622"/>
      <w:bookmarkStart w:id="1176" w:name="_Toc532377310"/>
      <w:bookmarkStart w:id="1177" w:name="_Toc296346643"/>
      <w:bookmarkStart w:id="1178" w:name="_Toc337558837"/>
      <w:bookmarkStart w:id="1179" w:name="_Toc296503142"/>
      <w:r>
        <w:rPr>
          <w:rFonts w:hint="eastAsia"/>
          <w:color w:val="auto"/>
          <w:sz w:val="21"/>
          <w:szCs w:val="21"/>
          <w:highlight w:val="none"/>
        </w:rPr>
        <w:t>19.2 对承包人索赔的处理</w:t>
      </w:r>
      <w:bookmarkEnd w:id="1175"/>
      <w:bookmarkEnd w:id="1176"/>
    </w:p>
    <w:bookmarkEnd w:id="1177"/>
    <w:bookmarkEnd w:id="1178"/>
    <w:bookmarkEnd w:id="1179"/>
    <w:p w14:paraId="47D6EE0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对承包人索赔的处理如下：</w:t>
      </w:r>
    </w:p>
    <w:p w14:paraId="2A49D5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（1）监理人应在收到索赔报告后14天内完成审查并报送发包人。监理人对索赔报告存在异议的，有权要求承包人提交全部原始记录副本；</w:t>
      </w:r>
    </w:p>
    <w:p w14:paraId="3D7EB6F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292A95E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（3）承包人接受索赔处理结果的，索赔款项在当期进度款中进行支付；承包人不接受索赔处理结果的，按照第20条〔争议解决〕约定处理。</w:t>
      </w:r>
    </w:p>
    <w:p w14:paraId="35985E2A">
      <w:pPr>
        <w:pStyle w:val="7"/>
        <w:spacing w:before="0" w:beforeAutospacing="0" w:after="0" w:afterAutospacing="0" w:line="360" w:lineRule="auto"/>
        <w:ind w:firstLine="422" w:firstLineChars="200"/>
        <w:rPr>
          <w:color w:val="auto"/>
          <w:sz w:val="21"/>
          <w:szCs w:val="21"/>
          <w:highlight w:val="none"/>
        </w:rPr>
      </w:pPr>
      <w:bookmarkStart w:id="1180" w:name="_Toc351203623"/>
      <w:bookmarkStart w:id="1181" w:name="_Toc532377311"/>
      <w:bookmarkStart w:id="1182" w:name="_Toc337558838"/>
      <w:bookmarkStart w:id="1183" w:name="_Toc296503143"/>
      <w:bookmarkStart w:id="1184" w:name="_Toc296346644"/>
      <w:r>
        <w:rPr>
          <w:rFonts w:hint="eastAsia"/>
          <w:color w:val="auto"/>
          <w:sz w:val="21"/>
          <w:szCs w:val="21"/>
          <w:highlight w:val="none"/>
        </w:rPr>
        <w:t>19.3发包人的索赔</w:t>
      </w:r>
      <w:bookmarkEnd w:id="1180"/>
      <w:bookmarkEnd w:id="1181"/>
    </w:p>
    <w:bookmarkEnd w:id="1182"/>
    <w:bookmarkEnd w:id="1183"/>
    <w:bookmarkEnd w:id="1184"/>
    <w:p w14:paraId="3C7B5E8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根据合同约定，发包人认为有权得到赔付金额和（或）延长缺陷责任期的，监理人应向承包人发出通知并附有详细的证明。</w:t>
      </w:r>
    </w:p>
    <w:p w14:paraId="081574E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E3A32E1">
      <w:pPr>
        <w:pStyle w:val="7"/>
        <w:spacing w:before="0" w:beforeAutospacing="0" w:after="0" w:afterAutospacing="0" w:line="360" w:lineRule="auto"/>
        <w:ind w:firstLine="422" w:firstLineChars="200"/>
        <w:rPr>
          <w:color w:val="auto"/>
          <w:sz w:val="21"/>
          <w:szCs w:val="21"/>
          <w:highlight w:val="none"/>
        </w:rPr>
      </w:pPr>
      <w:bookmarkStart w:id="1185" w:name="_Toc532377312"/>
      <w:bookmarkStart w:id="1186" w:name="_Toc351203624"/>
      <w:bookmarkStart w:id="1187" w:name="_Toc296503144"/>
      <w:bookmarkStart w:id="1188" w:name="_Toc296346645"/>
      <w:bookmarkStart w:id="1189" w:name="_Toc337558839"/>
      <w:r>
        <w:rPr>
          <w:rFonts w:hint="eastAsia"/>
          <w:color w:val="auto"/>
          <w:sz w:val="21"/>
          <w:szCs w:val="21"/>
          <w:highlight w:val="none"/>
        </w:rPr>
        <w:t>19.4 对发包人索赔的处理</w:t>
      </w:r>
      <w:bookmarkEnd w:id="1185"/>
      <w:bookmarkEnd w:id="1186"/>
    </w:p>
    <w:bookmarkEnd w:id="1187"/>
    <w:bookmarkEnd w:id="1188"/>
    <w:bookmarkEnd w:id="1189"/>
    <w:p w14:paraId="31747DD1">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对发包人索赔的处理如下：</w:t>
      </w:r>
    </w:p>
    <w:p w14:paraId="43D8944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（1）承包人收到发包人提交的索赔报告后，应及时审查索赔报告的内容、查验发包人证明材料；</w:t>
      </w:r>
    </w:p>
    <w:p w14:paraId="3B97C5D8">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（2）承包人应在收到索赔报告或有关索赔的进一步证明材料后28天内，将索赔处理结果答复发包人。如果承包人未在上述期限内作出答复的，则视为对发包人索赔要求的认可；</w:t>
      </w:r>
    </w:p>
    <w:p w14:paraId="7C1DC1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（3）承包人接受索赔处理结果的，发包人可从应支付给承包人的合同价款中扣除赔付的金额或延长缺陷责任期；发包人不接受索赔处理结果的，按第20条〔争议解决〕约定处理。</w:t>
      </w:r>
    </w:p>
    <w:p w14:paraId="45EAD9E1">
      <w:pPr>
        <w:pStyle w:val="7"/>
        <w:spacing w:before="0" w:beforeAutospacing="0" w:after="0" w:afterAutospacing="0" w:line="360" w:lineRule="auto"/>
        <w:ind w:firstLine="420" w:firstLineChars="200"/>
        <w:rPr>
          <w:b w:val="0"/>
          <w:color w:val="auto"/>
          <w:sz w:val="21"/>
          <w:szCs w:val="21"/>
          <w:highlight w:val="none"/>
        </w:rPr>
      </w:pPr>
      <w:bookmarkStart w:id="1190" w:name="_Toc532377313"/>
      <w:bookmarkStart w:id="1191" w:name="_Toc351203625"/>
      <w:r>
        <w:rPr>
          <w:rFonts w:hint="eastAsia"/>
          <w:b w:val="0"/>
          <w:color w:val="auto"/>
          <w:sz w:val="21"/>
          <w:szCs w:val="21"/>
          <w:highlight w:val="none"/>
        </w:rPr>
        <w:t>19.5 提出索赔的期限</w:t>
      </w:r>
      <w:bookmarkEnd w:id="1190"/>
      <w:bookmarkEnd w:id="1191"/>
    </w:p>
    <w:p w14:paraId="0B67CC7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（1）承包人按第14.2款〔竣工结算审核〕约定接收竣工付款证书后，应被视为已无权再提出在工程接收证书颁发前所发生的任何索赔。</w:t>
      </w:r>
    </w:p>
    <w:p w14:paraId="2F81866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（2）承包人按第14.4款〔最终结清〕提交的最终结清申请单中，只限于提出工程接收证书颁发后发生的索赔。提出索赔的期限自接受最终结清证书时终止。</w:t>
      </w:r>
    </w:p>
    <w:p w14:paraId="6C9F9D2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192" w:name="_Toc532377314"/>
      <w:bookmarkStart w:id="1193" w:name="_Toc351203626"/>
      <w:bookmarkStart w:id="1194" w:name="_Toc532375606"/>
      <w:r>
        <w:rPr>
          <w:rFonts w:hint="eastAsia"/>
          <w:color w:val="auto"/>
          <w:kern w:val="2"/>
          <w:sz w:val="21"/>
          <w:szCs w:val="21"/>
          <w:highlight w:val="none"/>
        </w:rPr>
        <w:t>20</w:t>
      </w:r>
      <w:bookmarkStart w:id="1195" w:name="_Toc296346647"/>
      <w:bookmarkStart w:id="1196" w:name="_Toc296503146"/>
      <w:bookmarkStart w:id="1197" w:name="_Toc337558840"/>
      <w:r>
        <w:rPr>
          <w:rFonts w:hint="eastAsia"/>
          <w:color w:val="auto"/>
          <w:kern w:val="2"/>
          <w:sz w:val="21"/>
          <w:szCs w:val="21"/>
          <w:highlight w:val="none"/>
        </w:rPr>
        <w:t>. 争议解决</w:t>
      </w:r>
      <w:bookmarkEnd w:id="1192"/>
      <w:bookmarkEnd w:id="1193"/>
      <w:bookmarkEnd w:id="1194"/>
    </w:p>
    <w:bookmarkEnd w:id="1195"/>
    <w:bookmarkEnd w:id="1196"/>
    <w:bookmarkEnd w:id="1197"/>
    <w:p w14:paraId="05055265">
      <w:pPr>
        <w:pStyle w:val="7"/>
        <w:spacing w:before="0" w:beforeAutospacing="0" w:after="0" w:afterAutospacing="0" w:line="360" w:lineRule="auto"/>
        <w:ind w:firstLine="422" w:firstLineChars="200"/>
        <w:rPr>
          <w:color w:val="auto"/>
          <w:sz w:val="21"/>
          <w:szCs w:val="21"/>
          <w:highlight w:val="none"/>
        </w:rPr>
      </w:pPr>
      <w:bookmarkStart w:id="1198" w:name="_Toc532377315"/>
      <w:bookmarkStart w:id="1199" w:name="_Toc351203627"/>
      <w:bookmarkStart w:id="1200" w:name="_Toc296503147"/>
      <w:bookmarkStart w:id="1201" w:name="_Toc296346648"/>
      <w:bookmarkStart w:id="1202" w:name="_Toc337558841"/>
      <w:r>
        <w:rPr>
          <w:rFonts w:hint="eastAsia"/>
          <w:color w:val="auto"/>
          <w:sz w:val="21"/>
          <w:szCs w:val="21"/>
          <w:highlight w:val="none"/>
        </w:rPr>
        <w:t>20.1和解</w:t>
      </w:r>
      <w:bookmarkEnd w:id="1198"/>
      <w:bookmarkEnd w:id="1199"/>
    </w:p>
    <w:bookmarkEnd w:id="1200"/>
    <w:bookmarkEnd w:id="1201"/>
    <w:bookmarkEnd w:id="1202"/>
    <w:p w14:paraId="6848EEB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合同当事人可以就争议自行和解，自行和解达成协议的经双方签字并盖章后作为合同补充文件，双方均应遵照执行。</w:t>
      </w:r>
    </w:p>
    <w:p w14:paraId="29676A64">
      <w:pPr>
        <w:pStyle w:val="7"/>
        <w:spacing w:before="0" w:beforeAutospacing="0" w:after="0" w:afterAutospacing="0" w:line="360" w:lineRule="auto"/>
        <w:ind w:firstLine="422" w:firstLineChars="200"/>
        <w:rPr>
          <w:color w:val="auto"/>
          <w:sz w:val="21"/>
          <w:szCs w:val="21"/>
          <w:highlight w:val="none"/>
        </w:rPr>
      </w:pPr>
      <w:bookmarkStart w:id="1203" w:name="_Toc532377316"/>
      <w:bookmarkStart w:id="1204" w:name="_Toc351203628"/>
      <w:r>
        <w:rPr>
          <w:rFonts w:hint="eastAsia"/>
          <w:color w:val="auto"/>
          <w:sz w:val="21"/>
          <w:szCs w:val="21"/>
          <w:highlight w:val="none"/>
        </w:rPr>
        <w:t>20</w:t>
      </w:r>
      <w:bookmarkStart w:id="1205" w:name="_Toc296346649"/>
      <w:bookmarkStart w:id="1206" w:name="_Toc337558842"/>
      <w:bookmarkStart w:id="1207" w:name="_Toc296503148"/>
      <w:r>
        <w:rPr>
          <w:rFonts w:hint="eastAsia"/>
          <w:color w:val="auto"/>
          <w:sz w:val="21"/>
          <w:szCs w:val="21"/>
          <w:highlight w:val="none"/>
        </w:rPr>
        <w:t>.2调解</w:t>
      </w:r>
      <w:bookmarkEnd w:id="1203"/>
      <w:bookmarkEnd w:id="1204"/>
    </w:p>
    <w:bookmarkEnd w:id="1205"/>
    <w:bookmarkEnd w:id="1206"/>
    <w:bookmarkEnd w:id="1207"/>
    <w:p w14:paraId="4C44684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合同当事人可以就争议请求建设行政主管部门、行业协会或其他第三方进行调解，调解达成协议的，经双方签字并盖章后作为合同补充文件，双方均应遵照执行。</w:t>
      </w:r>
    </w:p>
    <w:p w14:paraId="11A821E3">
      <w:pPr>
        <w:pStyle w:val="7"/>
        <w:spacing w:before="0" w:beforeAutospacing="0" w:after="0" w:afterAutospacing="0" w:line="360" w:lineRule="auto"/>
        <w:ind w:firstLine="422" w:firstLineChars="200"/>
        <w:rPr>
          <w:color w:val="auto"/>
          <w:sz w:val="21"/>
          <w:szCs w:val="21"/>
          <w:highlight w:val="none"/>
        </w:rPr>
      </w:pPr>
      <w:bookmarkStart w:id="1208" w:name="_Toc532377317"/>
      <w:bookmarkStart w:id="1209" w:name="_Toc351203629"/>
      <w:bookmarkStart w:id="1210" w:name="_Toc296503149"/>
      <w:bookmarkStart w:id="1211" w:name="_Toc296346650"/>
      <w:bookmarkStart w:id="1212" w:name="_Toc337558843"/>
      <w:r>
        <w:rPr>
          <w:rFonts w:hint="eastAsia"/>
          <w:color w:val="auto"/>
          <w:sz w:val="21"/>
          <w:szCs w:val="21"/>
          <w:highlight w:val="none"/>
        </w:rPr>
        <w:t>20.3争议评审</w:t>
      </w:r>
      <w:bookmarkEnd w:id="1208"/>
      <w:bookmarkEnd w:id="1209"/>
    </w:p>
    <w:bookmarkEnd w:id="1210"/>
    <w:bookmarkEnd w:id="1211"/>
    <w:bookmarkEnd w:id="1212"/>
    <w:p w14:paraId="06F2A4E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合同当事人在专用合同条款中约定采取争议评审方式解决争议以及评审规则，并按下列约定执行： </w:t>
      </w:r>
    </w:p>
    <w:p w14:paraId="6B9F4BD4">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20.3.1 争议评审小组的确定</w:t>
      </w:r>
    </w:p>
    <w:p w14:paraId="61FED5F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38EF01BC">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5EECB382">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除专用合同条款另有约定外，评审员报酬由发包人和承包人各承担一半。</w:t>
      </w:r>
    </w:p>
    <w:p w14:paraId="1645320D">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20.3.2 争议评审小组的决定</w:t>
      </w:r>
    </w:p>
    <w:p w14:paraId="5B22C5D3">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07DD5C6">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20.3.3 争议评审小组决定的效力</w:t>
      </w:r>
    </w:p>
    <w:p w14:paraId="4B1752D5">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争议评审小组作出的书面决定经合同当事人签字确认后，对双方具有约束力，双方应遵照执行。</w:t>
      </w:r>
    </w:p>
    <w:p w14:paraId="0378A96B">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任何一方当事人不接受争议评审小组决定或不履行争议评审小组决定的，双方可选择采用其他争议解决方式。</w:t>
      </w:r>
    </w:p>
    <w:p w14:paraId="05F1F7BB">
      <w:pPr>
        <w:pStyle w:val="7"/>
        <w:spacing w:before="0" w:beforeAutospacing="0" w:after="0" w:afterAutospacing="0" w:line="360" w:lineRule="auto"/>
        <w:ind w:firstLine="422" w:firstLineChars="200"/>
        <w:rPr>
          <w:color w:val="auto"/>
          <w:sz w:val="21"/>
          <w:szCs w:val="21"/>
          <w:highlight w:val="none"/>
        </w:rPr>
      </w:pPr>
      <w:bookmarkStart w:id="1213" w:name="_Toc532377318"/>
      <w:bookmarkStart w:id="1214" w:name="_Toc351203630"/>
      <w:bookmarkStart w:id="1215" w:name="_Toc337558844"/>
      <w:bookmarkStart w:id="1216" w:name="_Toc296346651"/>
      <w:bookmarkStart w:id="1217" w:name="_Toc296503150"/>
      <w:r>
        <w:rPr>
          <w:rFonts w:hint="eastAsia"/>
          <w:color w:val="auto"/>
          <w:sz w:val="21"/>
          <w:szCs w:val="21"/>
          <w:highlight w:val="none"/>
        </w:rPr>
        <w:t>20.4仲裁或诉讼</w:t>
      </w:r>
      <w:bookmarkEnd w:id="1213"/>
      <w:bookmarkEnd w:id="1214"/>
    </w:p>
    <w:bookmarkEnd w:id="1215"/>
    <w:bookmarkEnd w:id="1216"/>
    <w:bookmarkEnd w:id="1217"/>
    <w:p w14:paraId="68C73187">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因合同及合同有关事项产生的争议，合同当事人可以在专用合同条款中约定以下一种方式解决争议：</w:t>
      </w:r>
    </w:p>
    <w:p w14:paraId="537800A0">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（1）向约定的仲裁委员会申请仲裁；</w:t>
      </w:r>
    </w:p>
    <w:p w14:paraId="55B316AA">
      <w:pPr>
        <w:autoSpaceDE w:val="0"/>
        <w:autoSpaceDN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（2）向有管辖权的人民法院起诉。</w:t>
      </w:r>
    </w:p>
    <w:p w14:paraId="26C7B1F7">
      <w:pPr>
        <w:pStyle w:val="7"/>
        <w:spacing w:before="0" w:beforeAutospacing="0" w:after="0" w:afterAutospacing="0" w:line="360" w:lineRule="auto"/>
        <w:ind w:firstLine="420" w:firstLineChars="200"/>
        <w:rPr>
          <w:b w:val="0"/>
          <w:color w:val="auto"/>
          <w:sz w:val="21"/>
          <w:szCs w:val="21"/>
          <w:highlight w:val="none"/>
        </w:rPr>
      </w:pPr>
      <w:bookmarkStart w:id="1218" w:name="_Toc532377319"/>
      <w:bookmarkStart w:id="1219" w:name="_Toc351203631"/>
      <w:bookmarkStart w:id="1220" w:name="_Toc296503152"/>
      <w:bookmarkStart w:id="1221" w:name="_Toc296346653"/>
      <w:bookmarkStart w:id="1222" w:name="_Toc337558845"/>
      <w:r>
        <w:rPr>
          <w:rFonts w:hint="eastAsia"/>
          <w:b w:val="0"/>
          <w:color w:val="auto"/>
          <w:sz w:val="21"/>
          <w:szCs w:val="21"/>
          <w:highlight w:val="none"/>
        </w:rPr>
        <w:t>20.5争议解决条款效力</w:t>
      </w:r>
      <w:bookmarkEnd w:id="1218"/>
      <w:bookmarkEnd w:id="1219"/>
    </w:p>
    <w:bookmarkEnd w:id="1220"/>
    <w:bookmarkEnd w:id="1221"/>
    <w:bookmarkEnd w:id="1222"/>
    <w:p w14:paraId="29198BC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合同有关争议解决的条款独立存在，合同的变更、解除、终止、无效或者被撤销均不影响其效力。</w:t>
      </w:r>
    </w:p>
    <w:p w14:paraId="34E85131">
      <w:pPr>
        <w:keepNext/>
        <w:keepLines/>
        <w:snapToGrid w:val="0"/>
        <w:spacing w:before="260" w:after="260" w:line="360" w:lineRule="auto"/>
        <w:outlineLvl w:val="2"/>
        <w:rPr>
          <w:rFonts w:ascii="宋体" w:hAnsi="宋体"/>
          <w:b/>
          <w:bCs/>
          <w:color w:val="auto"/>
          <w:szCs w:val="21"/>
          <w:highlight w:val="none"/>
          <w:lang w:val="zh-CN"/>
        </w:rPr>
      </w:pPr>
      <w:r>
        <w:rPr>
          <w:rFonts w:hint="eastAsia" w:ascii="宋体" w:hAnsi="宋体"/>
          <w:b/>
          <w:bCs/>
          <w:color w:val="auto"/>
          <w:szCs w:val="21"/>
          <w:highlight w:val="none"/>
          <w:lang w:val="zh-CN"/>
        </w:rPr>
        <w:br w:type="page"/>
      </w:r>
    </w:p>
    <w:p w14:paraId="0799429E">
      <w:pPr>
        <w:pStyle w:val="5"/>
        <w:jc w:val="center"/>
        <w:rPr>
          <w:rFonts w:ascii="宋体" w:hAnsi="宋体"/>
          <w:color w:val="auto"/>
          <w:sz w:val="44"/>
          <w:szCs w:val="44"/>
          <w:highlight w:val="none"/>
        </w:rPr>
      </w:pPr>
      <w:bookmarkStart w:id="1223" w:name="_Toc14427"/>
      <w:bookmarkStart w:id="1224" w:name="_Toc529388290"/>
      <w:bookmarkStart w:id="1225" w:name="_Toc17694"/>
      <w:bookmarkStart w:id="1226" w:name="_Toc532377320"/>
      <w:bookmarkStart w:id="1227" w:name="_Toc532375607"/>
      <w:r>
        <w:rPr>
          <w:rFonts w:hint="eastAsia" w:ascii="宋体" w:hAnsi="宋体"/>
          <w:color w:val="auto"/>
          <w:sz w:val="44"/>
          <w:szCs w:val="44"/>
          <w:highlight w:val="none"/>
        </w:rPr>
        <w:t>第三部分 专用合同条款</w:t>
      </w:r>
      <w:bookmarkEnd w:id="1223"/>
      <w:bookmarkEnd w:id="1224"/>
      <w:bookmarkEnd w:id="1225"/>
      <w:bookmarkEnd w:id="1226"/>
      <w:bookmarkEnd w:id="1227"/>
    </w:p>
    <w:p w14:paraId="247F273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28" w:name="_Toc351203633"/>
      <w:bookmarkStart w:id="1229" w:name="_Toc532377321"/>
      <w:bookmarkStart w:id="1230" w:name="_Toc532375608"/>
      <w:bookmarkStart w:id="1231" w:name="_Hlk528927191"/>
      <w:r>
        <w:rPr>
          <w:rFonts w:hint="eastAsia"/>
          <w:color w:val="auto"/>
          <w:kern w:val="2"/>
          <w:sz w:val="21"/>
          <w:szCs w:val="21"/>
          <w:highlight w:val="none"/>
        </w:rPr>
        <w:t>1</w:t>
      </w:r>
      <w:bookmarkStart w:id="1232" w:name="_Toc292559361"/>
      <w:bookmarkStart w:id="1233" w:name="_Toc296347155"/>
      <w:bookmarkStart w:id="1234" w:name="_Toc296503156"/>
      <w:bookmarkStart w:id="1235" w:name="_Toc292559866"/>
      <w:bookmarkStart w:id="1236" w:name="_Toc297120456"/>
      <w:bookmarkStart w:id="1237" w:name="_Toc296891196"/>
      <w:bookmarkStart w:id="1238" w:name="_Toc297048342"/>
      <w:bookmarkStart w:id="1239" w:name="_Toc296346657"/>
      <w:bookmarkStart w:id="1240" w:name="_Toc296944495"/>
      <w:bookmarkStart w:id="1241" w:name="_Toc296890984"/>
      <w:r>
        <w:rPr>
          <w:rFonts w:hint="eastAsia"/>
          <w:color w:val="auto"/>
          <w:kern w:val="2"/>
          <w:sz w:val="21"/>
          <w:szCs w:val="21"/>
          <w:highlight w:val="none"/>
        </w:rPr>
        <w:t>. 一般约定</w:t>
      </w:r>
      <w:bookmarkEnd w:id="1228"/>
      <w:bookmarkEnd w:id="1229"/>
      <w:bookmarkEnd w:id="1230"/>
    </w:p>
    <w:bookmarkEnd w:id="1232"/>
    <w:bookmarkEnd w:id="1233"/>
    <w:bookmarkEnd w:id="1234"/>
    <w:bookmarkEnd w:id="1235"/>
    <w:bookmarkEnd w:id="1236"/>
    <w:bookmarkEnd w:id="1237"/>
    <w:bookmarkEnd w:id="1238"/>
    <w:bookmarkEnd w:id="1239"/>
    <w:bookmarkEnd w:id="1240"/>
    <w:bookmarkEnd w:id="1241"/>
    <w:p w14:paraId="776D8A30">
      <w:pPr>
        <w:pStyle w:val="7"/>
        <w:spacing w:before="0" w:beforeAutospacing="0" w:after="0" w:afterAutospacing="0" w:line="360" w:lineRule="auto"/>
        <w:ind w:firstLine="422" w:firstLineChars="200"/>
        <w:rPr>
          <w:color w:val="auto"/>
          <w:sz w:val="21"/>
          <w:szCs w:val="21"/>
          <w:highlight w:val="none"/>
        </w:rPr>
      </w:pPr>
      <w:bookmarkStart w:id="1242" w:name="_Toc532377322"/>
      <w:r>
        <w:rPr>
          <w:rFonts w:hint="eastAsia"/>
          <w:color w:val="auto"/>
          <w:sz w:val="21"/>
          <w:szCs w:val="21"/>
          <w:highlight w:val="none"/>
        </w:rPr>
        <w:t>1.1词语定义与解释</w:t>
      </w:r>
      <w:bookmarkEnd w:id="1242"/>
    </w:p>
    <w:p w14:paraId="2E946FC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 合同</w:t>
      </w:r>
    </w:p>
    <w:p w14:paraId="09D5874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1.1.1.6技术标准和要求：</w:t>
      </w:r>
      <w:r>
        <w:rPr>
          <w:rFonts w:hint="eastAsia" w:ascii="宋体" w:hAnsi="宋体"/>
          <w:color w:val="auto"/>
          <w:kern w:val="0"/>
          <w:szCs w:val="21"/>
          <w:highlight w:val="none"/>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color w:val="auto"/>
          <w:kern w:val="0"/>
          <w:szCs w:val="21"/>
          <w:highlight w:val="none"/>
        </w:rPr>
        <w:t>。</w:t>
      </w:r>
    </w:p>
    <w:p w14:paraId="399009C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1.1.1.8 已标价工程量清单：</w:t>
      </w:r>
      <w:r>
        <w:rPr>
          <w:rFonts w:hint="eastAsia" w:ascii="宋体" w:hAnsi="宋体"/>
          <w:color w:val="auto"/>
          <w:kern w:val="0"/>
          <w:szCs w:val="21"/>
          <w:highlight w:val="none"/>
          <w:u w:val="single"/>
        </w:rPr>
        <w:t>指构成合同的由承包人按照发包人规定的格式和要求填写并标明价格、经算术性错误修订及其他错误修订（如有）且承包人已确认的工程量清单</w:t>
      </w:r>
      <w:r>
        <w:rPr>
          <w:rFonts w:hint="eastAsia" w:ascii="宋体" w:hAnsi="宋体"/>
          <w:color w:val="auto"/>
          <w:kern w:val="0"/>
          <w:szCs w:val="21"/>
          <w:highlight w:val="none"/>
        </w:rPr>
        <w:t>。</w:t>
      </w:r>
    </w:p>
    <w:p w14:paraId="1B61E7FC">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1.1.1.10 其他合同文件包括：</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约定执行</w:t>
      </w:r>
      <w:r>
        <w:rPr>
          <w:rFonts w:hint="eastAsia" w:ascii="宋体" w:hAnsi="宋体"/>
          <w:color w:val="auto"/>
          <w:szCs w:val="21"/>
          <w:highlight w:val="none"/>
        </w:rPr>
        <w:t>。</w:t>
      </w:r>
    </w:p>
    <w:p w14:paraId="0A5D6893">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本项补充1.1.1.11～1.1.1.16目：</w:t>
      </w:r>
    </w:p>
    <w:p w14:paraId="543D5578">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1.1.1.11 </w:t>
      </w:r>
      <w:r>
        <w:rPr>
          <w:rFonts w:hint="eastAsia" w:ascii="宋体" w:hAnsi="宋体"/>
          <w:color w:val="auto"/>
          <w:kern w:val="0"/>
          <w:szCs w:val="21"/>
          <w:highlight w:val="none"/>
          <w:lang w:eastAsia="zh-CN"/>
        </w:rPr>
        <w:t>比选</w:t>
      </w:r>
      <w:r>
        <w:rPr>
          <w:rFonts w:hint="eastAsia" w:ascii="宋体" w:hAnsi="宋体"/>
          <w:color w:val="auto"/>
          <w:kern w:val="0"/>
          <w:szCs w:val="21"/>
          <w:highlight w:val="none"/>
        </w:rPr>
        <w:t>文件：</w:t>
      </w:r>
      <w:r>
        <w:rPr>
          <w:rFonts w:hint="eastAsia" w:ascii="宋体" w:hAnsi="宋体"/>
          <w:color w:val="auto"/>
          <w:kern w:val="0"/>
          <w:szCs w:val="21"/>
          <w:highlight w:val="none"/>
          <w:u w:val="single"/>
        </w:rPr>
        <w:t>指本工程的</w:t>
      </w:r>
      <w:r>
        <w:rPr>
          <w:rFonts w:hint="eastAsia" w:ascii="宋体" w:hAnsi="宋体"/>
          <w:color w:val="auto"/>
          <w:kern w:val="0"/>
          <w:szCs w:val="21"/>
          <w:highlight w:val="none"/>
          <w:u w:val="single"/>
          <w:lang w:eastAsia="zh-CN"/>
        </w:rPr>
        <w:t>比选</w:t>
      </w:r>
      <w:r>
        <w:rPr>
          <w:rFonts w:hint="eastAsia" w:ascii="宋体" w:hAnsi="宋体"/>
          <w:color w:val="auto"/>
          <w:kern w:val="0"/>
          <w:szCs w:val="21"/>
          <w:highlight w:val="none"/>
          <w:u w:val="single"/>
        </w:rPr>
        <w:t>文件、图纸、其他技术资料及</w:t>
      </w:r>
      <w:r>
        <w:rPr>
          <w:rFonts w:hint="eastAsia" w:ascii="宋体" w:hAnsi="宋体"/>
          <w:color w:val="auto"/>
          <w:kern w:val="0"/>
          <w:szCs w:val="21"/>
          <w:highlight w:val="none"/>
          <w:u w:val="single"/>
          <w:lang w:eastAsia="zh-CN"/>
        </w:rPr>
        <w:t>比选</w:t>
      </w:r>
      <w:r>
        <w:rPr>
          <w:rFonts w:hint="eastAsia" w:ascii="宋体" w:hAnsi="宋体"/>
          <w:color w:val="auto"/>
          <w:kern w:val="0"/>
          <w:szCs w:val="21"/>
          <w:highlight w:val="none"/>
          <w:u w:val="single"/>
        </w:rPr>
        <w:t>人发出的对</w:t>
      </w:r>
      <w:r>
        <w:rPr>
          <w:rFonts w:hint="eastAsia" w:ascii="宋体" w:hAnsi="宋体"/>
          <w:color w:val="auto"/>
          <w:kern w:val="0"/>
          <w:szCs w:val="21"/>
          <w:highlight w:val="none"/>
          <w:u w:val="single"/>
          <w:lang w:eastAsia="zh-CN"/>
        </w:rPr>
        <w:t>比选</w:t>
      </w:r>
      <w:r>
        <w:rPr>
          <w:rFonts w:hint="eastAsia" w:ascii="宋体" w:hAnsi="宋体"/>
          <w:color w:val="auto"/>
          <w:kern w:val="0"/>
          <w:szCs w:val="21"/>
          <w:highlight w:val="none"/>
          <w:u w:val="single"/>
        </w:rPr>
        <w:t>文件所作的澄清、修改等资料</w:t>
      </w:r>
      <w:r>
        <w:rPr>
          <w:rFonts w:hint="eastAsia" w:ascii="宋体" w:hAnsi="宋体"/>
          <w:color w:val="auto"/>
          <w:kern w:val="0"/>
          <w:szCs w:val="21"/>
          <w:highlight w:val="none"/>
        </w:rPr>
        <w:t>。</w:t>
      </w:r>
    </w:p>
    <w:p w14:paraId="3AC1745A">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1.1.1.12 工作：</w:t>
      </w:r>
      <w:r>
        <w:rPr>
          <w:rFonts w:hint="eastAsia" w:ascii="宋体" w:hAnsi="宋体"/>
          <w:color w:val="auto"/>
          <w:kern w:val="0"/>
          <w:szCs w:val="21"/>
          <w:highlight w:val="none"/>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highlight w:val="none"/>
        </w:rPr>
        <w:t>。</w:t>
      </w:r>
    </w:p>
    <w:p w14:paraId="2E9BAE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1.1.1.13 重大设计变更：按照规定需要重新报建设行政主管部门批准的设计变更。</w:t>
      </w:r>
    </w:p>
    <w:p w14:paraId="49B2FBBC">
      <w:pPr>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1.1.1.</w:t>
      </w:r>
      <w:r>
        <w:rPr>
          <w:rFonts w:hint="eastAsia" w:ascii="宋体" w:hAnsi="宋体"/>
          <w:color w:val="auto"/>
          <w:szCs w:val="21"/>
          <w:highlight w:val="none"/>
        </w:rPr>
        <w:t>14 公章：专指法定单位名称章</w:t>
      </w:r>
      <w:r>
        <w:rPr>
          <w:rFonts w:ascii="宋体" w:hAnsi="宋体"/>
          <w:color w:val="auto"/>
          <w:szCs w:val="21"/>
          <w:highlight w:val="none"/>
        </w:rPr>
        <w:t>。</w:t>
      </w:r>
    </w:p>
    <w:bookmarkEnd w:id="1231"/>
    <w:p w14:paraId="5DF464A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1.1.1.15 到岗：指承包人按照到岗履职承诺安排满足办理施工许可手续相关要求的项目主要管理人员实际到施工现场就职履约的行为。</w:t>
      </w:r>
    </w:p>
    <w:p w14:paraId="7B40020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1.1.1.16 项目法人：指具有民事权利能力和民事行为能力，依法独立享有民事权利和承担民事义务，以建设项目为目的，从事项目管理的机构、单位或组织。</w:t>
      </w:r>
    </w:p>
    <w:p w14:paraId="084DCBC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 合同当事人及其他相关方</w:t>
      </w:r>
    </w:p>
    <w:p w14:paraId="4466137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1.1.2.4 监理人：</w:t>
      </w:r>
    </w:p>
    <w:p w14:paraId="3A44C33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名    称：</w:t>
      </w:r>
      <w:r>
        <w:rPr>
          <w:rFonts w:ascii="宋体" w:hAnsi="宋体"/>
          <w:color w:val="auto"/>
          <w:szCs w:val="21"/>
          <w:highlight w:val="none"/>
          <w:u w:val="single"/>
        </w:rPr>
        <w:t xml:space="preserve">    </w:t>
      </w:r>
      <w:r>
        <w:rPr>
          <w:rFonts w:hint="eastAsia" w:ascii="宋体" w:hAnsi="宋体"/>
          <w:color w:val="auto"/>
          <w:szCs w:val="21"/>
          <w:highlight w:val="none"/>
        </w:rPr>
        <w:t>；</w:t>
      </w:r>
    </w:p>
    <w:p w14:paraId="48CD44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rPr>
        <w:t>；</w:t>
      </w:r>
    </w:p>
    <w:p w14:paraId="5788CC2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w:t>
      </w:r>
      <w:r>
        <w:rPr>
          <w:rFonts w:hint="eastAsia" w:ascii="宋体" w:hAnsi="宋体"/>
          <w:color w:val="auto"/>
          <w:szCs w:val="21"/>
          <w:highlight w:val="none"/>
        </w:rPr>
        <w:t>。</w:t>
      </w:r>
    </w:p>
    <w:p w14:paraId="0BB6922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1.1.2.5 设计人：</w:t>
      </w:r>
    </w:p>
    <w:p w14:paraId="7B54A1E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名    称：</w:t>
      </w:r>
      <w:r>
        <w:rPr>
          <w:rFonts w:ascii="宋体" w:hAnsi="宋体"/>
          <w:color w:val="auto"/>
          <w:szCs w:val="21"/>
          <w:highlight w:val="none"/>
          <w:u w:val="single"/>
        </w:rPr>
        <w:t xml:space="preserve">    </w:t>
      </w:r>
      <w:r>
        <w:rPr>
          <w:rFonts w:hint="eastAsia" w:ascii="宋体" w:hAnsi="宋体"/>
          <w:color w:val="auto"/>
          <w:szCs w:val="21"/>
          <w:highlight w:val="none"/>
        </w:rPr>
        <w:t>；</w:t>
      </w:r>
    </w:p>
    <w:p w14:paraId="04F36A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w:t>
      </w:r>
      <w:r>
        <w:rPr>
          <w:rFonts w:hint="eastAsia" w:ascii="宋体" w:hAnsi="宋体"/>
          <w:color w:val="auto"/>
          <w:szCs w:val="21"/>
          <w:highlight w:val="none"/>
        </w:rPr>
        <w:t>；</w:t>
      </w:r>
    </w:p>
    <w:p w14:paraId="50EFE7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w:t>
      </w:r>
      <w:r>
        <w:rPr>
          <w:rFonts w:hint="eastAsia" w:ascii="宋体" w:hAnsi="宋体"/>
          <w:color w:val="auto"/>
          <w:szCs w:val="21"/>
          <w:highlight w:val="none"/>
        </w:rPr>
        <w:t>。</w:t>
      </w:r>
    </w:p>
    <w:p w14:paraId="0BE85A5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 工程和设备</w:t>
      </w:r>
    </w:p>
    <w:p w14:paraId="687DA1F9">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1.1.3.7 作为施工现场组成部分的其他场所包括：</w:t>
      </w:r>
      <w:r>
        <w:rPr>
          <w:rFonts w:hint="eastAsia" w:ascii="宋体" w:hAnsi="宋体"/>
          <w:color w:val="auto"/>
          <w:kern w:val="0"/>
          <w:szCs w:val="21"/>
          <w:highlight w:val="none"/>
          <w:u w:val="single"/>
        </w:rPr>
        <w:t>永久占地、临时占地以及为修建临时工程而租用、占用的土地</w:t>
      </w:r>
      <w:r>
        <w:rPr>
          <w:rFonts w:hint="eastAsia" w:ascii="宋体" w:hAnsi="宋体"/>
          <w:color w:val="auto"/>
          <w:szCs w:val="21"/>
          <w:highlight w:val="none"/>
        </w:rPr>
        <w:t>。</w:t>
      </w:r>
    </w:p>
    <w:p w14:paraId="70F87C55">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1.1.3.9 永久占地包括：</w:t>
      </w:r>
      <w:r>
        <w:rPr>
          <w:rFonts w:hint="eastAsia" w:ascii="宋体" w:hAnsi="宋体"/>
          <w:color w:val="auto"/>
          <w:kern w:val="0"/>
          <w:szCs w:val="21"/>
          <w:highlight w:val="none"/>
          <w:u w:val="single"/>
        </w:rPr>
        <w:t>为实施合同工程而需要的一切永久占用的土地，即合同工程</w:t>
      </w:r>
      <w:r>
        <w:rPr>
          <w:rFonts w:hint="eastAsia" w:ascii="宋体" w:hAnsi="宋体"/>
          <w:color w:val="auto"/>
          <w:szCs w:val="21"/>
          <w:highlight w:val="none"/>
          <w:u w:val="single"/>
        </w:rPr>
        <w:t>用地红线范围内的土地</w:t>
      </w:r>
      <w:r>
        <w:rPr>
          <w:rFonts w:hint="eastAsia" w:ascii="宋体" w:hAnsi="宋体"/>
          <w:color w:val="auto"/>
          <w:szCs w:val="21"/>
          <w:highlight w:val="none"/>
        </w:rPr>
        <w:t>。</w:t>
      </w:r>
    </w:p>
    <w:p w14:paraId="1AF45B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1.1.3.10 临时占地包括：</w:t>
      </w:r>
      <w:r>
        <w:rPr>
          <w:rFonts w:hint="eastAsia" w:ascii="宋体" w:hAnsi="宋体"/>
          <w:color w:val="auto"/>
          <w:szCs w:val="21"/>
          <w:highlight w:val="none"/>
          <w:u w:val="single"/>
        </w:rPr>
        <w:t>为实施合同工程而需要</w:t>
      </w:r>
      <w:r>
        <w:rPr>
          <w:rFonts w:hint="eastAsia" w:ascii="宋体" w:hAnsi="宋体"/>
          <w:color w:val="auto"/>
          <w:kern w:val="0"/>
          <w:szCs w:val="21"/>
          <w:highlight w:val="none"/>
          <w:u w:val="single"/>
        </w:rPr>
        <w:t>的一切</w:t>
      </w:r>
      <w:r>
        <w:rPr>
          <w:rFonts w:hint="eastAsia" w:ascii="宋体" w:hAnsi="宋体"/>
          <w:color w:val="auto"/>
          <w:szCs w:val="21"/>
          <w:highlight w:val="none"/>
          <w:u w:val="single"/>
        </w:rPr>
        <w:t>临时占用的土地，包括施工所用的临时便道等的临时出入道，以及生产（办公）、生活等临时设施用地</w:t>
      </w:r>
      <w:r>
        <w:rPr>
          <w:rFonts w:hint="eastAsia" w:ascii="宋体" w:hAnsi="宋体"/>
          <w:color w:val="auto"/>
          <w:szCs w:val="21"/>
          <w:highlight w:val="none"/>
        </w:rPr>
        <w:t>。</w:t>
      </w:r>
    </w:p>
    <w:p w14:paraId="17B13D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 其他</w:t>
      </w:r>
    </w:p>
    <w:p w14:paraId="5F1EA986">
      <w:pPr>
        <w:spacing w:line="360" w:lineRule="auto"/>
        <w:ind w:firstLine="420" w:firstLineChars="200"/>
        <w:jc w:val="left"/>
        <w:rPr>
          <w:rFonts w:ascii="宋体" w:hAnsi="宋体"/>
          <w:color w:val="auto"/>
          <w:szCs w:val="21"/>
          <w:highlight w:val="none"/>
        </w:rPr>
      </w:pPr>
      <w:bookmarkStart w:id="1243" w:name="_Hlk528927262"/>
      <w:r>
        <w:rPr>
          <w:rFonts w:hint="eastAsia" w:ascii="宋体" w:hAnsi="宋体"/>
          <w:color w:val="auto"/>
          <w:szCs w:val="21"/>
          <w:highlight w:val="none"/>
        </w:rPr>
        <w:t>本项补充1.1.6.2～1.1.6.3目：</w:t>
      </w:r>
    </w:p>
    <w:p w14:paraId="201D930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1.1.6.2 转包、违法分包及挂靠：指符合《住房和城乡建设部关于印发建筑工程施工发包与承包违法行为认定查处管理办法的通知》（建市规〔2019〕1号）规定认定条件的</w:t>
      </w:r>
      <w:r>
        <w:rPr>
          <w:rFonts w:hint="eastAsia" w:ascii="宋体" w:hAnsi="宋体"/>
          <w:color w:val="auto"/>
          <w:kern w:val="0"/>
          <w:szCs w:val="21"/>
          <w:highlight w:val="none"/>
        </w:rPr>
        <w:t>违法行为</w:t>
      </w:r>
      <w:r>
        <w:rPr>
          <w:rFonts w:hint="eastAsia" w:ascii="宋体" w:hAnsi="宋体"/>
          <w:color w:val="auto"/>
          <w:szCs w:val="21"/>
          <w:highlight w:val="none"/>
        </w:rPr>
        <w:t>。</w:t>
      </w:r>
    </w:p>
    <w:bookmarkEnd w:id="1243"/>
    <w:p w14:paraId="2E1CED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14:paraId="4D0A7EB6">
      <w:pPr>
        <w:pStyle w:val="7"/>
        <w:spacing w:before="0" w:beforeAutospacing="0" w:after="0" w:afterAutospacing="0" w:line="360" w:lineRule="auto"/>
        <w:ind w:firstLine="422" w:firstLineChars="200"/>
        <w:rPr>
          <w:color w:val="auto"/>
          <w:sz w:val="21"/>
          <w:szCs w:val="21"/>
          <w:highlight w:val="none"/>
        </w:rPr>
      </w:pPr>
      <w:bookmarkStart w:id="1244" w:name="_Toc532377323"/>
      <w:r>
        <w:rPr>
          <w:rFonts w:hint="eastAsia"/>
          <w:color w:val="auto"/>
          <w:sz w:val="21"/>
          <w:szCs w:val="21"/>
          <w:highlight w:val="none"/>
        </w:rPr>
        <w:t>1.4 标准和规范</w:t>
      </w:r>
      <w:bookmarkEnd w:id="1244"/>
    </w:p>
    <w:p w14:paraId="47057C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1.4.1 适用于工程的标准规范包括：</w:t>
      </w:r>
    </w:p>
    <w:p w14:paraId="583C59A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（1）施工图所涉及的技术标准、规范、规程、图集等；</w:t>
      </w:r>
    </w:p>
    <w:p w14:paraId="301CF9E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（2）国家、行业或重庆市与本工程有关的标准，以及相应的规范、规程等，当这些标准、规范、规程不一致时，以标准、规范、规程要求最高的为准。</w:t>
      </w:r>
    </w:p>
    <w:p w14:paraId="5BBFFA30">
      <w:pPr>
        <w:spacing w:line="360" w:lineRule="auto"/>
        <w:ind w:firstLine="420" w:firstLineChars="200"/>
        <w:jc w:val="left"/>
        <w:rPr>
          <w:rFonts w:ascii="宋体" w:hAnsi="宋体"/>
          <w:color w:val="auto"/>
          <w:szCs w:val="21"/>
          <w:highlight w:val="none"/>
          <w:u w:val="singl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2866BF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1.4.2 发包人提供国外标准、规范的名称：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2F548C3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发包人提供国外标准、规范的份数：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6B9F09AC">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发包人提供国外标准、规范的名称：</w:t>
      </w:r>
      <w:r>
        <w:rPr>
          <w:rFonts w:hint="eastAsia" w:ascii="宋体" w:hAnsi="宋体"/>
          <w:color w:val="auto"/>
          <w:kern w:val="0"/>
          <w:szCs w:val="21"/>
          <w:highlight w:val="none"/>
          <w:u w:val="single"/>
        </w:rPr>
        <w:t xml:space="preserve"> / </w:t>
      </w:r>
      <w:r>
        <w:rPr>
          <w:rFonts w:hint="eastAsia" w:ascii="宋体" w:hAnsi="宋体"/>
          <w:color w:val="auto"/>
          <w:kern w:val="0"/>
          <w:szCs w:val="21"/>
          <w:highlight w:val="none"/>
        </w:rPr>
        <w:t>。</w:t>
      </w:r>
    </w:p>
    <w:p w14:paraId="3403445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1.4.3 发包人对工程的技术标准和功能要求的特殊要求：</w:t>
      </w:r>
      <w:r>
        <w:rPr>
          <w:rFonts w:hint="eastAsia" w:ascii="宋体" w:hAnsi="宋体"/>
          <w:color w:val="auto"/>
          <w:kern w:val="0"/>
          <w:szCs w:val="21"/>
          <w:highlight w:val="none"/>
          <w:u w:val="single"/>
        </w:rPr>
        <w:t xml:space="preserve">/ </w:t>
      </w:r>
      <w:r>
        <w:rPr>
          <w:rFonts w:hint="eastAsia" w:ascii="宋体" w:hAnsi="宋体"/>
          <w:color w:val="auto"/>
          <w:szCs w:val="21"/>
          <w:highlight w:val="none"/>
        </w:rPr>
        <w:t>。</w:t>
      </w:r>
    </w:p>
    <w:p w14:paraId="097F3DD4">
      <w:pPr>
        <w:pStyle w:val="7"/>
        <w:spacing w:before="0" w:beforeAutospacing="0" w:after="0" w:afterAutospacing="0" w:line="360" w:lineRule="auto"/>
        <w:ind w:firstLine="422" w:firstLineChars="200"/>
        <w:rPr>
          <w:color w:val="auto"/>
          <w:sz w:val="21"/>
          <w:szCs w:val="21"/>
          <w:highlight w:val="none"/>
        </w:rPr>
      </w:pPr>
      <w:bookmarkStart w:id="1245" w:name="_Toc532377324"/>
      <w:r>
        <w:rPr>
          <w:rFonts w:hint="eastAsia"/>
          <w:color w:val="auto"/>
          <w:sz w:val="21"/>
          <w:szCs w:val="21"/>
          <w:highlight w:val="none"/>
        </w:rPr>
        <w:t>1.5 合同文件的优先顺序</w:t>
      </w:r>
      <w:bookmarkEnd w:id="1245"/>
    </w:p>
    <w:p w14:paraId="0EEFE59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合同文件组成及优先顺序为：</w:t>
      </w:r>
      <w:r>
        <w:rPr>
          <w:rFonts w:hint="eastAsia" w:ascii="宋体" w:hAnsi="宋体"/>
          <w:color w:val="auto"/>
          <w:szCs w:val="21"/>
          <w:highlight w:val="none"/>
          <w:u w:val="single"/>
        </w:rPr>
        <w:t>按照合同协议书</w:t>
      </w:r>
      <w:r>
        <w:rPr>
          <w:rFonts w:hint="eastAsia" w:ascii="宋体" w:hAnsi="宋体"/>
          <w:bCs/>
          <w:color w:val="auto"/>
          <w:szCs w:val="21"/>
          <w:highlight w:val="none"/>
          <w:u w:val="single"/>
        </w:rPr>
        <w:t>〔</w:t>
      </w:r>
      <w:r>
        <w:rPr>
          <w:rFonts w:hint="eastAsia" w:ascii="宋体" w:hAnsi="宋体"/>
          <w:color w:val="auto"/>
          <w:szCs w:val="21"/>
          <w:highlight w:val="none"/>
          <w:u w:val="single"/>
        </w:rPr>
        <w:t>第六条</w:t>
      </w:r>
      <w:r>
        <w:rPr>
          <w:rFonts w:hint="eastAsia" w:ascii="宋体" w:hAnsi="宋体"/>
          <w:bCs/>
          <w:color w:val="auto"/>
          <w:szCs w:val="21"/>
          <w:highlight w:val="none"/>
          <w:u w:val="single"/>
        </w:rPr>
        <w:t>〕</w:t>
      </w:r>
      <w:r>
        <w:rPr>
          <w:rFonts w:hint="eastAsia" w:ascii="宋体" w:hAnsi="宋体"/>
          <w:color w:val="auto"/>
          <w:szCs w:val="21"/>
          <w:highlight w:val="none"/>
          <w:u w:val="single"/>
        </w:rPr>
        <w:t>约定执行</w:t>
      </w:r>
      <w:r>
        <w:rPr>
          <w:rFonts w:hint="eastAsia" w:ascii="宋体" w:hAnsi="宋体"/>
          <w:color w:val="auto"/>
          <w:szCs w:val="21"/>
          <w:highlight w:val="none"/>
        </w:rPr>
        <w:t>。</w:t>
      </w:r>
    </w:p>
    <w:p w14:paraId="03594BFE">
      <w:pPr>
        <w:pStyle w:val="7"/>
        <w:spacing w:before="0" w:beforeAutospacing="0" w:after="0" w:afterAutospacing="0" w:line="360" w:lineRule="auto"/>
        <w:ind w:firstLine="422" w:firstLineChars="200"/>
        <w:rPr>
          <w:color w:val="auto"/>
          <w:sz w:val="21"/>
          <w:szCs w:val="21"/>
          <w:highlight w:val="none"/>
        </w:rPr>
      </w:pPr>
      <w:bookmarkStart w:id="1246" w:name="_Toc532377325"/>
      <w:r>
        <w:rPr>
          <w:rFonts w:hint="eastAsia"/>
          <w:color w:val="auto"/>
          <w:sz w:val="21"/>
          <w:szCs w:val="21"/>
          <w:highlight w:val="none"/>
        </w:rPr>
        <w:t>1.6 图纸和承包人文件</w:t>
      </w:r>
      <w:bookmarkEnd w:id="1246"/>
    </w:p>
    <w:p w14:paraId="647259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1.6.1 图纸的提供和交底</w:t>
      </w:r>
    </w:p>
    <w:p w14:paraId="1A9416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发包人向承包人提供图纸的期限：</w:t>
      </w:r>
      <w:r>
        <w:rPr>
          <w:rFonts w:hint="eastAsia" w:ascii="宋体" w:hAnsi="宋体"/>
          <w:color w:val="auto"/>
          <w:szCs w:val="21"/>
          <w:highlight w:val="none"/>
          <w:u w:val="single"/>
        </w:rPr>
        <w:t>通用合同条款第7.3.2款</w:t>
      </w:r>
      <w:r>
        <w:rPr>
          <w:rFonts w:hint="eastAsia" w:ascii="宋体" w:hAnsi="宋体"/>
          <w:bCs/>
          <w:color w:val="auto"/>
          <w:szCs w:val="21"/>
          <w:highlight w:val="none"/>
          <w:u w:val="single"/>
        </w:rPr>
        <w:t>〔</w:t>
      </w:r>
      <w:r>
        <w:rPr>
          <w:rFonts w:hint="eastAsia" w:ascii="宋体" w:hAnsi="宋体"/>
          <w:color w:val="auto"/>
          <w:szCs w:val="21"/>
          <w:highlight w:val="none"/>
          <w:u w:val="single"/>
        </w:rPr>
        <w:t>开工通知</w:t>
      </w:r>
      <w:r>
        <w:rPr>
          <w:rFonts w:hint="eastAsia" w:ascii="宋体" w:hAnsi="宋体"/>
          <w:bCs/>
          <w:color w:val="auto"/>
          <w:szCs w:val="21"/>
          <w:highlight w:val="none"/>
          <w:u w:val="single"/>
        </w:rPr>
        <w:t>〕</w:t>
      </w:r>
      <w:r>
        <w:rPr>
          <w:rFonts w:hint="eastAsia" w:ascii="宋体" w:hAnsi="宋体"/>
          <w:color w:val="auto"/>
          <w:szCs w:val="21"/>
          <w:highlight w:val="none"/>
          <w:u w:val="single"/>
        </w:rPr>
        <w:t>载明的开工日期前14天</w:t>
      </w:r>
      <w:r>
        <w:rPr>
          <w:rFonts w:hint="eastAsia" w:ascii="宋体" w:hAnsi="宋体"/>
          <w:color w:val="auto"/>
          <w:szCs w:val="21"/>
          <w:highlight w:val="none"/>
        </w:rPr>
        <w:t>；</w:t>
      </w:r>
    </w:p>
    <w:p w14:paraId="0FD0414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发包人向承包人提供图纸的数量：</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套</w:t>
      </w:r>
      <w:r>
        <w:rPr>
          <w:rFonts w:hint="eastAsia" w:ascii="宋体" w:hAnsi="宋体"/>
          <w:color w:val="auto"/>
          <w:szCs w:val="21"/>
          <w:highlight w:val="none"/>
        </w:rPr>
        <w:t xml:space="preserve">； </w:t>
      </w:r>
    </w:p>
    <w:p w14:paraId="137530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发包人向承包人提供图纸的内容：</w:t>
      </w:r>
      <w:r>
        <w:rPr>
          <w:rFonts w:hint="eastAsia" w:ascii="宋体" w:hAnsi="宋体"/>
          <w:color w:val="auto"/>
          <w:szCs w:val="21"/>
          <w:highlight w:val="none"/>
          <w:u w:val="single"/>
        </w:rPr>
        <w:t>工程承包范围内工程的施工图设计文件</w:t>
      </w:r>
      <w:r>
        <w:rPr>
          <w:rFonts w:hint="eastAsia" w:ascii="宋体" w:hAnsi="宋体"/>
          <w:color w:val="auto"/>
          <w:szCs w:val="21"/>
          <w:highlight w:val="none"/>
        </w:rPr>
        <w:t>；</w:t>
      </w:r>
    </w:p>
    <w:p w14:paraId="5E26439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发包人组织承包人、监理人和设计人进行图纸会审和设计交底的时间：</w:t>
      </w:r>
      <w:r>
        <w:rPr>
          <w:rFonts w:hint="eastAsia" w:ascii="宋体" w:hAnsi="宋体"/>
          <w:color w:val="auto"/>
          <w:szCs w:val="21"/>
          <w:highlight w:val="none"/>
          <w:u w:val="single"/>
        </w:rPr>
        <w:t>提供施工图后7天内</w:t>
      </w:r>
      <w:r>
        <w:rPr>
          <w:rFonts w:hint="eastAsia" w:ascii="宋体" w:hAnsi="宋体"/>
          <w:color w:val="auto"/>
          <w:szCs w:val="21"/>
          <w:highlight w:val="none"/>
        </w:rPr>
        <w:t>。</w:t>
      </w:r>
    </w:p>
    <w:p w14:paraId="480C75F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承包人可以书面方式通过监理人向发包人申请进行紧急的设计交底，发包人认为确有必要且条件许可时，应尽快组织实施承包人申请的设计交底。</w:t>
      </w:r>
    </w:p>
    <w:p w14:paraId="79E878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1.6.2 图纸的错误</w:t>
      </w:r>
    </w:p>
    <w:p w14:paraId="06A9A8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6EF280C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承包人不得利用图纸的差错、遗漏或缺陷，从中获得不正当的利益。</w:t>
      </w:r>
    </w:p>
    <w:p w14:paraId="63B472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1.6.4 承包人文件</w:t>
      </w:r>
    </w:p>
    <w:p w14:paraId="10D20B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需要由承包人提供的书面文件，包括：</w:t>
      </w:r>
      <w:r>
        <w:rPr>
          <w:rFonts w:hint="eastAsia" w:ascii="宋体" w:hAnsi="宋体"/>
          <w:color w:val="auto"/>
          <w:szCs w:val="21"/>
          <w:highlight w:val="none"/>
          <w:u w:val="single"/>
        </w:rPr>
        <w:t>施工组织设计、专项施工方案、</w:t>
      </w:r>
      <w:r>
        <w:rPr>
          <w:rFonts w:ascii="宋体" w:hAnsi="宋体"/>
          <w:color w:val="auto"/>
          <w:szCs w:val="21"/>
          <w:highlight w:val="none"/>
          <w:u w:val="single"/>
        </w:rPr>
        <w:t>危险性较大分部分项工程施工方案</w:t>
      </w:r>
      <w:r>
        <w:rPr>
          <w:rFonts w:hint="eastAsia" w:ascii="宋体" w:hAnsi="宋体"/>
          <w:color w:val="auto"/>
          <w:szCs w:val="21"/>
          <w:highlight w:val="none"/>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color w:val="auto"/>
          <w:szCs w:val="21"/>
          <w:highlight w:val="none"/>
        </w:rPr>
        <w:t>。</w:t>
      </w:r>
    </w:p>
    <w:p w14:paraId="1EA8231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承包人提供文件的期限、数量：</w:t>
      </w:r>
    </w:p>
    <w:p w14:paraId="4328430E">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w:t>
      </w:r>
      <w:r>
        <w:rPr>
          <w:rFonts w:hint="eastAsia" w:ascii="宋体" w:hAnsi="宋体"/>
          <w:color w:val="auto"/>
          <w:szCs w:val="21"/>
          <w:highlight w:val="none"/>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color w:val="auto"/>
          <w:szCs w:val="21"/>
          <w:highlight w:val="none"/>
        </w:rPr>
        <w:t>。</w:t>
      </w:r>
    </w:p>
    <w:p w14:paraId="425A317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每月  日前报送月工程进度完成报表</w:t>
      </w:r>
      <w:r>
        <w:rPr>
          <w:rFonts w:hint="eastAsia" w:ascii="宋体" w:hAnsi="宋体"/>
          <w:color w:val="auto"/>
          <w:szCs w:val="21"/>
          <w:highlight w:val="none"/>
        </w:rPr>
        <w:t>。</w:t>
      </w:r>
    </w:p>
    <w:p w14:paraId="1A0FE1C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（3）合同另有约定的，按照其约定。</w:t>
      </w:r>
    </w:p>
    <w:p w14:paraId="63F5F96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承包人提供的文件的形式：□采用电子</w:t>
      </w:r>
      <w:r>
        <w:rPr>
          <w:rFonts w:hint="eastAsia" w:ascii="宋体" w:hAnsi="宋体"/>
          <w:color w:val="auto"/>
          <w:szCs w:val="21"/>
          <w:highlight w:val="none"/>
          <w:lang w:eastAsia="zh-CN"/>
        </w:rPr>
        <w:t>比选</w:t>
      </w:r>
      <w:r>
        <w:rPr>
          <w:rFonts w:hint="eastAsia" w:ascii="宋体" w:hAnsi="宋体"/>
          <w:color w:val="auto"/>
          <w:szCs w:val="21"/>
          <w:highlight w:val="none"/>
        </w:rPr>
        <w:t>的，投标文件以电子文档为准，其他文件以书面文件为准；</w:t>
      </w:r>
      <w:r>
        <w:rPr>
          <w:rFonts w:hint="eastAsia" w:ascii="宋体" w:hAnsi="宋体"/>
          <w:color w:val="auto"/>
          <w:szCs w:val="21"/>
          <w:highlight w:val="none"/>
        </w:rPr>
        <w:sym w:font="Wingdings 2" w:char="0052"/>
      </w:r>
      <w:r>
        <w:rPr>
          <w:rFonts w:hint="eastAsia" w:ascii="宋体" w:hAnsi="宋体"/>
          <w:color w:val="auto"/>
          <w:szCs w:val="21"/>
          <w:highlight w:val="none"/>
        </w:rPr>
        <w:t>采用纸质</w:t>
      </w:r>
      <w:r>
        <w:rPr>
          <w:rFonts w:hint="eastAsia" w:ascii="宋体" w:hAnsi="宋体"/>
          <w:color w:val="auto"/>
          <w:szCs w:val="21"/>
          <w:highlight w:val="none"/>
          <w:lang w:eastAsia="zh-CN"/>
        </w:rPr>
        <w:t>比选</w:t>
      </w:r>
      <w:r>
        <w:rPr>
          <w:rFonts w:hint="eastAsia" w:ascii="宋体" w:hAnsi="宋体"/>
          <w:color w:val="auto"/>
          <w:szCs w:val="21"/>
          <w:highlight w:val="none"/>
        </w:rPr>
        <w:t>的，当书面文件与电子文档不一致的，以书面文件为准。监理人审批承包人文件的期限：</w:t>
      </w:r>
      <w:r>
        <w:rPr>
          <w:rFonts w:hint="eastAsia" w:ascii="宋体" w:hAnsi="宋体"/>
          <w:color w:val="auto"/>
          <w:szCs w:val="21"/>
          <w:highlight w:val="none"/>
          <w:u w:val="single"/>
        </w:rPr>
        <w:t>收到施工组织设计和工程总体进度计划及当年年度施工进度计划后7天内；合同另有约定的，从其约定</w:t>
      </w:r>
      <w:r>
        <w:rPr>
          <w:rFonts w:hint="eastAsia" w:ascii="宋体" w:hAnsi="宋体"/>
          <w:color w:val="auto"/>
          <w:szCs w:val="21"/>
          <w:highlight w:val="none"/>
        </w:rPr>
        <w:t>。</w:t>
      </w:r>
    </w:p>
    <w:p w14:paraId="1BD4335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承包人提供的文件的费用：</w:t>
      </w:r>
      <w:r>
        <w:rPr>
          <w:rFonts w:hint="eastAsia" w:ascii="宋体" w:hAnsi="宋体"/>
          <w:color w:val="auto"/>
          <w:szCs w:val="21"/>
          <w:highlight w:val="none"/>
          <w:u w:val="single"/>
        </w:rPr>
        <w:t>由承包人承担</w:t>
      </w:r>
      <w:r>
        <w:rPr>
          <w:rFonts w:hint="eastAsia" w:ascii="宋体" w:hAnsi="宋体"/>
          <w:color w:val="auto"/>
          <w:szCs w:val="21"/>
          <w:highlight w:val="none"/>
        </w:rPr>
        <w:t>。</w:t>
      </w:r>
    </w:p>
    <w:p w14:paraId="4929B74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发包人审批承包人文件的期限：</w:t>
      </w:r>
      <w:r>
        <w:rPr>
          <w:rFonts w:hint="eastAsia" w:ascii="宋体" w:hAnsi="宋体"/>
          <w:color w:val="auto"/>
          <w:szCs w:val="21"/>
          <w:highlight w:val="none"/>
          <w:u w:val="single"/>
        </w:rPr>
        <w:t>收到后14天内；合同另有约定的，从其约定</w:t>
      </w:r>
      <w:r>
        <w:rPr>
          <w:rFonts w:hint="eastAsia" w:ascii="宋体" w:hAnsi="宋体"/>
          <w:color w:val="auto"/>
          <w:szCs w:val="21"/>
          <w:highlight w:val="none"/>
        </w:rPr>
        <w:t>。</w:t>
      </w:r>
    </w:p>
    <w:p w14:paraId="7AD008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监理人、发包人的修改意见和审批，不免除或减轻承包人对该工作、工程、材料、工程设备等应承担的责任和义务</w:t>
      </w:r>
      <w:r>
        <w:rPr>
          <w:rFonts w:hint="eastAsia" w:ascii="宋体" w:hAnsi="宋体"/>
          <w:color w:val="auto"/>
          <w:szCs w:val="21"/>
          <w:highlight w:val="none"/>
        </w:rPr>
        <w:t>。</w:t>
      </w:r>
    </w:p>
    <w:p w14:paraId="40683285">
      <w:pPr>
        <w:pStyle w:val="7"/>
        <w:spacing w:before="0" w:beforeAutospacing="0" w:after="0" w:afterAutospacing="0" w:line="360" w:lineRule="auto"/>
        <w:ind w:firstLine="422" w:firstLineChars="200"/>
        <w:rPr>
          <w:color w:val="auto"/>
          <w:sz w:val="21"/>
          <w:szCs w:val="21"/>
          <w:highlight w:val="none"/>
        </w:rPr>
      </w:pPr>
      <w:bookmarkStart w:id="1247" w:name="_Toc532377326"/>
      <w:r>
        <w:rPr>
          <w:rFonts w:hint="eastAsia"/>
          <w:color w:val="auto"/>
          <w:sz w:val="21"/>
          <w:szCs w:val="21"/>
          <w:highlight w:val="none"/>
        </w:rPr>
        <w:t>1.7 联络</w:t>
      </w:r>
      <w:bookmarkEnd w:id="1247"/>
    </w:p>
    <w:p w14:paraId="574BF11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1.7.1 发包人和承包人应当在</w:t>
      </w:r>
      <w:r>
        <w:rPr>
          <w:rFonts w:hint="eastAsia" w:ascii="宋体" w:hAnsi="宋体"/>
          <w:color w:val="auto"/>
          <w:szCs w:val="21"/>
          <w:highlight w:val="none"/>
          <w:u w:val="single"/>
        </w:rPr>
        <w:t xml:space="preserve"> 1 </w:t>
      </w:r>
      <w:r>
        <w:rPr>
          <w:rFonts w:hint="eastAsia" w:ascii="宋体" w:hAnsi="宋体"/>
          <w:color w:val="auto"/>
          <w:kern w:val="0"/>
          <w:szCs w:val="21"/>
          <w:highlight w:val="none"/>
        </w:rPr>
        <w:t>天内将与合同有关的通知、批准、证明、证书、指示、指令、要求、请求、同意、意见、确定和决定等书面函件送达对方当事人，并办理书面签收手续。</w:t>
      </w:r>
    </w:p>
    <w:p w14:paraId="5975FCF3">
      <w:pPr>
        <w:tabs>
          <w:tab w:val="left" w:pos="7513"/>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1.7.2 发包人接收文件地点：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15F83A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发包人指定的接收人：</w:t>
      </w:r>
      <w:bookmarkStart w:id="1248" w:name="_Hlk528493983"/>
      <w:bookmarkEnd w:id="1248"/>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44E6DAA">
      <w:pPr>
        <w:tabs>
          <w:tab w:val="left" w:pos="7513"/>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0AD1F5FF">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6A5D72D">
      <w:pPr>
        <w:tabs>
          <w:tab w:val="left" w:pos="7371"/>
        </w:tabs>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监理人接收文件地点：</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1E30FAE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监理人指定的接收人：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7FF70986">
      <w:pPr>
        <w:pStyle w:val="7"/>
        <w:spacing w:before="0" w:beforeAutospacing="0" w:after="0" w:afterAutospacing="0" w:line="360" w:lineRule="auto"/>
        <w:ind w:firstLine="422" w:firstLineChars="200"/>
        <w:rPr>
          <w:color w:val="auto"/>
          <w:sz w:val="21"/>
          <w:szCs w:val="21"/>
          <w:highlight w:val="none"/>
        </w:rPr>
      </w:pPr>
      <w:bookmarkStart w:id="1249" w:name="_Toc532377327"/>
      <w:r>
        <w:rPr>
          <w:rFonts w:hint="eastAsia"/>
          <w:color w:val="auto"/>
          <w:sz w:val="21"/>
          <w:szCs w:val="21"/>
          <w:highlight w:val="none"/>
        </w:rPr>
        <w:t>1.8 严禁贿赂</w:t>
      </w:r>
      <w:bookmarkEnd w:id="1249"/>
    </w:p>
    <w:p w14:paraId="2D9216AB">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本款补充以下内容：</w:t>
      </w:r>
    </w:p>
    <w:p w14:paraId="5D82CA38">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在合同执行过程中，合同当事人应严格履行附件8《廉洁从业协议》。</w:t>
      </w:r>
    </w:p>
    <w:p w14:paraId="7A83AC20">
      <w:pPr>
        <w:pStyle w:val="7"/>
        <w:spacing w:before="0" w:beforeAutospacing="0" w:after="0" w:afterAutospacing="0" w:line="360" w:lineRule="auto"/>
        <w:ind w:firstLine="422" w:firstLineChars="200"/>
        <w:rPr>
          <w:color w:val="auto"/>
          <w:sz w:val="21"/>
          <w:szCs w:val="21"/>
          <w:highlight w:val="none"/>
        </w:rPr>
      </w:pPr>
      <w:bookmarkStart w:id="1250" w:name="_Toc532377328"/>
      <w:r>
        <w:rPr>
          <w:rFonts w:hint="eastAsia"/>
          <w:color w:val="auto"/>
          <w:sz w:val="21"/>
          <w:szCs w:val="21"/>
          <w:highlight w:val="none"/>
        </w:rPr>
        <w:t>1.10 交通运输</w:t>
      </w:r>
      <w:bookmarkEnd w:id="1250"/>
    </w:p>
    <w:p w14:paraId="75F7B2E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bookmarkStart w:id="1251" w:name="_Toc318581155"/>
      <w:bookmarkStart w:id="1252" w:name="_Toc304295521"/>
      <w:bookmarkStart w:id="1253" w:name="_Toc312677986"/>
      <w:bookmarkStart w:id="1254" w:name="_Toc300934943"/>
      <w:bookmarkStart w:id="1255" w:name="_Toc303539100"/>
      <w:r>
        <w:rPr>
          <w:rFonts w:hint="eastAsia" w:ascii="宋体" w:hAnsi="宋体"/>
          <w:color w:val="auto"/>
          <w:szCs w:val="21"/>
          <w:highlight w:val="none"/>
        </w:rPr>
        <w:t>.10.1 出入现场的权利</w:t>
      </w:r>
    </w:p>
    <w:p w14:paraId="0179368C">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关于出入现场的权利的约定：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251"/>
    <w:bookmarkEnd w:id="1252"/>
    <w:bookmarkEnd w:id="1253"/>
    <w:bookmarkEnd w:id="1254"/>
    <w:bookmarkEnd w:id="1255"/>
    <w:p w14:paraId="65B7689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1.10.2 场外交通</w:t>
      </w:r>
    </w:p>
    <w:p w14:paraId="6FE257C5">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承包人应遵守有关交通法规，执行有关道路限速、限行、禁止超载的规定，并配合交通管理部门的监督和检查。场外交通以施工场地移交时的现状为准。</w:t>
      </w:r>
    </w:p>
    <w:p w14:paraId="1726ED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bookmarkStart w:id="1256" w:name="_Toc303539101"/>
      <w:bookmarkStart w:id="1257" w:name="_Toc304295522"/>
      <w:bookmarkStart w:id="1258" w:name="_Toc312677987"/>
      <w:bookmarkStart w:id="1259" w:name="_Toc318581156"/>
      <w:bookmarkStart w:id="1260" w:name="_Toc300934944"/>
      <w:r>
        <w:rPr>
          <w:rFonts w:hint="eastAsia" w:ascii="宋体" w:hAnsi="宋体"/>
          <w:color w:val="auto"/>
          <w:szCs w:val="21"/>
          <w:highlight w:val="none"/>
        </w:rPr>
        <w:t>.10.3 场内交通</w:t>
      </w:r>
    </w:p>
    <w:p w14:paraId="073EF181">
      <w:pPr>
        <w:spacing w:line="360" w:lineRule="auto"/>
        <w:ind w:firstLine="420" w:firstLineChars="200"/>
        <w:jc w:val="left"/>
        <w:rPr>
          <w:rFonts w:ascii="宋体" w:hAnsi="宋体"/>
          <w:color w:val="auto"/>
          <w:szCs w:val="21"/>
          <w:highlight w:val="none"/>
          <w:u w:val="single"/>
        </w:rPr>
      </w:pPr>
      <w:r>
        <w:rPr>
          <w:rFonts w:hint="eastAsia" w:ascii="宋体" w:hAnsi="宋体"/>
          <w:color w:val="auto"/>
          <w:kern w:val="0"/>
          <w:szCs w:val="21"/>
          <w:highlight w:val="none"/>
        </w:rPr>
        <w:t>关于场外交通和场内交通的边界的约定：</w:t>
      </w:r>
      <w:r>
        <w:rPr>
          <w:rFonts w:hint="eastAsia" w:ascii="宋体" w:hAnsi="宋体"/>
          <w:color w:val="auto"/>
          <w:szCs w:val="21"/>
          <w:highlight w:val="none"/>
          <w:u w:val="single"/>
        </w:rPr>
        <w:t>以合同工程用地红线为界，用地红线外为场外交通，用地红线范围内为场内交通（场外道路穿越场内的除外）</w:t>
      </w:r>
      <w:r>
        <w:rPr>
          <w:rFonts w:hint="eastAsia" w:ascii="宋体" w:hAnsi="宋体"/>
          <w:color w:val="auto"/>
          <w:szCs w:val="21"/>
          <w:highlight w:val="none"/>
        </w:rPr>
        <w:t>。</w:t>
      </w:r>
    </w:p>
    <w:p w14:paraId="3E1BFAE9">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关于发包人向承包人免费提供满足工程施工需要的场内道路和交通设施的约定：</w:t>
      </w:r>
      <w:r>
        <w:rPr>
          <w:rFonts w:hint="eastAsia" w:ascii="宋体" w:hAnsi="宋体"/>
          <w:color w:val="auto"/>
          <w:kern w:val="0"/>
          <w:szCs w:val="21"/>
          <w:highlight w:val="none"/>
          <w:u w:val="single"/>
        </w:rPr>
        <w:t>以施工场地移交时的现状为准</w:t>
      </w:r>
      <w:r>
        <w:rPr>
          <w:rFonts w:hint="eastAsia" w:ascii="宋体" w:hAnsi="宋体"/>
          <w:color w:val="auto"/>
          <w:szCs w:val="21"/>
          <w:highlight w:val="none"/>
        </w:rPr>
        <w:t>。</w:t>
      </w:r>
    </w:p>
    <w:bookmarkEnd w:id="1256"/>
    <w:bookmarkEnd w:id="1257"/>
    <w:bookmarkEnd w:id="1258"/>
    <w:bookmarkEnd w:id="1259"/>
    <w:bookmarkEnd w:id="1260"/>
    <w:p w14:paraId="74F4674F">
      <w:pPr>
        <w:spacing w:line="360" w:lineRule="auto"/>
        <w:ind w:firstLine="420" w:firstLineChars="200"/>
        <w:jc w:val="left"/>
        <w:rPr>
          <w:rFonts w:ascii="宋体" w:hAnsi="宋体"/>
          <w:color w:val="auto"/>
          <w:szCs w:val="21"/>
          <w:highlight w:val="none"/>
        </w:rPr>
      </w:pPr>
      <w:bookmarkStart w:id="1261" w:name="_Toc318581157"/>
      <w:r>
        <w:rPr>
          <w:rFonts w:hint="eastAsia" w:ascii="宋体" w:hAnsi="宋体"/>
          <w:color w:val="auto"/>
          <w:szCs w:val="21"/>
          <w:highlight w:val="none"/>
        </w:rPr>
        <w:t>1.10.4 超大件和超重件的运输</w:t>
      </w:r>
    </w:p>
    <w:p w14:paraId="7016C8E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运输超大件或超重件所需的道路和桥梁临时加固改造费用和其他有关费用由</w:t>
      </w:r>
      <w:r>
        <w:rPr>
          <w:rFonts w:hint="eastAsia" w:ascii="宋体" w:hAnsi="宋体"/>
          <w:color w:val="auto"/>
          <w:szCs w:val="21"/>
          <w:highlight w:val="none"/>
          <w:u w:val="single"/>
        </w:rPr>
        <w:t>发包人</w:t>
      </w:r>
      <w:r>
        <w:rPr>
          <w:rFonts w:hint="eastAsia" w:ascii="宋体" w:hAnsi="宋体"/>
          <w:color w:val="auto"/>
          <w:szCs w:val="21"/>
          <w:highlight w:val="none"/>
        </w:rPr>
        <w:t>承担。</w:t>
      </w:r>
    </w:p>
    <w:bookmarkEnd w:id="1261"/>
    <w:p w14:paraId="1B177296">
      <w:pPr>
        <w:pStyle w:val="7"/>
        <w:spacing w:before="0" w:beforeAutospacing="0" w:after="0" w:afterAutospacing="0" w:line="360" w:lineRule="auto"/>
        <w:ind w:firstLine="422" w:firstLineChars="200"/>
        <w:rPr>
          <w:color w:val="auto"/>
          <w:sz w:val="21"/>
          <w:szCs w:val="21"/>
          <w:highlight w:val="none"/>
        </w:rPr>
      </w:pPr>
      <w:bookmarkStart w:id="1262" w:name="_Toc532377329"/>
      <w:r>
        <w:rPr>
          <w:rFonts w:hint="eastAsia"/>
          <w:color w:val="auto"/>
          <w:sz w:val="21"/>
          <w:szCs w:val="21"/>
          <w:highlight w:val="none"/>
        </w:rPr>
        <w:t>1.11 知识产权</w:t>
      </w:r>
      <w:bookmarkEnd w:id="1262"/>
    </w:p>
    <w:p w14:paraId="236A8B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highlight w:val="none"/>
          <w:u w:val="single"/>
        </w:rPr>
        <w:t>属于发包人</w:t>
      </w:r>
      <w:r>
        <w:rPr>
          <w:rFonts w:hint="eastAsia" w:ascii="宋体" w:hAnsi="宋体"/>
          <w:color w:val="auto"/>
          <w:szCs w:val="21"/>
          <w:highlight w:val="none"/>
        </w:rPr>
        <w:t>。</w:t>
      </w:r>
    </w:p>
    <w:p w14:paraId="6F2530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关于发包人提供的上述文件的使用限制的要求：</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2FE331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1.11.4 承包人在施工过程中所采用的专利、专有技术、技术秘密的使用费的承担方式：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FCFD5E8">
      <w:pPr>
        <w:pStyle w:val="7"/>
        <w:spacing w:before="0" w:beforeAutospacing="0" w:after="0" w:afterAutospacing="0" w:line="360" w:lineRule="auto"/>
        <w:ind w:firstLine="422" w:firstLineChars="200"/>
        <w:rPr>
          <w:color w:val="auto"/>
          <w:sz w:val="21"/>
          <w:szCs w:val="21"/>
          <w:highlight w:val="none"/>
        </w:rPr>
      </w:pPr>
      <w:bookmarkStart w:id="1263" w:name="_Toc532377330"/>
      <w:r>
        <w:rPr>
          <w:rFonts w:hint="eastAsia"/>
          <w:color w:val="auto"/>
          <w:sz w:val="21"/>
          <w:szCs w:val="21"/>
          <w:highlight w:val="none"/>
        </w:rPr>
        <w:t>1.13工程量清单错误的修正</w:t>
      </w:r>
      <w:bookmarkEnd w:id="1263"/>
    </w:p>
    <w:p w14:paraId="2260FA7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出现工程量清单错误时，责任和权利划分：</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CC056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p>
    <w:p w14:paraId="701142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允许调整合同价格的工程量偏差范围：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F94386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64" w:name="_Toc532377331"/>
      <w:bookmarkStart w:id="1265" w:name="_Toc532375609"/>
      <w:bookmarkStart w:id="1266" w:name="_Toc351203634"/>
      <w:r>
        <w:rPr>
          <w:rFonts w:hint="eastAsia"/>
          <w:color w:val="auto"/>
          <w:kern w:val="2"/>
          <w:sz w:val="21"/>
          <w:szCs w:val="21"/>
          <w:highlight w:val="none"/>
        </w:rPr>
        <w:t>2</w:t>
      </w:r>
      <w:bookmarkStart w:id="1267" w:name="_Toc296944496"/>
      <w:bookmarkStart w:id="1268" w:name="_Toc292559867"/>
      <w:bookmarkStart w:id="1269" w:name="_Toc296890985"/>
      <w:bookmarkStart w:id="1270" w:name="_Toc296347156"/>
      <w:bookmarkStart w:id="1271" w:name="_Toc297120457"/>
      <w:bookmarkStart w:id="1272" w:name="_Toc296346658"/>
      <w:bookmarkStart w:id="1273" w:name="_Toc297048343"/>
      <w:bookmarkStart w:id="1274" w:name="_Toc296503157"/>
      <w:bookmarkStart w:id="1275" w:name="_Toc296891197"/>
      <w:bookmarkStart w:id="1276" w:name="_Toc292559362"/>
      <w:r>
        <w:rPr>
          <w:rFonts w:hint="eastAsia"/>
          <w:color w:val="auto"/>
          <w:kern w:val="2"/>
          <w:sz w:val="21"/>
          <w:szCs w:val="21"/>
          <w:highlight w:val="none"/>
        </w:rPr>
        <w:t>. 发包人</w:t>
      </w:r>
      <w:bookmarkEnd w:id="1264"/>
      <w:bookmarkEnd w:id="1265"/>
      <w:bookmarkEnd w:id="1266"/>
    </w:p>
    <w:bookmarkEnd w:id="1267"/>
    <w:bookmarkEnd w:id="1268"/>
    <w:bookmarkEnd w:id="1269"/>
    <w:bookmarkEnd w:id="1270"/>
    <w:bookmarkEnd w:id="1271"/>
    <w:bookmarkEnd w:id="1272"/>
    <w:bookmarkEnd w:id="1273"/>
    <w:bookmarkEnd w:id="1274"/>
    <w:bookmarkEnd w:id="1275"/>
    <w:bookmarkEnd w:id="1276"/>
    <w:p w14:paraId="741A5D4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2.2.1 发包人代表</w:t>
      </w:r>
    </w:p>
    <w:p w14:paraId="6A4EDC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发包人代表：</w:t>
      </w:r>
    </w:p>
    <w:p w14:paraId="0C1AE06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w:t>
      </w:r>
      <w:r>
        <w:rPr>
          <w:rFonts w:hint="eastAsia" w:ascii="宋体" w:hAnsi="宋体"/>
          <w:color w:val="auto"/>
          <w:szCs w:val="21"/>
          <w:highlight w:val="none"/>
        </w:rPr>
        <w:t>；</w:t>
      </w:r>
    </w:p>
    <w:p w14:paraId="39B3F24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   </w:t>
      </w:r>
      <w:r>
        <w:rPr>
          <w:rFonts w:hint="eastAsia" w:ascii="宋体" w:hAnsi="宋体"/>
          <w:color w:val="auto"/>
          <w:szCs w:val="21"/>
          <w:highlight w:val="none"/>
        </w:rPr>
        <w:t>；</w:t>
      </w:r>
    </w:p>
    <w:p w14:paraId="5D6DD44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职    务：</w:t>
      </w:r>
      <w:r>
        <w:rPr>
          <w:rFonts w:ascii="宋体" w:hAnsi="宋体"/>
          <w:color w:val="auto"/>
          <w:szCs w:val="21"/>
          <w:highlight w:val="none"/>
          <w:u w:val="single"/>
        </w:rPr>
        <w:t xml:space="preserve">              </w:t>
      </w:r>
      <w:r>
        <w:rPr>
          <w:rFonts w:hint="eastAsia" w:ascii="宋体" w:hAnsi="宋体"/>
          <w:color w:val="auto"/>
          <w:szCs w:val="21"/>
          <w:highlight w:val="none"/>
        </w:rPr>
        <w:t>；</w:t>
      </w:r>
    </w:p>
    <w:p w14:paraId="2A30342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w:t>
      </w:r>
      <w:r>
        <w:rPr>
          <w:rFonts w:hint="eastAsia" w:ascii="宋体" w:hAnsi="宋体"/>
          <w:color w:val="auto"/>
          <w:szCs w:val="21"/>
          <w:highlight w:val="none"/>
        </w:rPr>
        <w:t>；</w:t>
      </w:r>
    </w:p>
    <w:p w14:paraId="755C826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    编：</w:t>
      </w:r>
      <w:r>
        <w:rPr>
          <w:rFonts w:ascii="宋体" w:hAnsi="宋体"/>
          <w:color w:val="auto"/>
          <w:szCs w:val="21"/>
          <w:highlight w:val="none"/>
          <w:u w:val="single"/>
        </w:rPr>
        <w:t xml:space="preserve">              </w:t>
      </w:r>
      <w:r>
        <w:rPr>
          <w:rFonts w:hint="eastAsia" w:ascii="宋体" w:hAnsi="宋体"/>
          <w:color w:val="auto"/>
          <w:szCs w:val="21"/>
          <w:highlight w:val="none"/>
        </w:rPr>
        <w:t>；</w:t>
      </w:r>
    </w:p>
    <w:p w14:paraId="330404D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发包人对发包人代表的授权范围如下：</w:t>
      </w:r>
      <w:r>
        <w:rPr>
          <w:rFonts w:hint="eastAsia" w:ascii="宋体" w:hAnsi="宋体"/>
          <w:color w:val="auto"/>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color w:val="auto"/>
          <w:szCs w:val="21"/>
          <w:highlight w:val="none"/>
        </w:rPr>
        <w:t>。</w:t>
      </w:r>
    </w:p>
    <w:p w14:paraId="605DEFBE">
      <w:pPr>
        <w:pStyle w:val="7"/>
        <w:spacing w:before="0" w:beforeAutospacing="0" w:after="0" w:afterAutospacing="0" w:line="360" w:lineRule="auto"/>
        <w:ind w:firstLine="422" w:firstLineChars="200"/>
        <w:rPr>
          <w:color w:val="auto"/>
          <w:sz w:val="21"/>
          <w:szCs w:val="21"/>
          <w:highlight w:val="none"/>
        </w:rPr>
      </w:pPr>
      <w:bookmarkStart w:id="1277" w:name="_Toc532377332"/>
      <w:r>
        <w:rPr>
          <w:rFonts w:hint="eastAsia"/>
          <w:color w:val="auto"/>
          <w:sz w:val="21"/>
          <w:szCs w:val="21"/>
          <w:highlight w:val="none"/>
        </w:rPr>
        <w:t>2.4 施工现场、施工条件和基础资料的提供</w:t>
      </w:r>
      <w:bookmarkEnd w:id="1277"/>
    </w:p>
    <w:p w14:paraId="526BC6D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 提供施工现场</w:t>
      </w:r>
    </w:p>
    <w:p w14:paraId="30FD8D0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2.4.1.1 提供场地：</w:t>
      </w:r>
    </w:p>
    <w:p w14:paraId="389502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施工场地的提供采用以下第</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2667B1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（1）一次提供全部施工场地：发包人于</w:t>
      </w:r>
      <w:r>
        <w:rPr>
          <w:rFonts w:hint="eastAsia" w:ascii="宋体" w:hAnsi="宋体"/>
          <w:color w:val="auto"/>
          <w:szCs w:val="21"/>
          <w:highlight w:val="none"/>
          <w:u w:val="single"/>
        </w:rPr>
        <w:t>开工</w:t>
      </w:r>
      <w:r>
        <w:rPr>
          <w:rFonts w:hint="eastAsia" w:ascii="宋体" w:hAnsi="宋体"/>
          <w:color w:val="auto"/>
          <w:szCs w:val="21"/>
          <w:highlight w:val="none"/>
        </w:rPr>
        <w:t>前向承包人提供合同工程用地红线范围内的施工场地。</w:t>
      </w:r>
    </w:p>
    <w:p w14:paraId="2C738BE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（2）分次提供全部施工场地：</w:t>
      </w:r>
      <w:r>
        <w:rPr>
          <w:rFonts w:hint="eastAsia" w:ascii="宋体" w:hAnsi="宋体"/>
          <w:color w:val="auto"/>
          <w:szCs w:val="21"/>
          <w:highlight w:val="none"/>
          <w:u w:val="single"/>
        </w:rPr>
        <w:t>发包人按约定的时间分次向承包人提供合同工程用地红线范围内的施工场地</w:t>
      </w:r>
      <w:r>
        <w:rPr>
          <w:rFonts w:hint="eastAsia" w:ascii="宋体" w:hAnsi="宋体"/>
          <w:color w:val="auto"/>
          <w:szCs w:val="21"/>
          <w:highlight w:val="none"/>
        </w:rPr>
        <w:t>。</w:t>
      </w:r>
    </w:p>
    <w:p w14:paraId="49AA4CE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承包人编制的施工组织计划已充分考虑了施工场地提供的因素</w:t>
      </w:r>
      <w:r>
        <w:rPr>
          <w:rFonts w:hint="eastAsia" w:ascii="宋体" w:hAnsi="宋体"/>
          <w:color w:val="auto"/>
          <w:szCs w:val="21"/>
          <w:highlight w:val="none"/>
        </w:rPr>
        <w:t>。</w:t>
      </w:r>
    </w:p>
    <w:p w14:paraId="42AE2A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r>
        <w:rPr>
          <w:rFonts w:hint="eastAsia" w:ascii="宋体" w:hAnsi="宋体"/>
          <w:color w:val="auto"/>
          <w:szCs w:val="21"/>
          <w:highlight w:val="none"/>
        </w:rPr>
        <w:t>。</w:t>
      </w:r>
    </w:p>
    <w:p w14:paraId="27D1B4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2.4.2 提供施工条件</w:t>
      </w:r>
    </w:p>
    <w:p w14:paraId="652A6057">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rPr>
        <w:t>关于发包人应负责提供施工所需要的条件：</w:t>
      </w:r>
      <w:r>
        <w:rPr>
          <w:rFonts w:hint="eastAsia" w:ascii="宋体" w:hAnsi="宋体"/>
          <w:color w:val="auto"/>
          <w:szCs w:val="21"/>
          <w:highlight w:val="none"/>
          <w:u w:val="single"/>
          <w:lang w:val="en-US" w:eastAsia="zh-CN"/>
        </w:rPr>
        <w:t xml:space="preserve">通水、电、道路（发包人解决施工用水、用电借口，并 </w:t>
      </w:r>
    </w:p>
    <w:p w14:paraId="6D1F7FA2">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lang w:val="en-US" w:eastAsia="zh-CN"/>
        </w:rPr>
        <w:t>承担相应费用；接口后由承包人自行搭建，并装表计量，并承担相应费用；施工所需的电讯线路由承包 人自行解决）</w:t>
      </w:r>
      <w:r>
        <w:rPr>
          <w:rFonts w:hint="eastAsia" w:ascii="宋体" w:hAnsi="宋体"/>
          <w:color w:val="auto"/>
          <w:szCs w:val="21"/>
          <w:highlight w:val="none"/>
          <w:u w:val="single"/>
        </w:rPr>
        <w:t>。</w:t>
      </w:r>
    </w:p>
    <w:p w14:paraId="7E10A9B8">
      <w:pPr>
        <w:pStyle w:val="7"/>
        <w:spacing w:before="0" w:beforeAutospacing="0" w:after="0" w:afterAutospacing="0" w:line="360" w:lineRule="auto"/>
        <w:ind w:firstLine="422" w:firstLineChars="200"/>
        <w:rPr>
          <w:color w:val="auto"/>
          <w:sz w:val="21"/>
          <w:szCs w:val="21"/>
          <w:highlight w:val="none"/>
        </w:rPr>
      </w:pPr>
      <w:bookmarkStart w:id="1278" w:name="_Toc532377333"/>
      <w:r>
        <w:rPr>
          <w:rFonts w:hint="eastAsia"/>
          <w:color w:val="auto"/>
          <w:sz w:val="21"/>
          <w:szCs w:val="21"/>
          <w:highlight w:val="none"/>
        </w:rPr>
        <w:t>2.5 资金来源证明及支付担保</w:t>
      </w:r>
      <w:bookmarkEnd w:id="1278"/>
    </w:p>
    <w:p w14:paraId="7621416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发包人提供资金来源证明的期限要求：</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0B7B0AC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发包人是否提供支付担保：</w:t>
      </w:r>
      <w:r>
        <w:rPr>
          <w:rFonts w:hint="eastAsia" w:ascii="宋体" w:hAnsi="宋体"/>
          <w:color w:val="auto"/>
          <w:szCs w:val="21"/>
          <w:highlight w:val="none"/>
          <w:u w:val="single"/>
          <w:lang w:eastAsia="zh-CN"/>
        </w:rPr>
        <w:t>不</w:t>
      </w:r>
      <w:r>
        <w:rPr>
          <w:rFonts w:hint="eastAsia" w:ascii="宋体" w:hAnsi="宋体"/>
          <w:color w:val="auto"/>
          <w:szCs w:val="21"/>
          <w:highlight w:val="none"/>
          <w:u w:val="single"/>
        </w:rPr>
        <w:t>提供</w:t>
      </w:r>
      <w:r>
        <w:rPr>
          <w:rFonts w:hint="eastAsia" w:ascii="宋体" w:hAnsi="宋体"/>
          <w:color w:val="auto"/>
          <w:szCs w:val="21"/>
          <w:highlight w:val="none"/>
        </w:rPr>
        <w:t>。</w:t>
      </w:r>
    </w:p>
    <w:p w14:paraId="0FCECA9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支付担保的形式：</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0D3297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2DF01B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68DF15D">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33B8D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8B6449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279" w:name="_Toc351203635"/>
      <w:bookmarkStart w:id="1280" w:name="_Toc532377334"/>
      <w:bookmarkStart w:id="1281" w:name="_Toc532375610"/>
      <w:r>
        <w:rPr>
          <w:rFonts w:hint="eastAsia"/>
          <w:color w:val="auto"/>
          <w:kern w:val="2"/>
          <w:sz w:val="21"/>
          <w:szCs w:val="21"/>
          <w:highlight w:val="none"/>
        </w:rPr>
        <w:t>3</w:t>
      </w:r>
      <w:bookmarkStart w:id="1282" w:name="_Toc296346659"/>
      <w:bookmarkStart w:id="1283" w:name="_Toc296347157"/>
      <w:bookmarkStart w:id="1284" w:name="_Toc292559363"/>
      <w:bookmarkStart w:id="1285" w:name="_Toc296503158"/>
      <w:bookmarkStart w:id="1286" w:name="_Toc296891198"/>
      <w:bookmarkStart w:id="1287" w:name="_Toc297120458"/>
      <w:bookmarkStart w:id="1288" w:name="_Toc296890986"/>
      <w:bookmarkStart w:id="1289" w:name="_Toc297048344"/>
      <w:bookmarkStart w:id="1290" w:name="_Toc292559868"/>
      <w:bookmarkStart w:id="1291" w:name="_Toc296944497"/>
      <w:r>
        <w:rPr>
          <w:rFonts w:hint="eastAsia"/>
          <w:color w:val="auto"/>
          <w:kern w:val="2"/>
          <w:sz w:val="21"/>
          <w:szCs w:val="21"/>
          <w:highlight w:val="none"/>
        </w:rPr>
        <w:t>. 承包人</w:t>
      </w:r>
      <w:bookmarkEnd w:id="1279"/>
      <w:bookmarkEnd w:id="1280"/>
      <w:bookmarkEnd w:id="1281"/>
    </w:p>
    <w:bookmarkEnd w:id="1282"/>
    <w:bookmarkEnd w:id="1283"/>
    <w:bookmarkEnd w:id="1284"/>
    <w:bookmarkEnd w:id="1285"/>
    <w:bookmarkEnd w:id="1286"/>
    <w:bookmarkEnd w:id="1287"/>
    <w:bookmarkEnd w:id="1288"/>
    <w:bookmarkEnd w:id="1289"/>
    <w:bookmarkEnd w:id="1290"/>
    <w:bookmarkEnd w:id="1291"/>
    <w:p w14:paraId="591DCDEC">
      <w:pPr>
        <w:pStyle w:val="7"/>
        <w:spacing w:before="0" w:beforeAutospacing="0" w:after="0" w:afterAutospacing="0" w:line="360" w:lineRule="auto"/>
        <w:ind w:firstLine="422" w:firstLineChars="200"/>
        <w:rPr>
          <w:color w:val="auto"/>
          <w:sz w:val="21"/>
          <w:szCs w:val="21"/>
          <w:highlight w:val="none"/>
        </w:rPr>
      </w:pPr>
      <w:bookmarkStart w:id="1292" w:name="_Toc532377335"/>
      <w:r>
        <w:rPr>
          <w:rFonts w:hint="eastAsia"/>
          <w:color w:val="auto"/>
          <w:sz w:val="21"/>
          <w:szCs w:val="21"/>
          <w:highlight w:val="none"/>
        </w:rPr>
        <w:t>3.1 承包人的一般义务</w:t>
      </w:r>
      <w:bookmarkEnd w:id="1292"/>
    </w:p>
    <w:p w14:paraId="6994F4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本款细化为3.1.1～3.1.10项：</w:t>
      </w:r>
    </w:p>
    <w:p w14:paraId="3E062C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3.1.1办理法律规定和合同约定应由承包人办理的许可和批准，并将办理结果书面报送发包人留存；协助发包人办理施工所需的工程质量监督、安全监督、施工许可证等相关证件及手续。</w:t>
      </w:r>
    </w:p>
    <w:p w14:paraId="4EA7C86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159F0B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141734D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0347470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79496E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3.1.6按照第6.3款〔环境保护〕约定负责施工场地及其周边环境与生态的保护工作。</w:t>
      </w:r>
    </w:p>
    <w:p w14:paraId="3BB334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3.1.7按照第6.1款〔安全文明施工〕约定采取施工安全措施，确保工程及其人员、材料、设备和设施的安全，防止因工程施工造成的人身伤害和财产损失。</w:t>
      </w:r>
    </w:p>
    <w:p w14:paraId="142006CE">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3.1.8将发包人按合同约定支付的各项价款专用于合同工程，且应及时支付其雇用人员工资，并及时向分包人支付合同价款。</w:t>
      </w:r>
    </w:p>
    <w:p w14:paraId="1C7EE6E9">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3.1.9承包人提交的竣工资料的内容：</w:t>
      </w:r>
      <w:r>
        <w:rPr>
          <w:rFonts w:hint="eastAsia" w:ascii="宋体" w:hAnsi="宋体"/>
          <w:color w:val="auto"/>
          <w:szCs w:val="21"/>
          <w:highlight w:val="none"/>
          <w:u w:val="single"/>
        </w:rPr>
        <w:t>工程施工技术资料、工程质量保证资料、工程检验评定资料、竣工图及其他应交资料，应符合《建设工程文件归档整理规范》（GB/T50328-2014）和重庆市有关文件规定</w:t>
      </w:r>
      <w:r>
        <w:rPr>
          <w:rFonts w:hint="eastAsia" w:ascii="宋体" w:hAnsi="宋体"/>
          <w:color w:val="auto"/>
          <w:szCs w:val="21"/>
          <w:highlight w:val="none"/>
        </w:rPr>
        <w:t>。</w:t>
      </w:r>
    </w:p>
    <w:p w14:paraId="3EA8522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承包人需要提交的竣工资料套数：完整竣工资</w:t>
      </w:r>
      <w:r>
        <w:rPr>
          <w:rFonts w:hint="eastAsia" w:ascii="宋体" w:hAnsi="宋体"/>
          <w:color w:val="000000" w:themeColor="text1"/>
          <w:szCs w:val="21"/>
          <w:highlight w:val="none"/>
          <w14:textFill>
            <w14:solidFill>
              <w14:schemeClr w14:val="tx1"/>
            </w14:solidFill>
          </w14:textFill>
        </w:rPr>
        <w:t>料一式</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3</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套（</w:t>
      </w:r>
      <w:r>
        <w:rPr>
          <w:rFonts w:hint="eastAsia" w:ascii="宋体" w:hAnsi="宋体"/>
          <w:color w:val="auto"/>
          <w:szCs w:val="21"/>
          <w:highlight w:val="none"/>
        </w:rPr>
        <w:t>含电子文档）。</w:t>
      </w:r>
    </w:p>
    <w:p w14:paraId="64769C7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承包人提交的竣工资料的费用承担：</w:t>
      </w:r>
      <w:r>
        <w:rPr>
          <w:rFonts w:hint="eastAsia" w:ascii="宋体" w:hAnsi="宋体"/>
          <w:color w:val="auto"/>
          <w:szCs w:val="21"/>
          <w:highlight w:val="none"/>
          <w:u w:val="single"/>
        </w:rPr>
        <w:t>由承包人承担</w:t>
      </w:r>
      <w:r>
        <w:rPr>
          <w:rFonts w:hint="eastAsia" w:ascii="宋体" w:hAnsi="宋体"/>
          <w:color w:val="auto"/>
          <w:szCs w:val="21"/>
          <w:highlight w:val="none"/>
        </w:rPr>
        <w:t>。</w:t>
      </w:r>
    </w:p>
    <w:p w14:paraId="5AA2612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承包人提交的竣工资料移交时间：</w:t>
      </w:r>
      <w:r>
        <w:rPr>
          <w:rFonts w:hint="eastAsia" w:ascii="宋体" w:hAnsi="宋体"/>
          <w:color w:val="auto"/>
          <w:szCs w:val="21"/>
          <w:highlight w:val="none"/>
          <w:u w:val="single"/>
        </w:rPr>
        <w:t>工程竣工验收合格后</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个月内移交给发包人</w:t>
      </w:r>
      <w:r>
        <w:rPr>
          <w:rFonts w:hint="eastAsia" w:ascii="宋体" w:hAnsi="宋体"/>
          <w:color w:val="auto"/>
          <w:szCs w:val="21"/>
          <w:highlight w:val="none"/>
        </w:rPr>
        <w:t>。</w:t>
      </w:r>
    </w:p>
    <w:p w14:paraId="0459C7D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承包人提交的竣工资料形式要求：</w:t>
      </w:r>
      <w:r>
        <w:rPr>
          <w:rFonts w:hint="eastAsia" w:ascii="宋体" w:hAnsi="宋体"/>
          <w:color w:val="auto"/>
          <w:szCs w:val="21"/>
          <w:highlight w:val="none"/>
          <w:u w:val="single"/>
        </w:rPr>
        <w:t>完整的书面文件及电子文档</w:t>
      </w:r>
      <w:r>
        <w:rPr>
          <w:rFonts w:hint="eastAsia" w:ascii="宋体" w:hAnsi="宋体"/>
          <w:color w:val="auto"/>
          <w:szCs w:val="21"/>
          <w:highlight w:val="none"/>
        </w:rPr>
        <w:t>。</w:t>
      </w:r>
    </w:p>
    <w:p w14:paraId="228C79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3.1.10承包人应履行的其他义务：</w:t>
      </w:r>
    </w:p>
    <w:p w14:paraId="51CDB0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3.1.10.1在开始施工之前，承包人应核查、复测本工程的各种基准标志。承包人应及时将上述基准标志中存在的错误、不完整或其他缺陷通知发包人，以便发包人核实后重新确认。</w:t>
      </w:r>
    </w:p>
    <w:p w14:paraId="5D6F5B3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56C6785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6BAA55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3.1.10.4承包人应服从发包人要求的管理模式、工作方式和工作要求，同时接受监理人、跟审单位的管理和全程监督，配合项目结、决算的办理。</w:t>
      </w:r>
    </w:p>
    <w:p w14:paraId="33D7D35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3.1.10.5</w:t>
      </w:r>
      <w:r>
        <w:rPr>
          <w:rFonts w:hint="eastAsia" w:ascii="宋体" w:hAnsi="宋体"/>
          <w:color w:val="auto"/>
          <w:szCs w:val="21"/>
          <w:highlight w:val="none"/>
          <w:u w:val="single"/>
        </w:rPr>
        <w:t>承包人应为本工程开立专用账户，接受发包人的监管</w:t>
      </w:r>
      <w:r>
        <w:rPr>
          <w:rFonts w:hint="eastAsia" w:ascii="宋体" w:hAnsi="宋体"/>
          <w:color w:val="auto"/>
          <w:szCs w:val="21"/>
          <w:highlight w:val="none"/>
        </w:rPr>
        <w:t>。</w:t>
      </w:r>
    </w:p>
    <w:p w14:paraId="16A545DB">
      <w:pPr>
        <w:spacing w:line="360" w:lineRule="auto"/>
        <w:ind w:firstLine="420" w:firstLineChars="200"/>
        <w:jc w:val="left"/>
        <w:rPr>
          <w:rFonts w:hint="eastAsia" w:ascii="宋体" w:hAnsi="宋体"/>
          <w:color w:val="auto"/>
          <w:szCs w:val="21"/>
          <w:highlight w:val="none"/>
        </w:rPr>
      </w:pPr>
      <w:bookmarkStart w:id="1293" w:name="_Toc532377336"/>
      <w:r>
        <w:rPr>
          <w:rFonts w:hint="eastAsia" w:ascii="宋体" w:hAnsi="宋体"/>
          <w:color w:val="auto"/>
          <w:szCs w:val="21"/>
          <w:highlight w:val="none"/>
        </w:rPr>
        <w:t>3.1.10.6</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9156C05">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3.2 项目经理</w:t>
      </w:r>
      <w:bookmarkEnd w:id="1293"/>
    </w:p>
    <w:p w14:paraId="7C89ADDB">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 xml:space="preserve">3.2.1 </w:t>
      </w:r>
      <w:r>
        <w:rPr>
          <w:rFonts w:hint="eastAsia" w:ascii="宋体" w:hAnsi="宋体"/>
          <w:color w:val="auto"/>
          <w:szCs w:val="21"/>
          <w:highlight w:val="none"/>
        </w:rPr>
        <w:t>项目经理：</w:t>
      </w:r>
    </w:p>
    <w:p w14:paraId="525154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w:t>
      </w:r>
      <w:r>
        <w:rPr>
          <w:rFonts w:hint="eastAsia" w:ascii="宋体" w:hAnsi="宋体"/>
          <w:color w:val="auto"/>
          <w:szCs w:val="21"/>
          <w:highlight w:val="none"/>
        </w:rPr>
        <w:t>；</w:t>
      </w:r>
    </w:p>
    <w:p w14:paraId="64471C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 </w:t>
      </w:r>
      <w:r>
        <w:rPr>
          <w:rFonts w:hint="eastAsia" w:ascii="宋体" w:hAnsi="宋体"/>
          <w:color w:val="auto"/>
          <w:szCs w:val="21"/>
          <w:highlight w:val="none"/>
        </w:rPr>
        <w:t>；</w:t>
      </w:r>
    </w:p>
    <w:p w14:paraId="4E405C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建造师执业资格等级：</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21DE5D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建造师注册证书号：</w:t>
      </w:r>
      <w:r>
        <w:rPr>
          <w:rFonts w:ascii="宋体" w:hAnsi="宋体"/>
          <w:color w:val="auto"/>
          <w:szCs w:val="21"/>
          <w:highlight w:val="none"/>
          <w:u w:val="single"/>
        </w:rPr>
        <w:t>       </w:t>
      </w:r>
      <w:r>
        <w:rPr>
          <w:rFonts w:hint="eastAsia" w:ascii="宋体" w:hAnsi="宋体"/>
          <w:color w:val="auto"/>
          <w:szCs w:val="21"/>
          <w:highlight w:val="none"/>
        </w:rPr>
        <w:t>；</w:t>
      </w:r>
    </w:p>
    <w:p w14:paraId="73B701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建造师执业印章号：</w:t>
      </w:r>
      <w:r>
        <w:rPr>
          <w:rFonts w:ascii="宋体" w:hAnsi="宋体"/>
          <w:color w:val="auto"/>
          <w:szCs w:val="21"/>
          <w:highlight w:val="none"/>
          <w:u w:val="single"/>
        </w:rPr>
        <w:t>                     </w:t>
      </w:r>
      <w:r>
        <w:rPr>
          <w:rFonts w:hint="eastAsia" w:ascii="宋体" w:hAnsi="宋体"/>
          <w:color w:val="auto"/>
          <w:szCs w:val="21"/>
          <w:highlight w:val="none"/>
        </w:rPr>
        <w:t>；</w:t>
      </w:r>
    </w:p>
    <w:p w14:paraId="6F8908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安全生产考核合格证书号：</w:t>
      </w:r>
      <w:r>
        <w:rPr>
          <w:rFonts w:ascii="宋体" w:hAnsi="宋体"/>
          <w:color w:val="auto"/>
          <w:szCs w:val="21"/>
          <w:highlight w:val="none"/>
          <w:u w:val="single"/>
        </w:rPr>
        <w:t>           </w:t>
      </w:r>
      <w:r>
        <w:rPr>
          <w:rFonts w:hint="eastAsia" w:ascii="宋体" w:hAnsi="宋体"/>
          <w:color w:val="auto"/>
          <w:szCs w:val="21"/>
          <w:highlight w:val="none"/>
        </w:rPr>
        <w:t>；</w:t>
      </w:r>
    </w:p>
    <w:p w14:paraId="5BA1C8A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       </w:t>
      </w:r>
      <w:r>
        <w:rPr>
          <w:rFonts w:hint="eastAsia" w:ascii="宋体" w:hAnsi="宋体"/>
          <w:color w:val="auto"/>
          <w:szCs w:val="21"/>
          <w:highlight w:val="none"/>
        </w:rPr>
        <w:t>。</w:t>
      </w:r>
    </w:p>
    <w:p w14:paraId="473D61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承包人对项目经理的授权范围如下：</w:t>
      </w:r>
      <w:r>
        <w:rPr>
          <w:rFonts w:hint="eastAsia" w:ascii="宋体" w:hAnsi="宋体"/>
          <w:color w:val="auto"/>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宋体" w:hAnsi="宋体"/>
          <w:color w:val="auto"/>
          <w:szCs w:val="21"/>
          <w:highlight w:val="none"/>
        </w:rPr>
        <w:t>。</w:t>
      </w:r>
    </w:p>
    <w:p w14:paraId="19C2AC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关于项目经理每月在施工现场的时间要求：</w:t>
      </w:r>
      <w:r>
        <w:rPr>
          <w:rFonts w:hint="eastAsia" w:ascii="宋体" w:hAnsi="宋体"/>
          <w:color w:val="auto"/>
          <w:szCs w:val="21"/>
          <w:highlight w:val="none"/>
          <w:u w:val="single"/>
        </w:rPr>
        <w:t>不少于22天，由监理人负责项目经理的考勤</w:t>
      </w:r>
      <w:r>
        <w:rPr>
          <w:rFonts w:hint="eastAsia" w:ascii="宋体" w:hAnsi="宋体"/>
          <w:color w:val="auto"/>
          <w:szCs w:val="21"/>
          <w:highlight w:val="none"/>
        </w:rPr>
        <w:t>。</w:t>
      </w:r>
    </w:p>
    <w:p w14:paraId="34C160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color w:val="auto"/>
          <w:szCs w:val="21"/>
          <w:highlight w:val="none"/>
        </w:rPr>
        <w:t>。</w:t>
      </w:r>
    </w:p>
    <w:p w14:paraId="5DA6882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3.2.2 技术负责人</w:t>
      </w:r>
    </w:p>
    <w:p w14:paraId="13625BE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5F910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02075C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ACB3B0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专     业：</w:t>
      </w:r>
      <w:r>
        <w:rPr>
          <w:rFonts w:ascii="宋体" w:hAnsi="宋体"/>
          <w:color w:val="auto"/>
          <w:szCs w:val="21"/>
          <w:highlight w:val="none"/>
          <w:u w:val="single"/>
        </w:rPr>
        <w:t xml:space="preserve">                         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F6F92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证书名称及号码：</w:t>
      </w:r>
      <w:r>
        <w:rPr>
          <w:rFonts w:ascii="宋体" w:hAnsi="宋体"/>
          <w:color w:val="auto"/>
          <w:szCs w:val="21"/>
          <w:highlight w:val="none"/>
          <w:u w:val="single"/>
        </w:rPr>
        <w:t xml:space="preserve">                         </w:t>
      </w:r>
      <w:r>
        <w:rPr>
          <w:rFonts w:hint="eastAsia" w:ascii="宋体" w:hAnsi="宋体"/>
          <w:color w:val="auto"/>
          <w:szCs w:val="21"/>
          <w:highlight w:val="none"/>
        </w:rPr>
        <w:t>；</w:t>
      </w:r>
    </w:p>
    <w:p w14:paraId="4793DE2B">
      <w:pPr>
        <w:pStyle w:val="2"/>
        <w:spacing w:after="0" w:line="360" w:lineRule="auto"/>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联系方式：</w:t>
      </w:r>
      <w:r>
        <w:rPr>
          <w:rFonts w:ascii="宋体" w:hAnsi="宋体"/>
          <w:color w:val="auto"/>
          <w:szCs w:val="21"/>
          <w:highlight w:val="none"/>
          <w:u w:val="single"/>
        </w:rPr>
        <w:t xml:space="preserve">         </w:t>
      </w:r>
      <w:r>
        <w:rPr>
          <w:rFonts w:hint="eastAsia" w:ascii="宋体" w:hAnsi="宋体"/>
          <w:color w:val="auto"/>
          <w:szCs w:val="21"/>
          <w:highlight w:val="none"/>
        </w:rPr>
        <w:t>。</w:t>
      </w:r>
    </w:p>
    <w:p w14:paraId="557ECB75">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关于技</w:t>
      </w:r>
      <w:r>
        <w:rPr>
          <w:rFonts w:hint="eastAsia" w:ascii="宋体" w:hAnsi="宋体"/>
          <w:color w:val="auto"/>
          <w:szCs w:val="21"/>
          <w:highlight w:val="none"/>
        </w:rPr>
        <w:t>术负责人每月在施工现场的时间要求：</w:t>
      </w:r>
      <w:r>
        <w:rPr>
          <w:rFonts w:hint="eastAsia" w:ascii="宋体" w:hAnsi="宋体"/>
          <w:color w:val="auto"/>
          <w:szCs w:val="21"/>
          <w:highlight w:val="none"/>
          <w:u w:val="single"/>
        </w:rPr>
        <w:t>不少于22天，由监理人负责技术负责人的考勤</w:t>
      </w:r>
      <w:r>
        <w:rPr>
          <w:rFonts w:hint="eastAsia" w:ascii="宋体" w:hAnsi="宋体"/>
          <w:color w:val="auto"/>
          <w:szCs w:val="21"/>
          <w:highlight w:val="none"/>
        </w:rPr>
        <w:t>。</w:t>
      </w:r>
    </w:p>
    <w:p w14:paraId="5C1504B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olor w:val="auto"/>
          <w:szCs w:val="21"/>
          <w:highlight w:val="none"/>
        </w:rPr>
        <w:t>。</w:t>
      </w:r>
      <w:bookmarkStart w:id="1294" w:name="_Hlk528927599"/>
    </w:p>
    <w:bookmarkEnd w:id="1294"/>
    <w:p w14:paraId="101D32D5">
      <w:pPr>
        <w:spacing w:line="360" w:lineRule="auto"/>
        <w:ind w:firstLine="420" w:firstLineChars="200"/>
        <w:jc w:val="left"/>
        <w:rPr>
          <w:rFonts w:ascii="宋体" w:hAnsi="宋体"/>
          <w:color w:val="auto"/>
          <w:szCs w:val="21"/>
          <w:highlight w:val="none"/>
        </w:rPr>
      </w:pPr>
      <w:bookmarkStart w:id="1295" w:name="_Hlk528927718"/>
      <w:r>
        <w:rPr>
          <w:rFonts w:hint="eastAsia" w:ascii="宋体" w:hAnsi="宋体"/>
          <w:color w:val="auto"/>
          <w:szCs w:val="21"/>
          <w:highlight w:val="none"/>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295"/>
    </w:p>
    <w:p w14:paraId="52E76B1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若项目经理和技术负责人出现下列情形需更换的，承包人按通用条款第3.2.3项的规定向发包人发出通知，经发包人领导班子集体决策同意后予以批准，并将变更信息推送给行业主管部门：</w:t>
      </w:r>
    </w:p>
    <w:p w14:paraId="3034DF7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1、死亡；</w:t>
      </w:r>
    </w:p>
    <w:p w14:paraId="2496B9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2、非承包人原因导致工期延长，而致使项目经理和技术负责人达到法定退休年龄且确需退休；</w:t>
      </w:r>
    </w:p>
    <w:p w14:paraId="36D35D8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3、按《职工非因工伤残或因病丧失劳动能力程度鉴定标准（试行）》规定鉴定为完全丧失劳动能力和大部分丧失劳动能力；</w:t>
      </w:r>
    </w:p>
    <w:p w14:paraId="5E3D745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4、非承包人原因导致中标3个月不能开工；</w:t>
      </w:r>
    </w:p>
    <w:p w14:paraId="2022B50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5、被公安或者司法机关限制人身自由；</w:t>
      </w:r>
    </w:p>
    <w:p w14:paraId="5123881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6、被取消职称或者执业资格，不满足项目管理要求；</w:t>
      </w:r>
    </w:p>
    <w:p w14:paraId="01F83E4B">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7、非承包人原因导致确需变更的其它情形。</w:t>
      </w:r>
    </w:p>
    <w:p w14:paraId="377525B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本款补充3.2.6项</w:t>
      </w:r>
    </w:p>
    <w:p w14:paraId="7DF7FE3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3.2.6 国有资金投资项目其他主要人员变更参照《重庆市政府投资项目合同变更管理暂行办法》的规定。</w:t>
      </w:r>
    </w:p>
    <w:p w14:paraId="4C49B41D">
      <w:pPr>
        <w:pStyle w:val="7"/>
        <w:spacing w:before="0" w:beforeAutospacing="0" w:after="0" w:afterAutospacing="0" w:line="360" w:lineRule="auto"/>
        <w:ind w:firstLine="422" w:firstLineChars="200"/>
        <w:rPr>
          <w:color w:val="auto"/>
          <w:sz w:val="21"/>
          <w:szCs w:val="21"/>
          <w:highlight w:val="none"/>
        </w:rPr>
      </w:pPr>
      <w:bookmarkStart w:id="1296" w:name="_Toc532377337"/>
      <w:r>
        <w:rPr>
          <w:rFonts w:hint="eastAsia"/>
          <w:color w:val="auto"/>
          <w:sz w:val="21"/>
          <w:szCs w:val="21"/>
          <w:highlight w:val="none"/>
        </w:rPr>
        <w:t>3.3 承包人人员</w:t>
      </w:r>
      <w:bookmarkEnd w:id="1296"/>
    </w:p>
    <w:p w14:paraId="1341BCA8">
      <w:pPr>
        <w:spacing w:line="360" w:lineRule="auto"/>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3.3.1 承包人应按建设行政主管部门现行规定配备现场施工从业人员，具体要求如下：</w:t>
      </w:r>
      <w:r>
        <w:rPr>
          <w:rFonts w:hint="eastAsia" w:ascii="宋体" w:hAnsi="宋体"/>
          <w:color w:val="auto"/>
          <w:szCs w:val="21"/>
          <w:highlight w:val="none"/>
          <w:u w:val="single"/>
          <w:lang w:eastAsia="zh-CN"/>
        </w:rPr>
        <w:t>按相关规定。</w:t>
      </w:r>
    </w:p>
    <w:p w14:paraId="16E4C56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1FE5123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0DCF981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3.3.4 承包人主要施工管理人员离开施工现场，指定的临时人员需满足：</w:t>
      </w:r>
      <w:r>
        <w:rPr>
          <w:rFonts w:hint="eastAsia" w:ascii="宋体" w:hAnsi="宋体"/>
          <w:color w:val="auto"/>
          <w:szCs w:val="21"/>
          <w:highlight w:val="none"/>
          <w:u w:val="single"/>
        </w:rPr>
        <w:t>《重庆市房屋建筑与市政基础设施工程现场施工从业人员配备标准》（DBJ50-157-2013）的相应要求</w:t>
      </w:r>
      <w:r>
        <w:rPr>
          <w:rFonts w:hint="eastAsia" w:ascii="宋体" w:hAnsi="宋体"/>
          <w:color w:val="auto"/>
          <w:szCs w:val="21"/>
          <w:highlight w:val="none"/>
        </w:rPr>
        <w:t>。</w:t>
      </w:r>
    </w:p>
    <w:p w14:paraId="7E9BBB01">
      <w:pPr>
        <w:pStyle w:val="7"/>
        <w:spacing w:before="0" w:beforeAutospacing="0" w:after="0" w:afterAutospacing="0" w:line="360" w:lineRule="auto"/>
        <w:ind w:firstLine="422" w:firstLineChars="200"/>
        <w:rPr>
          <w:color w:val="auto"/>
          <w:sz w:val="21"/>
          <w:szCs w:val="21"/>
          <w:highlight w:val="none"/>
        </w:rPr>
      </w:pPr>
      <w:bookmarkStart w:id="1297" w:name="_Toc532377338"/>
      <w:r>
        <w:rPr>
          <w:rFonts w:hint="eastAsia"/>
          <w:color w:val="auto"/>
          <w:sz w:val="21"/>
          <w:szCs w:val="21"/>
          <w:highlight w:val="none"/>
        </w:rPr>
        <w:t>3</w:t>
      </w:r>
      <w:bookmarkStart w:id="1298" w:name="_Toc312677988"/>
      <w:bookmarkStart w:id="1299" w:name="_Toc296891199"/>
      <w:bookmarkStart w:id="1300" w:name="_Toc296944498"/>
      <w:bookmarkStart w:id="1301" w:name="_Toc304295523"/>
      <w:bookmarkStart w:id="1302" w:name="_Toc292559364"/>
      <w:bookmarkStart w:id="1303" w:name="_Toc297123492"/>
      <w:bookmarkStart w:id="1304" w:name="_Toc296890987"/>
      <w:bookmarkStart w:id="1305" w:name="_Toc296347158"/>
      <w:bookmarkStart w:id="1306" w:name="_Toc296503159"/>
      <w:bookmarkStart w:id="1307" w:name="_Toc296346660"/>
      <w:bookmarkStart w:id="1308" w:name="_Toc292559869"/>
      <w:bookmarkStart w:id="1309" w:name="_Toc300934945"/>
      <w:bookmarkStart w:id="1310" w:name="_Toc297216151"/>
      <w:bookmarkStart w:id="1311" w:name="_Toc297120459"/>
      <w:bookmarkStart w:id="1312" w:name="_Toc303539102"/>
      <w:bookmarkStart w:id="1313" w:name="_Toc297048345"/>
      <w:r>
        <w:rPr>
          <w:rFonts w:hint="eastAsia"/>
          <w:color w:val="auto"/>
          <w:sz w:val="21"/>
          <w:szCs w:val="21"/>
          <w:highlight w:val="none"/>
        </w:rPr>
        <w:t>.5 分包</w:t>
      </w:r>
      <w:bookmarkEnd w:id="1297"/>
    </w:p>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14:paraId="674FB7C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bookmarkStart w:id="1314" w:name="_Toc296346661"/>
      <w:bookmarkStart w:id="1315" w:name="_Toc297048346"/>
      <w:bookmarkStart w:id="1316" w:name="_Toc297123493"/>
      <w:bookmarkStart w:id="1317" w:name="_Toc318581158"/>
      <w:bookmarkStart w:id="1318" w:name="_Toc297120460"/>
      <w:bookmarkStart w:id="1319" w:name="_Toc296347159"/>
      <w:bookmarkStart w:id="1320" w:name="_Toc312677989"/>
      <w:bookmarkStart w:id="1321" w:name="_Toc300934946"/>
      <w:bookmarkStart w:id="1322" w:name="_Toc296503160"/>
      <w:bookmarkStart w:id="1323" w:name="_Toc296890988"/>
      <w:bookmarkStart w:id="1324" w:name="_Toc296891200"/>
      <w:bookmarkStart w:id="1325" w:name="_Toc296944499"/>
      <w:bookmarkStart w:id="1326" w:name="_Toc292559870"/>
      <w:bookmarkStart w:id="1327" w:name="_Toc292559365"/>
      <w:bookmarkStart w:id="1328" w:name="_Toc303539103"/>
      <w:bookmarkStart w:id="1329" w:name="_Toc297216152"/>
      <w:bookmarkStart w:id="1330" w:name="_Toc304295524"/>
      <w:r>
        <w:rPr>
          <w:rFonts w:hint="eastAsia" w:ascii="宋体" w:hAnsi="宋体"/>
          <w:color w:val="auto"/>
          <w:szCs w:val="21"/>
          <w:highlight w:val="none"/>
        </w:rPr>
        <w:t>.5.1 分包的一般约定</w:t>
      </w:r>
    </w:p>
    <w:p w14:paraId="07B7DA7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禁止分包的工程包括：主体结构、关键性工作等国家法律、法规禁止分包的工程。</w:t>
      </w:r>
    </w:p>
    <w:p w14:paraId="092F5D4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主体结构、关键性工作的范围：国家法律、法规、规范、标准等所约束的范围。如房建工程主体结构指混凝土工程、砌体工程、钢结构工程（具体有基础、梁、板、柱、砼墙、楼梯工程等）</w:t>
      </w:r>
      <w:bookmarkStart w:id="1331" w:name="_Toc296346662"/>
      <w:bookmarkStart w:id="1332" w:name="_Toc297120461"/>
      <w:bookmarkStart w:id="1333" w:name="_Toc304295525"/>
      <w:bookmarkStart w:id="1334" w:name="_Toc300934947"/>
      <w:bookmarkStart w:id="1335" w:name="_Toc296347160"/>
      <w:bookmarkStart w:id="1336" w:name="_Toc297216153"/>
      <w:bookmarkStart w:id="1337" w:name="_Toc296944500"/>
      <w:bookmarkStart w:id="1338" w:name="_Toc297048347"/>
      <w:bookmarkStart w:id="1339" w:name="_Toc296890989"/>
      <w:bookmarkStart w:id="1340" w:name="_Toc296891201"/>
      <w:bookmarkStart w:id="1341" w:name="_Toc303539104"/>
      <w:bookmarkStart w:id="1342" w:name="_Toc297123494"/>
      <w:bookmarkStart w:id="1343" w:name="_Toc296503161"/>
      <w:r>
        <w:rPr>
          <w:rFonts w:hint="eastAsia" w:ascii="宋体" w:hAnsi="宋体"/>
          <w:color w:val="auto"/>
          <w:szCs w:val="21"/>
          <w:highlight w:val="none"/>
        </w:rPr>
        <w:t>；关键性工作指梁、板、柱等部位。</w:t>
      </w:r>
    </w:p>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14:paraId="6F3B450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37CD44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bookmarkStart w:id="1344" w:name="_Toc312677990"/>
      <w:bookmarkStart w:id="1345" w:name="_Toc318581159"/>
      <w:r>
        <w:rPr>
          <w:rFonts w:hint="eastAsia" w:ascii="宋体" w:hAnsi="宋体"/>
          <w:color w:val="auto"/>
          <w:szCs w:val="21"/>
          <w:highlight w:val="none"/>
        </w:rPr>
        <w:t>.5.2分包的确定</w:t>
      </w:r>
    </w:p>
    <w:p w14:paraId="05E220BD">
      <w:pPr>
        <w:spacing w:line="360" w:lineRule="auto"/>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允许分包的专业工程包括：</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p>
    <w:p w14:paraId="015064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3.5.4 分包合同价款</w:t>
      </w:r>
    </w:p>
    <w:p w14:paraId="055C574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关于分包合同价款支付的约定：</w:t>
      </w:r>
      <w:bookmarkEnd w:id="1344"/>
      <w:bookmarkEnd w:id="1345"/>
      <w:r>
        <w:rPr>
          <w:rFonts w:hint="eastAsia" w:ascii="宋体" w:hAnsi="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highlight w:val="none"/>
        </w:rPr>
        <w:t>。</w:t>
      </w:r>
    </w:p>
    <w:p w14:paraId="5840CBE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本款补充3.5.6项：</w:t>
      </w:r>
    </w:p>
    <w:p w14:paraId="62B4D3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3.5.6严禁违法分包</w:t>
      </w:r>
    </w:p>
    <w:p w14:paraId="0A12736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10BF2A4B">
      <w:pPr>
        <w:pStyle w:val="7"/>
        <w:spacing w:before="0" w:beforeAutospacing="0" w:after="0" w:afterAutospacing="0" w:line="360" w:lineRule="auto"/>
        <w:ind w:firstLine="422" w:firstLineChars="200"/>
        <w:rPr>
          <w:color w:val="auto"/>
          <w:sz w:val="21"/>
          <w:szCs w:val="21"/>
          <w:highlight w:val="none"/>
        </w:rPr>
      </w:pPr>
      <w:bookmarkStart w:id="1346" w:name="_Toc532377339"/>
      <w:r>
        <w:rPr>
          <w:rFonts w:hint="eastAsia"/>
          <w:color w:val="auto"/>
          <w:sz w:val="21"/>
          <w:szCs w:val="21"/>
          <w:highlight w:val="none"/>
        </w:rPr>
        <w:t>3.7 履约担保</w:t>
      </w:r>
      <w:bookmarkEnd w:id="1346"/>
    </w:p>
    <w:p w14:paraId="6EFF8E7D">
      <w:pPr>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3.7.1承包人是否提供履约担保：</w:t>
      </w:r>
      <w:r>
        <w:rPr>
          <w:rFonts w:hint="eastAsia" w:ascii="宋体" w:hAnsi="宋体"/>
          <w:color w:val="000000" w:themeColor="text1"/>
          <w:szCs w:val="21"/>
          <w:highlight w:val="none"/>
          <w:u w:val="single"/>
          <w14:textFill>
            <w14:solidFill>
              <w14:schemeClr w14:val="tx1"/>
            </w14:solidFill>
          </w14:textFill>
        </w:rPr>
        <w:t>提供</w:t>
      </w:r>
      <w:r>
        <w:rPr>
          <w:rFonts w:hint="eastAsia" w:ascii="宋体" w:hAnsi="宋体"/>
          <w:color w:val="000000" w:themeColor="text1"/>
          <w:szCs w:val="21"/>
          <w:highlight w:val="none"/>
          <w14:textFill>
            <w14:solidFill>
              <w14:schemeClr w14:val="tx1"/>
            </w14:solidFill>
          </w14:textFill>
        </w:rPr>
        <w:t>。</w:t>
      </w:r>
    </w:p>
    <w:p w14:paraId="5FD8DD82">
      <w:pPr>
        <w:spacing w:line="360" w:lineRule="auto"/>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3.7.2承包人提供履约担保的形式、金额及期限：</w:t>
      </w:r>
    </w:p>
    <w:p w14:paraId="7799FA4A">
      <w:pPr>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（1）履约担保的形式：</w:t>
      </w:r>
      <w:r>
        <w:rPr>
          <w:rFonts w:hint="eastAsia" w:ascii="宋体" w:hAnsi="宋体"/>
          <w:color w:val="000000" w:themeColor="text1"/>
          <w:szCs w:val="21"/>
          <w14:textFill>
            <w14:solidFill>
              <w14:schemeClr w14:val="tx1"/>
            </w14:solidFill>
          </w14:textFill>
        </w:rPr>
        <w:t>现金</w:t>
      </w:r>
      <w:r>
        <w:rPr>
          <w:rFonts w:hint="eastAsia" w:ascii="宋体" w:hAnsi="宋体"/>
          <w:color w:val="000000" w:themeColor="text1"/>
          <w:szCs w:val="21"/>
          <w:lang w:eastAsia="zh-CN"/>
          <w14:textFill>
            <w14:solidFill>
              <w14:schemeClr w14:val="tx1"/>
            </w14:solidFill>
          </w14:textFill>
        </w:rPr>
        <w:t>、商业保函</w:t>
      </w:r>
      <w:r>
        <w:rPr>
          <w:rFonts w:hint="eastAsia" w:ascii="宋体" w:hAnsi="宋体"/>
          <w:color w:val="000000" w:themeColor="text1"/>
          <w:szCs w:val="21"/>
          <w14:textFill>
            <w14:solidFill>
              <w14:schemeClr w14:val="tx1"/>
            </w14:solidFill>
          </w14:textFill>
        </w:rPr>
        <w:t>或银行保函或现金+银行保函的组合；采用保函形式的，保函必须为不可撤销且见索即付</w:t>
      </w:r>
      <w:r>
        <w:rPr>
          <w:rFonts w:hint="eastAsia" w:ascii="宋体" w:hAnsi="宋体"/>
          <w:color w:val="000000" w:themeColor="text1"/>
          <w:szCs w:val="21"/>
          <w:highlight w:val="none"/>
          <w14:textFill>
            <w14:solidFill>
              <w14:schemeClr w14:val="tx1"/>
            </w14:solidFill>
          </w14:textFill>
        </w:rPr>
        <w:t>；</w:t>
      </w:r>
    </w:p>
    <w:p w14:paraId="65D81CF0">
      <w:pPr>
        <w:tabs>
          <w:tab w:val="left" w:pos="1134"/>
        </w:tabs>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（2）履约担保的金额：</w:t>
      </w:r>
      <w:r>
        <w:rPr>
          <w:rFonts w:hint="eastAsia" w:ascii="宋体" w:hAnsi="宋体"/>
          <w:color w:val="000000" w:themeColor="text1"/>
          <w:szCs w:val="21"/>
          <w:u w:val="single"/>
          <w14:textFill>
            <w14:solidFill>
              <w14:schemeClr w14:val="tx1"/>
            </w14:solidFill>
          </w14:textFill>
        </w:rPr>
        <w:t>中标价的10%</w:t>
      </w:r>
      <w:r>
        <w:rPr>
          <w:rFonts w:hint="eastAsia" w:ascii="宋体" w:hAnsi="宋体"/>
          <w:color w:val="000000" w:themeColor="text1"/>
          <w:szCs w:val="21"/>
          <w:u w:val="single"/>
          <w:lang w:eastAsia="zh-CN"/>
          <w14:textFill>
            <w14:solidFill>
              <w14:schemeClr w14:val="tx1"/>
            </w14:solidFill>
          </w14:textFill>
        </w:rPr>
        <w:t>，即</w:t>
      </w:r>
      <w:r>
        <w:rPr>
          <w:rFonts w:hint="eastAsia" w:ascii="宋体" w:hAnsi="宋体"/>
          <w:color w:val="000000" w:themeColor="text1"/>
          <w:szCs w:val="21"/>
          <w:u w:val="single"/>
          <w:lang w:val="en-US" w:eastAsia="zh-CN"/>
          <w14:textFill>
            <w14:solidFill>
              <w14:schemeClr w14:val="tx1"/>
            </w14:solidFill>
          </w14:textFill>
        </w:rPr>
        <w:t xml:space="preserve">     万元</w:t>
      </w:r>
      <w:r>
        <w:rPr>
          <w:rFonts w:hint="eastAsia" w:ascii="宋体" w:hAnsi="宋体"/>
          <w:color w:val="000000" w:themeColor="text1"/>
          <w:szCs w:val="21"/>
          <w:highlight w:val="none"/>
          <w14:textFill>
            <w14:solidFill>
              <w14:schemeClr w14:val="tx1"/>
            </w14:solidFill>
          </w14:textFill>
        </w:rPr>
        <w:t>；</w:t>
      </w:r>
    </w:p>
    <w:p w14:paraId="6E12F018">
      <w:pPr>
        <w:tabs>
          <w:tab w:val="left" w:pos="1134"/>
        </w:tabs>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（3）履约担保的提交时间：</w:t>
      </w:r>
      <w:r>
        <w:rPr>
          <w:rFonts w:hint="eastAsia" w:ascii="宋体" w:hAnsi="宋体"/>
          <w:color w:val="000000" w:themeColor="text1"/>
          <w:szCs w:val="21"/>
          <w:highlight w:val="none"/>
          <w:u w:val="single"/>
          <w14:textFill>
            <w14:solidFill>
              <w14:schemeClr w14:val="tx1"/>
            </w14:solidFill>
          </w14:textFill>
        </w:rPr>
        <w:t>在合同签订前，承包人按担保金额向发包人提交履约担保</w:t>
      </w:r>
      <w:r>
        <w:rPr>
          <w:rFonts w:hint="eastAsia" w:ascii="宋体" w:hAnsi="宋体"/>
          <w:color w:val="000000" w:themeColor="text1"/>
          <w:szCs w:val="21"/>
          <w:highlight w:val="none"/>
          <w14:textFill>
            <w14:solidFill>
              <w14:schemeClr w14:val="tx1"/>
            </w14:solidFill>
          </w14:textFill>
        </w:rPr>
        <w:t>。</w:t>
      </w:r>
    </w:p>
    <w:p w14:paraId="71ED504C">
      <w:pPr>
        <w:tabs>
          <w:tab w:val="left" w:pos="1134"/>
        </w:tabs>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（4）履约担保的期限：</w:t>
      </w:r>
      <w:r>
        <w:rPr>
          <w:rFonts w:hint="eastAsia" w:ascii="宋体" w:hAnsi="宋体"/>
          <w:color w:val="000000" w:themeColor="text1"/>
          <w:szCs w:val="21"/>
          <w:u w:val="single"/>
          <w14:textFill>
            <w14:solidFill>
              <w14:schemeClr w14:val="tx1"/>
            </w14:solidFill>
          </w14:textFill>
        </w:rPr>
        <w:t>自提交履约担保之日起至竣工验收合格之日止</w:t>
      </w:r>
      <w:r>
        <w:rPr>
          <w:rFonts w:hint="eastAsia" w:ascii="宋体" w:hAnsi="宋体"/>
          <w:color w:val="000000" w:themeColor="text1"/>
          <w:szCs w:val="21"/>
          <w:highlight w:val="none"/>
          <w14:textFill>
            <w14:solidFill>
              <w14:schemeClr w14:val="tx1"/>
            </w14:solidFill>
          </w14:textFill>
        </w:rPr>
        <w:t>。</w:t>
      </w:r>
    </w:p>
    <w:p w14:paraId="454C37BD">
      <w:pPr>
        <w:tabs>
          <w:tab w:val="left" w:pos="1134"/>
        </w:tabs>
        <w:spacing w:line="360" w:lineRule="auto"/>
        <w:ind w:firstLine="420" w:firstLineChars="200"/>
        <w:jc w:val="left"/>
        <w:rPr>
          <w:rFonts w:hint="eastAsia" w:ascii="宋体" w:hAnsi="宋体"/>
          <w:color w:val="000000" w:themeColor="text1"/>
          <w:szCs w:val="21"/>
          <w:highlight w:val="none"/>
          <w:u w:val="singl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（5）履约担保的退还时间：</w:t>
      </w:r>
      <w:r>
        <w:rPr>
          <w:rFonts w:hint="eastAsia" w:ascii="宋体" w:hAnsi="宋体"/>
          <w:color w:val="000000" w:themeColor="text1"/>
          <w:szCs w:val="21"/>
          <w:highlight w:val="none"/>
          <w:u w:val="single"/>
          <w14:textFill>
            <w14:solidFill>
              <w14:schemeClr w14:val="tx1"/>
            </w14:solidFill>
          </w14:textFill>
        </w:rPr>
        <w:t>采用现金担保的，工程竣工验收合格后14天内无息退还；采用银行保函的，工程竣工验收合格后14天内退还</w:t>
      </w:r>
      <w:r>
        <w:rPr>
          <w:rFonts w:hint="eastAsia" w:ascii="宋体" w:hAnsi="宋体"/>
          <w:color w:val="000000" w:themeColor="text1"/>
          <w:szCs w:val="21"/>
          <w:highlight w:val="none"/>
          <w:u w:val="single"/>
          <w:lang w:eastAsia="zh-CN"/>
          <w14:textFill>
            <w14:solidFill>
              <w14:schemeClr w14:val="tx1"/>
            </w14:solidFill>
          </w14:textFill>
        </w:rPr>
        <w:t>。</w:t>
      </w:r>
    </w:p>
    <w:p w14:paraId="4019602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47" w:name="_Toc532377340"/>
      <w:bookmarkStart w:id="1348" w:name="_Toc351203636"/>
      <w:bookmarkStart w:id="1349" w:name="_Toc532375611"/>
      <w:r>
        <w:rPr>
          <w:rFonts w:hint="eastAsia"/>
          <w:color w:val="auto"/>
          <w:kern w:val="2"/>
          <w:sz w:val="21"/>
          <w:szCs w:val="21"/>
          <w:highlight w:val="none"/>
        </w:rPr>
        <w:t>4</w:t>
      </w:r>
      <w:bookmarkStart w:id="1350" w:name="_Toc292559871"/>
      <w:bookmarkStart w:id="1351" w:name="_Toc292559366"/>
      <w:bookmarkStart w:id="1352" w:name="_Toc296347161"/>
      <w:bookmarkStart w:id="1353" w:name="_Toc296891202"/>
      <w:bookmarkStart w:id="1354" w:name="_Toc267251413"/>
      <w:bookmarkStart w:id="1355" w:name="_Toc297120462"/>
      <w:bookmarkStart w:id="1356" w:name="_Toc296503162"/>
      <w:bookmarkStart w:id="1357" w:name="_Toc296944501"/>
      <w:bookmarkStart w:id="1358" w:name="_Toc296890990"/>
      <w:bookmarkStart w:id="1359" w:name="_Toc296346663"/>
      <w:bookmarkStart w:id="1360" w:name="_Toc297048348"/>
      <w:r>
        <w:rPr>
          <w:rFonts w:hint="eastAsia"/>
          <w:color w:val="auto"/>
          <w:kern w:val="2"/>
          <w:sz w:val="21"/>
          <w:szCs w:val="21"/>
          <w:highlight w:val="none"/>
        </w:rPr>
        <w:t>. 监</w:t>
      </w:r>
      <w:bookmarkEnd w:id="1350"/>
      <w:bookmarkEnd w:id="1351"/>
      <w:bookmarkEnd w:id="1352"/>
      <w:bookmarkEnd w:id="1353"/>
      <w:bookmarkEnd w:id="1354"/>
      <w:bookmarkEnd w:id="1355"/>
      <w:bookmarkEnd w:id="1356"/>
      <w:bookmarkEnd w:id="1357"/>
      <w:bookmarkEnd w:id="1358"/>
      <w:bookmarkEnd w:id="1359"/>
      <w:bookmarkEnd w:id="1360"/>
      <w:r>
        <w:rPr>
          <w:rFonts w:hint="eastAsia"/>
          <w:color w:val="auto"/>
          <w:kern w:val="2"/>
          <w:sz w:val="21"/>
          <w:szCs w:val="21"/>
          <w:highlight w:val="none"/>
        </w:rPr>
        <w:t>理人</w:t>
      </w:r>
      <w:bookmarkEnd w:id="1347"/>
      <w:bookmarkEnd w:id="1348"/>
      <w:bookmarkEnd w:id="1349"/>
    </w:p>
    <w:p w14:paraId="6E06B752">
      <w:pPr>
        <w:pStyle w:val="7"/>
        <w:spacing w:before="0" w:beforeAutospacing="0" w:after="0" w:afterAutospacing="0" w:line="360" w:lineRule="auto"/>
        <w:ind w:firstLine="422" w:firstLineChars="200"/>
        <w:rPr>
          <w:color w:val="auto"/>
          <w:sz w:val="21"/>
          <w:szCs w:val="21"/>
          <w:highlight w:val="none"/>
        </w:rPr>
      </w:pPr>
      <w:bookmarkStart w:id="1361" w:name="_Toc532377341"/>
      <w:r>
        <w:rPr>
          <w:rFonts w:hint="eastAsia"/>
          <w:color w:val="auto"/>
          <w:sz w:val="21"/>
          <w:szCs w:val="21"/>
          <w:highlight w:val="none"/>
        </w:rPr>
        <w:t>4.1 监理人的一般规定</w:t>
      </w:r>
      <w:bookmarkEnd w:id="1361"/>
    </w:p>
    <w:p w14:paraId="40DECA5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关于监理人的监理内容：</w:t>
      </w:r>
      <w:r>
        <w:rPr>
          <w:rFonts w:hint="eastAsia" w:ascii="宋体" w:hAnsi="宋体"/>
          <w:color w:val="auto"/>
          <w:szCs w:val="21"/>
          <w:highlight w:val="none"/>
          <w:u w:val="single"/>
        </w:rPr>
        <w:t>见发包人与监理人就本工程签订的监理合同</w:t>
      </w:r>
      <w:r>
        <w:rPr>
          <w:rFonts w:hint="eastAsia" w:ascii="宋体" w:hAnsi="宋体"/>
          <w:color w:val="auto"/>
          <w:szCs w:val="21"/>
          <w:highlight w:val="none"/>
        </w:rPr>
        <w:t>。</w:t>
      </w:r>
    </w:p>
    <w:p w14:paraId="4A0326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关于监理人的监理权限：</w:t>
      </w:r>
      <w:r>
        <w:rPr>
          <w:rFonts w:hint="eastAsia" w:ascii="宋体" w:hAnsi="宋体"/>
          <w:color w:val="auto"/>
          <w:szCs w:val="21"/>
          <w:highlight w:val="none"/>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color w:val="auto"/>
          <w:szCs w:val="21"/>
          <w:highlight w:val="none"/>
        </w:rPr>
        <w:t>。</w:t>
      </w:r>
    </w:p>
    <w:p w14:paraId="55F5D966">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关于监理人在施工现场的办公场所、生活场所的提供和费用承担的约定：</w:t>
      </w:r>
      <w:r>
        <w:rPr>
          <w:rFonts w:hint="eastAsia" w:ascii="宋体" w:hAnsi="宋体"/>
          <w:color w:val="auto"/>
          <w:szCs w:val="21"/>
          <w:highlight w:val="none"/>
          <w:u w:val="single"/>
          <w:lang w:val="en-US" w:eastAsia="zh-CN"/>
        </w:rPr>
        <w:t xml:space="preserve">甲方承担监理费用，办 </w:t>
      </w:r>
    </w:p>
    <w:p w14:paraId="498C24C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lang w:val="en-US" w:eastAsia="zh-CN"/>
        </w:rPr>
        <w:t>公场所及生活场所均由乙方</w:t>
      </w:r>
      <w:r>
        <w:rPr>
          <w:rFonts w:hint="eastAsia" w:ascii="宋体" w:hAnsi="宋体"/>
          <w:color w:val="auto"/>
          <w:szCs w:val="21"/>
          <w:highlight w:val="none"/>
          <w:u w:val="none"/>
          <w:lang w:val="en-US" w:eastAsia="zh-CN"/>
        </w:rPr>
        <w:t>提供</w:t>
      </w:r>
      <w:r>
        <w:rPr>
          <w:rFonts w:hint="eastAsia" w:ascii="宋体" w:hAnsi="宋体"/>
          <w:color w:val="auto"/>
          <w:szCs w:val="21"/>
          <w:highlight w:val="none"/>
          <w:u w:val="none"/>
        </w:rPr>
        <w:t>。</w:t>
      </w:r>
    </w:p>
    <w:p w14:paraId="7475CD83">
      <w:pPr>
        <w:pStyle w:val="7"/>
        <w:spacing w:before="0" w:beforeAutospacing="0" w:after="0" w:afterAutospacing="0" w:line="360" w:lineRule="auto"/>
        <w:ind w:firstLine="422" w:firstLineChars="200"/>
        <w:rPr>
          <w:color w:val="auto"/>
          <w:sz w:val="21"/>
          <w:szCs w:val="21"/>
          <w:highlight w:val="none"/>
        </w:rPr>
      </w:pPr>
      <w:bookmarkStart w:id="1362" w:name="_Toc532377342"/>
      <w:r>
        <w:rPr>
          <w:rFonts w:hint="eastAsia"/>
          <w:color w:val="auto"/>
          <w:sz w:val="21"/>
          <w:szCs w:val="21"/>
          <w:highlight w:val="none"/>
        </w:rPr>
        <w:t>4.2 监理人员</w:t>
      </w:r>
      <w:bookmarkEnd w:id="1362"/>
    </w:p>
    <w:p w14:paraId="750B99C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总监理工程师：</w:t>
      </w:r>
    </w:p>
    <w:p w14:paraId="01BC3E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姓    名：</w:t>
      </w:r>
      <w:r>
        <w:rPr>
          <w:rFonts w:ascii="宋体" w:hAnsi="宋体"/>
          <w:color w:val="auto"/>
          <w:szCs w:val="21"/>
          <w:highlight w:val="none"/>
          <w:u w:val="single"/>
        </w:rPr>
        <w:t xml:space="preserve">                          </w:t>
      </w:r>
      <w:r>
        <w:rPr>
          <w:rFonts w:hint="eastAsia" w:ascii="宋体" w:hAnsi="宋体"/>
          <w:color w:val="auto"/>
          <w:szCs w:val="21"/>
          <w:highlight w:val="none"/>
        </w:rPr>
        <w:t>；</w:t>
      </w:r>
    </w:p>
    <w:p w14:paraId="3A8EE88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职    务：</w:t>
      </w:r>
      <w:r>
        <w:rPr>
          <w:rFonts w:ascii="宋体" w:hAnsi="宋体"/>
          <w:color w:val="auto"/>
          <w:szCs w:val="21"/>
          <w:highlight w:val="none"/>
          <w:u w:val="single"/>
        </w:rPr>
        <w:t xml:space="preserve">                          </w:t>
      </w:r>
      <w:r>
        <w:rPr>
          <w:rFonts w:hint="eastAsia" w:ascii="宋体" w:hAnsi="宋体"/>
          <w:color w:val="auto"/>
          <w:szCs w:val="21"/>
          <w:highlight w:val="none"/>
        </w:rPr>
        <w:t>；</w:t>
      </w:r>
    </w:p>
    <w:p w14:paraId="406746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监理工程师执业资格证书号：</w:t>
      </w:r>
      <w:r>
        <w:rPr>
          <w:rFonts w:ascii="宋体" w:hAnsi="宋体"/>
          <w:color w:val="auto"/>
          <w:szCs w:val="21"/>
          <w:highlight w:val="none"/>
          <w:u w:val="single"/>
        </w:rPr>
        <w:t xml:space="preserve">              </w:t>
      </w:r>
      <w:r>
        <w:rPr>
          <w:rFonts w:hint="eastAsia" w:ascii="宋体" w:hAnsi="宋体"/>
          <w:color w:val="auto"/>
          <w:szCs w:val="21"/>
          <w:highlight w:val="none"/>
        </w:rPr>
        <w:t>；</w:t>
      </w:r>
    </w:p>
    <w:p w14:paraId="75DC737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联系方式：</w:t>
      </w:r>
      <w:r>
        <w:rPr>
          <w:rFonts w:ascii="宋体" w:hAnsi="宋体"/>
          <w:color w:val="auto"/>
          <w:szCs w:val="21"/>
          <w:highlight w:val="none"/>
          <w:u w:val="single"/>
        </w:rPr>
        <w:t xml:space="preserve">                          </w:t>
      </w:r>
      <w:r>
        <w:rPr>
          <w:rFonts w:hint="eastAsia" w:ascii="宋体" w:hAnsi="宋体"/>
          <w:color w:val="auto"/>
          <w:szCs w:val="21"/>
          <w:highlight w:val="none"/>
        </w:rPr>
        <w:t>；</w:t>
      </w:r>
    </w:p>
    <w:p w14:paraId="3FDACF9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关于监理人的其他约定：</w:t>
      </w:r>
      <w:r>
        <w:rPr>
          <w:rFonts w:hint="eastAsia" w:ascii="宋体" w:hAnsi="宋体"/>
          <w:color w:val="auto"/>
          <w:szCs w:val="21"/>
          <w:highlight w:val="none"/>
          <w:u w:val="single"/>
        </w:rPr>
        <w:t>见发包人与监理人就本工程签订的监理合同</w:t>
      </w:r>
      <w:r>
        <w:rPr>
          <w:rFonts w:hint="eastAsia" w:ascii="宋体" w:hAnsi="宋体"/>
          <w:color w:val="auto"/>
          <w:szCs w:val="21"/>
          <w:highlight w:val="none"/>
        </w:rPr>
        <w:t>。</w:t>
      </w:r>
    </w:p>
    <w:p w14:paraId="2FAFE3AD">
      <w:pPr>
        <w:pStyle w:val="7"/>
        <w:spacing w:before="0" w:beforeAutospacing="0" w:after="0" w:afterAutospacing="0" w:line="360" w:lineRule="auto"/>
        <w:ind w:firstLine="420" w:firstLineChars="200"/>
        <w:rPr>
          <w:b w:val="0"/>
          <w:color w:val="auto"/>
          <w:sz w:val="21"/>
          <w:szCs w:val="21"/>
          <w:highlight w:val="none"/>
        </w:rPr>
      </w:pPr>
      <w:bookmarkStart w:id="1363" w:name="_Toc532377343"/>
      <w:r>
        <w:rPr>
          <w:rFonts w:hint="eastAsia"/>
          <w:b w:val="0"/>
          <w:color w:val="auto"/>
          <w:sz w:val="21"/>
          <w:szCs w:val="21"/>
          <w:highlight w:val="none"/>
        </w:rPr>
        <w:t>4.4 商定或确定</w:t>
      </w:r>
      <w:bookmarkEnd w:id="1363"/>
    </w:p>
    <w:p w14:paraId="31DFE211">
      <w:pPr>
        <w:spacing w:line="360" w:lineRule="auto"/>
        <w:ind w:firstLine="420" w:firstLineChars="200"/>
        <w:jc w:val="left"/>
        <w:rPr>
          <w:rFonts w:ascii="宋体" w:hAnsi="宋体"/>
          <w:color w:val="auto"/>
          <w:szCs w:val="21"/>
          <w:highlight w:val="none"/>
        </w:rPr>
      </w:pPr>
      <w:bookmarkStart w:id="1364" w:name="_Toc267251418"/>
      <w:r>
        <w:rPr>
          <w:rFonts w:hint="eastAsia" w:ascii="宋体" w:hAnsi="宋体"/>
          <w:color w:val="auto"/>
          <w:szCs w:val="21"/>
          <w:highlight w:val="none"/>
        </w:rPr>
        <w:t>在发包人和承包人不能通过协商达成一致意见时，发包人授权监理人对以下事项进行确定：</w:t>
      </w:r>
    </w:p>
    <w:p w14:paraId="5BE85B3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 xml:space="preserve">                          </w:t>
      </w:r>
      <w:r>
        <w:rPr>
          <w:rFonts w:hint="eastAsia" w:ascii="宋体" w:hAnsi="宋体"/>
          <w:color w:val="auto"/>
          <w:szCs w:val="21"/>
          <w:highlight w:val="none"/>
        </w:rPr>
        <w:t>。</w:t>
      </w:r>
    </w:p>
    <w:p w14:paraId="0EB9AEA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65" w:name="_Toc532377344"/>
      <w:bookmarkStart w:id="1366" w:name="_Toc532375612"/>
      <w:bookmarkStart w:id="1367" w:name="_Toc351203637"/>
      <w:r>
        <w:rPr>
          <w:rFonts w:hint="eastAsia"/>
          <w:color w:val="auto"/>
          <w:kern w:val="2"/>
          <w:sz w:val="21"/>
          <w:szCs w:val="21"/>
          <w:highlight w:val="none"/>
        </w:rPr>
        <w:t>5</w:t>
      </w:r>
      <w:bookmarkEnd w:id="1364"/>
      <w:bookmarkStart w:id="1368" w:name="_Toc296944502"/>
      <w:bookmarkStart w:id="1369" w:name="_Toc297048349"/>
      <w:bookmarkStart w:id="1370" w:name="_Toc292559367"/>
      <w:bookmarkStart w:id="1371" w:name="_Toc292559872"/>
      <w:bookmarkStart w:id="1372" w:name="_Toc296347162"/>
      <w:bookmarkStart w:id="1373" w:name="_Toc296890991"/>
      <w:bookmarkStart w:id="1374" w:name="_Toc296503163"/>
      <w:bookmarkStart w:id="1375" w:name="_Toc297120463"/>
      <w:bookmarkStart w:id="1376" w:name="_Toc296346664"/>
      <w:bookmarkStart w:id="1377" w:name="_Toc296891203"/>
      <w:r>
        <w:rPr>
          <w:rFonts w:hint="eastAsia"/>
          <w:color w:val="auto"/>
          <w:kern w:val="2"/>
          <w:sz w:val="21"/>
          <w:szCs w:val="21"/>
          <w:highlight w:val="none"/>
        </w:rPr>
        <w:t>. 工程质量</w:t>
      </w:r>
      <w:bookmarkEnd w:id="1365"/>
      <w:bookmarkEnd w:id="1366"/>
      <w:bookmarkEnd w:id="1367"/>
    </w:p>
    <w:p w14:paraId="7BFA90EE">
      <w:pPr>
        <w:pStyle w:val="7"/>
        <w:spacing w:before="0" w:beforeAutospacing="0" w:after="0" w:afterAutospacing="0" w:line="360" w:lineRule="auto"/>
        <w:ind w:firstLine="422" w:firstLineChars="200"/>
        <w:rPr>
          <w:color w:val="auto"/>
          <w:sz w:val="21"/>
          <w:szCs w:val="21"/>
          <w:highlight w:val="none"/>
        </w:rPr>
      </w:pPr>
      <w:bookmarkStart w:id="1378" w:name="_Toc532377345"/>
      <w:r>
        <w:rPr>
          <w:rFonts w:hint="eastAsia"/>
          <w:color w:val="auto"/>
          <w:sz w:val="21"/>
          <w:szCs w:val="21"/>
          <w:highlight w:val="none"/>
        </w:rPr>
        <w:t>5.1 质量要求</w:t>
      </w:r>
      <w:bookmarkEnd w:id="1378"/>
      <w:bookmarkStart w:id="1379" w:name="_Hlk528909888"/>
      <w:bookmarkStart w:id="1380" w:name="_Toc304295527"/>
      <w:bookmarkStart w:id="1381" w:name="_Toc300934949"/>
      <w:bookmarkStart w:id="1382" w:name="_Toc312677997"/>
      <w:bookmarkStart w:id="1383" w:name="_Toc303539106"/>
      <w:bookmarkStart w:id="1384" w:name="_Toc297123496"/>
      <w:bookmarkStart w:id="1385" w:name="_Toc318581164"/>
      <w:bookmarkStart w:id="1386" w:name="_Toc297216155"/>
    </w:p>
    <w:p w14:paraId="0E04024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工程质量符合国家有关施工质量验收规范和标准要求，达到合格标准</w:t>
      </w:r>
      <w:r>
        <w:rPr>
          <w:rFonts w:hint="eastAsia" w:ascii="宋体" w:hAnsi="宋体"/>
          <w:color w:val="auto"/>
          <w:szCs w:val="21"/>
          <w:highlight w:val="none"/>
        </w:rPr>
        <w:t>。</w:t>
      </w:r>
    </w:p>
    <w:bookmarkEnd w:id="1379"/>
    <w:p w14:paraId="431BD76D">
      <w:pPr>
        <w:pStyle w:val="7"/>
        <w:spacing w:before="0" w:beforeAutospacing="0" w:after="0" w:afterAutospacing="0" w:line="360" w:lineRule="auto"/>
        <w:ind w:firstLine="422" w:firstLineChars="200"/>
        <w:rPr>
          <w:color w:val="auto"/>
          <w:sz w:val="21"/>
          <w:szCs w:val="21"/>
          <w:highlight w:val="none"/>
        </w:rPr>
      </w:pPr>
      <w:bookmarkStart w:id="1387" w:name="_Toc532377346"/>
      <w:r>
        <w:rPr>
          <w:rFonts w:hint="eastAsia"/>
          <w:color w:val="auto"/>
          <w:sz w:val="21"/>
          <w:szCs w:val="21"/>
          <w:highlight w:val="none"/>
        </w:rPr>
        <w:t>5.2 质量保证措施</w:t>
      </w:r>
      <w:bookmarkEnd w:id="1387"/>
    </w:p>
    <w:p w14:paraId="0CA577F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本款补充5.2.4项：</w:t>
      </w:r>
    </w:p>
    <w:p w14:paraId="2491C71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5.2.4 在工程建设中，参建各方应严格执行以下规定（包括但不限于）：</w:t>
      </w:r>
    </w:p>
    <w:p w14:paraId="6650994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《建筑工程施工质量验收统一标准》（GB50300-2013）</w:t>
      </w:r>
      <w:r>
        <w:rPr>
          <w:rFonts w:hint="eastAsia" w:ascii="宋体" w:hAnsi="宋体"/>
          <w:color w:val="auto"/>
          <w:szCs w:val="21"/>
          <w:highlight w:val="none"/>
        </w:rPr>
        <w:t>；</w:t>
      </w:r>
    </w:p>
    <w:p w14:paraId="6DD2801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《住房城乡建设部关于印发工程质量安全提升行动方案的通知》（建质〔2017〕57号）</w:t>
      </w:r>
      <w:r>
        <w:rPr>
          <w:rFonts w:hint="eastAsia" w:ascii="宋体" w:hAnsi="宋体"/>
          <w:color w:val="auto"/>
          <w:szCs w:val="21"/>
          <w:highlight w:val="none"/>
        </w:rPr>
        <w:t>；</w:t>
      </w:r>
    </w:p>
    <w:p w14:paraId="6E89FAE3">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《房屋建筑和市政基础设施工程竣工验收规定》（建质〔2013〕171号）</w:t>
      </w:r>
      <w:r>
        <w:rPr>
          <w:rFonts w:hint="eastAsia" w:ascii="宋体" w:hAnsi="宋体"/>
          <w:color w:val="auto"/>
          <w:szCs w:val="21"/>
          <w:highlight w:val="none"/>
        </w:rPr>
        <w:t>；</w:t>
      </w:r>
    </w:p>
    <w:p w14:paraId="3C10A5E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《建设部关于贯彻执行建筑工程勘察设计及施工质量验收规范若干问题的通知》（建标〔2002〕212号）</w:t>
      </w:r>
      <w:r>
        <w:rPr>
          <w:rFonts w:hint="eastAsia" w:ascii="宋体" w:hAnsi="宋体"/>
          <w:color w:val="auto"/>
          <w:szCs w:val="21"/>
          <w:highlight w:val="none"/>
        </w:rPr>
        <w:t>；</w:t>
      </w:r>
    </w:p>
    <w:p w14:paraId="70F85D2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u w:val="single"/>
        </w:rPr>
        <w:t>《重庆市住房和城乡建设委员会关于印发&lt;重庆市房屋建筑和市政基础设施工程质量常见问题防治要点（2019年版）&gt;的通知》（渝建〔2019〕198号）</w:t>
      </w:r>
      <w:r>
        <w:rPr>
          <w:rFonts w:hint="eastAsia" w:ascii="宋体" w:hAnsi="宋体"/>
          <w:color w:val="auto"/>
          <w:szCs w:val="21"/>
          <w:highlight w:val="none"/>
        </w:rPr>
        <w:t>；</w:t>
      </w:r>
    </w:p>
    <w:p w14:paraId="680BB57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u w:val="single"/>
        </w:rPr>
        <w:t>《关于印发&lt;重庆市房屋建筑和市政基础设施工程预拌商品砂浆应用推进工作方案&gt;的通知》（渝建〔2018〕375号）</w:t>
      </w:r>
      <w:r>
        <w:rPr>
          <w:rFonts w:hint="eastAsia" w:ascii="宋体" w:hAnsi="宋体"/>
          <w:color w:val="auto"/>
          <w:szCs w:val="21"/>
          <w:highlight w:val="none"/>
        </w:rPr>
        <w:t>；</w:t>
      </w:r>
    </w:p>
    <w:p w14:paraId="2935914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w:t>
      </w:r>
      <w:r>
        <w:rPr>
          <w:rFonts w:hint="eastAsia" w:ascii="宋体" w:hAnsi="宋体"/>
          <w:color w:val="auto"/>
          <w:szCs w:val="21"/>
          <w:highlight w:val="none"/>
          <w:u w:val="single"/>
        </w:rPr>
        <w:t>《重庆市城乡建设委员会关于印发2018年房屋建筑和市政基础设施工程质量要点的通知》（渝建〔2018〕94号）</w:t>
      </w:r>
      <w:r>
        <w:rPr>
          <w:rFonts w:hint="eastAsia" w:ascii="宋体" w:hAnsi="宋体"/>
          <w:color w:val="auto"/>
          <w:szCs w:val="21"/>
          <w:highlight w:val="none"/>
        </w:rPr>
        <w:t>；</w:t>
      </w:r>
    </w:p>
    <w:p w14:paraId="511399C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w:t>
      </w:r>
      <w:r>
        <w:rPr>
          <w:rFonts w:hint="eastAsia" w:ascii="宋体" w:hAnsi="宋体"/>
          <w:color w:val="auto"/>
          <w:szCs w:val="21"/>
          <w:highlight w:val="none"/>
          <w:u w:val="single"/>
        </w:rPr>
        <w:t>《重庆市城乡建设委员会关于进一步推广应用预拌商品砂浆的通知》（渝建〔2016〕318号）</w:t>
      </w:r>
      <w:r>
        <w:rPr>
          <w:rFonts w:hint="eastAsia" w:ascii="宋体" w:hAnsi="宋体"/>
          <w:color w:val="auto"/>
          <w:szCs w:val="21"/>
          <w:highlight w:val="none"/>
        </w:rPr>
        <w:t>；</w:t>
      </w:r>
    </w:p>
    <w:p w14:paraId="180194A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u w:val="single"/>
        </w:rPr>
        <w:t>《重庆市建设委员会关于发布&lt;建筑工程施工质量验收规范用表（建筑节能分部工程）&gt;和&lt;建设工程技术用表（建筑节能工程）&gt;的通知》（渝建发〔2008〕76号）</w:t>
      </w:r>
      <w:r>
        <w:rPr>
          <w:rFonts w:hint="eastAsia" w:ascii="宋体" w:hAnsi="宋体"/>
          <w:color w:val="auto"/>
          <w:szCs w:val="21"/>
          <w:highlight w:val="none"/>
        </w:rPr>
        <w:t>；</w:t>
      </w:r>
    </w:p>
    <w:p w14:paraId="57326D4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（10）</w:t>
      </w:r>
      <w:r>
        <w:rPr>
          <w:rFonts w:hint="eastAsia" w:ascii="宋体" w:hAnsi="宋体"/>
          <w:color w:val="auto"/>
          <w:szCs w:val="21"/>
          <w:highlight w:val="none"/>
          <w:u w:val="single"/>
        </w:rPr>
        <w:t>国家和本市现行有关建设工程质量验收标准、规范和要求</w:t>
      </w:r>
      <w:r>
        <w:rPr>
          <w:rFonts w:hint="eastAsia" w:ascii="宋体" w:hAnsi="宋体"/>
          <w:color w:val="auto"/>
          <w:szCs w:val="21"/>
          <w:highlight w:val="none"/>
        </w:rPr>
        <w:t>；</w:t>
      </w:r>
    </w:p>
    <w:p w14:paraId="453747D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C6A83B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承包人、监理人和发包人在工程建设中，应严格执行国家及重庆市现行标准，如上述标准及规范要求有出入则以较严格者为准。</w:t>
      </w:r>
    </w:p>
    <w:p w14:paraId="7951EA95">
      <w:pPr>
        <w:pStyle w:val="7"/>
        <w:spacing w:before="0" w:beforeAutospacing="0" w:after="0" w:afterAutospacing="0" w:line="360" w:lineRule="auto"/>
        <w:ind w:firstLine="422" w:firstLineChars="200"/>
        <w:rPr>
          <w:color w:val="auto"/>
          <w:sz w:val="21"/>
          <w:szCs w:val="21"/>
          <w:highlight w:val="none"/>
        </w:rPr>
      </w:pPr>
      <w:bookmarkStart w:id="1388" w:name="_Toc351203536"/>
      <w:bookmarkStart w:id="1389" w:name="_Toc532377347"/>
      <w:bookmarkStart w:id="1390" w:name="_Hlk528927873"/>
      <w:r>
        <w:rPr>
          <w:rFonts w:hint="eastAsia"/>
          <w:color w:val="auto"/>
          <w:sz w:val="21"/>
          <w:szCs w:val="21"/>
          <w:highlight w:val="none"/>
        </w:rPr>
        <w:t>5.3隐蔽工程检查</w:t>
      </w:r>
    </w:p>
    <w:p w14:paraId="2505ABAF">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5.3.2检查程序</w:t>
      </w:r>
    </w:p>
    <w:p w14:paraId="617732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工程隐蔽部位经承包人自检确认具备覆盖条件的，承包人应在共同检查前</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24</w:t>
      </w:r>
      <w:r>
        <w:rPr>
          <w:rFonts w:hint="eastAsia" w:ascii="宋体" w:hAnsi="宋体"/>
          <w:color w:val="auto"/>
          <w:szCs w:val="21"/>
          <w:highlight w:val="none"/>
          <w:u w:val="single"/>
        </w:rPr>
        <w:t xml:space="preserve"> </w:t>
      </w:r>
      <w:r>
        <w:rPr>
          <w:rFonts w:hint="eastAsia" w:ascii="宋体" w:hAnsi="宋体"/>
          <w:color w:val="auto"/>
          <w:szCs w:val="21"/>
          <w:highlight w:val="none"/>
        </w:rPr>
        <w:t>小时书面通知监理人检查，通知中应载明隐蔽检查的内容、时间和地点，并应附有自检记录和必要的检查资料。</w:t>
      </w:r>
    </w:p>
    <w:p w14:paraId="7733CB19">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5</w:t>
      </w:r>
      <w:bookmarkStart w:id="1391" w:name="_Toc337558762"/>
      <w:r>
        <w:rPr>
          <w:rFonts w:hint="eastAsia"/>
          <w:color w:val="auto"/>
          <w:sz w:val="21"/>
          <w:szCs w:val="21"/>
          <w:highlight w:val="none"/>
        </w:rPr>
        <w:t>.4 不合格工程的处理</w:t>
      </w:r>
      <w:bookmarkEnd w:id="1388"/>
      <w:bookmarkEnd w:id="1389"/>
    </w:p>
    <w:bookmarkEnd w:id="1391"/>
    <w:p w14:paraId="333AF5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本款补充5.4.3项：</w:t>
      </w:r>
    </w:p>
    <w:p w14:paraId="6730B8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5.4.3 承包人在收到监理人发出的《不合格分项报告》或监理通知单后，必须在监理人规定时间内按要求完成整改，未能在限定时间内完成整改的，须承担相应违约责任。</w:t>
      </w:r>
    </w:p>
    <w:p w14:paraId="56D0968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本条补充5.6款：</w:t>
      </w:r>
    </w:p>
    <w:bookmarkEnd w:id="1390"/>
    <w:p w14:paraId="6BAE050E">
      <w:pPr>
        <w:pStyle w:val="7"/>
        <w:spacing w:before="0" w:beforeAutospacing="0" w:after="0" w:afterAutospacing="0" w:line="360" w:lineRule="auto"/>
        <w:ind w:firstLine="422" w:firstLineChars="200"/>
        <w:rPr>
          <w:color w:val="auto"/>
          <w:sz w:val="21"/>
          <w:szCs w:val="21"/>
          <w:highlight w:val="none"/>
        </w:rPr>
      </w:pPr>
      <w:bookmarkStart w:id="1392" w:name="_Toc532377348"/>
      <w:r>
        <w:rPr>
          <w:rFonts w:hint="eastAsia"/>
          <w:color w:val="auto"/>
          <w:sz w:val="21"/>
          <w:szCs w:val="21"/>
          <w:highlight w:val="none"/>
        </w:rPr>
        <w:t>5.6 质量事故的处理</w:t>
      </w:r>
      <w:bookmarkEnd w:id="1392"/>
    </w:p>
    <w:p w14:paraId="70DB7B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5.6.1 合同履行过程中，发生工程质量事故的调查处理按照国家及重庆市现行规定处理。</w:t>
      </w:r>
    </w:p>
    <w:p w14:paraId="300060B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368"/>
    <w:bookmarkEnd w:id="1369"/>
    <w:bookmarkEnd w:id="1370"/>
    <w:bookmarkEnd w:id="1371"/>
    <w:bookmarkEnd w:id="1372"/>
    <w:bookmarkEnd w:id="1373"/>
    <w:bookmarkEnd w:id="1374"/>
    <w:bookmarkEnd w:id="1375"/>
    <w:bookmarkEnd w:id="1376"/>
    <w:bookmarkEnd w:id="1377"/>
    <w:bookmarkEnd w:id="1380"/>
    <w:bookmarkEnd w:id="1381"/>
    <w:bookmarkEnd w:id="1382"/>
    <w:bookmarkEnd w:id="1383"/>
    <w:bookmarkEnd w:id="1384"/>
    <w:bookmarkEnd w:id="1385"/>
    <w:bookmarkEnd w:id="1386"/>
    <w:p w14:paraId="72DCE2D5">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393" w:name="_Toc532377349"/>
      <w:bookmarkStart w:id="1394" w:name="_Toc351203638"/>
      <w:bookmarkStart w:id="1395" w:name="_Toc532375613"/>
      <w:bookmarkStart w:id="1396" w:name="_Toc296346674"/>
      <w:bookmarkStart w:id="1397" w:name="_Toc297120473"/>
      <w:bookmarkStart w:id="1398" w:name="_Toc292559378"/>
      <w:bookmarkStart w:id="1399" w:name="_Toc351203642"/>
      <w:bookmarkStart w:id="1400" w:name="_Toc296944512"/>
      <w:bookmarkStart w:id="1401" w:name="_Toc296503173"/>
      <w:bookmarkStart w:id="1402" w:name="_Toc296347172"/>
      <w:bookmarkStart w:id="1403" w:name="_Toc296891213"/>
      <w:bookmarkStart w:id="1404" w:name="_Toc267251427"/>
      <w:bookmarkStart w:id="1405" w:name="_Toc296891001"/>
      <w:bookmarkStart w:id="1406" w:name="_Toc292559883"/>
      <w:bookmarkStart w:id="1407" w:name="_Toc297048359"/>
      <w:bookmarkStart w:id="1408" w:name="_Toc267251428"/>
      <w:r>
        <w:rPr>
          <w:rFonts w:hint="eastAsia"/>
          <w:color w:val="auto"/>
          <w:kern w:val="2"/>
          <w:sz w:val="21"/>
          <w:szCs w:val="21"/>
          <w:highlight w:val="none"/>
        </w:rPr>
        <w:t>6. 安全文明施工与环境保护</w:t>
      </w:r>
      <w:bookmarkEnd w:id="1393"/>
      <w:bookmarkEnd w:id="1394"/>
      <w:bookmarkEnd w:id="1395"/>
    </w:p>
    <w:p w14:paraId="1CED800C">
      <w:pPr>
        <w:pStyle w:val="7"/>
        <w:spacing w:before="0" w:beforeAutospacing="0" w:after="0" w:afterAutospacing="0" w:line="360" w:lineRule="auto"/>
        <w:ind w:firstLine="422" w:firstLineChars="200"/>
        <w:rPr>
          <w:color w:val="auto"/>
          <w:sz w:val="21"/>
          <w:szCs w:val="21"/>
          <w:highlight w:val="none"/>
        </w:rPr>
      </w:pPr>
      <w:bookmarkStart w:id="1409" w:name="_Toc532375614"/>
      <w:bookmarkStart w:id="1410" w:name="_Toc532377350"/>
      <w:r>
        <w:rPr>
          <w:rFonts w:hint="eastAsia"/>
          <w:color w:val="auto"/>
          <w:sz w:val="21"/>
          <w:szCs w:val="21"/>
          <w:highlight w:val="none"/>
        </w:rPr>
        <w:t>6.1 安全文明施工</w:t>
      </w:r>
      <w:bookmarkEnd w:id="1409"/>
      <w:bookmarkEnd w:id="1410"/>
    </w:p>
    <w:p w14:paraId="3E7764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承包人必须认真贯彻执行国家安全生产法律、法规、规章和标准，按照重庆市现行的质量、安全文明施工有关规定和发包人安全管理的有关规定，建立完善的质量、安全、文明施工管理制度。</w:t>
      </w:r>
    </w:p>
    <w:p w14:paraId="5054E5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38920AE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6.1.1 项目安全生产的达标目标及相应事项的约定：</w:t>
      </w:r>
      <w:r>
        <w:rPr>
          <w:rFonts w:hint="eastAsia" w:ascii="宋体" w:hAnsi="宋体"/>
          <w:color w:val="auto"/>
          <w:szCs w:val="21"/>
          <w:highlight w:val="none"/>
          <w:u w:val="single"/>
        </w:rPr>
        <w:t>达到《建筑施工安全检查标准》（JGJ59-2011）的要求</w:t>
      </w:r>
      <w:r>
        <w:rPr>
          <w:rFonts w:hint="eastAsia" w:ascii="宋体" w:hAnsi="宋体"/>
          <w:color w:val="auto"/>
          <w:szCs w:val="21"/>
          <w:highlight w:val="none"/>
        </w:rPr>
        <w:t>。</w:t>
      </w:r>
    </w:p>
    <w:p w14:paraId="7722284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（1）按现行安全文明施工费计取及使用管理的政策文件规定及发包人制订的安全管理制度执行</w:t>
      </w:r>
      <w:r>
        <w:rPr>
          <w:rFonts w:hint="eastAsia" w:ascii="宋体" w:hAnsi="宋体"/>
          <w:color w:val="auto"/>
          <w:szCs w:val="21"/>
          <w:highlight w:val="none"/>
        </w:rPr>
        <w:t>。</w:t>
      </w:r>
    </w:p>
    <w:p w14:paraId="6566D04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（2）承包人的原因造成事故，由此产生的法律责任和事故责任及费用由承包人全部承担</w:t>
      </w:r>
      <w:r>
        <w:rPr>
          <w:rFonts w:hint="eastAsia" w:ascii="宋体" w:hAnsi="宋体"/>
          <w:color w:val="auto"/>
          <w:szCs w:val="21"/>
          <w:highlight w:val="none"/>
        </w:rPr>
        <w:t>。</w:t>
      </w:r>
    </w:p>
    <w:p w14:paraId="1020D9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（3）承包人向发包人做出安全承诺，并签订《安全生产目标责任书》和《安全承诺书》</w:t>
      </w:r>
      <w:r>
        <w:rPr>
          <w:rFonts w:hint="eastAsia" w:ascii="宋体" w:hAnsi="宋体"/>
          <w:color w:val="auto"/>
          <w:szCs w:val="21"/>
          <w:highlight w:val="none"/>
        </w:rPr>
        <w:t>。</w:t>
      </w:r>
    </w:p>
    <w:p w14:paraId="3F25C8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（4）承包人在施工过程中，必须严格执行安全生产法的相关规定，制定切实可靠的安全技术措施</w:t>
      </w:r>
      <w:r>
        <w:rPr>
          <w:rFonts w:hint="eastAsia" w:ascii="宋体" w:hAnsi="宋体"/>
          <w:color w:val="auto"/>
          <w:szCs w:val="21"/>
          <w:highlight w:val="none"/>
        </w:rPr>
        <w:t>。</w:t>
      </w:r>
    </w:p>
    <w:p w14:paraId="117DB78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（5）接受发包人安全监督和管理，在施工中违反安全管理规定和操作规程、违章作业的，承担违约责任</w:t>
      </w:r>
      <w:r>
        <w:rPr>
          <w:rFonts w:hint="eastAsia" w:ascii="宋体" w:hAnsi="宋体"/>
          <w:color w:val="auto"/>
          <w:szCs w:val="21"/>
          <w:highlight w:val="none"/>
        </w:rPr>
        <w:t>。</w:t>
      </w:r>
    </w:p>
    <w:p w14:paraId="4441066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6.1.4 关于治安保卫的特别约定：</w:t>
      </w:r>
      <w:r>
        <w:rPr>
          <w:rFonts w:hint="eastAsia" w:ascii="宋体" w:hAnsi="宋体"/>
          <w:color w:val="auto"/>
          <w:szCs w:val="21"/>
          <w:highlight w:val="none"/>
          <w:u w:val="single"/>
        </w:rPr>
        <w:t>承包人负责组建施工现场治安管理机构或联防组织；承包人负责编制施工场地治安管理计划和突发治安事件紧急预案</w:t>
      </w:r>
      <w:r>
        <w:rPr>
          <w:rFonts w:hint="eastAsia" w:ascii="宋体" w:hAnsi="宋体"/>
          <w:color w:val="auto"/>
          <w:szCs w:val="21"/>
          <w:highlight w:val="none"/>
        </w:rPr>
        <w:t>。</w:t>
      </w:r>
    </w:p>
    <w:p w14:paraId="368F798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关于编制施工场地治安管理计划的约定：</w:t>
      </w:r>
      <w:r>
        <w:rPr>
          <w:rFonts w:hint="eastAsia" w:ascii="宋体" w:hAnsi="宋体"/>
          <w:color w:val="auto"/>
          <w:szCs w:val="21"/>
          <w:highlight w:val="none"/>
          <w:u w:val="single"/>
        </w:rPr>
        <w:t>由承包人负责</w:t>
      </w:r>
      <w:r>
        <w:rPr>
          <w:rFonts w:hint="eastAsia" w:ascii="宋体" w:hAnsi="宋体"/>
          <w:color w:val="auto"/>
          <w:szCs w:val="21"/>
          <w:highlight w:val="none"/>
        </w:rPr>
        <w:t>。</w:t>
      </w:r>
    </w:p>
    <w:p w14:paraId="3470442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6.1.5 文明施工</w:t>
      </w:r>
    </w:p>
    <w:p w14:paraId="7B1FCC78">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合同当事人对文明施工的要求：</w:t>
      </w:r>
      <w:r>
        <w:rPr>
          <w:rFonts w:hint="eastAsia" w:ascii="宋体" w:hAnsi="宋体"/>
          <w:color w:val="auto"/>
          <w:szCs w:val="21"/>
          <w:highlight w:val="none"/>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color w:val="auto"/>
          <w:szCs w:val="21"/>
          <w:highlight w:val="none"/>
        </w:rPr>
        <w:t>。</w:t>
      </w:r>
    </w:p>
    <w:p w14:paraId="2F4CD221">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color w:val="auto"/>
          <w:szCs w:val="21"/>
          <w:highlight w:val="none"/>
        </w:rPr>
        <w:t>。</w:t>
      </w:r>
    </w:p>
    <w:p w14:paraId="74C772F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6.1</w:t>
      </w:r>
      <w:r>
        <w:rPr>
          <w:rFonts w:hint="eastAsia" w:ascii="宋体" w:hAnsi="宋体"/>
          <w:color w:val="000000" w:themeColor="text1"/>
          <w:szCs w:val="21"/>
          <w:highlight w:val="none"/>
          <w14:textFill>
            <w14:solidFill>
              <w14:schemeClr w14:val="tx1"/>
            </w14:solidFill>
          </w14:textFill>
        </w:rPr>
        <w:t>.6 关于安全文明施工费支付比例和支付期限的约定：按照行业主管部门相关规定</w:t>
      </w:r>
      <w:r>
        <w:rPr>
          <w:rFonts w:hint="eastAsia" w:ascii="宋体" w:hAnsi="宋体"/>
          <w:color w:val="000000" w:themeColor="text1"/>
          <w:szCs w:val="21"/>
          <w:highlight w:val="none"/>
          <w:u w:val="single"/>
          <w:lang w:val="en-US" w:eastAsia="zh-CN"/>
          <w14:textFill>
            <w14:solidFill>
              <w14:schemeClr w14:val="tx1"/>
            </w14:solidFill>
          </w14:textFill>
        </w:rPr>
        <w:t xml:space="preserve">渝建发{2014}25 号《重庆市建设工程安全文明施工费计取及使用管理规定》的通知 </w:t>
      </w:r>
      <w:r>
        <w:rPr>
          <w:rFonts w:hint="eastAsia" w:ascii="宋体" w:hAnsi="宋体"/>
          <w:color w:val="000000" w:themeColor="text1"/>
          <w:szCs w:val="21"/>
          <w:highlight w:val="none"/>
          <w14:textFill>
            <w14:solidFill>
              <w14:schemeClr w14:val="tx1"/>
            </w14:solidFill>
          </w14:textFill>
        </w:rPr>
        <w:t>执行。</w:t>
      </w:r>
    </w:p>
    <w:p w14:paraId="56DF7203">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安全文明施工费的要求与内容、提取支付方法以及违反约定造成损失的赔偿等条款，按照现行规范要求执行，做到专款专用</w:t>
      </w:r>
      <w:r>
        <w:rPr>
          <w:rFonts w:hint="eastAsia" w:ascii="宋体" w:hAnsi="宋体"/>
          <w:color w:val="auto"/>
          <w:szCs w:val="21"/>
          <w:highlight w:val="none"/>
        </w:rPr>
        <w:t>。</w:t>
      </w:r>
    </w:p>
    <w:p w14:paraId="40AC913F">
      <w:pPr>
        <w:pStyle w:val="7"/>
        <w:spacing w:before="0" w:beforeAutospacing="0" w:after="0" w:afterAutospacing="0" w:line="360" w:lineRule="auto"/>
        <w:ind w:firstLine="422" w:firstLineChars="200"/>
        <w:rPr>
          <w:color w:val="auto"/>
          <w:sz w:val="21"/>
          <w:szCs w:val="21"/>
          <w:highlight w:val="none"/>
        </w:rPr>
      </w:pPr>
      <w:bookmarkStart w:id="1411" w:name="_Toc532377351"/>
      <w:bookmarkStart w:id="1412" w:name="_Toc532375615"/>
      <w:r>
        <w:rPr>
          <w:rFonts w:hint="eastAsia"/>
          <w:color w:val="auto"/>
          <w:sz w:val="21"/>
          <w:szCs w:val="21"/>
          <w:highlight w:val="none"/>
        </w:rPr>
        <w:t>6.3 环境保护</w:t>
      </w:r>
      <w:bookmarkEnd w:id="1411"/>
      <w:bookmarkEnd w:id="1412"/>
    </w:p>
    <w:p w14:paraId="1925DED5">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本款补充6.3.1～6.3.8项：</w:t>
      </w:r>
    </w:p>
    <w:p w14:paraId="247FB85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0D2AB1AB">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756CD71A">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6.3.3 承包人应加强生态环境保护工作。施工期间，采取边坡防护，挡渣坝、排水沟、沉淀池、表土剥离和绿化恢复等水土保持措施减少水土流失量，绿化恢复宜采用适于当地生长的植物。</w:t>
      </w:r>
    </w:p>
    <w:p w14:paraId="41266090">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6.3.4 承包人应认真落实水污染防治措施。施工期间，加强机械设备维护，减少跑冒滴漏等现象；做好含油废水处理措施；施工场地生活污水经生化处理后达到《污水综合排放标准》（GB8978-1996）一级标准后排放。</w:t>
      </w:r>
    </w:p>
    <w:p w14:paraId="65C92A4E">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6.3.5 承包人应重视大气污染物污染防治措施。施工期间，严格执行市政府“蓝天行动”方案等有关规定，通过洒水防尘，严格控制施工场地扬尘和运输扬尘污染。</w:t>
      </w:r>
    </w:p>
    <w:p w14:paraId="4B19789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6.3.6 承包人应落实固体废物污染防治措施。施工期间，项目产生的弃方不可合理</w:t>
      </w:r>
      <w:r>
        <w:rPr>
          <w:rFonts w:ascii="宋体" w:hAnsi="宋体"/>
          <w:color w:val="auto"/>
          <w:szCs w:val="21"/>
          <w:highlight w:val="none"/>
        </w:rPr>
        <w:t>利用的</w:t>
      </w:r>
      <w:r>
        <w:rPr>
          <w:rFonts w:hint="eastAsia" w:ascii="宋体" w:hAnsi="宋体"/>
          <w:color w:val="auto"/>
          <w:szCs w:val="21"/>
          <w:highlight w:val="none"/>
        </w:rPr>
        <w:t>，应运往指定的弃渣场内堆存；建筑垃圾运至指定的建筑垃圾消纳场处置；生活垃圾由当地环卫部门统一处置。</w:t>
      </w:r>
    </w:p>
    <w:p w14:paraId="3C55F113">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6.3.7 承包人应认真落实噪声污染防治措施。施工期间，优选低噪声设备，合理安排施工时间，严格控制夜间施工，昼、夜施工场界需满足《建筑施工场界环境噪声排放标准》（GB12523-2011）。</w:t>
      </w:r>
    </w:p>
    <w:p w14:paraId="21EE776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6.3.8 承包人自行负责办理有关施工场地交通、环卫和施工噪音管理等手续，并应按要求结合自身实际和重庆市相关规定，考虑不低于以上标准的此类工作。</w:t>
      </w:r>
    </w:p>
    <w:p w14:paraId="02F585C4">
      <w:pPr>
        <w:spacing w:line="360" w:lineRule="auto"/>
        <w:ind w:firstLine="420" w:firstLineChars="200"/>
        <w:jc w:val="left"/>
        <w:rPr>
          <w:rFonts w:hint="eastAsia" w:ascii="宋体" w:hAnsi="宋体"/>
          <w:color w:val="auto"/>
          <w:szCs w:val="21"/>
          <w:highlight w:val="none"/>
        </w:rPr>
      </w:pPr>
      <w:bookmarkStart w:id="1413" w:name="_Toc532377352"/>
      <w:bookmarkStart w:id="1414" w:name="_Toc351203639"/>
      <w:bookmarkStart w:id="1415" w:name="_Toc532375616"/>
      <w:r>
        <w:rPr>
          <w:rFonts w:hint="eastAsia" w:ascii="宋体" w:hAnsi="宋体"/>
          <w:color w:val="auto"/>
          <w:szCs w:val="21"/>
          <w:highlight w:val="none"/>
        </w:rPr>
        <w:t xml:space="preserve">6.3.9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FD25056">
      <w:pPr>
        <w:pStyle w:val="6"/>
        <w:keepNext/>
        <w:keepLines/>
        <w:spacing w:before="156" w:beforeLines="50" w:beforeAutospacing="0" w:after="156" w:afterLines="50" w:afterAutospacing="0" w:line="360" w:lineRule="auto"/>
        <w:jc w:val="both"/>
        <w:rPr>
          <w:bCs w:val="0"/>
          <w:color w:val="auto"/>
          <w:kern w:val="2"/>
          <w:sz w:val="21"/>
          <w:szCs w:val="21"/>
          <w:highlight w:val="none"/>
        </w:rPr>
      </w:pPr>
      <w:r>
        <w:rPr>
          <w:rFonts w:hint="eastAsia"/>
          <w:color w:val="auto"/>
          <w:kern w:val="2"/>
          <w:sz w:val="21"/>
          <w:szCs w:val="21"/>
          <w:highlight w:val="none"/>
        </w:rPr>
        <w:t>7. 工期和进度</w:t>
      </w:r>
      <w:bookmarkEnd w:id="1413"/>
      <w:bookmarkEnd w:id="1414"/>
      <w:bookmarkEnd w:id="1415"/>
    </w:p>
    <w:p w14:paraId="04A63D5F">
      <w:pPr>
        <w:pStyle w:val="7"/>
        <w:spacing w:before="0" w:beforeAutospacing="0" w:after="0" w:afterAutospacing="0" w:line="360" w:lineRule="auto"/>
        <w:ind w:firstLine="422" w:firstLineChars="200"/>
        <w:rPr>
          <w:color w:val="auto"/>
          <w:sz w:val="21"/>
          <w:szCs w:val="21"/>
          <w:highlight w:val="none"/>
        </w:rPr>
      </w:pPr>
      <w:bookmarkStart w:id="1416" w:name="_Toc532377353"/>
      <w:bookmarkStart w:id="1417" w:name="_Toc532375617"/>
      <w:r>
        <w:rPr>
          <w:rFonts w:hint="eastAsia"/>
          <w:color w:val="auto"/>
          <w:sz w:val="21"/>
          <w:szCs w:val="21"/>
          <w:highlight w:val="none"/>
        </w:rPr>
        <w:t>7.1 施工组织设计</w:t>
      </w:r>
      <w:bookmarkEnd w:id="1416"/>
      <w:bookmarkEnd w:id="1417"/>
    </w:p>
    <w:p w14:paraId="5AAB2F62">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7.1.1 合同当事人约定的施工组织设计应包括的其他内容：</w:t>
      </w:r>
      <w:r>
        <w:rPr>
          <w:rFonts w:hint="eastAsia" w:ascii="宋体" w:hAnsi="宋体"/>
          <w:color w:val="auto"/>
          <w:szCs w:val="21"/>
          <w:highlight w:val="none"/>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olor w:val="auto"/>
          <w:szCs w:val="21"/>
          <w:highlight w:val="none"/>
        </w:rPr>
        <w:t>。</w:t>
      </w:r>
    </w:p>
    <w:p w14:paraId="64A9C3FB">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7.1.2 施工组织设计的提交和修改</w:t>
      </w:r>
    </w:p>
    <w:p w14:paraId="26C9968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承包人提交详细施工组织设计的期限的约定：</w:t>
      </w:r>
      <w:r>
        <w:rPr>
          <w:rFonts w:hint="eastAsia" w:ascii="宋体" w:hAnsi="宋体"/>
          <w:color w:val="auto"/>
          <w:szCs w:val="21"/>
          <w:highlight w:val="none"/>
          <w:u w:val="single"/>
        </w:rPr>
        <w:t>合同签订后</w:t>
      </w:r>
      <w:r>
        <w:rPr>
          <w:rFonts w:hint="eastAsia" w:ascii="宋体" w:hAnsi="宋体"/>
          <w:color w:val="auto"/>
          <w:szCs w:val="21"/>
          <w:highlight w:val="none"/>
          <w:u w:val="single"/>
          <w:lang w:val="en-US" w:eastAsia="zh-CN"/>
        </w:rPr>
        <w:t>10</w:t>
      </w:r>
      <w:r>
        <w:rPr>
          <w:rFonts w:hint="eastAsia" w:ascii="宋体" w:hAnsi="宋体"/>
          <w:color w:val="auto"/>
          <w:szCs w:val="21"/>
          <w:highlight w:val="none"/>
          <w:u w:val="single"/>
        </w:rPr>
        <w:t>天内，但最迟不得晚于开工通知载明的开工日期前7天</w:t>
      </w:r>
      <w:r>
        <w:rPr>
          <w:rFonts w:hint="eastAsia" w:ascii="宋体" w:hAnsi="宋体"/>
          <w:color w:val="auto"/>
          <w:szCs w:val="21"/>
          <w:highlight w:val="none"/>
        </w:rPr>
        <w:t>。</w:t>
      </w:r>
    </w:p>
    <w:p w14:paraId="4FE2F49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发包人和监理人在收到详细的施工组织设计后确认或提出修改意见的期限：</w:t>
      </w:r>
      <w:r>
        <w:rPr>
          <w:rFonts w:hint="eastAsia" w:ascii="宋体" w:hAnsi="宋体"/>
          <w:color w:val="auto"/>
          <w:szCs w:val="21"/>
          <w:highlight w:val="none"/>
          <w:u w:val="single"/>
        </w:rPr>
        <w:t>收到施工组织设计后</w:t>
      </w:r>
      <w:r>
        <w:rPr>
          <w:rFonts w:hint="eastAsia" w:ascii="宋体" w:hAnsi="宋体"/>
          <w:color w:val="auto"/>
          <w:szCs w:val="21"/>
          <w:highlight w:val="none"/>
          <w:u w:val="single"/>
          <w:lang w:val="en-US" w:eastAsia="zh-CN"/>
        </w:rPr>
        <w:t>7</w:t>
      </w:r>
      <w:r>
        <w:rPr>
          <w:rFonts w:hint="eastAsia" w:ascii="宋体" w:hAnsi="宋体"/>
          <w:color w:val="auto"/>
          <w:szCs w:val="21"/>
          <w:highlight w:val="none"/>
          <w:u w:val="single"/>
        </w:rPr>
        <w:t>天内</w:t>
      </w:r>
      <w:r>
        <w:rPr>
          <w:rFonts w:hint="eastAsia" w:ascii="宋体" w:hAnsi="宋体"/>
          <w:color w:val="auto"/>
          <w:szCs w:val="21"/>
          <w:highlight w:val="none"/>
        </w:rPr>
        <w:t>。</w:t>
      </w:r>
    </w:p>
    <w:p w14:paraId="207201CC">
      <w:pPr>
        <w:pStyle w:val="7"/>
        <w:spacing w:before="0" w:beforeAutospacing="0" w:after="0" w:afterAutospacing="0" w:line="360" w:lineRule="auto"/>
        <w:ind w:firstLine="422" w:firstLineChars="200"/>
        <w:rPr>
          <w:color w:val="auto"/>
          <w:sz w:val="21"/>
          <w:szCs w:val="21"/>
          <w:highlight w:val="none"/>
        </w:rPr>
      </w:pPr>
      <w:bookmarkStart w:id="1418" w:name="_Toc532375618"/>
      <w:bookmarkStart w:id="1419" w:name="_Toc532377354"/>
      <w:r>
        <w:rPr>
          <w:rFonts w:hint="eastAsia"/>
          <w:color w:val="auto"/>
          <w:sz w:val="21"/>
          <w:szCs w:val="21"/>
          <w:highlight w:val="none"/>
        </w:rPr>
        <w:t>7.2 施工进度计划</w:t>
      </w:r>
      <w:bookmarkEnd w:id="1418"/>
      <w:bookmarkEnd w:id="1419"/>
    </w:p>
    <w:p w14:paraId="3A13131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7.2.2 施工进度计划的修订</w:t>
      </w:r>
    </w:p>
    <w:p w14:paraId="7FC97C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发包人和监理人在收到修订的施工进度计划后确认或提出修改意见的期限：</w:t>
      </w:r>
      <w:r>
        <w:rPr>
          <w:rFonts w:hint="eastAsia" w:ascii="宋体" w:hAnsi="宋体"/>
          <w:color w:val="auto"/>
          <w:szCs w:val="21"/>
          <w:highlight w:val="none"/>
          <w:u w:val="single"/>
        </w:rPr>
        <w:t>收到修订的施工进度计划后  天内</w:t>
      </w:r>
      <w:r>
        <w:rPr>
          <w:rFonts w:hint="eastAsia" w:ascii="宋体" w:hAnsi="宋体"/>
          <w:color w:val="auto"/>
          <w:szCs w:val="21"/>
          <w:highlight w:val="none"/>
        </w:rPr>
        <w:t>。</w:t>
      </w:r>
    </w:p>
    <w:p w14:paraId="7F2BE7B3">
      <w:pPr>
        <w:pStyle w:val="7"/>
        <w:spacing w:before="0" w:beforeAutospacing="0" w:after="0" w:afterAutospacing="0" w:line="360" w:lineRule="auto"/>
        <w:ind w:firstLine="422" w:firstLineChars="200"/>
        <w:rPr>
          <w:color w:val="auto"/>
          <w:sz w:val="21"/>
          <w:szCs w:val="21"/>
          <w:highlight w:val="none"/>
        </w:rPr>
      </w:pPr>
      <w:bookmarkStart w:id="1420" w:name="_Toc532375619"/>
      <w:bookmarkStart w:id="1421" w:name="_Toc532377355"/>
      <w:bookmarkStart w:id="1422" w:name="_Toc303539123"/>
      <w:bookmarkStart w:id="1423" w:name="_Toc300934966"/>
      <w:bookmarkStart w:id="1424" w:name="_Toc312678005"/>
      <w:bookmarkStart w:id="1425" w:name="_Toc312677479"/>
      <w:bookmarkStart w:id="1426" w:name="_Toc297216173"/>
      <w:bookmarkStart w:id="1427" w:name="_Toc297123514"/>
      <w:bookmarkStart w:id="1428" w:name="_Toc304295541"/>
      <w:r>
        <w:rPr>
          <w:rFonts w:hint="eastAsia"/>
          <w:color w:val="auto"/>
          <w:sz w:val="21"/>
          <w:szCs w:val="21"/>
          <w:highlight w:val="none"/>
        </w:rPr>
        <w:t>7.3 开工</w:t>
      </w:r>
      <w:bookmarkEnd w:id="1420"/>
      <w:bookmarkEnd w:id="1421"/>
    </w:p>
    <w:p w14:paraId="46293E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7.3.1 开工准备</w:t>
      </w:r>
    </w:p>
    <w:p w14:paraId="6C95A89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关于承包人提交工程开工报审表的期限：</w:t>
      </w:r>
      <w:r>
        <w:rPr>
          <w:rFonts w:hint="eastAsia" w:ascii="宋体" w:hAnsi="宋体"/>
          <w:color w:val="auto"/>
          <w:szCs w:val="21"/>
          <w:highlight w:val="none"/>
          <w:u w:val="single"/>
        </w:rPr>
        <w:t xml:space="preserve">不晚于开工前 </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 xml:space="preserve"> 天</w:t>
      </w:r>
      <w:r>
        <w:rPr>
          <w:rFonts w:hint="eastAsia" w:ascii="宋体" w:hAnsi="宋体"/>
          <w:color w:val="auto"/>
          <w:szCs w:val="21"/>
          <w:highlight w:val="none"/>
        </w:rPr>
        <w:t>。</w:t>
      </w:r>
    </w:p>
    <w:p w14:paraId="24EA546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关于发包人应完成的其他开工准备工作及期限：</w:t>
      </w:r>
      <w:r>
        <w:rPr>
          <w:rFonts w:hint="eastAsia" w:ascii="宋体" w:hAnsi="宋体"/>
          <w:color w:val="auto"/>
          <w:szCs w:val="21"/>
          <w:highlight w:val="none"/>
          <w:u w:val="single"/>
        </w:rPr>
        <w:t xml:space="preserve">不晚于开工前 </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 xml:space="preserve"> 天</w:t>
      </w:r>
      <w:r>
        <w:rPr>
          <w:rFonts w:hint="eastAsia" w:ascii="宋体" w:hAnsi="宋体"/>
          <w:color w:val="auto"/>
          <w:szCs w:val="21"/>
          <w:highlight w:val="none"/>
        </w:rPr>
        <w:t>。</w:t>
      </w:r>
    </w:p>
    <w:p w14:paraId="0D0DFB2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关于承包人应完成的其他开工准备工作及期限：</w:t>
      </w:r>
      <w:r>
        <w:rPr>
          <w:rFonts w:hint="eastAsia" w:ascii="宋体" w:hAnsi="宋体"/>
          <w:color w:val="auto"/>
          <w:szCs w:val="21"/>
          <w:highlight w:val="none"/>
          <w:u w:val="single"/>
        </w:rPr>
        <w:t xml:space="preserve">不晚于开工前 </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 xml:space="preserve"> 天</w:t>
      </w:r>
      <w:r>
        <w:rPr>
          <w:rFonts w:hint="eastAsia" w:ascii="宋体" w:hAnsi="宋体"/>
          <w:color w:val="auto"/>
          <w:szCs w:val="21"/>
          <w:highlight w:val="none"/>
        </w:rPr>
        <w:t>。</w:t>
      </w:r>
    </w:p>
    <w:bookmarkEnd w:id="1422"/>
    <w:bookmarkEnd w:id="1423"/>
    <w:bookmarkEnd w:id="1424"/>
    <w:bookmarkEnd w:id="1425"/>
    <w:bookmarkEnd w:id="1426"/>
    <w:bookmarkEnd w:id="1427"/>
    <w:bookmarkEnd w:id="1428"/>
    <w:p w14:paraId="5ACEB889">
      <w:pPr>
        <w:pStyle w:val="7"/>
        <w:spacing w:before="0" w:beforeAutospacing="0" w:after="0" w:afterAutospacing="0" w:line="360" w:lineRule="auto"/>
        <w:ind w:firstLine="422" w:firstLineChars="200"/>
        <w:rPr>
          <w:color w:val="auto"/>
          <w:sz w:val="21"/>
          <w:szCs w:val="21"/>
          <w:highlight w:val="none"/>
        </w:rPr>
      </w:pPr>
      <w:bookmarkStart w:id="1429" w:name="_Toc532377356"/>
      <w:bookmarkStart w:id="1430" w:name="_Toc532375620"/>
      <w:r>
        <w:rPr>
          <w:rFonts w:hint="eastAsia"/>
          <w:color w:val="auto"/>
          <w:sz w:val="21"/>
          <w:szCs w:val="21"/>
          <w:highlight w:val="none"/>
        </w:rPr>
        <w:t>7.4 测量放线</w:t>
      </w:r>
      <w:bookmarkEnd w:id="1429"/>
      <w:bookmarkEnd w:id="1430"/>
    </w:p>
    <w:p w14:paraId="7B24F0E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7.4.1 发包人通过监理人向承包人提供测量基准点、基准线和水准点及其书面资料的期限：</w:t>
      </w:r>
      <w:r>
        <w:rPr>
          <w:rFonts w:hint="eastAsia" w:ascii="宋体" w:hAnsi="宋体"/>
          <w:color w:val="auto"/>
          <w:szCs w:val="21"/>
          <w:highlight w:val="none"/>
          <w:u w:val="single"/>
        </w:rPr>
        <w:t xml:space="preserve">不晚于开工前 </w:t>
      </w:r>
      <w:r>
        <w:rPr>
          <w:rFonts w:hint="eastAsia" w:ascii="宋体" w:hAnsi="宋体"/>
          <w:color w:val="auto"/>
          <w:szCs w:val="21"/>
          <w:highlight w:val="none"/>
          <w:u w:val="single"/>
          <w:lang w:val="en-US" w:eastAsia="zh-CN"/>
        </w:rPr>
        <w:t>3</w:t>
      </w:r>
      <w:r>
        <w:rPr>
          <w:rFonts w:hint="eastAsia" w:ascii="宋体" w:hAnsi="宋体"/>
          <w:color w:val="auto"/>
          <w:szCs w:val="21"/>
          <w:highlight w:val="none"/>
          <w:u w:val="single"/>
        </w:rPr>
        <w:t xml:space="preserve"> 天</w:t>
      </w:r>
      <w:r>
        <w:rPr>
          <w:rFonts w:hint="eastAsia" w:ascii="宋体" w:hAnsi="宋体"/>
          <w:color w:val="auto"/>
          <w:szCs w:val="21"/>
          <w:highlight w:val="none"/>
        </w:rPr>
        <w:t>。</w:t>
      </w:r>
    </w:p>
    <w:p w14:paraId="3CBDA37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承包人报监理人审批施工控制网资料的期限：</w:t>
      </w:r>
      <w:r>
        <w:rPr>
          <w:rFonts w:hint="eastAsia" w:ascii="宋体" w:hAnsi="宋体"/>
          <w:color w:val="auto"/>
          <w:szCs w:val="21"/>
          <w:highlight w:val="none"/>
          <w:u w:val="single"/>
        </w:rPr>
        <w:t xml:space="preserve">发出开工通知后 </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 xml:space="preserve">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olor w:val="auto"/>
          <w:szCs w:val="21"/>
          <w:highlight w:val="none"/>
        </w:rPr>
        <w:t>。</w:t>
      </w:r>
    </w:p>
    <w:p w14:paraId="46D96859">
      <w:pPr>
        <w:pStyle w:val="7"/>
        <w:spacing w:before="0" w:beforeAutospacing="0" w:after="0" w:afterAutospacing="0" w:line="360" w:lineRule="auto"/>
        <w:ind w:firstLine="422" w:firstLineChars="200"/>
        <w:rPr>
          <w:color w:val="auto"/>
          <w:sz w:val="21"/>
          <w:szCs w:val="21"/>
          <w:highlight w:val="none"/>
        </w:rPr>
      </w:pPr>
      <w:bookmarkStart w:id="1431" w:name="_Toc532377357"/>
      <w:bookmarkStart w:id="1432" w:name="_Toc532375621"/>
      <w:r>
        <w:rPr>
          <w:rFonts w:hint="eastAsia"/>
          <w:color w:val="auto"/>
          <w:sz w:val="21"/>
          <w:szCs w:val="21"/>
          <w:highlight w:val="none"/>
        </w:rPr>
        <w:t>7</w:t>
      </w:r>
      <w:bookmarkStart w:id="1433" w:name="_Toc304295546"/>
      <w:bookmarkStart w:id="1434" w:name="_Toc297123516"/>
      <w:bookmarkStart w:id="1435" w:name="_Toc297216175"/>
      <w:bookmarkStart w:id="1436" w:name="_Toc300934968"/>
      <w:bookmarkStart w:id="1437" w:name="_Toc312677484"/>
      <w:bookmarkStart w:id="1438" w:name="_Toc303539125"/>
      <w:bookmarkStart w:id="1439" w:name="_Toc312678010"/>
      <w:r>
        <w:rPr>
          <w:rFonts w:hint="eastAsia"/>
          <w:color w:val="auto"/>
          <w:sz w:val="21"/>
          <w:szCs w:val="21"/>
          <w:highlight w:val="none"/>
        </w:rPr>
        <w:t>.5 工期延误</w:t>
      </w:r>
      <w:bookmarkEnd w:id="1431"/>
      <w:bookmarkEnd w:id="1432"/>
    </w:p>
    <w:bookmarkEnd w:id="1433"/>
    <w:bookmarkEnd w:id="1434"/>
    <w:bookmarkEnd w:id="1435"/>
    <w:bookmarkEnd w:id="1436"/>
    <w:bookmarkEnd w:id="1437"/>
    <w:bookmarkEnd w:id="1438"/>
    <w:bookmarkEnd w:id="1439"/>
    <w:p w14:paraId="215FF7A9">
      <w:pPr>
        <w:spacing w:line="360" w:lineRule="auto"/>
        <w:ind w:firstLine="420" w:firstLineChars="200"/>
        <w:jc w:val="left"/>
        <w:rPr>
          <w:rFonts w:ascii="宋体" w:hAnsi="宋体"/>
          <w:color w:val="auto"/>
          <w:szCs w:val="21"/>
          <w:highlight w:val="none"/>
        </w:rPr>
      </w:pPr>
      <w:bookmarkStart w:id="1440" w:name="_Hlk528927940"/>
      <w:r>
        <w:rPr>
          <w:rFonts w:hint="eastAsia" w:ascii="宋体" w:hAnsi="宋体"/>
          <w:color w:val="auto"/>
          <w:szCs w:val="21"/>
          <w:highlight w:val="none"/>
        </w:rPr>
        <w:t>7.5.1 因发包人原因导致工期延误：</w:t>
      </w:r>
    </w:p>
    <w:p w14:paraId="7465A1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在合同履行过程中，除通用条款约定外，因下列情况导致工期延误和（或）费用增加的，由发包人承担由此延误的工期和（或）增加的费用：</w:t>
      </w:r>
    </w:p>
    <w:p w14:paraId="23D2B63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（1）发包人未能按合同约定提供施工场地，且该未提供开工条件直接影响项目关键线路的；</w:t>
      </w:r>
    </w:p>
    <w:p w14:paraId="09AACB9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（2）发包人提供的测量基准点、基准线和水准点及其书面资料存在错误或疏漏，且该错误或疏漏直接影响项目关键线路的；</w:t>
      </w:r>
    </w:p>
    <w:p w14:paraId="22A236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（3）监理人未按合同约定发出指示、批准等文件，且该未按合同约定发出指示、批准直接影响项目关键线路的；</w:t>
      </w:r>
    </w:p>
    <w:p w14:paraId="7FEFE4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（4）变更未及时审批，直接影响项目关键线路的；</w:t>
      </w:r>
    </w:p>
    <w:p w14:paraId="6E44C4E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（5）实施变更直接影响项目关键线路的；</w:t>
      </w:r>
    </w:p>
    <w:p w14:paraId="767E74E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（6）因发包人原因导致工程暂停施工、停建、缓建的；</w:t>
      </w:r>
    </w:p>
    <w:p w14:paraId="6730654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（7）因征地拆迁、当地群众阻工等情形的；</w:t>
      </w:r>
    </w:p>
    <w:p w14:paraId="478FB60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（8）</w:t>
      </w:r>
      <w:r>
        <w:rPr>
          <w:rFonts w:hint="eastAsia" w:ascii="宋体" w:hAnsi="宋体"/>
          <w:color w:val="auto"/>
          <w:szCs w:val="21"/>
          <w:highlight w:val="none"/>
          <w:u w:val="single"/>
        </w:rPr>
        <w:t>合同约定的其他情形</w:t>
      </w:r>
      <w:r>
        <w:rPr>
          <w:rFonts w:hint="eastAsia" w:ascii="宋体" w:hAnsi="宋体"/>
          <w:color w:val="auto"/>
          <w:szCs w:val="21"/>
          <w:highlight w:val="none"/>
        </w:rPr>
        <w:t>。</w:t>
      </w:r>
    </w:p>
    <w:p w14:paraId="3871EE2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color w:val="auto"/>
          <w:szCs w:val="21"/>
          <w:highlight w:val="none"/>
        </w:rPr>
        <w:t>。</w:t>
      </w:r>
    </w:p>
    <w:p w14:paraId="06B0ED4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7.5.2 因承包人原因导致工期延误</w:t>
      </w:r>
    </w:p>
    <w:p w14:paraId="164054A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因承包人原因造成工期延误，逾期竣工按16.2.2（6）目执行。</w:t>
      </w:r>
    </w:p>
    <w:bookmarkEnd w:id="1440"/>
    <w:p w14:paraId="134CAE8D">
      <w:pPr>
        <w:pStyle w:val="7"/>
        <w:spacing w:before="0" w:beforeAutospacing="0" w:after="0" w:afterAutospacing="0" w:line="360" w:lineRule="auto"/>
        <w:ind w:firstLine="422" w:firstLineChars="200"/>
        <w:rPr>
          <w:color w:val="auto"/>
          <w:sz w:val="21"/>
          <w:szCs w:val="21"/>
          <w:highlight w:val="none"/>
        </w:rPr>
      </w:pPr>
      <w:bookmarkStart w:id="1441" w:name="_Toc532377358"/>
      <w:bookmarkStart w:id="1442" w:name="_Toc532375622"/>
      <w:bookmarkStart w:id="1443" w:name="_Hlk528927997"/>
      <w:r>
        <w:rPr>
          <w:rFonts w:hint="eastAsia"/>
          <w:color w:val="auto"/>
          <w:sz w:val="21"/>
          <w:szCs w:val="21"/>
          <w:highlight w:val="none"/>
        </w:rPr>
        <w:t>7</w:t>
      </w:r>
      <w:bookmarkStart w:id="1444" w:name="_Toc300934971"/>
      <w:bookmarkStart w:id="1445" w:name="_Toc297216178"/>
      <w:bookmarkStart w:id="1446" w:name="_Toc312678015"/>
      <w:bookmarkStart w:id="1447" w:name="_Toc303539128"/>
      <w:bookmarkStart w:id="1448" w:name="_Toc304295549"/>
      <w:bookmarkStart w:id="1449" w:name="_Toc297123519"/>
      <w:r>
        <w:rPr>
          <w:rFonts w:hint="eastAsia"/>
          <w:color w:val="auto"/>
          <w:sz w:val="21"/>
          <w:szCs w:val="21"/>
          <w:highlight w:val="none"/>
        </w:rPr>
        <w:t>.6 不</w:t>
      </w:r>
      <w:bookmarkEnd w:id="1444"/>
      <w:bookmarkEnd w:id="1445"/>
      <w:bookmarkEnd w:id="1446"/>
      <w:bookmarkEnd w:id="1447"/>
      <w:bookmarkEnd w:id="1448"/>
      <w:bookmarkEnd w:id="1449"/>
      <w:r>
        <w:rPr>
          <w:rFonts w:hint="eastAsia"/>
          <w:color w:val="auto"/>
          <w:sz w:val="21"/>
          <w:szCs w:val="21"/>
          <w:highlight w:val="none"/>
        </w:rPr>
        <w:t>利物质条件</w:t>
      </w:r>
      <w:bookmarkEnd w:id="1441"/>
      <w:bookmarkEnd w:id="1442"/>
    </w:p>
    <w:bookmarkEnd w:id="1443"/>
    <w:p w14:paraId="2E3E6676">
      <w:pPr>
        <w:spacing w:line="360" w:lineRule="auto"/>
        <w:ind w:firstLine="420" w:firstLineChars="200"/>
        <w:jc w:val="left"/>
        <w:rPr>
          <w:rFonts w:ascii="宋体" w:hAnsi="宋体"/>
          <w:bCs/>
          <w:color w:val="auto"/>
          <w:szCs w:val="21"/>
          <w:highlight w:val="none"/>
        </w:rPr>
      </w:pPr>
      <w:bookmarkStart w:id="1450" w:name="_Toc312678016"/>
      <w:bookmarkStart w:id="1451" w:name="_Toc297123520"/>
      <w:bookmarkStart w:id="1452" w:name="_Toc303539129"/>
      <w:bookmarkStart w:id="1453" w:name="_Toc304295550"/>
      <w:bookmarkStart w:id="1454" w:name="_Toc318581172"/>
      <w:bookmarkStart w:id="1455" w:name="_Toc300934972"/>
      <w:bookmarkStart w:id="1456" w:name="_Toc297216179"/>
      <w:r>
        <w:rPr>
          <w:rFonts w:hint="eastAsia" w:ascii="宋体" w:hAnsi="宋体"/>
          <w:color w:val="auto"/>
          <w:szCs w:val="21"/>
          <w:highlight w:val="none"/>
        </w:rPr>
        <w:t>不利物质条件的其他情形和有关约定：</w:t>
      </w:r>
      <w:bookmarkStart w:id="1457" w:name="_Hlk528910274"/>
      <w:r>
        <w:rPr>
          <w:rFonts w:hint="eastAsia" w:ascii="宋体" w:hAnsi="宋体"/>
          <w:color w:val="auto"/>
          <w:szCs w:val="21"/>
          <w:highlight w:val="none"/>
          <w:u w:val="single"/>
          <w:lang w:eastAsia="zh-CN"/>
        </w:rPr>
        <w:t>按相关规定</w:t>
      </w:r>
      <w:r>
        <w:rPr>
          <w:rFonts w:hint="eastAsia" w:ascii="宋体" w:hAnsi="宋体"/>
          <w:color w:val="auto"/>
          <w:szCs w:val="21"/>
          <w:highlight w:val="none"/>
        </w:rPr>
        <w:t>。</w:t>
      </w:r>
    </w:p>
    <w:bookmarkEnd w:id="1450"/>
    <w:bookmarkEnd w:id="1451"/>
    <w:bookmarkEnd w:id="1452"/>
    <w:bookmarkEnd w:id="1453"/>
    <w:bookmarkEnd w:id="1454"/>
    <w:bookmarkEnd w:id="1455"/>
    <w:bookmarkEnd w:id="1456"/>
    <w:bookmarkEnd w:id="1457"/>
    <w:p w14:paraId="4251D11F">
      <w:pPr>
        <w:pStyle w:val="7"/>
        <w:spacing w:before="0" w:beforeAutospacing="0" w:after="0" w:afterAutospacing="0" w:line="360" w:lineRule="auto"/>
        <w:ind w:firstLine="422" w:firstLineChars="200"/>
        <w:rPr>
          <w:color w:val="auto"/>
          <w:sz w:val="21"/>
          <w:szCs w:val="21"/>
          <w:highlight w:val="none"/>
        </w:rPr>
      </w:pPr>
      <w:bookmarkStart w:id="1458" w:name="_Toc532375623"/>
      <w:bookmarkStart w:id="1459" w:name="_Toc532377359"/>
      <w:r>
        <w:rPr>
          <w:rFonts w:hint="eastAsia"/>
          <w:color w:val="auto"/>
          <w:sz w:val="21"/>
          <w:szCs w:val="21"/>
          <w:highlight w:val="none"/>
        </w:rPr>
        <w:t>7</w:t>
      </w:r>
      <w:bookmarkStart w:id="1460" w:name="_Toc297216180"/>
      <w:bookmarkStart w:id="1461" w:name="_Toc300934973"/>
      <w:bookmarkStart w:id="1462" w:name="_Toc304295551"/>
      <w:bookmarkStart w:id="1463" w:name="_Toc312678017"/>
      <w:bookmarkStart w:id="1464" w:name="_Toc303539130"/>
      <w:bookmarkStart w:id="1465" w:name="_Toc297123521"/>
      <w:r>
        <w:rPr>
          <w:rFonts w:hint="eastAsia"/>
          <w:color w:val="auto"/>
          <w:sz w:val="21"/>
          <w:szCs w:val="21"/>
          <w:highlight w:val="none"/>
        </w:rPr>
        <w:t>.7异常恶劣的气候条件</w:t>
      </w:r>
      <w:bookmarkEnd w:id="1458"/>
      <w:bookmarkEnd w:id="1459"/>
    </w:p>
    <w:bookmarkEnd w:id="1460"/>
    <w:bookmarkEnd w:id="1461"/>
    <w:bookmarkEnd w:id="1462"/>
    <w:bookmarkEnd w:id="1463"/>
    <w:bookmarkEnd w:id="1464"/>
    <w:bookmarkEnd w:id="1465"/>
    <w:p w14:paraId="038C80DB">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发包人和承包人同意以下情形视为异常恶劣的气候条件：</w:t>
      </w:r>
      <w:r>
        <w:rPr>
          <w:rFonts w:hint="eastAsia" w:ascii="宋体" w:hAnsi="宋体"/>
          <w:color w:val="auto"/>
          <w:szCs w:val="21"/>
          <w:highlight w:val="none"/>
          <w:u w:val="single"/>
        </w:rPr>
        <w:t>（异常气候是指项目所在地50年以上一遇的罕见气候现象）</w:t>
      </w:r>
      <w:r>
        <w:rPr>
          <w:rFonts w:hint="eastAsia" w:ascii="宋体" w:hAnsi="宋体"/>
          <w:color w:val="auto"/>
          <w:szCs w:val="21"/>
          <w:highlight w:val="none"/>
        </w:rPr>
        <w:t>。</w:t>
      </w:r>
    </w:p>
    <w:p w14:paraId="567C4D41">
      <w:pPr>
        <w:pStyle w:val="7"/>
        <w:spacing w:before="0" w:beforeAutospacing="0" w:after="0" w:afterAutospacing="0" w:line="360" w:lineRule="auto"/>
        <w:ind w:firstLine="422" w:firstLineChars="200"/>
        <w:rPr>
          <w:color w:val="auto"/>
          <w:sz w:val="21"/>
          <w:szCs w:val="21"/>
          <w:highlight w:val="none"/>
        </w:rPr>
      </w:pPr>
      <w:bookmarkStart w:id="1466" w:name="_Toc532375624"/>
      <w:bookmarkStart w:id="1467" w:name="_Toc532377360"/>
      <w:r>
        <w:rPr>
          <w:rFonts w:hint="eastAsia"/>
          <w:color w:val="auto"/>
          <w:sz w:val="21"/>
          <w:szCs w:val="21"/>
          <w:highlight w:val="none"/>
        </w:rPr>
        <w:t>7.9 提前竣工</w:t>
      </w:r>
      <w:bookmarkEnd w:id="1466"/>
      <w:bookmarkEnd w:id="1467"/>
    </w:p>
    <w:p w14:paraId="77DC79B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7.9.1项细化为：</w:t>
      </w:r>
    </w:p>
    <w:p w14:paraId="275786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0510BD4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（2）发包人不得随意要求承包人提前竣工，承包人也不得随意提出提前竣工的建议。如遇特殊情况，确需将工期提前的，发包人和承包人必须采取有效措施，确保工程质量。</w:t>
      </w:r>
    </w:p>
    <w:p w14:paraId="5CB0C68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（3）如果承包人提前竣工，发包人支付奖金的计算方法在合同条款中约定，时间自竣工验收证书中写明的实际竣工日期起至预定的竣工日期止，按天计算。但奖金最高限额不超过项目7.9.2项的限额。</w:t>
      </w:r>
    </w:p>
    <w:p w14:paraId="5786A95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7.9.2 提前竣工的奖励：</w:t>
      </w:r>
      <w:r>
        <w:rPr>
          <w:rFonts w:hint="eastAsia" w:ascii="宋体" w:hAnsi="宋体"/>
          <w:color w:val="auto"/>
          <w:szCs w:val="21"/>
          <w:highlight w:val="none"/>
          <w:u w:val="single"/>
          <w:lang w:eastAsia="zh-CN"/>
        </w:rPr>
        <w:t>无</w:t>
      </w:r>
      <w:r>
        <w:rPr>
          <w:rFonts w:hint="eastAsia" w:ascii="宋体" w:hAnsi="宋体"/>
          <w:color w:val="auto"/>
          <w:szCs w:val="21"/>
          <w:highlight w:val="none"/>
        </w:rPr>
        <w:t>。</w:t>
      </w:r>
    </w:p>
    <w:p w14:paraId="36FF9A7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468" w:name="_Toc532375625"/>
      <w:bookmarkStart w:id="1469" w:name="_Toc351203640"/>
      <w:bookmarkStart w:id="1470" w:name="_Toc532377361"/>
      <w:r>
        <w:rPr>
          <w:rFonts w:hint="eastAsia"/>
          <w:color w:val="auto"/>
          <w:kern w:val="2"/>
          <w:sz w:val="21"/>
          <w:szCs w:val="21"/>
          <w:highlight w:val="none"/>
        </w:rPr>
        <w:t>8. 材料与设备</w:t>
      </w:r>
      <w:bookmarkEnd w:id="1468"/>
      <w:bookmarkEnd w:id="1469"/>
      <w:bookmarkEnd w:id="1470"/>
    </w:p>
    <w:p w14:paraId="3F90A9C8">
      <w:pPr>
        <w:pStyle w:val="7"/>
        <w:spacing w:before="0" w:beforeAutospacing="0" w:after="0" w:afterAutospacing="0" w:line="360" w:lineRule="auto"/>
        <w:ind w:firstLine="422" w:firstLineChars="200"/>
        <w:rPr>
          <w:color w:val="auto"/>
          <w:sz w:val="21"/>
          <w:szCs w:val="21"/>
          <w:highlight w:val="none"/>
        </w:rPr>
      </w:pPr>
      <w:bookmarkStart w:id="1471" w:name="_Toc532375626"/>
      <w:bookmarkStart w:id="1472" w:name="_Toc532377362"/>
      <w:r>
        <w:rPr>
          <w:rFonts w:hint="eastAsia"/>
          <w:color w:val="auto"/>
          <w:sz w:val="21"/>
          <w:szCs w:val="21"/>
          <w:highlight w:val="none"/>
        </w:rPr>
        <w:t>8.1发包人供应材料与工程设备</w:t>
      </w:r>
      <w:bookmarkEnd w:id="1471"/>
      <w:bookmarkEnd w:id="1472"/>
    </w:p>
    <w:p w14:paraId="4FC2552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材料的名称、规格、数量和价格：</w:t>
      </w:r>
      <w:r>
        <w:rPr>
          <w:rFonts w:hint="eastAsia" w:ascii="宋体" w:hAnsi="宋体"/>
          <w:color w:val="auto"/>
          <w:szCs w:val="21"/>
          <w:highlight w:val="none"/>
          <w:u w:val="single"/>
        </w:rPr>
        <w:t>发包人应提供甲供材料的明细表，结算时按经监理人、承包人共同确认的供应数量乘以</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时甲供材料暂定价格，在支付工程款时扣除</w:t>
      </w:r>
      <w:r>
        <w:rPr>
          <w:rFonts w:hint="eastAsia" w:ascii="宋体" w:hAnsi="宋体"/>
          <w:color w:val="auto"/>
          <w:szCs w:val="21"/>
          <w:highlight w:val="none"/>
        </w:rPr>
        <w:t>。</w:t>
      </w:r>
    </w:p>
    <w:p w14:paraId="179CA1F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color w:val="auto"/>
          <w:szCs w:val="21"/>
          <w:highlight w:val="none"/>
        </w:rPr>
        <w:t>。</w:t>
      </w:r>
    </w:p>
    <w:p w14:paraId="7E8AAEAF">
      <w:pPr>
        <w:pStyle w:val="7"/>
        <w:spacing w:before="0" w:beforeAutospacing="0" w:after="0" w:afterAutospacing="0" w:line="360" w:lineRule="auto"/>
        <w:ind w:firstLine="422" w:firstLineChars="200"/>
        <w:rPr>
          <w:color w:val="auto"/>
          <w:sz w:val="21"/>
          <w:szCs w:val="21"/>
          <w:highlight w:val="none"/>
        </w:rPr>
      </w:pPr>
      <w:bookmarkStart w:id="1473" w:name="_Toc351203554"/>
      <w:bookmarkStart w:id="1474" w:name="_Toc532377363"/>
      <w:bookmarkStart w:id="1475" w:name="_Toc532375627"/>
      <w:r>
        <w:rPr>
          <w:rFonts w:hint="eastAsia"/>
          <w:color w:val="auto"/>
          <w:sz w:val="21"/>
          <w:szCs w:val="21"/>
          <w:highlight w:val="none"/>
        </w:rPr>
        <w:t>8</w:t>
      </w:r>
      <w:bookmarkStart w:id="1476" w:name="_Toc296503060"/>
      <w:bookmarkStart w:id="1477" w:name="_Toc296346561"/>
      <w:bookmarkStart w:id="1478" w:name="_Toc337558778"/>
      <w:r>
        <w:rPr>
          <w:rFonts w:hint="eastAsia"/>
          <w:color w:val="auto"/>
          <w:sz w:val="21"/>
          <w:szCs w:val="21"/>
          <w:highlight w:val="none"/>
        </w:rPr>
        <w:t>.2 承包人采购材料与工程设备</w:t>
      </w:r>
      <w:bookmarkEnd w:id="1473"/>
      <w:bookmarkEnd w:id="1474"/>
      <w:bookmarkEnd w:id="1475"/>
    </w:p>
    <w:bookmarkEnd w:id="1476"/>
    <w:bookmarkEnd w:id="1477"/>
    <w:bookmarkEnd w:id="1478"/>
    <w:p w14:paraId="6AF8D79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8.2.1承包人负责采购、运输和保管的材料、工程设备：</w:t>
      </w:r>
      <w:r>
        <w:rPr>
          <w:rFonts w:hint="eastAsia" w:ascii="宋体" w:hAnsi="宋体"/>
          <w:color w:val="auto"/>
          <w:szCs w:val="21"/>
          <w:highlight w:val="none"/>
          <w:u w:val="single"/>
        </w:rPr>
        <w:t>由承包人自行采购。承包人采购材料设备必须经监理人和发包人批准，结算时由监理人和发包人按</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文件规定审核的数量和合同约定</w:t>
      </w:r>
      <w:r>
        <w:rPr>
          <w:rFonts w:ascii="宋体" w:hAnsi="宋体"/>
          <w:color w:val="auto"/>
          <w:szCs w:val="21"/>
          <w:highlight w:val="none"/>
          <w:u w:val="single"/>
        </w:rPr>
        <w:t>价格</w:t>
      </w:r>
      <w:r>
        <w:rPr>
          <w:rFonts w:hint="eastAsia" w:ascii="宋体" w:hAnsi="宋体"/>
          <w:color w:val="auto"/>
          <w:szCs w:val="21"/>
          <w:highlight w:val="none"/>
          <w:u w:val="single"/>
        </w:rPr>
        <w:t>计算</w:t>
      </w:r>
      <w:r>
        <w:rPr>
          <w:rFonts w:hint="eastAsia" w:ascii="宋体" w:hAnsi="宋体"/>
          <w:color w:val="auto"/>
          <w:szCs w:val="21"/>
          <w:highlight w:val="none"/>
        </w:rPr>
        <w:t>。</w:t>
      </w:r>
    </w:p>
    <w:p w14:paraId="193AB79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8.2.2承包人报送监理人审批的时间：</w:t>
      </w:r>
      <w:r>
        <w:rPr>
          <w:rFonts w:hint="eastAsia" w:ascii="宋体" w:hAnsi="宋体"/>
          <w:color w:val="auto"/>
          <w:szCs w:val="21"/>
          <w:highlight w:val="none"/>
          <w:u w:val="single"/>
        </w:rPr>
        <w:t>按发包人及监理单位的相关规定执行</w:t>
      </w:r>
      <w:r>
        <w:rPr>
          <w:rFonts w:hint="eastAsia" w:ascii="宋体" w:hAnsi="宋体"/>
          <w:color w:val="auto"/>
          <w:szCs w:val="21"/>
          <w:highlight w:val="none"/>
        </w:rPr>
        <w:t>。</w:t>
      </w:r>
    </w:p>
    <w:p w14:paraId="2FFF516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8.2.3承包人选择的生产厂家或供应商满足下列条件：</w:t>
      </w:r>
    </w:p>
    <w:p w14:paraId="081B4BF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A.承包人选择的混凝土供应商应满足下列条件：</w:t>
      </w:r>
      <w:r>
        <w:rPr>
          <w:rFonts w:hint="eastAsia" w:ascii="宋体" w:hAnsi="宋体"/>
          <w:color w:val="auto"/>
          <w:szCs w:val="21"/>
          <w:highlight w:val="none"/>
          <w:u w:val="single"/>
          <w:lang w:eastAsia="zh-CN"/>
        </w:rPr>
        <w:t>符合相关规定</w:t>
      </w:r>
      <w:r>
        <w:rPr>
          <w:rFonts w:hint="eastAsia" w:ascii="宋体" w:hAnsi="宋体"/>
          <w:color w:val="auto"/>
          <w:szCs w:val="21"/>
          <w:highlight w:val="none"/>
        </w:rPr>
        <w:t>；</w:t>
      </w:r>
    </w:p>
    <w:p w14:paraId="73E286C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B.承包人选择的钢材供应商应满足下列条件：</w:t>
      </w:r>
      <w:r>
        <w:rPr>
          <w:rFonts w:hint="eastAsia" w:ascii="宋体" w:hAnsi="宋体"/>
          <w:color w:val="auto"/>
          <w:szCs w:val="21"/>
          <w:highlight w:val="none"/>
          <w:u w:val="single"/>
          <w:lang w:eastAsia="zh-CN"/>
        </w:rPr>
        <w:t>符合相关规定</w:t>
      </w:r>
      <w:r>
        <w:rPr>
          <w:rFonts w:hint="eastAsia" w:ascii="宋体" w:hAnsi="宋体"/>
          <w:color w:val="auto"/>
          <w:szCs w:val="21"/>
          <w:highlight w:val="none"/>
        </w:rPr>
        <w:t>；</w:t>
      </w:r>
    </w:p>
    <w:p w14:paraId="51A19C4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C.承包人选择的水泥供应商应满足下列条件：</w:t>
      </w:r>
      <w:r>
        <w:rPr>
          <w:rFonts w:hint="eastAsia" w:ascii="宋体" w:hAnsi="宋体"/>
          <w:color w:val="auto"/>
          <w:szCs w:val="21"/>
          <w:highlight w:val="none"/>
          <w:u w:val="single"/>
          <w:lang w:eastAsia="zh-CN"/>
        </w:rPr>
        <w:t>符合相关规定</w:t>
      </w:r>
      <w:r>
        <w:rPr>
          <w:rFonts w:hint="eastAsia" w:ascii="宋体" w:hAnsi="宋体"/>
          <w:color w:val="auto"/>
          <w:szCs w:val="21"/>
          <w:highlight w:val="none"/>
        </w:rPr>
        <w:t>；</w:t>
      </w:r>
    </w:p>
    <w:p w14:paraId="2A50EE8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D.承包人采购的材料与设计或标准要求不符时，承包人应按发包人和监理人要求的时间运出施工场地，并重新采购符合要求的产品，并承担由此发生的费用，因此延误的工期不予顺延。</w:t>
      </w:r>
    </w:p>
    <w:p w14:paraId="457B4D7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E.承包人采购的材料在使用前，应按发包人和监理人的要求进行检验或试验，不合格的不得使用。</w:t>
      </w:r>
    </w:p>
    <w:p w14:paraId="0ADD01B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7B98003">
      <w:pPr>
        <w:pStyle w:val="7"/>
        <w:spacing w:before="0" w:beforeAutospacing="0" w:after="0" w:afterAutospacing="0" w:line="360" w:lineRule="auto"/>
        <w:ind w:firstLine="422" w:firstLineChars="200"/>
        <w:rPr>
          <w:color w:val="auto"/>
          <w:sz w:val="21"/>
          <w:szCs w:val="21"/>
          <w:highlight w:val="none"/>
        </w:rPr>
      </w:pPr>
      <w:bookmarkStart w:id="1479" w:name="_Toc532375628"/>
      <w:bookmarkStart w:id="1480" w:name="_Toc532377364"/>
      <w:r>
        <w:rPr>
          <w:rFonts w:hint="eastAsia"/>
          <w:color w:val="auto"/>
          <w:sz w:val="21"/>
          <w:szCs w:val="21"/>
          <w:highlight w:val="none"/>
        </w:rPr>
        <w:t>8</w:t>
      </w:r>
      <w:bookmarkStart w:id="1481" w:name="_Toc304295556"/>
      <w:bookmarkStart w:id="1482" w:name="_Toc297048353"/>
      <w:bookmarkStart w:id="1483" w:name="_Toc296944506"/>
      <w:bookmarkStart w:id="1484" w:name="_Toc280868654"/>
      <w:bookmarkStart w:id="1485" w:name="_Toc296503167"/>
      <w:bookmarkStart w:id="1486" w:name="_Toc303539136"/>
      <w:bookmarkStart w:id="1487" w:name="_Toc292559877"/>
      <w:bookmarkStart w:id="1488" w:name="_Toc312678019"/>
      <w:bookmarkStart w:id="1489" w:name="_Toc292559372"/>
      <w:bookmarkStart w:id="1490" w:name="_Toc296891207"/>
      <w:bookmarkStart w:id="1491" w:name="_Toc297216186"/>
      <w:bookmarkStart w:id="1492" w:name="_Toc296890995"/>
      <w:bookmarkStart w:id="1493" w:name="_Toc312677493"/>
      <w:bookmarkStart w:id="1494" w:name="_Toc297120467"/>
      <w:bookmarkStart w:id="1495" w:name="_Toc296347166"/>
      <w:bookmarkStart w:id="1496" w:name="_Toc296346668"/>
      <w:bookmarkStart w:id="1497" w:name="_Toc300934979"/>
      <w:bookmarkStart w:id="1498" w:name="_Toc297123527"/>
      <w:bookmarkStart w:id="1499" w:name="_Toc280868656"/>
      <w:bookmarkStart w:id="1500" w:name="_Toc267251424"/>
      <w:bookmarkStart w:id="1501" w:name="_Toc280868655"/>
      <w:r>
        <w:rPr>
          <w:rFonts w:hint="eastAsia"/>
          <w:color w:val="auto"/>
          <w:sz w:val="21"/>
          <w:szCs w:val="21"/>
          <w:highlight w:val="none"/>
        </w:rPr>
        <w:t>.4 材料与工程设备的保管与使用</w:t>
      </w:r>
      <w:bookmarkEnd w:id="1479"/>
      <w:bookmarkEnd w:id="1480"/>
    </w:p>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14:paraId="089E74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w:t>
      </w:r>
      <w:bookmarkStart w:id="1502" w:name="_Toc292559878"/>
      <w:bookmarkStart w:id="1503" w:name="_Toc292559373"/>
      <w:bookmarkStart w:id="1504" w:name="_Toc300934980"/>
      <w:bookmarkStart w:id="1505" w:name="_Toc304295557"/>
      <w:bookmarkStart w:id="1506" w:name="_Toc296891208"/>
      <w:bookmarkStart w:id="1507" w:name="_Toc296346669"/>
      <w:bookmarkStart w:id="1508" w:name="_Toc303539137"/>
      <w:bookmarkStart w:id="1509" w:name="_Toc297123528"/>
      <w:bookmarkStart w:id="1510" w:name="_Toc297120468"/>
      <w:bookmarkStart w:id="1511" w:name="_Toc318581173"/>
      <w:bookmarkStart w:id="1512" w:name="_Toc297216187"/>
      <w:bookmarkStart w:id="1513" w:name="_Toc297048354"/>
      <w:bookmarkStart w:id="1514" w:name="_Toc296347167"/>
      <w:bookmarkStart w:id="1515" w:name="_Toc296944507"/>
      <w:bookmarkStart w:id="1516" w:name="_Toc312678020"/>
      <w:bookmarkStart w:id="1517" w:name="_Toc296890996"/>
      <w:bookmarkStart w:id="1518" w:name="_Toc312677494"/>
      <w:bookmarkStart w:id="1519" w:name="_Toc296503168"/>
      <w:r>
        <w:rPr>
          <w:rFonts w:hint="eastAsia" w:ascii="宋体" w:hAnsi="宋体"/>
          <w:color w:val="auto"/>
          <w:szCs w:val="21"/>
          <w:highlight w:val="none"/>
        </w:rPr>
        <w:t>.4.1 发包人供应的材料设备的保管费用的承担：</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承包商承担</w:t>
      </w:r>
      <w:r>
        <w:rPr>
          <w:rFonts w:hint="eastAsia" w:ascii="宋体" w:hAnsi="宋体"/>
          <w:color w:val="auto"/>
          <w:szCs w:val="21"/>
          <w:highlight w:val="none"/>
          <w:u w:val="single"/>
        </w:rPr>
        <w:t xml:space="preserve">  </w:t>
      </w:r>
      <w:r>
        <w:rPr>
          <w:rFonts w:hint="eastAsia" w:ascii="宋体" w:hAnsi="宋体"/>
          <w:color w:val="auto"/>
          <w:szCs w:val="21"/>
          <w:highlight w:val="none"/>
        </w:rPr>
        <w:t>。</w:t>
      </w:r>
      <w:bookmarkEnd w:id="1502"/>
      <w:bookmarkEnd w:id="1503"/>
    </w:p>
    <w:p w14:paraId="0D6C3D53">
      <w:pPr>
        <w:pStyle w:val="7"/>
        <w:spacing w:before="0" w:beforeAutospacing="0" w:after="0" w:afterAutospacing="0" w:line="360" w:lineRule="auto"/>
        <w:ind w:firstLine="422" w:firstLineChars="200"/>
        <w:rPr>
          <w:color w:val="auto"/>
          <w:sz w:val="21"/>
          <w:szCs w:val="21"/>
          <w:highlight w:val="none"/>
        </w:rPr>
      </w:pPr>
      <w:bookmarkStart w:id="1520" w:name="_Toc532375629"/>
      <w:bookmarkStart w:id="1521" w:name="_Toc532377365"/>
      <w:r>
        <w:rPr>
          <w:rFonts w:hint="eastAsia"/>
          <w:color w:val="auto"/>
          <w:sz w:val="21"/>
          <w:szCs w:val="21"/>
          <w:highlight w:val="none"/>
        </w:rPr>
        <w:t>8.6 样品</w:t>
      </w:r>
      <w:bookmarkEnd w:id="1520"/>
      <w:bookmarkEnd w:id="1521"/>
    </w:p>
    <w:p w14:paraId="0B9549D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8.6.1 样品的报送与封存</w:t>
      </w:r>
    </w:p>
    <w:p w14:paraId="05383A4D">
      <w:pPr>
        <w:spacing w:line="360" w:lineRule="auto"/>
        <w:ind w:firstLine="420" w:firstLineChars="200"/>
        <w:jc w:val="left"/>
        <w:rPr>
          <w:rFonts w:hint="eastAsia" w:ascii="宋体" w:hAnsi="宋体"/>
          <w:color w:val="auto"/>
          <w:szCs w:val="21"/>
          <w:highlight w:val="none"/>
          <w:u w:val="single"/>
          <w:lang w:eastAsia="zh-CN"/>
        </w:rPr>
      </w:pPr>
      <w:r>
        <w:rPr>
          <w:rFonts w:hint="eastAsia" w:ascii="宋体" w:hAnsi="宋体"/>
          <w:color w:val="auto"/>
          <w:szCs w:val="21"/>
          <w:highlight w:val="none"/>
        </w:rPr>
        <w:t>需要承包人报送样品的材料或工程设备，样品的种类、名称、规格、数量要求：</w:t>
      </w:r>
      <w:r>
        <w:rPr>
          <w:rFonts w:hint="eastAsia" w:ascii="宋体" w:hAnsi="宋体"/>
          <w:color w:val="auto"/>
          <w:szCs w:val="21"/>
          <w:highlight w:val="none"/>
          <w:u w:val="single"/>
          <w:lang w:val="en-US" w:eastAsia="zh-CN"/>
        </w:rPr>
        <w:t xml:space="preserve">所有样品均送样品 </w:t>
      </w:r>
    </w:p>
    <w:p w14:paraId="6AF77E18">
      <w:pPr>
        <w:spacing w:line="360" w:lineRule="auto"/>
        <w:ind w:firstLine="420" w:firstLineChars="200"/>
        <w:jc w:val="left"/>
        <w:rPr>
          <w:rFonts w:hint="eastAsia" w:ascii="宋体" w:hAnsi="宋体"/>
          <w:color w:val="auto"/>
          <w:szCs w:val="21"/>
          <w:highlight w:val="none"/>
          <w:u w:val="single"/>
          <w:lang w:eastAsia="zh-CN"/>
        </w:rPr>
      </w:pPr>
      <w:r>
        <w:rPr>
          <w:rFonts w:hint="eastAsia" w:ascii="宋体" w:hAnsi="宋体"/>
          <w:color w:val="auto"/>
          <w:szCs w:val="21"/>
          <w:highlight w:val="none"/>
          <w:u w:val="single"/>
          <w:lang w:val="en-US" w:eastAsia="zh-CN"/>
        </w:rPr>
        <w:t>两份，由发包方认可后当面封存在发包方现场办公室封存</w:t>
      </w:r>
      <w:r>
        <w:rPr>
          <w:rFonts w:hint="eastAsia" w:ascii="宋体" w:hAnsi="宋体"/>
          <w:color w:val="auto"/>
          <w:szCs w:val="21"/>
          <w:highlight w:val="none"/>
          <w:u w:val="single"/>
          <w:lang w:eastAsia="zh-CN"/>
        </w:rPr>
        <w:t>。</w:t>
      </w:r>
    </w:p>
    <w:p w14:paraId="00F7C062">
      <w:pPr>
        <w:pStyle w:val="7"/>
        <w:spacing w:before="0" w:beforeAutospacing="0" w:after="0" w:afterAutospacing="0" w:line="360" w:lineRule="auto"/>
        <w:ind w:firstLine="422" w:firstLineChars="200"/>
        <w:rPr>
          <w:color w:val="auto"/>
          <w:sz w:val="21"/>
          <w:szCs w:val="21"/>
          <w:highlight w:val="none"/>
        </w:rPr>
      </w:pPr>
      <w:bookmarkStart w:id="1522" w:name="_Toc532375630"/>
      <w:bookmarkStart w:id="1523" w:name="_Toc532377366"/>
      <w:r>
        <w:rPr>
          <w:rFonts w:hint="eastAsia"/>
          <w:color w:val="auto"/>
          <w:sz w:val="21"/>
          <w:szCs w:val="21"/>
          <w:highlight w:val="none"/>
        </w:rPr>
        <w:t>8.8 施工设备和临时设施</w:t>
      </w:r>
      <w:bookmarkEnd w:id="1522"/>
      <w:bookmarkEnd w:id="1523"/>
    </w:p>
    <w:p w14:paraId="4C3EA909">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8.8.1 承包人提供的施工设备和临时设施</w:t>
      </w:r>
    </w:p>
    <w:p w14:paraId="0D8AC10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关于修建临时设施费用承担的约定：</w:t>
      </w:r>
      <w:r>
        <w:rPr>
          <w:rFonts w:hint="eastAsia" w:ascii="宋体" w:hAnsi="宋体"/>
          <w:color w:val="auto"/>
          <w:szCs w:val="21"/>
          <w:highlight w:val="none"/>
          <w:u w:val="single"/>
        </w:rPr>
        <w:t>由承包人承担</w:t>
      </w:r>
      <w:r>
        <w:rPr>
          <w:rFonts w:hint="eastAsia" w:ascii="宋体" w:hAnsi="宋体"/>
          <w:color w:val="auto"/>
          <w:szCs w:val="21"/>
          <w:highlight w:val="none"/>
        </w:rPr>
        <w:t>。</w:t>
      </w:r>
    </w:p>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14:paraId="292DAEC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24" w:name="_Toc532375631"/>
      <w:bookmarkStart w:id="1525" w:name="_Toc351203641"/>
      <w:bookmarkStart w:id="1526" w:name="_Toc532377367"/>
      <w:r>
        <w:rPr>
          <w:rFonts w:hint="eastAsia"/>
          <w:color w:val="auto"/>
          <w:kern w:val="2"/>
          <w:sz w:val="21"/>
          <w:szCs w:val="21"/>
          <w:highlight w:val="none"/>
        </w:rPr>
        <w:t>9</w:t>
      </w:r>
      <w:bookmarkEnd w:id="1499"/>
      <w:bookmarkEnd w:id="1500"/>
      <w:bookmarkEnd w:id="1501"/>
      <w:bookmarkStart w:id="1527" w:name="_Toc304295559"/>
      <w:bookmarkStart w:id="1528" w:name="_Toc312677495"/>
      <w:bookmarkStart w:id="1529" w:name="_Toc297216192"/>
      <w:bookmarkStart w:id="1530" w:name="_Toc297123533"/>
      <w:bookmarkStart w:id="1531" w:name="_Toc312678021"/>
      <w:bookmarkStart w:id="1532" w:name="_Toc300934982"/>
      <w:bookmarkStart w:id="1533" w:name="_Toc303539139"/>
      <w:r>
        <w:rPr>
          <w:rFonts w:hint="eastAsia"/>
          <w:color w:val="auto"/>
          <w:kern w:val="2"/>
          <w:sz w:val="21"/>
          <w:szCs w:val="21"/>
          <w:highlight w:val="none"/>
        </w:rPr>
        <w:t>. 试验与检验</w:t>
      </w:r>
      <w:bookmarkEnd w:id="1524"/>
      <w:bookmarkEnd w:id="1525"/>
      <w:bookmarkEnd w:id="1526"/>
    </w:p>
    <w:bookmarkEnd w:id="1527"/>
    <w:bookmarkEnd w:id="1528"/>
    <w:bookmarkEnd w:id="1529"/>
    <w:bookmarkEnd w:id="1530"/>
    <w:bookmarkEnd w:id="1531"/>
    <w:bookmarkEnd w:id="1532"/>
    <w:bookmarkEnd w:id="1533"/>
    <w:p w14:paraId="6E65500D">
      <w:pPr>
        <w:pStyle w:val="7"/>
        <w:spacing w:before="0" w:beforeAutospacing="0" w:after="0" w:afterAutospacing="0" w:line="360" w:lineRule="auto"/>
        <w:ind w:firstLine="422" w:firstLineChars="200"/>
        <w:rPr>
          <w:color w:val="auto"/>
          <w:sz w:val="21"/>
          <w:szCs w:val="21"/>
          <w:highlight w:val="none"/>
        </w:rPr>
      </w:pPr>
      <w:bookmarkStart w:id="1534" w:name="_Toc532375632"/>
      <w:bookmarkStart w:id="1535" w:name="_Toc532377368"/>
      <w:r>
        <w:rPr>
          <w:rFonts w:hint="eastAsia"/>
          <w:color w:val="auto"/>
          <w:sz w:val="21"/>
          <w:szCs w:val="21"/>
          <w:highlight w:val="none"/>
        </w:rPr>
        <w:t>9</w:t>
      </w:r>
      <w:bookmarkStart w:id="1536" w:name="_Toc312678022"/>
      <w:bookmarkStart w:id="1537" w:name="_Toc297216193"/>
      <w:bookmarkStart w:id="1538" w:name="_Toc304295560"/>
      <w:bookmarkStart w:id="1539" w:name="_Toc297123534"/>
      <w:bookmarkStart w:id="1540" w:name="_Toc312677496"/>
      <w:bookmarkStart w:id="1541" w:name="_Toc300934983"/>
      <w:bookmarkStart w:id="1542" w:name="_Toc303539140"/>
      <w:r>
        <w:rPr>
          <w:rFonts w:hint="eastAsia"/>
          <w:color w:val="auto"/>
          <w:sz w:val="21"/>
          <w:szCs w:val="21"/>
          <w:highlight w:val="none"/>
        </w:rPr>
        <w:t>.1 试验设备与试验人员</w:t>
      </w:r>
      <w:bookmarkEnd w:id="1534"/>
      <w:bookmarkEnd w:id="1535"/>
    </w:p>
    <w:bookmarkEnd w:id="1536"/>
    <w:bookmarkEnd w:id="1537"/>
    <w:bookmarkEnd w:id="1538"/>
    <w:bookmarkEnd w:id="1539"/>
    <w:bookmarkEnd w:id="1540"/>
    <w:bookmarkEnd w:id="1541"/>
    <w:bookmarkEnd w:id="1542"/>
    <w:p w14:paraId="14F949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w:t>
      </w:r>
      <w:bookmarkStart w:id="1543" w:name="_Toc312677497"/>
      <w:bookmarkStart w:id="1544" w:name="_Toc312678023"/>
      <w:bookmarkStart w:id="1545" w:name="_Toc297216194"/>
      <w:bookmarkStart w:id="1546" w:name="_Toc300934984"/>
      <w:bookmarkStart w:id="1547" w:name="_Toc297123535"/>
      <w:bookmarkStart w:id="1548" w:name="_Toc303539141"/>
      <w:bookmarkStart w:id="1549" w:name="_Toc304295561"/>
      <w:bookmarkStart w:id="1550" w:name="_Toc318581174"/>
      <w:r>
        <w:rPr>
          <w:rFonts w:hint="eastAsia" w:ascii="宋体" w:hAnsi="宋体"/>
          <w:color w:val="auto"/>
          <w:szCs w:val="21"/>
          <w:highlight w:val="none"/>
        </w:rPr>
        <w:t>.1.2 试验设备</w:t>
      </w:r>
    </w:p>
    <w:p w14:paraId="1203B5E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施工现场需要配置的试验场所：</w:t>
      </w:r>
      <w:bookmarkEnd w:id="1543"/>
      <w:bookmarkEnd w:id="1544"/>
      <w:bookmarkEnd w:id="1545"/>
      <w:bookmarkEnd w:id="1546"/>
      <w:bookmarkEnd w:id="1547"/>
      <w:bookmarkEnd w:id="1548"/>
      <w:bookmarkEnd w:id="1549"/>
      <w:bookmarkStart w:id="1551" w:name="_Toc297123536"/>
      <w:bookmarkStart w:id="1552" w:name="_Toc300934985"/>
      <w:bookmarkStart w:id="1553" w:name="_Toc312678024"/>
      <w:bookmarkStart w:id="1554" w:name="_Toc312677498"/>
      <w:bookmarkStart w:id="1555" w:name="_Toc303539142"/>
      <w:bookmarkStart w:id="1556" w:name="_Toc304295562"/>
      <w:bookmarkStart w:id="1557" w:name="_Toc297216195"/>
      <w:r>
        <w:rPr>
          <w:rFonts w:hint="eastAsia" w:ascii="宋体" w:hAnsi="宋体"/>
          <w:color w:val="auto"/>
          <w:szCs w:val="21"/>
          <w:highlight w:val="none"/>
          <w:u w:val="single"/>
        </w:rPr>
        <w:t>满足工程施工的需要</w:t>
      </w:r>
      <w:r>
        <w:rPr>
          <w:rFonts w:hint="eastAsia" w:ascii="宋体" w:hAnsi="宋体"/>
          <w:color w:val="auto"/>
          <w:szCs w:val="21"/>
          <w:highlight w:val="none"/>
        </w:rPr>
        <w:t>。</w:t>
      </w:r>
    </w:p>
    <w:p w14:paraId="2D761C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施工现场需要配备的试验设备：</w:t>
      </w:r>
      <w:r>
        <w:rPr>
          <w:rFonts w:hint="eastAsia" w:ascii="宋体" w:hAnsi="宋体"/>
          <w:color w:val="auto"/>
          <w:szCs w:val="21"/>
          <w:highlight w:val="none"/>
          <w:u w:val="single"/>
        </w:rPr>
        <w:t>满足工程施工的需要</w:t>
      </w:r>
      <w:r>
        <w:rPr>
          <w:rFonts w:hint="eastAsia" w:ascii="宋体" w:hAnsi="宋体"/>
          <w:color w:val="auto"/>
          <w:szCs w:val="21"/>
          <w:highlight w:val="none"/>
        </w:rPr>
        <w:t>。</w:t>
      </w:r>
    </w:p>
    <w:p w14:paraId="52D0E46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施工现场需要具备的其他试验条件：</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满足相关规定</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943E9E7">
      <w:pPr>
        <w:pStyle w:val="7"/>
        <w:spacing w:before="0" w:beforeAutospacing="0" w:after="0" w:afterAutospacing="0" w:line="360" w:lineRule="auto"/>
        <w:ind w:firstLine="422" w:firstLineChars="200"/>
        <w:rPr>
          <w:color w:val="auto"/>
          <w:sz w:val="21"/>
          <w:szCs w:val="21"/>
          <w:highlight w:val="none"/>
        </w:rPr>
      </w:pPr>
      <w:bookmarkStart w:id="1558" w:name="_Toc532375633"/>
      <w:bookmarkStart w:id="1559" w:name="_Toc532377369"/>
      <w:r>
        <w:rPr>
          <w:rFonts w:hint="eastAsia"/>
          <w:color w:val="auto"/>
          <w:sz w:val="21"/>
          <w:szCs w:val="21"/>
          <w:highlight w:val="none"/>
        </w:rPr>
        <w:t>9.4 现场工艺试验</w:t>
      </w:r>
      <w:bookmarkEnd w:id="1558"/>
      <w:bookmarkEnd w:id="1559"/>
    </w:p>
    <w:p w14:paraId="342DCE7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本款补充9.4.1～9.4.5项：</w:t>
      </w:r>
    </w:p>
    <w:bookmarkEnd w:id="1550"/>
    <w:bookmarkEnd w:id="1551"/>
    <w:bookmarkEnd w:id="1552"/>
    <w:bookmarkEnd w:id="1553"/>
    <w:bookmarkEnd w:id="1554"/>
    <w:bookmarkEnd w:id="1555"/>
    <w:bookmarkEnd w:id="1556"/>
    <w:bookmarkEnd w:id="1557"/>
    <w:p w14:paraId="6E06C2A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9.4.1一般检验试验：</w:t>
      </w:r>
    </w:p>
    <w:p w14:paraId="6ECF5C75">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2283AD2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59A05BC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9.4.2特殊检验试验：</w:t>
      </w:r>
    </w:p>
    <w:p w14:paraId="0D548C1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31D9ABE3">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发包人委托的第三方检测试验机构检测试验的试件所需的材料、取样、送检及相关配合工作由承包人负责完成并承担由此产生的所有相关费用。</w:t>
      </w:r>
    </w:p>
    <w:p w14:paraId="205BD28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（2）施工措施的检测、试验：因施工措施需要而做的相关检测、试验由承包人负责实施，其费用由承包人承担。</w:t>
      </w:r>
    </w:p>
    <w:p w14:paraId="4CA5365F">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9.4.3专项检测：</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AE06713">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9.4.4若因承包人取样、制样、送检及相关配合不及时而导致工程的工期和费用增加，影响的工期不予延长，增加费用由承包人承担。</w:t>
      </w:r>
    </w:p>
    <w:p w14:paraId="40A19E8F">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9.4.5检测试验不合格的项目，其缺陷处理和复测费用由承包人承担，工期不予延长。</w:t>
      </w:r>
    </w:p>
    <w:bookmarkEnd w:id="1396"/>
    <w:bookmarkEnd w:id="1397"/>
    <w:bookmarkEnd w:id="1398"/>
    <w:bookmarkEnd w:id="1399"/>
    <w:bookmarkEnd w:id="1400"/>
    <w:bookmarkEnd w:id="1401"/>
    <w:bookmarkEnd w:id="1402"/>
    <w:bookmarkEnd w:id="1403"/>
    <w:bookmarkEnd w:id="1404"/>
    <w:bookmarkEnd w:id="1405"/>
    <w:bookmarkEnd w:id="1406"/>
    <w:bookmarkEnd w:id="1407"/>
    <w:bookmarkEnd w:id="1408"/>
    <w:p w14:paraId="72B1DC8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560" w:name="_Toc532375634"/>
      <w:bookmarkStart w:id="1561" w:name="_Toc532377370"/>
      <w:bookmarkStart w:id="1562" w:name="_Toc267251488"/>
      <w:bookmarkStart w:id="1563" w:name="_Toc267251484"/>
      <w:bookmarkStart w:id="1564" w:name="_Toc267251490"/>
      <w:bookmarkStart w:id="1565" w:name="_Toc267251485"/>
      <w:bookmarkStart w:id="1566" w:name="_Toc267251486"/>
      <w:bookmarkStart w:id="1567" w:name="_Toc267251482"/>
      <w:bookmarkStart w:id="1568" w:name="_Hlk524298112"/>
      <w:bookmarkStart w:id="1569" w:name="_Toc267251489"/>
      <w:bookmarkStart w:id="1570" w:name="_Toc267251509"/>
      <w:bookmarkStart w:id="1571" w:name="_Toc267251504"/>
      <w:bookmarkStart w:id="1572" w:name="_Toc267251514"/>
      <w:bookmarkStart w:id="1573" w:name="_Toc267251508"/>
      <w:bookmarkStart w:id="1574" w:name="_Toc267251501"/>
      <w:bookmarkStart w:id="1575" w:name="_Toc267251499"/>
      <w:bookmarkStart w:id="1576" w:name="_Toc267251507"/>
      <w:bookmarkStart w:id="1577" w:name="_Toc267251492"/>
      <w:bookmarkStart w:id="1578" w:name="_Toc267251497"/>
      <w:bookmarkStart w:id="1579" w:name="_Toc267251491"/>
      <w:bookmarkStart w:id="1580" w:name="_Toc267251496"/>
      <w:bookmarkStart w:id="1581" w:name="_Toc267251502"/>
      <w:bookmarkStart w:id="1582" w:name="_Toc267251493"/>
      <w:bookmarkStart w:id="1583" w:name="_Toc267251510"/>
      <w:bookmarkStart w:id="1584" w:name="_Toc267251515"/>
      <w:bookmarkStart w:id="1585" w:name="_Toc267251498"/>
      <w:bookmarkStart w:id="1586" w:name="_Toc267251513"/>
      <w:bookmarkStart w:id="1587" w:name="_Toc267251511"/>
      <w:bookmarkStart w:id="1588" w:name="_Toc267251506"/>
      <w:bookmarkStart w:id="1589" w:name="_Toc267251494"/>
      <w:bookmarkStart w:id="1590" w:name="_Toc267251495"/>
      <w:bookmarkStart w:id="1591" w:name="_Toc267251503"/>
      <w:r>
        <w:rPr>
          <w:rFonts w:hint="eastAsia"/>
          <w:color w:val="auto"/>
          <w:kern w:val="2"/>
          <w:sz w:val="21"/>
          <w:szCs w:val="21"/>
          <w:highlight w:val="none"/>
        </w:rPr>
        <w:t>1</w:t>
      </w:r>
      <w:bookmarkStart w:id="1592" w:name="_Toc303539146"/>
      <w:bookmarkStart w:id="1593" w:name="_Toc300934989"/>
      <w:bookmarkStart w:id="1594" w:name="_Toc296891233"/>
      <w:bookmarkStart w:id="1595" w:name="_Toc297216199"/>
      <w:bookmarkStart w:id="1596" w:name="_Toc297120493"/>
      <w:bookmarkStart w:id="1597" w:name="_Toc292559398"/>
      <w:bookmarkStart w:id="1598" w:name="_Toc297048379"/>
      <w:bookmarkStart w:id="1599" w:name="_Toc292559903"/>
      <w:bookmarkStart w:id="1600" w:name="_Toc296944532"/>
      <w:bookmarkStart w:id="1601" w:name="_Toc296891021"/>
      <w:bookmarkStart w:id="1602" w:name="_Toc304295566"/>
      <w:bookmarkStart w:id="1603" w:name="_Toc296503193"/>
      <w:bookmarkStart w:id="1604" w:name="_Toc296347192"/>
      <w:bookmarkStart w:id="1605" w:name="_Toc297123540"/>
      <w:bookmarkStart w:id="1606" w:name="_Toc296346694"/>
      <w:bookmarkStart w:id="1607" w:name="_Toc312678025"/>
      <w:bookmarkStart w:id="1608" w:name="_Toc312677499"/>
      <w:bookmarkStart w:id="1609" w:name="_Toc267251440"/>
      <w:bookmarkStart w:id="1610" w:name="_Toc267251435"/>
      <w:bookmarkStart w:id="1611" w:name="_Toc267251433"/>
      <w:bookmarkStart w:id="1612" w:name="_Toc267251439"/>
      <w:bookmarkStart w:id="1613" w:name="_Toc267251441"/>
      <w:bookmarkStart w:id="1614" w:name="_Toc267251437"/>
      <w:r>
        <w:rPr>
          <w:rFonts w:hint="eastAsia"/>
          <w:color w:val="auto"/>
          <w:kern w:val="2"/>
          <w:sz w:val="21"/>
          <w:szCs w:val="21"/>
          <w:highlight w:val="none"/>
        </w:rPr>
        <w:t>0. 变更</w:t>
      </w:r>
      <w:bookmarkEnd w:id="1560"/>
      <w:bookmarkEnd w:id="156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bookmarkEnd w:id="1607"/>
    <w:bookmarkEnd w:id="1608"/>
    <w:p w14:paraId="2A2FB3BF">
      <w:pPr>
        <w:pStyle w:val="7"/>
        <w:spacing w:before="0" w:beforeAutospacing="0" w:after="0" w:afterAutospacing="0" w:line="360" w:lineRule="auto"/>
        <w:ind w:firstLine="422" w:firstLineChars="200"/>
        <w:rPr>
          <w:color w:val="auto"/>
          <w:sz w:val="21"/>
          <w:szCs w:val="21"/>
          <w:highlight w:val="none"/>
        </w:rPr>
      </w:pPr>
      <w:bookmarkStart w:id="1615" w:name="_Toc532377371"/>
      <w:bookmarkStart w:id="1616" w:name="_Toc532375635"/>
      <w:r>
        <w:rPr>
          <w:rFonts w:hint="eastAsia"/>
          <w:color w:val="auto"/>
          <w:sz w:val="21"/>
          <w:szCs w:val="21"/>
          <w:highlight w:val="none"/>
        </w:rPr>
        <w:t>1</w:t>
      </w:r>
      <w:bookmarkStart w:id="1617" w:name="_Toc297216200"/>
      <w:bookmarkStart w:id="1618" w:name="_Toc296944533"/>
      <w:bookmarkStart w:id="1619" w:name="_Toc300934990"/>
      <w:bookmarkStart w:id="1620" w:name="_Toc297048380"/>
      <w:bookmarkStart w:id="1621" w:name="_Toc296346695"/>
      <w:bookmarkStart w:id="1622" w:name="_Toc292559399"/>
      <w:bookmarkStart w:id="1623" w:name="_Toc312677500"/>
      <w:bookmarkStart w:id="1624" w:name="_Toc296347193"/>
      <w:bookmarkStart w:id="1625" w:name="_Toc312678026"/>
      <w:bookmarkStart w:id="1626" w:name="_Toc303539147"/>
      <w:bookmarkStart w:id="1627" w:name="_Toc297123541"/>
      <w:bookmarkStart w:id="1628" w:name="_Toc304295567"/>
      <w:bookmarkStart w:id="1629" w:name="_Toc297120494"/>
      <w:bookmarkStart w:id="1630" w:name="_Toc296891234"/>
      <w:bookmarkStart w:id="1631" w:name="_Toc292559904"/>
      <w:bookmarkStart w:id="1632" w:name="_Toc296891022"/>
      <w:bookmarkStart w:id="1633" w:name="_Toc296503194"/>
      <w:r>
        <w:rPr>
          <w:rFonts w:hint="eastAsia"/>
          <w:color w:val="auto"/>
          <w:sz w:val="21"/>
          <w:szCs w:val="21"/>
          <w:highlight w:val="none"/>
        </w:rPr>
        <w:t>0.1变更的范围</w:t>
      </w:r>
      <w:bookmarkEnd w:id="1615"/>
      <w:bookmarkEnd w:id="1616"/>
    </w:p>
    <w:p w14:paraId="450229E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关于变更范围的约定：</w:t>
      </w:r>
    </w:p>
    <w:p w14:paraId="264AB70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（1）增加或减少合同中任何工作，或追加额外的工作；</w:t>
      </w:r>
    </w:p>
    <w:p w14:paraId="6148C1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（2）取消合同中任何工作；</w:t>
      </w:r>
    </w:p>
    <w:p w14:paraId="6E2FA26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（3）改变合同中任何工作的质量标准或其他特性；</w:t>
      </w:r>
    </w:p>
    <w:p w14:paraId="587D4B9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（4）改变工程的基线、标高、位置和尺寸；</w:t>
      </w:r>
    </w:p>
    <w:p w14:paraId="7AD768F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（5）适用于工程的标准和（或）规范变化导致需要对工程进行改变，且该改变导致工期和（或）费用变化的；</w:t>
      </w:r>
    </w:p>
    <w:p w14:paraId="7AA6B669">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（6）勘察设计变更；</w:t>
      </w:r>
    </w:p>
    <w:p w14:paraId="3469424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（7）实施内容变更，包括因设计变更和非设计变更引起的实施地点、投资规模、结构型式、采购数量、服务内容等进行的调整，以及因此导致的合同价格、工期变更；</w:t>
      </w:r>
    </w:p>
    <w:p w14:paraId="074F2DC8">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（8）项目管理人员变更；</w:t>
      </w:r>
    </w:p>
    <w:p w14:paraId="6CF91834">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（9）因人工、原材料等价格变化导致的合同总价变更；</w:t>
      </w:r>
    </w:p>
    <w:p w14:paraId="6AC2285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（10）非实施内容变化导致的工期变更；</w:t>
      </w:r>
    </w:p>
    <w:p w14:paraId="118451B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A3D757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3F30DE1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承包人对其提供的材料、工程设备、施工、无负荷试车、热负荷试车及图纸参数存在的缺陷，自费修正、调整和完善，不属于变更。</w:t>
      </w:r>
    </w:p>
    <w:p w14:paraId="2C2EA803">
      <w:pPr>
        <w:pStyle w:val="7"/>
        <w:spacing w:before="0" w:beforeAutospacing="0" w:after="0" w:afterAutospacing="0" w:line="360" w:lineRule="auto"/>
        <w:ind w:firstLine="422" w:firstLineChars="200"/>
        <w:rPr>
          <w:color w:val="auto"/>
          <w:sz w:val="21"/>
          <w:szCs w:val="21"/>
          <w:highlight w:val="none"/>
        </w:rPr>
      </w:pPr>
      <w:bookmarkStart w:id="1634" w:name="_Toc532377372"/>
      <w:bookmarkStart w:id="1635" w:name="_Toc351203569"/>
      <w:bookmarkStart w:id="1636" w:name="_Toc532375636"/>
      <w:r>
        <w:rPr>
          <w:rFonts w:hint="eastAsia"/>
          <w:color w:val="auto"/>
          <w:sz w:val="21"/>
          <w:szCs w:val="21"/>
          <w:highlight w:val="none"/>
        </w:rPr>
        <w:t>1</w:t>
      </w:r>
      <w:bookmarkStart w:id="1637" w:name="_Toc296503085"/>
      <w:bookmarkStart w:id="1638" w:name="_Toc337558789"/>
      <w:bookmarkStart w:id="1639" w:name="_Toc296346586"/>
      <w:r>
        <w:rPr>
          <w:rFonts w:hint="eastAsia"/>
          <w:color w:val="auto"/>
          <w:sz w:val="21"/>
          <w:szCs w:val="21"/>
          <w:highlight w:val="none"/>
        </w:rPr>
        <w:t>0.2变更权</w:t>
      </w:r>
      <w:bookmarkEnd w:id="1634"/>
      <w:bookmarkEnd w:id="1635"/>
      <w:bookmarkEnd w:id="1636"/>
    </w:p>
    <w:bookmarkEnd w:id="1637"/>
    <w:bookmarkEnd w:id="1638"/>
    <w:bookmarkEnd w:id="1639"/>
    <w:p w14:paraId="7932052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10.2.1发包人和监理人提出变更</w:t>
      </w:r>
    </w:p>
    <w:p w14:paraId="1F2BE2B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581AB1E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涉及设计变更的，应由设计人提供变更后的图纸和说明，交由发包人同意后由监理人以书面形式发出。如变更超过原设计标准或批准的建设规模时，由发包人及时办理规划、设计变更等审批手续。</w:t>
      </w:r>
    </w:p>
    <w:p w14:paraId="6691BAB5">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若出现重大设计变更，变更后的内容超出承包人资质或能力范围的，发包人将另行依法</w:t>
      </w:r>
      <w:r>
        <w:rPr>
          <w:rFonts w:hint="eastAsia" w:ascii="宋体" w:hAnsi="宋体"/>
          <w:color w:val="auto"/>
          <w:szCs w:val="21"/>
          <w:highlight w:val="none"/>
          <w:lang w:eastAsia="zh-CN"/>
        </w:rPr>
        <w:t>比选</w:t>
      </w:r>
      <w:r>
        <w:rPr>
          <w:rFonts w:hint="eastAsia" w:ascii="宋体" w:hAnsi="宋体"/>
          <w:color w:val="auto"/>
          <w:szCs w:val="21"/>
          <w:highlight w:val="none"/>
        </w:rPr>
        <w:t>选择承包单位，无需征得承包人同意。</w:t>
      </w:r>
    </w:p>
    <w:p w14:paraId="4627965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10.2.2 承包人提出变更建议</w:t>
      </w:r>
    </w:p>
    <w:p w14:paraId="6FF2CD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highlight w:val="none"/>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highlight w:val="none"/>
        </w:rPr>
        <w:t>。</w:t>
      </w:r>
    </w:p>
    <w:p w14:paraId="039542A4">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如果发包人对承包人已实施的施工项目在发出重大设计变更之前要求承包人提出一份建议，那么，承包人应尽快提出：</w:t>
      </w:r>
    </w:p>
    <w:p w14:paraId="1AE746C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（1）对所提方案和（或）待做工作及其实施计划的说明</w:t>
      </w:r>
      <w:r>
        <w:rPr>
          <w:rFonts w:hint="eastAsia" w:ascii="宋体" w:hAnsi="宋体"/>
          <w:color w:val="auto"/>
          <w:szCs w:val="21"/>
          <w:highlight w:val="none"/>
        </w:rPr>
        <w:t>；</w:t>
      </w:r>
    </w:p>
    <w:p w14:paraId="2E217455">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（2）承包人按照对工程进度计划进行必要修改的建议</w:t>
      </w:r>
      <w:r>
        <w:rPr>
          <w:rFonts w:hint="eastAsia" w:ascii="宋体" w:hAnsi="宋体"/>
          <w:color w:val="auto"/>
          <w:szCs w:val="21"/>
          <w:highlight w:val="none"/>
        </w:rPr>
        <w:t>；</w:t>
      </w:r>
    </w:p>
    <w:p w14:paraId="5712649B">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（3）承包人发生较大返工损失增加费用的建议</w:t>
      </w:r>
      <w:r>
        <w:rPr>
          <w:rFonts w:hint="eastAsia" w:ascii="宋体" w:hAnsi="宋体"/>
          <w:color w:val="auto"/>
          <w:szCs w:val="21"/>
          <w:highlight w:val="none"/>
        </w:rPr>
        <w:t>。</w:t>
      </w:r>
    </w:p>
    <w:p w14:paraId="6CCD2670">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发包人在收到上述建议书后，应尽快给予批准、否决或提出意见</w:t>
      </w:r>
      <w:r>
        <w:rPr>
          <w:rFonts w:hint="eastAsia" w:ascii="宋体" w:hAnsi="宋体"/>
          <w:color w:val="auto"/>
          <w:szCs w:val="21"/>
          <w:highlight w:val="none"/>
        </w:rPr>
        <w:t>。</w:t>
      </w:r>
    </w:p>
    <w:p w14:paraId="08A02E57">
      <w:pPr>
        <w:pStyle w:val="7"/>
        <w:spacing w:before="0" w:beforeAutospacing="0" w:after="0" w:afterAutospacing="0" w:line="360" w:lineRule="auto"/>
        <w:ind w:firstLine="422" w:firstLineChars="200"/>
        <w:rPr>
          <w:color w:val="auto"/>
          <w:sz w:val="21"/>
          <w:szCs w:val="21"/>
          <w:highlight w:val="none"/>
        </w:rPr>
      </w:pPr>
      <w:bookmarkStart w:id="1640" w:name="_Toc532377373"/>
      <w:bookmarkStart w:id="1641" w:name="_Toc532375637"/>
      <w:bookmarkStart w:id="1642" w:name="_Hlk528928195"/>
      <w:bookmarkStart w:id="1643" w:name="_Toc351203570"/>
      <w:r>
        <w:rPr>
          <w:rFonts w:hint="eastAsia"/>
          <w:color w:val="auto"/>
          <w:sz w:val="21"/>
          <w:szCs w:val="21"/>
          <w:highlight w:val="none"/>
        </w:rPr>
        <w:t>1</w:t>
      </w:r>
      <w:bookmarkStart w:id="1644" w:name="_Toc296503086"/>
      <w:bookmarkStart w:id="1645" w:name="_Toc296346587"/>
      <w:bookmarkStart w:id="1646" w:name="_Toc337558790"/>
      <w:r>
        <w:rPr>
          <w:rFonts w:hint="eastAsia"/>
          <w:color w:val="auto"/>
          <w:sz w:val="21"/>
          <w:szCs w:val="21"/>
          <w:highlight w:val="none"/>
        </w:rPr>
        <w:t>0.3变更程序</w:t>
      </w:r>
      <w:bookmarkEnd w:id="1640"/>
      <w:bookmarkEnd w:id="1641"/>
    </w:p>
    <w:bookmarkEnd w:id="1644"/>
    <w:bookmarkEnd w:id="1645"/>
    <w:bookmarkEnd w:id="1646"/>
    <w:p w14:paraId="2254FB1C">
      <w:pPr>
        <w:autoSpaceDE w:val="0"/>
        <w:autoSpaceDN w:val="0"/>
        <w:spacing w:line="360" w:lineRule="auto"/>
        <w:ind w:firstLine="420" w:firstLineChars="200"/>
        <w:jc w:val="left"/>
        <w:rPr>
          <w:rFonts w:ascii="宋体" w:hAnsi="宋体"/>
          <w:color w:val="auto"/>
          <w:szCs w:val="21"/>
          <w:highlight w:val="none"/>
        </w:rPr>
      </w:pPr>
      <w:bookmarkStart w:id="1647" w:name="_Hlk524353972"/>
      <w:r>
        <w:rPr>
          <w:rFonts w:hint="eastAsia" w:ascii="宋体" w:hAnsi="宋体"/>
          <w:color w:val="auto"/>
          <w:szCs w:val="21"/>
          <w:highlight w:val="none"/>
        </w:rPr>
        <w:t>10.3.3 变更执行</w:t>
      </w:r>
    </w:p>
    <w:p w14:paraId="45FBA34B">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一般设计变更：承包人收到监理人下达的变更指示后，应按照监理人下达的变更指示执行，并书面说明实施该变更指示对合同价格和工期的影响，按照第10.4.1项〔变更估价原则〕约定执行。</w:t>
      </w:r>
    </w:p>
    <w:p w14:paraId="49E5EA63">
      <w:pPr>
        <w:autoSpaceDE w:val="0"/>
        <w:autoSpaceDN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重大设计变更：需经设计人、监理人和发包人三方签字认可并报相关行业部门审查同意后实施。</w:t>
      </w:r>
    </w:p>
    <w:p w14:paraId="7F19448B">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10.3.3 项增加以下内容：</w:t>
      </w:r>
    </w:p>
    <w:p w14:paraId="47931E2A">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2AFAA59A">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项目的勘察设计、实施内容等作较大变更的，应当按照规定的程序报原审批部门审批；变更导致总投资超概的，应当报原投资概算核定部门核定。</w:t>
      </w:r>
    </w:p>
    <w:p w14:paraId="3CFAD4FD">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项目管理人员变更的，应当经发包人领导班子集体决策同意，并将变更信息推送给行业主管部门。变更后的项目管理人员应当符合</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文件和行业主管部门的相关规定。</w:t>
      </w:r>
    </w:p>
    <w:p w14:paraId="6E525189">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因人工、原材料市场价格发生大幅度变化导致的合同总价变更，由发包人与承包人按照合同进行变更，并将变更信息推送给行业主管部门。</w:t>
      </w:r>
    </w:p>
    <w:p w14:paraId="2A858E19">
      <w:pPr>
        <w:autoSpaceDE w:val="0"/>
        <w:autoSpaceDN w:val="0"/>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761B6181">
      <w:pPr>
        <w:autoSpaceDE w:val="0"/>
        <w:autoSpaceDN w:val="0"/>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项目合同变更后，增加的实施内容达到依法必须</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的规模标准的，增加的部分应当依法通过</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选择承包单位。</w:t>
      </w:r>
    </w:p>
    <w:bookmarkEnd w:id="1642"/>
    <w:bookmarkEnd w:id="1643"/>
    <w:bookmarkEnd w:id="1647"/>
    <w:p w14:paraId="7E5DF9D4">
      <w:pPr>
        <w:pStyle w:val="7"/>
        <w:spacing w:before="0" w:beforeAutospacing="0" w:after="0" w:afterAutospacing="0" w:line="360" w:lineRule="auto"/>
        <w:ind w:firstLine="422" w:firstLineChars="200"/>
        <w:rPr>
          <w:color w:val="auto"/>
          <w:sz w:val="21"/>
          <w:szCs w:val="21"/>
          <w:highlight w:val="none"/>
        </w:rPr>
      </w:pPr>
      <w:bookmarkStart w:id="1648" w:name="_Toc532377374"/>
      <w:bookmarkStart w:id="1649" w:name="_Toc532375638"/>
      <w:r>
        <w:rPr>
          <w:rFonts w:hint="eastAsia"/>
          <w:color w:val="auto"/>
          <w:sz w:val="21"/>
          <w:szCs w:val="21"/>
          <w:highlight w:val="none"/>
        </w:rPr>
        <w:t>10.4 变更估价</w:t>
      </w:r>
      <w:bookmarkEnd w:id="1648"/>
      <w:bookmarkEnd w:id="1649"/>
    </w:p>
    <w:p w14:paraId="08D55689">
      <w:pPr>
        <w:spacing w:line="360" w:lineRule="auto"/>
        <w:ind w:firstLine="420" w:firstLineChars="200"/>
        <w:jc w:val="left"/>
        <w:rPr>
          <w:rFonts w:ascii="宋体" w:hAnsi="宋体"/>
          <w:color w:val="auto"/>
          <w:szCs w:val="21"/>
          <w:highlight w:val="none"/>
        </w:rPr>
      </w:pPr>
      <w:bookmarkStart w:id="1650" w:name="_Hlk524296629"/>
      <w:r>
        <w:rPr>
          <w:rFonts w:hint="eastAsia" w:ascii="宋体" w:hAnsi="宋体"/>
          <w:color w:val="auto"/>
          <w:szCs w:val="21"/>
          <w:highlight w:val="none"/>
        </w:rPr>
        <w:t>10.4.1 变更估价原则</w:t>
      </w:r>
    </w:p>
    <w:p w14:paraId="6B8CD5EC">
      <w:pPr>
        <w:pStyle w:val="2"/>
        <w:spacing w:after="0"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当发生工程变更时，工程量按</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比选文件</w:t>
      </w:r>
      <w:r>
        <w:rPr>
          <w:rFonts w:hint="eastAsia" w:ascii="宋体" w:hAnsi="宋体"/>
          <w:color w:val="auto"/>
          <w:szCs w:val="21"/>
          <w:highlight w:val="none"/>
          <w:u w:val="single"/>
        </w:rPr>
        <w:t xml:space="preserve"> </w:t>
      </w:r>
      <w:r>
        <w:rPr>
          <w:rFonts w:hint="eastAsia" w:ascii="宋体" w:hAnsi="宋体"/>
          <w:color w:val="auto"/>
          <w:szCs w:val="21"/>
          <w:highlight w:val="none"/>
        </w:rPr>
        <w:t>规定的计算规则及已标价工程量清单规定的工程量计算规则计量，按以下办法计价：</w:t>
      </w:r>
      <w:bookmarkStart w:id="1651" w:name="_Hlk524770102"/>
    </w:p>
    <w:bookmarkEnd w:id="1651"/>
    <w:p w14:paraId="3904F38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10.4.1.1已标价工程量清单中有相同项目的，按照相同项目单价计算；</w:t>
      </w:r>
    </w:p>
    <w:p w14:paraId="14E8ED4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10.4.1.2已标价工程量清单中有类似项目的，参考类似项目单价计算；</w:t>
      </w:r>
    </w:p>
    <w:p w14:paraId="2E4862E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10.4.1.3已标价工程量清单中无相同项目亦无类似项目的，按照以下原则执行：</w:t>
      </w:r>
    </w:p>
    <w:p w14:paraId="64A97D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color w:val="auto"/>
          <w:szCs w:val="21"/>
          <w:highlight w:val="none"/>
        </w:rPr>
        <w:t>。</w:t>
      </w:r>
    </w:p>
    <w:p w14:paraId="1B02978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承包人报价浮动率按下列公式计算：承包人报价浮动率=（1-中标价/最高限价）×100%。</w:t>
      </w:r>
    </w:p>
    <w:p w14:paraId="6EC87C5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（1）人工单价：按开标当期《重庆工程造价信息》发布的项目所在地的人工单价执行。</w:t>
      </w:r>
    </w:p>
    <w:p w14:paraId="7CAE68D7">
      <w:pPr>
        <w:spacing w:line="360" w:lineRule="auto"/>
        <w:ind w:firstLine="420" w:firstLineChars="200"/>
        <w:jc w:val="left"/>
        <w:rPr>
          <w:rFonts w:ascii="宋体" w:hAnsi="宋体"/>
          <w:color w:val="auto"/>
          <w:szCs w:val="21"/>
          <w:highlight w:val="none"/>
        </w:rPr>
      </w:pPr>
      <w:bookmarkStart w:id="1652" w:name="_Hlk529023896"/>
      <w:r>
        <w:rPr>
          <w:rFonts w:hint="eastAsia" w:ascii="宋体" w:hAnsi="宋体"/>
          <w:color w:val="auto"/>
          <w:szCs w:val="21"/>
          <w:highlight w:val="none"/>
        </w:rPr>
        <w:t>（2）材料单价：</w:t>
      </w:r>
    </w:p>
    <w:p w14:paraId="2ACBDA6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①按</w:t>
      </w:r>
      <w:bookmarkStart w:id="1653" w:name="_Hlk529023354"/>
      <w:r>
        <w:rPr>
          <w:rFonts w:hint="eastAsia" w:ascii="宋体" w:hAnsi="宋体"/>
          <w:color w:val="auto"/>
          <w:szCs w:val="21"/>
          <w:highlight w:val="none"/>
        </w:rPr>
        <w:t>开标当期《重庆工程造价信息》发布的项目所在地的信息价</w:t>
      </w:r>
      <w:bookmarkEnd w:id="1653"/>
      <w:r>
        <w:rPr>
          <w:rFonts w:hint="eastAsia" w:ascii="宋体" w:hAnsi="宋体"/>
          <w:color w:val="auto"/>
          <w:szCs w:val="21"/>
          <w:highlight w:val="none"/>
        </w:rPr>
        <w:t>执行；</w:t>
      </w:r>
    </w:p>
    <w:p w14:paraId="51C637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②开标当期《重庆工程造价信息》中没有的，承包人投标报价中有的，按承包人投标报价中相同材料单价的最低值执行；</w:t>
      </w:r>
    </w:p>
    <w:p w14:paraId="0185A33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③开标当期《重庆工程造价信息》和承包人投标报价没有的，由承包人申报、监理人会同跟审单位、发包人根据市场行情认质核价确定。</w:t>
      </w:r>
    </w:p>
    <w:bookmarkEnd w:id="1652"/>
    <w:p w14:paraId="01AD70C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管理费和利润：按承包人投标报价中相同工程分类的费用标准执行（投标报价中费用标准高于《重庆市建设工程费用定额》（CQFYDE-2018）费用标准的，按《重庆市建设工程费用定额》（CQFYDE-2018）费用标准执行）。</w:t>
      </w:r>
    </w:p>
    <w:p w14:paraId="6A92BD7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（4）规费：按《重庆市建设工程费用定额》（CQFYDE-2018）费用标准进行计算。</w:t>
      </w:r>
    </w:p>
    <w:p w14:paraId="5D495D0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（5）税金：包含增值税、城市维护建设税、教育费附加、地方教育附加以及环境保护税。其中增值税按《重庆市建设工程费用定额》（CQFYDE-2018）规定及配套文件执行。</w:t>
      </w:r>
    </w:p>
    <w:p w14:paraId="78FAA47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2AF78DE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本款补充10.4.3项：</w:t>
      </w:r>
    </w:p>
    <w:p w14:paraId="5182D48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300F55F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安全文明施工费应按照实际发生变化的措施项目依据现行安全文明施工费计取及管理政策规定及《重庆市建设工程费用定额》（CQFYDE-2018）规定执行</w:t>
      </w:r>
      <w:r>
        <w:rPr>
          <w:rFonts w:hint="eastAsia" w:ascii="宋体" w:hAnsi="宋体"/>
          <w:color w:val="auto"/>
          <w:szCs w:val="21"/>
          <w:highlight w:val="none"/>
        </w:rPr>
        <w:t>；</w:t>
      </w:r>
    </w:p>
    <w:p w14:paraId="37D2954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按照单价计算的措施项目费，应按照实际发生变化的措施项目，按照第10.4.1项〔变更估价原则〕约定执行</w:t>
      </w:r>
      <w:r>
        <w:rPr>
          <w:rFonts w:hint="eastAsia" w:ascii="宋体" w:hAnsi="宋体"/>
          <w:color w:val="auto"/>
          <w:szCs w:val="21"/>
          <w:highlight w:val="none"/>
        </w:rPr>
        <w:t>；</w:t>
      </w:r>
    </w:p>
    <w:p w14:paraId="461D27F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按总价（或系数）计算的措施项目费，应按照实际发生变化的措施项目费按承包人报价浮动率下浮后的金额计算</w:t>
      </w:r>
      <w:r>
        <w:rPr>
          <w:rFonts w:hint="eastAsia" w:ascii="宋体" w:hAnsi="宋体"/>
          <w:color w:val="auto"/>
          <w:szCs w:val="21"/>
          <w:highlight w:val="none"/>
        </w:rPr>
        <w:t>；</w:t>
      </w:r>
    </w:p>
    <w:p w14:paraId="35609BF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（4）</w:t>
      </w:r>
      <w:r>
        <w:rPr>
          <w:rFonts w:hint="eastAsia" w:ascii="宋体" w:hAnsi="宋体"/>
          <w:color w:val="auto"/>
          <w:szCs w:val="21"/>
          <w:highlight w:val="none"/>
          <w:u w:val="single"/>
        </w:rPr>
        <w:t>如果承包人未事前将拟实施的方案提交给发包人确认，则应视为工程变更不引起措施项目费的调整或承包人放弃调整措施项目费的权利</w:t>
      </w:r>
      <w:r>
        <w:rPr>
          <w:rFonts w:hint="eastAsia" w:ascii="宋体" w:hAnsi="宋体"/>
          <w:color w:val="auto"/>
          <w:szCs w:val="21"/>
          <w:highlight w:val="none"/>
        </w:rPr>
        <w:t>。</w:t>
      </w:r>
    </w:p>
    <w:bookmarkEnd w:id="1650"/>
    <w:p w14:paraId="744C8E97">
      <w:pPr>
        <w:pStyle w:val="7"/>
        <w:spacing w:before="0" w:beforeAutospacing="0" w:after="0" w:afterAutospacing="0" w:line="360" w:lineRule="auto"/>
        <w:ind w:firstLine="422" w:firstLineChars="200"/>
        <w:rPr>
          <w:color w:val="auto"/>
          <w:sz w:val="21"/>
          <w:szCs w:val="21"/>
          <w:highlight w:val="none"/>
        </w:rPr>
      </w:pPr>
      <w:bookmarkStart w:id="1654" w:name="_Toc532375639"/>
      <w:bookmarkStart w:id="1655" w:name="_Toc532377375"/>
      <w:r>
        <w:rPr>
          <w:rFonts w:hint="eastAsia"/>
          <w:color w:val="auto"/>
          <w:sz w:val="21"/>
          <w:szCs w:val="21"/>
          <w:highlight w:val="none"/>
        </w:rPr>
        <w:t>1</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Start w:id="1656" w:name="_Toc297216203"/>
      <w:bookmarkStart w:id="1657" w:name="_Toc297123544"/>
      <w:bookmarkStart w:id="1658" w:name="_Toc296891237"/>
      <w:bookmarkStart w:id="1659" w:name="_Toc296891025"/>
      <w:bookmarkStart w:id="1660" w:name="_Toc292559402"/>
      <w:bookmarkStart w:id="1661" w:name="_Toc296944536"/>
      <w:bookmarkStart w:id="1662" w:name="_Toc296346698"/>
      <w:bookmarkStart w:id="1663" w:name="_Toc296347196"/>
      <w:bookmarkStart w:id="1664" w:name="_Toc300934993"/>
      <w:bookmarkStart w:id="1665" w:name="_Toc297048383"/>
      <w:bookmarkStart w:id="1666" w:name="_Toc297120497"/>
      <w:bookmarkStart w:id="1667" w:name="_Toc296503197"/>
      <w:bookmarkStart w:id="1668" w:name="_Toc292559907"/>
      <w:bookmarkStart w:id="1669" w:name="_Toc303539150"/>
      <w:bookmarkStart w:id="1670" w:name="_Toc312678029"/>
      <w:bookmarkStart w:id="1671" w:name="_Toc312677503"/>
      <w:bookmarkStart w:id="1672" w:name="_Toc304295570"/>
      <w:r>
        <w:rPr>
          <w:rFonts w:hint="eastAsia"/>
          <w:color w:val="auto"/>
          <w:sz w:val="21"/>
          <w:szCs w:val="21"/>
          <w:highlight w:val="none"/>
        </w:rPr>
        <w:t>0.5承</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Start w:id="1673" w:name="_Toc297216204"/>
      <w:bookmarkStart w:id="1674" w:name="_Toc292559408"/>
      <w:bookmarkStart w:id="1675" w:name="_Toc296503203"/>
      <w:bookmarkStart w:id="1676" w:name="_Toc296891031"/>
      <w:bookmarkStart w:id="1677" w:name="_Toc303539151"/>
      <w:bookmarkStart w:id="1678" w:name="_Toc297123545"/>
      <w:bookmarkStart w:id="1679" w:name="_Toc297048389"/>
      <w:bookmarkStart w:id="1680" w:name="_Toc296891243"/>
      <w:bookmarkStart w:id="1681" w:name="_Toc296347202"/>
      <w:bookmarkStart w:id="1682" w:name="_Toc300934994"/>
      <w:bookmarkStart w:id="1683" w:name="_Toc296346704"/>
      <w:bookmarkStart w:id="1684" w:name="_Toc292559913"/>
      <w:bookmarkStart w:id="1685" w:name="_Toc296944542"/>
      <w:bookmarkStart w:id="1686" w:name="_Toc297120503"/>
      <w:r>
        <w:rPr>
          <w:rFonts w:hint="eastAsia"/>
          <w:color w:val="auto"/>
          <w:sz w:val="21"/>
          <w:szCs w:val="21"/>
          <w:highlight w:val="none"/>
        </w:rPr>
        <w:t>包人的合理化建议</w:t>
      </w:r>
      <w:bookmarkEnd w:id="1654"/>
      <w:bookmarkEnd w:id="1655"/>
    </w:p>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14:paraId="5BC401C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承包人提出合理化建议的，应向监理人提交合理化建议说明，说明建议的内容和理由，以及实施该建议对合同价格和（或）工期和（或）工程经济效益的影响。</w:t>
      </w:r>
    </w:p>
    <w:p w14:paraId="0B5901F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监理人审查承包人合理化建议的期限：</w:t>
      </w:r>
      <w:r>
        <w:rPr>
          <w:rFonts w:hint="eastAsia" w:ascii="宋体" w:hAnsi="宋体"/>
          <w:color w:val="auto"/>
          <w:szCs w:val="21"/>
          <w:highlight w:val="none"/>
          <w:u w:val="single"/>
        </w:rPr>
        <w:t>不超过14天</w:t>
      </w:r>
      <w:r>
        <w:rPr>
          <w:rFonts w:hint="eastAsia" w:ascii="宋体" w:hAnsi="宋体"/>
          <w:color w:val="auto"/>
          <w:szCs w:val="21"/>
          <w:highlight w:val="none"/>
        </w:rPr>
        <w:t>。</w:t>
      </w:r>
    </w:p>
    <w:p w14:paraId="011AC4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发包人审批承包人合理化建议的期限：</w:t>
      </w:r>
      <w:r>
        <w:rPr>
          <w:rFonts w:hint="eastAsia" w:ascii="宋体" w:hAnsi="宋体"/>
          <w:color w:val="auto"/>
          <w:szCs w:val="21"/>
          <w:highlight w:val="none"/>
          <w:u w:val="single"/>
        </w:rPr>
        <w:t>不超过14天</w:t>
      </w:r>
      <w:r>
        <w:rPr>
          <w:rFonts w:hint="eastAsia" w:ascii="宋体" w:hAnsi="宋体"/>
          <w:color w:val="auto"/>
          <w:szCs w:val="21"/>
          <w:highlight w:val="none"/>
        </w:rPr>
        <w:t>。</w:t>
      </w:r>
    </w:p>
    <w:p w14:paraId="14B4AE5C">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承</w:t>
      </w:r>
      <w:bookmarkStart w:id="1687" w:name="_Toc318581175"/>
      <w:bookmarkStart w:id="1688" w:name="_Toc296891032"/>
      <w:bookmarkStart w:id="1689" w:name="_Toc312678030"/>
      <w:bookmarkStart w:id="1690" w:name="_Toc296891244"/>
      <w:bookmarkStart w:id="1691" w:name="_Toc297048390"/>
      <w:bookmarkStart w:id="1692" w:name="_Toc296346705"/>
      <w:bookmarkStart w:id="1693" w:name="_Toc296347203"/>
      <w:bookmarkStart w:id="1694" w:name="_Toc300934995"/>
      <w:bookmarkStart w:id="1695" w:name="_Toc296503204"/>
      <w:bookmarkStart w:id="1696" w:name="_Toc292559914"/>
      <w:bookmarkStart w:id="1697" w:name="_Toc312677504"/>
      <w:bookmarkStart w:id="1698" w:name="_Toc292559409"/>
      <w:bookmarkStart w:id="1699" w:name="_Toc297120504"/>
      <w:bookmarkStart w:id="1700" w:name="_Toc297216205"/>
      <w:bookmarkStart w:id="1701" w:name="_Toc296944543"/>
      <w:bookmarkStart w:id="1702" w:name="_Toc303539152"/>
      <w:bookmarkStart w:id="1703" w:name="_Toc297123546"/>
      <w:bookmarkStart w:id="1704" w:name="_Toc304295571"/>
      <w:r>
        <w:rPr>
          <w:rFonts w:hint="eastAsia" w:ascii="宋体" w:hAnsi="宋体"/>
          <w:color w:val="auto"/>
          <w:szCs w:val="21"/>
          <w:highlight w:val="none"/>
        </w:rPr>
        <w:t>包人提出的合理化建议降低了合同价格或缩短了工期或者提高了工程经济效益的奖励的方法和金额为：</w:t>
      </w:r>
      <w:r>
        <w:rPr>
          <w:rFonts w:hint="eastAsia" w:ascii="宋体" w:hAnsi="宋体"/>
          <w:color w:val="auto"/>
          <w:szCs w:val="21"/>
          <w:highlight w:val="none"/>
          <w:u w:val="single"/>
        </w:rPr>
        <w:t>合理化建议带来经济效益的5～10 %</w:t>
      </w:r>
      <w:r>
        <w:rPr>
          <w:rFonts w:hint="eastAsia" w:ascii="宋体" w:hAnsi="宋体"/>
          <w:color w:val="auto"/>
          <w:szCs w:val="21"/>
          <w:highlight w:val="none"/>
        </w:rPr>
        <w:t>。</w:t>
      </w:r>
    </w:p>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14:paraId="5A9BBC1A">
      <w:pPr>
        <w:pStyle w:val="7"/>
        <w:spacing w:before="0" w:beforeAutospacing="0" w:after="0" w:afterAutospacing="0" w:line="360" w:lineRule="auto"/>
        <w:ind w:firstLine="422" w:firstLineChars="200"/>
        <w:rPr>
          <w:color w:val="auto"/>
          <w:sz w:val="21"/>
          <w:szCs w:val="21"/>
          <w:highlight w:val="none"/>
        </w:rPr>
      </w:pPr>
      <w:bookmarkStart w:id="1705" w:name="_Toc532375640"/>
      <w:bookmarkStart w:id="1706" w:name="_Toc532377376"/>
      <w:r>
        <w:rPr>
          <w:rFonts w:hint="eastAsia"/>
          <w:color w:val="auto"/>
          <w:sz w:val="21"/>
          <w:szCs w:val="21"/>
          <w:highlight w:val="none"/>
        </w:rPr>
        <w:t>1</w:t>
      </w:r>
      <w:bookmarkStart w:id="1707" w:name="_Toc300934997"/>
      <w:bookmarkStart w:id="1708" w:name="_Toc296944538"/>
      <w:bookmarkStart w:id="1709" w:name="_Toc292559909"/>
      <w:bookmarkStart w:id="1710" w:name="_Toc296891027"/>
      <w:bookmarkStart w:id="1711" w:name="_Toc296347198"/>
      <w:bookmarkStart w:id="1712" w:name="_Toc312677507"/>
      <w:bookmarkStart w:id="1713" w:name="_Toc297120499"/>
      <w:bookmarkStart w:id="1714" w:name="_Toc292559404"/>
      <w:bookmarkStart w:id="1715" w:name="_Toc304295574"/>
      <w:bookmarkStart w:id="1716" w:name="_Toc296346700"/>
      <w:bookmarkStart w:id="1717" w:name="_Toc297123548"/>
      <w:bookmarkStart w:id="1718" w:name="_Toc296891239"/>
      <w:bookmarkStart w:id="1719" w:name="_Toc303539154"/>
      <w:bookmarkStart w:id="1720" w:name="_Toc297216207"/>
      <w:bookmarkStart w:id="1721" w:name="_Toc312678033"/>
      <w:bookmarkStart w:id="1722" w:name="_Toc296503199"/>
      <w:bookmarkStart w:id="1723" w:name="_Toc297048385"/>
      <w:r>
        <w:rPr>
          <w:rFonts w:hint="eastAsia"/>
          <w:color w:val="auto"/>
          <w:sz w:val="21"/>
          <w:szCs w:val="21"/>
          <w:highlight w:val="none"/>
        </w:rPr>
        <w:t>0.7 暂估价</w:t>
      </w:r>
      <w:bookmarkEnd w:id="1705"/>
      <w:bookmarkEnd w:id="1706"/>
    </w:p>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14:paraId="1414AE3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专业工程暂估价：</w:t>
      </w:r>
      <w:r>
        <w:rPr>
          <w:rFonts w:hint="eastAsia" w:ascii="宋体" w:hAnsi="宋体"/>
          <w:color w:val="auto"/>
          <w:szCs w:val="21"/>
          <w:highlight w:val="none"/>
          <w:u w:val="single"/>
        </w:rPr>
        <w:t xml:space="preserve">        </w:t>
      </w:r>
      <w:r>
        <w:rPr>
          <w:rFonts w:hint="eastAsia" w:ascii="宋体" w:hAnsi="宋体"/>
          <w:color w:val="auto"/>
          <w:szCs w:val="21"/>
          <w:highlight w:val="none"/>
        </w:rPr>
        <w:t>万元。</w:t>
      </w:r>
    </w:p>
    <w:p w14:paraId="60BBC6B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单项合同估算价在国家相关法律法规规定必须</w:t>
      </w:r>
      <w:r>
        <w:rPr>
          <w:rFonts w:hint="eastAsia" w:ascii="宋体" w:hAnsi="宋体"/>
          <w:color w:val="auto"/>
          <w:szCs w:val="21"/>
          <w:highlight w:val="none"/>
          <w:lang w:eastAsia="zh-CN"/>
        </w:rPr>
        <w:t>比选</w:t>
      </w:r>
      <w:r>
        <w:rPr>
          <w:rFonts w:hint="eastAsia" w:ascii="宋体" w:hAnsi="宋体"/>
          <w:color w:val="auto"/>
          <w:szCs w:val="21"/>
          <w:highlight w:val="none"/>
        </w:rPr>
        <w:t>规模以下的，符合可以不</w:t>
      </w:r>
      <w:r>
        <w:rPr>
          <w:rFonts w:hint="eastAsia" w:ascii="宋体" w:hAnsi="宋体"/>
          <w:color w:val="auto"/>
          <w:szCs w:val="21"/>
          <w:highlight w:val="none"/>
          <w:lang w:eastAsia="zh-CN"/>
        </w:rPr>
        <w:t>比选</w:t>
      </w:r>
      <w:r>
        <w:rPr>
          <w:rFonts w:hint="eastAsia" w:ascii="宋体" w:hAnsi="宋体"/>
          <w:color w:val="auto"/>
          <w:szCs w:val="21"/>
          <w:highlight w:val="none"/>
        </w:rPr>
        <w:t>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44615812">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单项合同暂估价在国家相关法律法规规定必须</w:t>
      </w:r>
      <w:r>
        <w:rPr>
          <w:rFonts w:hint="eastAsia" w:ascii="宋体" w:hAnsi="宋体"/>
          <w:color w:val="auto"/>
          <w:szCs w:val="21"/>
          <w:highlight w:val="none"/>
          <w:lang w:eastAsia="zh-CN"/>
        </w:rPr>
        <w:t>比选</w:t>
      </w:r>
      <w:r>
        <w:rPr>
          <w:rFonts w:hint="eastAsia" w:ascii="宋体" w:hAnsi="宋体"/>
          <w:color w:val="auto"/>
          <w:szCs w:val="21"/>
          <w:highlight w:val="none"/>
        </w:rPr>
        <w:t>规模以上的，需依法必须</w:t>
      </w:r>
      <w:r>
        <w:rPr>
          <w:rFonts w:hint="eastAsia" w:ascii="宋体" w:hAnsi="宋体"/>
          <w:color w:val="auto"/>
          <w:szCs w:val="21"/>
          <w:highlight w:val="none"/>
          <w:lang w:eastAsia="zh-CN"/>
        </w:rPr>
        <w:t>比选</w:t>
      </w:r>
      <w:r>
        <w:rPr>
          <w:rFonts w:hint="eastAsia" w:ascii="宋体" w:hAnsi="宋体"/>
          <w:color w:val="auto"/>
          <w:szCs w:val="21"/>
          <w:highlight w:val="none"/>
        </w:rPr>
        <w:t>的，由承包人、发包人共同</w:t>
      </w:r>
      <w:r>
        <w:rPr>
          <w:rFonts w:hint="eastAsia" w:ascii="宋体" w:hAnsi="宋体"/>
          <w:color w:val="auto"/>
          <w:szCs w:val="21"/>
          <w:highlight w:val="none"/>
          <w:lang w:eastAsia="zh-CN"/>
        </w:rPr>
        <w:t>比选</w:t>
      </w:r>
      <w:r>
        <w:rPr>
          <w:rFonts w:hint="eastAsia" w:ascii="宋体" w:hAnsi="宋体"/>
          <w:color w:val="auto"/>
          <w:szCs w:val="21"/>
          <w:highlight w:val="none"/>
        </w:rPr>
        <w:t>确定。</w:t>
      </w:r>
    </w:p>
    <w:p w14:paraId="7718CC2B">
      <w:pPr>
        <w:pStyle w:val="7"/>
        <w:spacing w:before="0" w:beforeAutospacing="0" w:after="0" w:afterAutospacing="0" w:line="360" w:lineRule="auto"/>
        <w:ind w:firstLine="422" w:firstLineChars="200"/>
        <w:rPr>
          <w:color w:val="auto"/>
          <w:sz w:val="21"/>
          <w:szCs w:val="21"/>
          <w:highlight w:val="none"/>
        </w:rPr>
      </w:pPr>
      <w:bookmarkStart w:id="1724" w:name="_Toc532375641"/>
      <w:bookmarkStart w:id="1725" w:name="_Toc532377377"/>
      <w:r>
        <w:rPr>
          <w:rFonts w:hint="eastAsia"/>
          <w:color w:val="auto"/>
          <w:sz w:val="21"/>
          <w:szCs w:val="21"/>
          <w:highlight w:val="none"/>
        </w:rPr>
        <w:t>10.8 暂列金额</w:t>
      </w:r>
      <w:bookmarkEnd w:id="1724"/>
      <w:bookmarkEnd w:id="1725"/>
    </w:p>
    <w:p w14:paraId="35CCA3F2">
      <w:pPr>
        <w:autoSpaceDE w:val="0"/>
        <w:autoSpaceDN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合同当事人关于暂列金额使用的约定：</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E137F7E">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726" w:name="_Toc351203643"/>
      <w:bookmarkStart w:id="1727" w:name="_Toc532375642"/>
      <w:bookmarkStart w:id="1728" w:name="_Toc532377378"/>
      <w:r>
        <w:rPr>
          <w:rFonts w:hint="eastAsia"/>
          <w:color w:val="auto"/>
          <w:kern w:val="2"/>
          <w:sz w:val="21"/>
          <w:szCs w:val="21"/>
          <w:highlight w:val="none"/>
        </w:rPr>
        <w:t>11. 价格调整</w:t>
      </w:r>
      <w:bookmarkEnd w:id="1726"/>
      <w:bookmarkEnd w:id="1727"/>
      <w:bookmarkEnd w:id="1728"/>
    </w:p>
    <w:p w14:paraId="38C7F254">
      <w:pPr>
        <w:pStyle w:val="7"/>
        <w:spacing w:before="0" w:beforeAutospacing="0" w:after="0" w:afterAutospacing="0" w:line="360" w:lineRule="auto"/>
        <w:ind w:firstLine="422" w:firstLineChars="200"/>
        <w:rPr>
          <w:color w:val="auto"/>
          <w:sz w:val="21"/>
          <w:szCs w:val="21"/>
          <w:highlight w:val="none"/>
        </w:rPr>
      </w:pPr>
      <w:bookmarkStart w:id="1729" w:name="_Toc532377379"/>
      <w:bookmarkStart w:id="1730" w:name="_Toc532375643"/>
      <w:bookmarkStart w:id="1731" w:name="_Toc296347200"/>
      <w:bookmarkStart w:id="1732" w:name="_Toc296346702"/>
      <w:bookmarkStart w:id="1733" w:name="_Toc304295577"/>
      <w:bookmarkStart w:id="1734" w:name="_Toc292559406"/>
      <w:bookmarkStart w:id="1735" w:name="_Toc297048387"/>
      <w:bookmarkStart w:id="1736" w:name="_Toc300935000"/>
      <w:bookmarkStart w:id="1737" w:name="_Toc297120501"/>
      <w:bookmarkStart w:id="1738" w:name="_Toc296503201"/>
      <w:bookmarkStart w:id="1739" w:name="_Toc297216209"/>
      <w:bookmarkStart w:id="1740" w:name="_Toc296891029"/>
      <w:bookmarkStart w:id="1741" w:name="_Toc303539157"/>
      <w:bookmarkStart w:id="1742" w:name="_Toc312678039"/>
      <w:bookmarkStart w:id="1743" w:name="_Toc297123550"/>
      <w:bookmarkStart w:id="1744" w:name="_Toc296944540"/>
      <w:bookmarkStart w:id="1745" w:name="_Toc296891241"/>
      <w:bookmarkStart w:id="1746" w:name="_Toc292559911"/>
      <w:r>
        <w:rPr>
          <w:rFonts w:hint="eastAsia"/>
          <w:color w:val="auto"/>
          <w:sz w:val="21"/>
          <w:szCs w:val="21"/>
          <w:highlight w:val="none"/>
        </w:rPr>
        <w:t>11.1 市场价格波动引起的调整</w:t>
      </w:r>
      <w:bookmarkEnd w:id="1729"/>
      <w:bookmarkEnd w:id="1730"/>
    </w:p>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14:paraId="2F5A5DD0">
      <w:pPr>
        <w:spacing w:line="360" w:lineRule="auto"/>
        <w:ind w:firstLine="420" w:firstLineChars="200"/>
        <w:jc w:val="left"/>
        <w:rPr>
          <w:rFonts w:ascii="宋体" w:hAnsi="宋体"/>
          <w:color w:val="auto"/>
          <w:szCs w:val="21"/>
          <w:highlight w:val="none"/>
        </w:rPr>
      </w:pPr>
      <w:bookmarkStart w:id="1747" w:name="_Toc466911545"/>
      <w:bookmarkStart w:id="1748" w:name="_Toc467689641"/>
      <w:bookmarkStart w:id="1749" w:name="_Toc466913963"/>
      <w:bookmarkStart w:id="1750" w:name="_Toc466913513"/>
      <w:r>
        <w:rPr>
          <w:rFonts w:hint="eastAsia" w:ascii="宋体" w:hAnsi="宋体"/>
          <w:color w:val="auto"/>
          <w:szCs w:val="21"/>
          <w:highlight w:val="none"/>
        </w:rPr>
        <w:t>市场价格波动是否调整合同价格的约定：</w:t>
      </w:r>
      <w:r>
        <w:rPr>
          <w:rFonts w:hint="eastAsia" w:ascii="宋体" w:hAnsi="宋体"/>
          <w:color w:val="auto"/>
          <w:szCs w:val="21"/>
          <w:highlight w:val="none"/>
          <w:u w:val="single"/>
        </w:rPr>
        <w:t>合同工期一年以上（含一年），且市场价格波动幅度符合第11.1.1项〔人工费价差调整办法〕和（或）第11.1.2项〔材料费价差调整办法〕约定的，按第11.1.1项〔人工费价差调整办法〕和（或）第11.1.2项〔材料费价差调整办法〕约定调整合同价格；第11.1.1项〔人工费价差调整办法〕和（或）第11.1.2项〔材料费价差调整办法〕约定的调差条件之外的市场价格波动风险不调整合同价格，风险费用由承包人自行考虑后纳入签约合同价格中，包干使用</w:t>
      </w:r>
      <w:r>
        <w:rPr>
          <w:rFonts w:hint="eastAsia" w:ascii="宋体" w:hAnsi="宋体"/>
          <w:color w:val="auto"/>
          <w:szCs w:val="21"/>
          <w:highlight w:val="none"/>
        </w:rPr>
        <w:t>。</w:t>
      </w:r>
    </w:p>
    <w:p w14:paraId="72066B0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因市场价格波动调整合同价格，采用以下第2种方式对合同价格进行调整：</w:t>
      </w:r>
    </w:p>
    <w:p w14:paraId="545C7A3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第1种方式：</w:t>
      </w:r>
      <w:r>
        <w:rPr>
          <w:rFonts w:hint="eastAsia" w:ascii="宋体" w:hAnsi="宋体"/>
          <w:color w:val="auto"/>
          <w:szCs w:val="21"/>
          <w:highlight w:val="none"/>
          <w:u w:val="single"/>
        </w:rPr>
        <w:t>采用价格指数进行价格调整</w:t>
      </w:r>
      <w:r>
        <w:rPr>
          <w:rFonts w:hint="eastAsia" w:ascii="宋体" w:hAnsi="宋体"/>
          <w:color w:val="auto"/>
          <w:szCs w:val="21"/>
          <w:highlight w:val="none"/>
        </w:rPr>
        <w:t>。</w:t>
      </w:r>
    </w:p>
    <w:p w14:paraId="35FE16C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关于各可调因子、定值和变值权重，以及基本价格指数及其来源的约定：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358B586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第2种方式：</w:t>
      </w:r>
      <w:r>
        <w:rPr>
          <w:rFonts w:hint="eastAsia" w:ascii="宋体" w:hAnsi="宋体"/>
          <w:color w:val="auto"/>
          <w:szCs w:val="21"/>
          <w:highlight w:val="none"/>
          <w:u w:val="single"/>
        </w:rPr>
        <w:t>采用造价信息进行价格调整，调整方法如下</w:t>
      </w:r>
      <w:r>
        <w:rPr>
          <w:rFonts w:hint="eastAsia" w:ascii="宋体" w:hAnsi="宋体"/>
          <w:color w:val="auto"/>
          <w:szCs w:val="21"/>
          <w:highlight w:val="none"/>
        </w:rPr>
        <w:t>：</w:t>
      </w:r>
    </w:p>
    <w:p w14:paraId="127CCFF1">
      <w:pPr>
        <w:spacing w:line="360" w:lineRule="auto"/>
        <w:ind w:firstLine="420" w:firstLineChars="200"/>
        <w:jc w:val="left"/>
        <w:rPr>
          <w:rFonts w:ascii="宋体" w:hAnsi="宋体"/>
          <w:color w:val="auto"/>
          <w:szCs w:val="21"/>
          <w:highlight w:val="none"/>
        </w:rPr>
      </w:pPr>
      <w:bookmarkStart w:id="1751" w:name="_Hlk524296901"/>
      <w:r>
        <w:rPr>
          <w:rFonts w:hint="eastAsia" w:ascii="宋体" w:hAnsi="宋体"/>
          <w:color w:val="auto"/>
          <w:szCs w:val="21"/>
          <w:highlight w:val="none"/>
        </w:rPr>
        <w:t>11.1.1人工费价差调整办法</w:t>
      </w:r>
      <w:bookmarkEnd w:id="1747"/>
      <w:bookmarkEnd w:id="1748"/>
      <w:bookmarkEnd w:id="1749"/>
      <w:bookmarkEnd w:id="1750"/>
    </w:p>
    <w:p w14:paraId="1DA715AC">
      <w:pPr>
        <w:tabs>
          <w:tab w:val="left" w:pos="711"/>
          <w:tab w:val="left" w:pos="2580"/>
        </w:tabs>
        <w:spacing w:line="360" w:lineRule="auto"/>
        <w:ind w:firstLine="420" w:firstLineChars="200"/>
        <w:jc w:val="left"/>
        <w:textAlignment w:val="baseline"/>
        <w:rPr>
          <w:rFonts w:ascii="宋体" w:hAnsi="宋体"/>
          <w:color w:val="auto"/>
          <w:szCs w:val="21"/>
          <w:highlight w:val="none"/>
        </w:rPr>
      </w:pPr>
      <w:bookmarkStart w:id="1752" w:name="_Toc466913966"/>
      <w:bookmarkStart w:id="1753" w:name="_Toc466913516"/>
      <w:bookmarkStart w:id="1754" w:name="_Toc466911548"/>
      <w:bookmarkStart w:id="1755" w:name="_Toc467689644"/>
      <w:r>
        <w:rPr>
          <w:rFonts w:hint="eastAsia" w:ascii="宋体" w:hAnsi="宋体"/>
          <w:color w:val="auto"/>
          <w:szCs w:val="21"/>
          <w:highlight w:val="none"/>
        </w:rPr>
        <w:t>（1）自实际开工时间起至合同约定的工期结束时间止，期间《重庆工程造价信息》发布人工单价的算术平均值较开标当期《重庆工程造价信息》发布的人工单价变化超过</w:t>
      </w:r>
      <w:r>
        <w:rPr>
          <w:rFonts w:hint="eastAsia" w:ascii="宋体" w:hAnsi="宋体"/>
          <w:color w:val="auto"/>
          <w:szCs w:val="21"/>
          <w:highlight w:val="none"/>
          <w:u w:val="single"/>
        </w:rPr>
        <w:t>±5%</w:t>
      </w:r>
      <w:r>
        <w:rPr>
          <w:rFonts w:hint="eastAsia" w:ascii="宋体" w:hAnsi="宋体"/>
          <w:color w:val="auto"/>
          <w:szCs w:val="21"/>
          <w:highlight w:val="none"/>
        </w:rPr>
        <w:t>时，按以下约定调整：</w:t>
      </w:r>
    </w:p>
    <w:p w14:paraId="13A19EB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①已标价工程量清单中载明人工单价不高于开标当期《重庆工程造价信息》发布的人工单价的：按期间《重庆工程造价信息》发布人工单价的算术平均值减去开标当期《重庆工程造价信息》发布的人工单价乘以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1F834C9D">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②已标价工程量清单中载明人工单价高于开标当期《重庆工程造价信息》发布的人工单价的，按期间《重庆工程造价信息》发布人工单价的算术平均值减去已标价工程量清单中载明人工单价乘以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0812FAC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工程量按照第12.3.1项〔计量原则〕约定计算，单位工程的人工消耗量按承包人投标报价的消耗量执行（承包人投标报价的单位工程人工消耗量高于定额单位工程人工消耗量的，按定额单位工程的人工消耗量执行）。</w:t>
      </w:r>
    </w:p>
    <w:bookmarkEnd w:id="1751"/>
    <w:p w14:paraId="4E53BCD9">
      <w:pPr>
        <w:spacing w:line="360" w:lineRule="auto"/>
        <w:ind w:firstLine="420" w:firstLineChars="200"/>
        <w:jc w:val="left"/>
        <w:rPr>
          <w:rFonts w:ascii="宋体" w:hAnsi="宋体"/>
          <w:color w:val="auto"/>
          <w:szCs w:val="21"/>
          <w:highlight w:val="none"/>
        </w:rPr>
      </w:pPr>
      <w:bookmarkStart w:id="1756" w:name="_Hlk524297138"/>
      <w:r>
        <w:rPr>
          <w:rFonts w:hint="eastAsia" w:ascii="宋体" w:hAnsi="宋体"/>
          <w:color w:val="auto"/>
          <w:szCs w:val="21"/>
          <w:highlight w:val="none"/>
        </w:rPr>
        <w:t>11.1.2 材料费价差调整</w:t>
      </w:r>
      <w:bookmarkEnd w:id="1752"/>
      <w:bookmarkEnd w:id="1753"/>
      <w:bookmarkEnd w:id="1754"/>
      <w:bookmarkEnd w:id="1755"/>
      <w:r>
        <w:rPr>
          <w:rFonts w:hint="eastAsia" w:ascii="宋体" w:hAnsi="宋体"/>
          <w:color w:val="auto"/>
          <w:szCs w:val="21"/>
          <w:highlight w:val="none"/>
        </w:rPr>
        <w:t>办法</w:t>
      </w:r>
    </w:p>
    <w:p w14:paraId="7E67C6A1">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可调价差材料：</w:t>
      </w:r>
      <w:r>
        <w:rPr>
          <w:rFonts w:hint="eastAsia" w:ascii="宋体" w:hAnsi="宋体"/>
          <w:color w:val="auto"/>
          <w:szCs w:val="21"/>
          <w:highlight w:val="none"/>
          <w:u w:val="single"/>
        </w:rPr>
        <w:t>水泥、商品砼、碎石、砂、钢筋、型钢、条石、片石、预应力钢绞线、沥青混凝土、水泥稳定碎石拌和料、预拌商品砂浆、砌筑材料等主要材料（可按工程使用的具体材料确定）</w:t>
      </w:r>
      <w:r>
        <w:rPr>
          <w:rFonts w:hint="eastAsia" w:ascii="宋体" w:hAnsi="宋体"/>
          <w:color w:val="auto"/>
          <w:szCs w:val="21"/>
          <w:highlight w:val="none"/>
        </w:rPr>
        <w:t>。</w:t>
      </w:r>
    </w:p>
    <w:p w14:paraId="0D8ACD78">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可调价差材料的价差调整办法如下：</w:t>
      </w:r>
    </w:p>
    <w:bookmarkEnd w:id="1609"/>
    <w:bookmarkEnd w:id="1610"/>
    <w:bookmarkEnd w:id="1611"/>
    <w:bookmarkEnd w:id="1612"/>
    <w:bookmarkEnd w:id="1613"/>
    <w:bookmarkEnd w:id="1614"/>
    <w:p w14:paraId="382B6413">
      <w:pPr>
        <w:tabs>
          <w:tab w:val="left" w:pos="711"/>
          <w:tab w:val="left" w:pos="2580"/>
        </w:tabs>
        <w:spacing w:line="360" w:lineRule="auto"/>
        <w:ind w:firstLine="420" w:firstLineChars="200"/>
        <w:jc w:val="left"/>
        <w:textAlignment w:val="baseline"/>
        <w:rPr>
          <w:rFonts w:ascii="宋体" w:hAnsi="宋体"/>
          <w:color w:val="auto"/>
          <w:szCs w:val="21"/>
          <w:highlight w:val="none"/>
        </w:rPr>
      </w:pPr>
      <w:bookmarkStart w:id="1757" w:name="_Toc296347204"/>
      <w:bookmarkStart w:id="1758" w:name="_Toc296503205"/>
      <w:bookmarkStart w:id="1759" w:name="_Toc292559915"/>
      <w:bookmarkStart w:id="1760" w:name="_Toc296891033"/>
      <w:bookmarkStart w:id="1761" w:name="_Toc292559410"/>
      <w:bookmarkStart w:id="1762" w:name="_Toc296346706"/>
      <w:bookmarkStart w:id="1763" w:name="_Toc297120505"/>
      <w:bookmarkStart w:id="1764" w:name="_Toc297048391"/>
      <w:bookmarkStart w:id="1765" w:name="_Toc296891245"/>
      <w:bookmarkStart w:id="1766" w:name="_Toc296944544"/>
      <w:bookmarkStart w:id="1767" w:name="_Toc351203644"/>
      <w:bookmarkStart w:id="1768" w:name="_Toc304295579"/>
      <w:bookmarkStart w:id="1769" w:name="_Toc297216211"/>
      <w:bookmarkStart w:id="1770" w:name="_Toc297123552"/>
      <w:bookmarkStart w:id="1771" w:name="_Toc312678040"/>
      <w:bookmarkStart w:id="1772" w:name="_Toc303539159"/>
      <w:bookmarkStart w:id="1773" w:name="_Toc300935002"/>
      <w:r>
        <w:rPr>
          <w:rFonts w:hint="eastAsia" w:ascii="宋体" w:hAnsi="宋体"/>
          <w:color w:val="auto"/>
          <w:szCs w:val="21"/>
          <w:highlight w:val="none"/>
        </w:rPr>
        <w:t>（1）自实际开工时间起至合同约定的工期结束时间止，期间《重庆工程造价信息》发布的信息价的算术平均值较开标当期《重庆工程造价信息》发布的信息价变化超过</w:t>
      </w:r>
      <w:r>
        <w:rPr>
          <w:rFonts w:hint="eastAsia" w:ascii="宋体" w:hAnsi="宋体"/>
          <w:color w:val="auto"/>
          <w:szCs w:val="21"/>
          <w:highlight w:val="none"/>
          <w:u w:val="single"/>
        </w:rPr>
        <w:t>±5%</w:t>
      </w:r>
      <w:r>
        <w:rPr>
          <w:rFonts w:hint="eastAsia" w:ascii="宋体" w:hAnsi="宋体"/>
          <w:color w:val="auto"/>
          <w:szCs w:val="21"/>
          <w:highlight w:val="none"/>
        </w:rPr>
        <w:t>时，按以下约定调整：</w:t>
      </w:r>
    </w:p>
    <w:p w14:paraId="7725B8DD">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①已标价工程量清单中载明材料单价不高于开标当期《重庆工程造价信息》发布的信息价的按期间《重庆工程造价信息》发布信息价的算术平均值减去开标当期《重庆工程造价信息》发布的信息价乘以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77AB7470">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②已标价工程量清单中载明材料单价高于开标当期《重庆工程造价信息》发布的信息价的，按期间《重庆工程造价信息》发布信息价的算术平均值减去已标价工程量清单中载明材料单价乘以</w:t>
      </w:r>
      <w:r>
        <w:rPr>
          <w:rFonts w:hint="eastAsia" w:ascii="宋体" w:hAnsi="宋体"/>
          <w:color w:val="auto"/>
          <w:szCs w:val="21"/>
          <w:highlight w:val="none"/>
          <w:u w:val="single"/>
        </w:rPr>
        <w:t>（1±5%）</w:t>
      </w:r>
      <w:r>
        <w:rPr>
          <w:rFonts w:hint="eastAsia" w:ascii="宋体" w:hAnsi="宋体"/>
          <w:color w:val="auto"/>
          <w:szCs w:val="21"/>
          <w:highlight w:val="none"/>
        </w:rPr>
        <w:t>调差。</w:t>
      </w:r>
    </w:p>
    <w:p w14:paraId="7361EB66">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工程量按照第12.3.1项〔计量原则〕约定计算，单位工程的材料消耗量按承包人投标报价的消耗量执行（承包人投标报价的单位工程材料消耗量高于定额单位工程材料消耗量的，按定额单位工程的材料消耗量执行）。</w:t>
      </w:r>
    </w:p>
    <w:p w14:paraId="639C7DCA">
      <w:pPr>
        <w:tabs>
          <w:tab w:val="left" w:pos="711"/>
          <w:tab w:val="left" w:pos="2580"/>
        </w:tabs>
        <w:spacing w:line="360" w:lineRule="auto"/>
        <w:ind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bookmarkEnd w:id="1756"/>
    <w:p w14:paraId="3301CA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第3种方式：其他价格调整方式：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1C875127">
      <w:pPr>
        <w:pStyle w:val="7"/>
        <w:spacing w:before="0" w:beforeAutospacing="0" w:after="0" w:afterAutospacing="0" w:line="360" w:lineRule="auto"/>
        <w:ind w:firstLine="422" w:firstLineChars="200"/>
        <w:rPr>
          <w:color w:val="auto"/>
          <w:sz w:val="21"/>
          <w:szCs w:val="21"/>
          <w:highlight w:val="none"/>
        </w:rPr>
      </w:pPr>
      <w:bookmarkStart w:id="1774" w:name="_Toc532375644"/>
      <w:bookmarkStart w:id="1775" w:name="_Toc532377380"/>
      <w:bookmarkStart w:id="1776" w:name="_Hlk528928232"/>
      <w:r>
        <w:rPr>
          <w:rFonts w:hint="eastAsia"/>
          <w:color w:val="auto"/>
          <w:sz w:val="21"/>
          <w:szCs w:val="21"/>
          <w:highlight w:val="none"/>
        </w:rPr>
        <w:t>11.2 法律变化引起的调整</w:t>
      </w:r>
      <w:bookmarkEnd w:id="1774"/>
      <w:bookmarkEnd w:id="1775"/>
    </w:p>
    <w:p w14:paraId="47FCEA4E">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项目投标基准日至竣工验收合格之日，国家或相关行政主管部门发布直接影响项目的新法规、新政策、新文件、新标准，属强制执行的，自执行之日执行，由此增减的费用由发包人承担，估价照第10.4.1项〔变更估价原则〕执行；属选择性执行的，发包人与承包人协商解决。</w:t>
      </w:r>
    </w:p>
    <w:p w14:paraId="753279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本条补充11.3款</w:t>
      </w:r>
    </w:p>
    <w:bookmarkEnd w:id="1776"/>
    <w:p w14:paraId="00921E5D">
      <w:pPr>
        <w:pStyle w:val="7"/>
        <w:spacing w:before="0" w:beforeAutospacing="0" w:after="0" w:afterAutospacing="0" w:line="360" w:lineRule="auto"/>
        <w:ind w:firstLine="422" w:firstLineChars="200"/>
        <w:rPr>
          <w:color w:val="auto"/>
          <w:sz w:val="21"/>
          <w:szCs w:val="21"/>
          <w:highlight w:val="none"/>
        </w:rPr>
      </w:pPr>
      <w:bookmarkStart w:id="1777" w:name="_Toc532375645"/>
      <w:bookmarkStart w:id="1778" w:name="_Toc532377381"/>
      <w:r>
        <w:rPr>
          <w:rFonts w:hint="eastAsia"/>
          <w:color w:val="auto"/>
          <w:sz w:val="21"/>
          <w:szCs w:val="21"/>
          <w:highlight w:val="none"/>
        </w:rPr>
        <w:t>11.3 严重不平衡报价引起的调整</w:t>
      </w:r>
      <w:bookmarkEnd w:id="1777"/>
      <w:bookmarkEnd w:id="1778"/>
    </w:p>
    <w:p w14:paraId="3C18F60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合同履行期间，当按第12.3.1项〔计量原则〕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竣工结算，修正综合单价按照第10.4.1项〔变更估价原则〕（3）目约定执行</w:t>
      </w:r>
      <w:r>
        <w:rPr>
          <w:rFonts w:hint="eastAsia" w:ascii="宋体" w:hAnsi="宋体"/>
          <w:color w:val="auto"/>
          <w:szCs w:val="21"/>
          <w:highlight w:val="none"/>
        </w:rPr>
        <w:t>。</w:t>
      </w:r>
    </w:p>
    <w:p w14:paraId="10576B74">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严重不平衡报价是指：清单子目综合单价与发包人按照第10.4.1项〔变更估价原则〕（3）目约定确定的综合单价相比，高于50%（即严重不平衡报价清单子目综合单价 - 按照第10.4.1项〔变更估价原则〕（3）目约定确定的综合单价）/按照第10.4.1项〔变更估价原则〕（3）目约定确定的综合单价×100%</w:t>
      </w:r>
      <w:r>
        <w:rPr>
          <w:rFonts w:hint="eastAsia" w:ascii="宋体" w:hAnsi="宋体"/>
          <w:color w:val="auto"/>
          <w:szCs w:val="21"/>
          <w:highlight w:val="none"/>
        </w:rPr>
        <w:t>。</w:t>
      </w:r>
    </w:p>
    <w:p w14:paraId="66442BF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779" w:name="_Toc532377382"/>
      <w:bookmarkStart w:id="1780" w:name="_Toc532375646"/>
      <w:r>
        <w:rPr>
          <w:rFonts w:hint="eastAsia"/>
          <w:color w:val="auto"/>
          <w:kern w:val="2"/>
          <w:sz w:val="21"/>
          <w:szCs w:val="21"/>
          <w:highlight w:val="none"/>
        </w:rPr>
        <w:t xml:space="preserve">12. </w:t>
      </w:r>
      <w:bookmarkEnd w:id="1757"/>
      <w:bookmarkEnd w:id="1758"/>
      <w:bookmarkEnd w:id="1759"/>
      <w:bookmarkEnd w:id="1760"/>
      <w:bookmarkEnd w:id="1761"/>
      <w:bookmarkEnd w:id="1762"/>
      <w:bookmarkEnd w:id="1763"/>
      <w:bookmarkEnd w:id="1764"/>
      <w:bookmarkEnd w:id="1765"/>
      <w:bookmarkEnd w:id="1766"/>
      <w:r>
        <w:rPr>
          <w:rFonts w:hint="eastAsia"/>
          <w:color w:val="auto"/>
          <w:kern w:val="2"/>
          <w:sz w:val="21"/>
          <w:szCs w:val="21"/>
          <w:highlight w:val="none"/>
        </w:rPr>
        <w:t>合同价格、计量与支付</w:t>
      </w:r>
      <w:bookmarkEnd w:id="1767"/>
      <w:bookmarkEnd w:id="1779"/>
      <w:bookmarkEnd w:id="1780"/>
    </w:p>
    <w:bookmarkEnd w:id="1768"/>
    <w:bookmarkEnd w:id="1769"/>
    <w:bookmarkEnd w:id="1770"/>
    <w:bookmarkEnd w:id="1771"/>
    <w:bookmarkEnd w:id="1772"/>
    <w:bookmarkEnd w:id="1773"/>
    <w:p w14:paraId="28BC42A9">
      <w:pPr>
        <w:pStyle w:val="7"/>
        <w:spacing w:before="0" w:beforeAutospacing="0" w:after="0" w:afterAutospacing="0" w:line="360" w:lineRule="auto"/>
        <w:ind w:firstLine="422" w:firstLineChars="200"/>
        <w:rPr>
          <w:color w:val="auto"/>
          <w:sz w:val="21"/>
          <w:szCs w:val="21"/>
          <w:highlight w:val="none"/>
        </w:rPr>
      </w:pPr>
      <w:bookmarkStart w:id="1781" w:name="_Toc292559411"/>
      <w:bookmarkStart w:id="1782" w:name="_Toc267251461"/>
      <w:bookmarkStart w:id="1783" w:name="_Toc292559916"/>
      <w:bookmarkStart w:id="1784" w:name="_Toc297120506"/>
      <w:bookmarkStart w:id="1785" w:name="_Toc296503206"/>
      <w:bookmarkStart w:id="1786" w:name="_Toc296891246"/>
      <w:bookmarkStart w:id="1787" w:name="_Toc296891034"/>
      <w:bookmarkStart w:id="1788" w:name="_Toc297048392"/>
      <w:bookmarkStart w:id="1789" w:name="_Toc296346707"/>
      <w:bookmarkStart w:id="1790" w:name="_Toc296347205"/>
      <w:bookmarkStart w:id="1791" w:name="_Toc296944545"/>
      <w:bookmarkStart w:id="1792" w:name="_Toc532377383"/>
      <w:bookmarkStart w:id="1793" w:name="_Toc532375647"/>
      <w:bookmarkStart w:id="1794" w:name="_Toc304295580"/>
      <w:bookmarkStart w:id="1795" w:name="_Toc300935003"/>
      <w:bookmarkStart w:id="1796" w:name="_Toc297123553"/>
      <w:bookmarkStart w:id="1797" w:name="_Toc303539160"/>
      <w:bookmarkStart w:id="1798" w:name="_Toc312678041"/>
      <w:bookmarkStart w:id="1799" w:name="_Toc297216212"/>
      <w:r>
        <w:rPr>
          <w:rFonts w:hint="eastAsia"/>
          <w:color w:val="auto"/>
          <w:sz w:val="21"/>
          <w:szCs w:val="21"/>
          <w:highlight w:val="none"/>
        </w:rPr>
        <w:t>12.1 合</w:t>
      </w:r>
      <w:bookmarkEnd w:id="1781"/>
      <w:bookmarkEnd w:id="1782"/>
      <w:bookmarkEnd w:id="1783"/>
      <w:r>
        <w:rPr>
          <w:rFonts w:hint="eastAsia"/>
          <w:color w:val="auto"/>
          <w:sz w:val="21"/>
          <w:szCs w:val="21"/>
          <w:highlight w:val="none"/>
        </w:rPr>
        <w:t>同价</w:t>
      </w:r>
      <w:bookmarkEnd w:id="1784"/>
      <w:bookmarkEnd w:id="1785"/>
      <w:bookmarkEnd w:id="1786"/>
      <w:bookmarkEnd w:id="1787"/>
      <w:bookmarkEnd w:id="1788"/>
      <w:bookmarkEnd w:id="1789"/>
      <w:bookmarkEnd w:id="1790"/>
      <w:bookmarkEnd w:id="1791"/>
      <w:r>
        <w:rPr>
          <w:rFonts w:hint="eastAsia"/>
          <w:color w:val="auto"/>
          <w:sz w:val="21"/>
          <w:szCs w:val="21"/>
          <w:highlight w:val="none"/>
        </w:rPr>
        <w:t>格形式</w:t>
      </w:r>
      <w:bookmarkEnd w:id="1792"/>
      <w:bookmarkEnd w:id="1793"/>
    </w:p>
    <w:bookmarkEnd w:id="1794"/>
    <w:bookmarkEnd w:id="1795"/>
    <w:bookmarkEnd w:id="1796"/>
    <w:bookmarkEnd w:id="1797"/>
    <w:bookmarkEnd w:id="1798"/>
    <w:bookmarkEnd w:id="1799"/>
    <w:p w14:paraId="3569913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1、单价合同。</w:t>
      </w:r>
    </w:p>
    <w:p w14:paraId="3255C5F0">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综合单价包含的风险范围：</w:t>
      </w:r>
      <w:r>
        <w:rPr>
          <w:rFonts w:hint="eastAsia" w:ascii="宋体" w:hAnsi="宋体"/>
          <w:color w:val="auto"/>
          <w:szCs w:val="21"/>
          <w:highlight w:val="none"/>
          <w:u w:val="single"/>
        </w:rPr>
        <w:t>包括但不限于为实施和完成合同工程所需的人工费、材料费、施工机具使用费、企业管理费、利润、风险费、施工技术措施项目费、施工组织措施项目费及缺陷修复等费用，以及</w:t>
      </w:r>
      <w:bookmarkStart w:id="1800" w:name="_Hlk528508096"/>
      <w:r>
        <w:rPr>
          <w:rFonts w:hint="eastAsia" w:ascii="宋体" w:hAnsi="宋体"/>
          <w:color w:val="auto"/>
          <w:szCs w:val="21"/>
          <w:highlight w:val="none"/>
          <w:u w:val="single"/>
        </w:rPr>
        <w:t>第11.1款〔市场价格波动引起的调整〕约定范围内的市场价格波动风险、政策性文件规定的各项应有费用、</w:t>
      </w:r>
      <w:bookmarkEnd w:id="1800"/>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文件和合同明示或暗示的应由承包人承担的所有责任、义务和风险等所需的费用</w:t>
      </w:r>
      <w:r>
        <w:rPr>
          <w:rFonts w:hint="eastAsia" w:ascii="宋体" w:hAnsi="宋体"/>
          <w:color w:val="auto"/>
          <w:szCs w:val="21"/>
          <w:highlight w:val="none"/>
        </w:rPr>
        <w:t>。</w:t>
      </w:r>
    </w:p>
    <w:p w14:paraId="10435E7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color w:val="auto"/>
          <w:szCs w:val="21"/>
          <w:highlight w:val="none"/>
          <w:u w:val="single"/>
        </w:rPr>
        <w:t>由承包人自行考虑并计入签约合同价格中，包干使用</w:t>
      </w:r>
      <w:r>
        <w:rPr>
          <w:rFonts w:hint="eastAsia" w:ascii="宋体" w:hAnsi="宋体"/>
          <w:color w:val="auto"/>
          <w:szCs w:val="21"/>
          <w:highlight w:val="none"/>
        </w:rPr>
        <w:t>。</w:t>
      </w:r>
    </w:p>
    <w:p w14:paraId="73EED71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风险范围以外合同价格的调整方法：</w:t>
      </w:r>
      <w:r>
        <w:rPr>
          <w:rFonts w:hint="eastAsia" w:ascii="宋体" w:hAnsi="宋体"/>
          <w:color w:val="auto"/>
          <w:szCs w:val="21"/>
          <w:highlight w:val="none"/>
          <w:u w:val="single"/>
        </w:rPr>
        <w:t>按照合同相关条款约定执行</w:t>
      </w:r>
      <w:r>
        <w:rPr>
          <w:rFonts w:hint="eastAsia" w:ascii="宋体" w:hAnsi="宋体"/>
          <w:color w:val="auto"/>
          <w:szCs w:val="21"/>
          <w:highlight w:val="none"/>
        </w:rPr>
        <w:t>。</w:t>
      </w:r>
    </w:p>
    <w:p w14:paraId="4700CC3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2、总价合同。</w:t>
      </w:r>
    </w:p>
    <w:p w14:paraId="552EFC3F">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总价包含的风险范围：</w:t>
      </w:r>
      <w:r>
        <w:rPr>
          <w:rFonts w:hint="eastAsia" w:ascii="宋体" w:hAnsi="宋体"/>
          <w:color w:val="auto"/>
          <w:szCs w:val="21"/>
          <w:highlight w:val="none"/>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文件和合同明示或暗示的应由承包人承担的所有责任、义务和风险等所需的费用</w:t>
      </w:r>
      <w:r>
        <w:rPr>
          <w:rFonts w:hint="eastAsia" w:ascii="宋体" w:hAnsi="宋体"/>
          <w:color w:val="auto"/>
          <w:szCs w:val="21"/>
          <w:highlight w:val="none"/>
        </w:rPr>
        <w:t>。</w:t>
      </w:r>
    </w:p>
    <w:p w14:paraId="654AE9BA">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color w:val="auto"/>
          <w:szCs w:val="21"/>
          <w:highlight w:val="none"/>
          <w:u w:val="single"/>
        </w:rPr>
        <w:t>由承包人自行考虑并计入签约合同价格中，包干使用</w:t>
      </w:r>
      <w:r>
        <w:rPr>
          <w:rFonts w:hint="eastAsia" w:ascii="宋体" w:hAnsi="宋体"/>
          <w:color w:val="auto"/>
          <w:szCs w:val="21"/>
          <w:highlight w:val="none"/>
        </w:rPr>
        <w:t>。</w:t>
      </w:r>
    </w:p>
    <w:p w14:paraId="49BDCC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风险范围以外合同价格的调整方法：</w:t>
      </w:r>
      <w:r>
        <w:rPr>
          <w:rFonts w:hint="eastAsia" w:ascii="宋体" w:hAnsi="宋体"/>
          <w:color w:val="auto"/>
          <w:szCs w:val="21"/>
          <w:highlight w:val="none"/>
          <w:u w:val="single"/>
        </w:rPr>
        <w:t>按照合同相关条款约定执行</w:t>
      </w:r>
      <w:r>
        <w:rPr>
          <w:rFonts w:hint="eastAsia" w:ascii="宋体" w:hAnsi="宋体"/>
          <w:color w:val="auto"/>
          <w:szCs w:val="21"/>
          <w:highlight w:val="none"/>
        </w:rPr>
        <w:t>。</w:t>
      </w:r>
    </w:p>
    <w:p w14:paraId="7CAEC0F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3、其他价格方式：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717DA747">
      <w:pPr>
        <w:pStyle w:val="7"/>
        <w:spacing w:before="0" w:beforeAutospacing="0" w:after="0" w:afterAutospacing="0" w:line="360" w:lineRule="auto"/>
        <w:ind w:firstLine="422" w:firstLineChars="200"/>
        <w:rPr>
          <w:color w:val="auto"/>
          <w:sz w:val="21"/>
          <w:szCs w:val="21"/>
          <w:highlight w:val="none"/>
        </w:rPr>
      </w:pPr>
      <w:bookmarkStart w:id="1801" w:name="_Toc532377384"/>
      <w:bookmarkStart w:id="1802" w:name="_Toc532375648"/>
      <w:bookmarkStart w:id="1803" w:name="_Toc292559412"/>
      <w:bookmarkStart w:id="1804" w:name="_Toc300935004"/>
      <w:bookmarkStart w:id="1805" w:name="_Toc297120507"/>
      <w:bookmarkStart w:id="1806" w:name="_Toc312678042"/>
      <w:bookmarkStart w:id="1807" w:name="_Toc304295581"/>
      <w:bookmarkStart w:id="1808" w:name="_Toc296891035"/>
      <w:bookmarkStart w:id="1809" w:name="_Toc297123554"/>
      <w:bookmarkStart w:id="1810" w:name="_Toc296891247"/>
      <w:bookmarkStart w:id="1811" w:name="_Toc297216213"/>
      <w:bookmarkStart w:id="1812" w:name="_Toc297048393"/>
      <w:bookmarkStart w:id="1813" w:name="_Toc296347206"/>
      <w:bookmarkStart w:id="1814" w:name="_Toc292559917"/>
      <w:bookmarkStart w:id="1815" w:name="_Toc296503207"/>
      <w:bookmarkStart w:id="1816" w:name="_Toc296346708"/>
      <w:bookmarkStart w:id="1817" w:name="_Toc296944546"/>
      <w:bookmarkStart w:id="1818" w:name="_Toc303539161"/>
      <w:r>
        <w:rPr>
          <w:rFonts w:hint="eastAsia"/>
          <w:color w:val="auto"/>
          <w:sz w:val="21"/>
          <w:szCs w:val="21"/>
          <w:highlight w:val="none"/>
        </w:rPr>
        <w:t>12.2 预付款</w:t>
      </w:r>
      <w:bookmarkEnd w:id="1801"/>
      <w:bookmarkEnd w:id="1802"/>
    </w:p>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14:paraId="7E5BB129">
      <w:pPr>
        <w:spacing w:line="360" w:lineRule="auto"/>
        <w:ind w:firstLine="420" w:firstLineChars="200"/>
        <w:jc w:val="left"/>
        <w:rPr>
          <w:rFonts w:hint="eastAsia" w:ascii="宋体" w:hAnsi="宋体"/>
          <w:color w:val="auto"/>
          <w:szCs w:val="21"/>
          <w:highlight w:val="none"/>
        </w:rPr>
      </w:pPr>
      <w:bookmarkStart w:id="1819" w:name="_Toc532375649"/>
      <w:bookmarkStart w:id="1820" w:name="_Toc532377385"/>
      <w:r>
        <w:rPr>
          <w:rFonts w:hint="eastAsia" w:ascii="宋体" w:hAnsi="宋体"/>
          <w:color w:val="auto"/>
          <w:szCs w:val="21"/>
          <w:highlight w:val="none"/>
          <w:lang w:val="en-US" w:eastAsia="zh-CN"/>
        </w:rPr>
        <w:t>12.2.1 预付款的支付：</w:t>
      </w:r>
      <w:r>
        <w:rPr>
          <w:rFonts w:hint="eastAsia" w:ascii="宋体" w:hAnsi="宋体"/>
          <w:color w:val="auto"/>
          <w:szCs w:val="21"/>
          <w:highlight w:val="none"/>
          <w:u w:val="single"/>
          <w:lang w:val="en-US" w:eastAsia="zh-CN"/>
        </w:rPr>
        <w:t>不采用</w:t>
      </w:r>
      <w:r>
        <w:rPr>
          <w:rFonts w:hint="eastAsia" w:ascii="宋体" w:hAnsi="宋体"/>
          <w:color w:val="auto"/>
          <w:szCs w:val="21"/>
          <w:highlight w:val="none"/>
          <w:lang w:val="en-US" w:eastAsia="zh-CN"/>
        </w:rPr>
        <w:t xml:space="preserve">。 </w:t>
      </w:r>
    </w:p>
    <w:p w14:paraId="2D4C47C6">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12.2.2 预付款担保：</w:t>
      </w:r>
      <w:r>
        <w:rPr>
          <w:rFonts w:hint="eastAsia" w:ascii="宋体" w:hAnsi="宋体"/>
          <w:color w:val="auto"/>
          <w:szCs w:val="21"/>
          <w:highlight w:val="none"/>
          <w:u w:val="single"/>
          <w:lang w:val="en-US" w:eastAsia="zh-CN"/>
        </w:rPr>
        <w:t>不提供</w:t>
      </w:r>
      <w:r>
        <w:rPr>
          <w:rFonts w:hint="eastAsia" w:ascii="宋体" w:hAnsi="宋体"/>
          <w:color w:val="auto"/>
          <w:szCs w:val="21"/>
          <w:highlight w:val="none"/>
          <w:lang w:val="en-US" w:eastAsia="zh-CN"/>
        </w:rPr>
        <w:t xml:space="preserve">。 </w:t>
      </w:r>
    </w:p>
    <w:p w14:paraId="740BC831">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12.3 计量</w:t>
      </w:r>
      <w:bookmarkEnd w:id="1819"/>
      <w:bookmarkEnd w:id="1820"/>
    </w:p>
    <w:p w14:paraId="387F91D0">
      <w:pPr>
        <w:spacing w:line="360" w:lineRule="auto"/>
        <w:ind w:firstLine="420" w:firstLineChars="200"/>
        <w:jc w:val="left"/>
        <w:rPr>
          <w:rFonts w:ascii="宋体" w:hAnsi="宋体"/>
          <w:color w:val="auto"/>
          <w:szCs w:val="21"/>
          <w:highlight w:val="none"/>
        </w:rPr>
      </w:pPr>
      <w:bookmarkStart w:id="1821" w:name="_Hlk528928260"/>
      <w:r>
        <w:rPr>
          <w:rFonts w:hint="eastAsia" w:ascii="宋体" w:hAnsi="宋体"/>
          <w:color w:val="auto"/>
          <w:szCs w:val="21"/>
          <w:highlight w:val="none"/>
        </w:rPr>
        <w:t>12.3.1 计量原则</w:t>
      </w:r>
    </w:p>
    <w:p w14:paraId="439BEBFF">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bookmarkEnd w:id="1821"/>
    <w:p w14:paraId="23D4038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12.3.2 计量周期</w:t>
      </w:r>
    </w:p>
    <w:p w14:paraId="24C10F2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关于计量周期的约定：</w:t>
      </w:r>
      <w:r>
        <w:rPr>
          <w:rFonts w:hint="eastAsia" w:ascii="宋体" w:hAnsi="宋体"/>
          <w:color w:val="auto"/>
          <w:szCs w:val="21"/>
          <w:highlight w:val="none"/>
          <w:u w:val="single"/>
        </w:rPr>
        <w:t>按月计量根据具体项目实际情况可以按月、按进度、按节点等形式计量，按进度、按节点计量的参考按月计量原则执行）</w:t>
      </w:r>
      <w:r>
        <w:rPr>
          <w:rFonts w:hint="eastAsia" w:ascii="宋体" w:hAnsi="宋体"/>
          <w:color w:val="auto"/>
          <w:szCs w:val="21"/>
          <w:highlight w:val="none"/>
        </w:rPr>
        <w:t>。</w:t>
      </w:r>
    </w:p>
    <w:p w14:paraId="7D81061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12.3.3 单价合同的计量</w:t>
      </w:r>
    </w:p>
    <w:p w14:paraId="0F1063B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关于单价合同计量的约定：</w:t>
      </w:r>
    </w:p>
    <w:p w14:paraId="3C2DCC76">
      <w:pPr>
        <w:spacing w:line="360" w:lineRule="auto"/>
        <w:ind w:firstLine="420" w:firstLineChars="200"/>
        <w:jc w:val="left"/>
        <w:rPr>
          <w:rFonts w:ascii="宋体" w:hAnsi="宋体"/>
          <w:color w:val="auto"/>
          <w:szCs w:val="21"/>
          <w:highlight w:val="none"/>
          <w:u w:val="single"/>
        </w:rPr>
      </w:pPr>
      <w:bookmarkStart w:id="1822" w:name="_Hlk528926162"/>
      <w:r>
        <w:rPr>
          <w:rFonts w:hint="eastAsia" w:ascii="宋体" w:hAnsi="宋体"/>
          <w:color w:val="auto"/>
          <w:szCs w:val="21"/>
          <w:highlight w:val="none"/>
          <w:u w:val="single"/>
        </w:rPr>
        <w:t>（1）承包人应于当月  日前向监理人报送上月已完成的工程量，并附进度付款申请单、已完成工程量报表和其他有关资料</w:t>
      </w:r>
      <w:r>
        <w:rPr>
          <w:rFonts w:hint="eastAsia" w:ascii="宋体" w:hAnsi="宋体"/>
          <w:color w:val="auto"/>
          <w:szCs w:val="21"/>
          <w:highlight w:val="none"/>
        </w:rPr>
        <w:t>。</w:t>
      </w:r>
    </w:p>
    <w:bookmarkEnd w:id="1822"/>
    <w:p w14:paraId="518C3CAD">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（2）承包人未在已标价的工程量清单中填入单价和（或）总价的子目，视为该子目的费用已包含合同工程的其他子目的单价或总价中，不再另行计量支付</w:t>
      </w:r>
      <w:r>
        <w:rPr>
          <w:rFonts w:hint="eastAsia" w:ascii="宋体" w:hAnsi="宋体"/>
          <w:color w:val="auto"/>
          <w:szCs w:val="21"/>
          <w:highlight w:val="none"/>
        </w:rPr>
        <w:t>。</w:t>
      </w:r>
    </w:p>
    <w:p w14:paraId="027C3AD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color w:val="auto"/>
          <w:szCs w:val="21"/>
          <w:highlight w:val="none"/>
        </w:rPr>
        <w:t>。</w:t>
      </w:r>
    </w:p>
    <w:p w14:paraId="65C88B17">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color w:val="auto"/>
          <w:szCs w:val="21"/>
          <w:highlight w:val="none"/>
        </w:rPr>
        <w:t>。</w:t>
      </w:r>
    </w:p>
    <w:p w14:paraId="458B62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12.3.4 总价合同的计量</w:t>
      </w:r>
    </w:p>
    <w:p w14:paraId="74C56A0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关于总价合同计量的约定：</w:t>
      </w:r>
      <w:r>
        <w:rPr>
          <w:rFonts w:hint="eastAsia" w:ascii="宋体" w:hAnsi="宋体"/>
          <w:color w:val="auto"/>
          <w:szCs w:val="21"/>
          <w:highlight w:val="none"/>
          <w:u w:val="single"/>
        </w:rPr>
        <w:t>按形象进度比例支付</w:t>
      </w:r>
      <w:r>
        <w:rPr>
          <w:rFonts w:hint="eastAsia" w:ascii="宋体" w:hAnsi="宋体"/>
          <w:color w:val="auto"/>
          <w:szCs w:val="21"/>
          <w:highlight w:val="none"/>
        </w:rPr>
        <w:t>。</w:t>
      </w:r>
    </w:p>
    <w:p w14:paraId="6184791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12.3.5总价合同采用支付分解表计量支付的，是否适用第12.3.4项〔总价合同的计量〕约定进行计量：</w:t>
      </w:r>
      <w:r>
        <w:rPr>
          <w:rFonts w:hint="eastAsia" w:ascii="宋体" w:hAnsi="宋体"/>
          <w:color w:val="auto"/>
          <w:szCs w:val="21"/>
          <w:highlight w:val="none"/>
          <w:u w:val="single"/>
        </w:rPr>
        <w:t>适用</w:t>
      </w:r>
      <w:r>
        <w:rPr>
          <w:rFonts w:hint="eastAsia" w:ascii="宋体" w:hAnsi="宋体"/>
          <w:color w:val="auto"/>
          <w:szCs w:val="21"/>
          <w:highlight w:val="none"/>
        </w:rPr>
        <w:t>。</w:t>
      </w:r>
    </w:p>
    <w:p w14:paraId="71FB1D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12.3.6 其他价格形式合同的计量</w:t>
      </w:r>
    </w:p>
    <w:p w14:paraId="442E038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其他价格形式的计量方式和程序：</w:t>
      </w:r>
      <w:r>
        <w:rPr>
          <w:rFonts w:hint="eastAsia" w:ascii="宋体" w:hAnsi="宋体"/>
          <w:color w:val="auto"/>
          <w:szCs w:val="21"/>
          <w:highlight w:val="none"/>
          <w:u w:val="single"/>
        </w:rPr>
        <w:t>不采用</w:t>
      </w:r>
      <w:r>
        <w:rPr>
          <w:rFonts w:hint="eastAsia" w:ascii="宋体" w:hAnsi="宋体"/>
          <w:color w:val="auto"/>
          <w:szCs w:val="21"/>
          <w:highlight w:val="none"/>
        </w:rPr>
        <w:t>。</w:t>
      </w:r>
    </w:p>
    <w:p w14:paraId="576307B4">
      <w:pPr>
        <w:pStyle w:val="7"/>
        <w:spacing w:before="0" w:beforeAutospacing="0" w:after="0" w:afterAutospacing="0" w:line="360" w:lineRule="auto"/>
        <w:ind w:firstLine="422" w:firstLineChars="200"/>
        <w:rPr>
          <w:rFonts w:hint="eastAsia"/>
          <w:color w:val="auto"/>
          <w:sz w:val="21"/>
          <w:szCs w:val="21"/>
          <w:highlight w:val="none"/>
        </w:rPr>
      </w:pPr>
      <w:bookmarkStart w:id="1823" w:name="_Toc532377386"/>
      <w:bookmarkStart w:id="1824" w:name="_Toc532375650"/>
      <w:bookmarkStart w:id="1825" w:name="_Hlk528928289"/>
      <w:r>
        <w:rPr>
          <w:rFonts w:hint="eastAsia"/>
          <w:color w:val="auto"/>
          <w:sz w:val="21"/>
          <w:szCs w:val="21"/>
          <w:highlight w:val="none"/>
        </w:rPr>
        <w:t>12.4 工程进度款支付</w:t>
      </w:r>
      <w:bookmarkEnd w:id="1823"/>
      <w:bookmarkEnd w:id="1824"/>
    </w:p>
    <w:bookmarkEnd w:id="1825"/>
    <w:p w14:paraId="777760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12.4.1 付款周期</w:t>
      </w:r>
    </w:p>
    <w:p w14:paraId="0E34851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关于付款周期的约定：</w:t>
      </w:r>
      <w:r>
        <w:rPr>
          <w:rFonts w:hint="eastAsia" w:ascii="宋体" w:hAnsi="宋体"/>
          <w:color w:val="auto"/>
          <w:szCs w:val="21"/>
          <w:highlight w:val="none"/>
          <w:u w:val="single"/>
        </w:rPr>
        <w:t>按</w:t>
      </w:r>
      <w:r>
        <w:rPr>
          <w:rFonts w:hint="eastAsia" w:ascii="宋体" w:hAnsi="宋体"/>
          <w:color w:val="auto"/>
          <w:szCs w:val="21"/>
          <w:highlight w:val="none"/>
          <w:u w:val="single"/>
          <w:lang w:val="en-US" w:eastAsia="zh-CN"/>
        </w:rPr>
        <w:t>节点</w:t>
      </w:r>
      <w:r>
        <w:rPr>
          <w:rFonts w:hint="eastAsia" w:ascii="宋体" w:hAnsi="宋体"/>
          <w:color w:val="auto"/>
          <w:szCs w:val="21"/>
          <w:highlight w:val="none"/>
          <w:u w:val="single"/>
        </w:rPr>
        <w:t>支付进度款</w:t>
      </w:r>
      <w:r>
        <w:rPr>
          <w:rFonts w:hint="eastAsia" w:ascii="宋体" w:hAnsi="宋体"/>
          <w:color w:val="auto"/>
          <w:szCs w:val="21"/>
          <w:highlight w:val="none"/>
        </w:rPr>
        <w:t>。</w:t>
      </w:r>
    </w:p>
    <w:p w14:paraId="7C78541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12.4.2 进度付款申请单的编制</w:t>
      </w:r>
    </w:p>
    <w:p w14:paraId="3CE8AEA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进度付款申请单应包括下列内容：</w:t>
      </w:r>
    </w:p>
    <w:p w14:paraId="03C6660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（1）截至本次付款周期已完成工作对应的金额</w:t>
      </w:r>
      <w:r>
        <w:rPr>
          <w:rFonts w:hint="eastAsia" w:ascii="宋体" w:hAnsi="宋体"/>
          <w:color w:val="auto"/>
          <w:szCs w:val="21"/>
          <w:highlight w:val="none"/>
        </w:rPr>
        <w:t>；</w:t>
      </w:r>
    </w:p>
    <w:p w14:paraId="4707966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（2）根据第10条〔变更〕应增加和扣减的已审定变更金额</w:t>
      </w:r>
      <w:r>
        <w:rPr>
          <w:rFonts w:hint="eastAsia" w:ascii="宋体" w:hAnsi="宋体"/>
          <w:color w:val="auto"/>
          <w:szCs w:val="21"/>
          <w:highlight w:val="none"/>
        </w:rPr>
        <w:t>；</w:t>
      </w:r>
    </w:p>
    <w:p w14:paraId="1F27AA8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（3）根据第12.2款〔预付款〕约定应支付的预付款和扣减的返还预付款</w:t>
      </w:r>
      <w:r>
        <w:rPr>
          <w:rFonts w:hint="eastAsia" w:ascii="宋体" w:hAnsi="宋体"/>
          <w:color w:val="auto"/>
          <w:szCs w:val="21"/>
          <w:highlight w:val="none"/>
        </w:rPr>
        <w:t>；</w:t>
      </w:r>
    </w:p>
    <w:p w14:paraId="589E414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（4）根据第15.3款〔质量保证金〕约定应扣减的质量保证金</w:t>
      </w:r>
      <w:r>
        <w:rPr>
          <w:rFonts w:hint="eastAsia" w:ascii="宋体" w:hAnsi="宋体"/>
          <w:color w:val="auto"/>
          <w:szCs w:val="21"/>
          <w:highlight w:val="none"/>
        </w:rPr>
        <w:t>；</w:t>
      </w:r>
    </w:p>
    <w:p w14:paraId="24C56F2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（5）根据第19条〔索赔〕应增加和扣减的已审定索赔金额</w:t>
      </w:r>
      <w:r>
        <w:rPr>
          <w:rFonts w:hint="eastAsia" w:ascii="宋体" w:hAnsi="宋体"/>
          <w:color w:val="auto"/>
          <w:szCs w:val="21"/>
          <w:highlight w:val="none"/>
        </w:rPr>
        <w:t>；</w:t>
      </w:r>
    </w:p>
    <w:p w14:paraId="37E7E51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（6）根据第11条〔价格调整〕应增加和扣减的价格调整金额</w:t>
      </w:r>
      <w:r>
        <w:rPr>
          <w:rFonts w:hint="eastAsia" w:ascii="宋体" w:hAnsi="宋体"/>
          <w:color w:val="auto"/>
          <w:szCs w:val="21"/>
          <w:highlight w:val="none"/>
        </w:rPr>
        <w:t>；</w:t>
      </w:r>
    </w:p>
    <w:p w14:paraId="5F8D8E6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（7）对已签发的进度款支付证书中出现错误的修正，应在本次进度付款中支付或扣除的金额</w:t>
      </w:r>
      <w:r>
        <w:rPr>
          <w:rFonts w:hint="eastAsia" w:ascii="宋体" w:hAnsi="宋体"/>
          <w:color w:val="auto"/>
          <w:szCs w:val="21"/>
          <w:highlight w:val="none"/>
        </w:rPr>
        <w:t>；</w:t>
      </w:r>
    </w:p>
    <w:p w14:paraId="30ADE3A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（8）根据合同约定承包人应向发包人支付的违约金</w:t>
      </w:r>
      <w:r>
        <w:rPr>
          <w:rFonts w:hint="eastAsia" w:ascii="宋体" w:hAnsi="宋体"/>
          <w:color w:val="auto"/>
          <w:szCs w:val="21"/>
          <w:highlight w:val="none"/>
        </w:rPr>
        <w:t>；</w:t>
      </w:r>
    </w:p>
    <w:p w14:paraId="12F09A5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u w:val="single"/>
        </w:rPr>
        <w:t>（9）根据合同约定发包人应向承包人支付的违约金和（或）奖励</w:t>
      </w:r>
      <w:r>
        <w:rPr>
          <w:rFonts w:hint="eastAsia" w:ascii="宋体" w:hAnsi="宋体"/>
          <w:color w:val="auto"/>
          <w:szCs w:val="21"/>
          <w:highlight w:val="none"/>
        </w:rPr>
        <w:t>；</w:t>
      </w:r>
    </w:p>
    <w:p w14:paraId="188D9AF1">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u w:val="single"/>
        </w:rPr>
        <w:t>（10）根据合同约定应增加和扣减的其他金额</w:t>
      </w:r>
      <w:r>
        <w:rPr>
          <w:rFonts w:hint="eastAsia" w:ascii="宋体" w:hAnsi="宋体"/>
          <w:color w:val="auto"/>
          <w:szCs w:val="21"/>
          <w:highlight w:val="none"/>
        </w:rPr>
        <w:t>；</w:t>
      </w:r>
    </w:p>
    <w:p w14:paraId="512F39B5">
      <w:pPr>
        <w:spacing w:line="360" w:lineRule="auto"/>
        <w:ind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（11）当月应支付的人工费（工资款）金额</w:t>
      </w:r>
      <w:r>
        <w:rPr>
          <w:rFonts w:hint="eastAsia" w:ascii="宋体" w:hAnsi="宋体"/>
          <w:color w:val="auto"/>
          <w:szCs w:val="21"/>
          <w:highlight w:val="none"/>
        </w:rPr>
        <w:t>。</w:t>
      </w:r>
    </w:p>
    <w:p w14:paraId="3726EB0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12.4.</w:t>
      </w:r>
      <w:r>
        <w:rPr>
          <w:rFonts w:hint="eastAsia" w:ascii="宋体" w:hAnsi="宋体"/>
          <w:color w:val="auto"/>
          <w:szCs w:val="21"/>
          <w:highlight w:val="none"/>
          <w:lang w:val="en-US" w:eastAsia="zh-CN"/>
        </w:rPr>
        <w:t>3</w:t>
      </w:r>
      <w:r>
        <w:rPr>
          <w:rFonts w:hint="eastAsia" w:ascii="宋体" w:hAnsi="宋体"/>
          <w:color w:val="auto"/>
          <w:szCs w:val="21"/>
          <w:highlight w:val="none"/>
        </w:rPr>
        <w:t>进度款支付</w:t>
      </w:r>
    </w:p>
    <w:p w14:paraId="4880E05D">
      <w:pPr>
        <w:spacing w:line="360" w:lineRule="auto"/>
        <w:ind w:firstLine="420" w:firstLineChars="200"/>
        <w:jc w:val="left"/>
        <w:rPr>
          <w:rFonts w:hint="eastAsia" w:ascii="宋体" w:hAnsi="宋体"/>
          <w:color w:val="000000" w:themeColor="text1"/>
          <w:kern w:val="0"/>
          <w:szCs w:val="21"/>
          <w:highlight w:val="none"/>
          <w:lang w:eastAsia="zh-CN"/>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工程竣工验收合格后付合同金额的</w:t>
      </w:r>
      <w:r>
        <w:rPr>
          <w:rFonts w:hint="eastAsia" w:ascii="宋体" w:hAnsi="宋体"/>
          <w:color w:val="000000" w:themeColor="text1"/>
          <w:kern w:val="0"/>
          <w:szCs w:val="21"/>
          <w:highlight w:val="none"/>
          <w:lang w:val="en-US" w:eastAsia="zh-CN"/>
          <w14:textFill>
            <w14:solidFill>
              <w14:schemeClr w14:val="tx1"/>
            </w14:solidFill>
          </w14:textFill>
        </w:rPr>
        <w:t>7</w:t>
      </w:r>
      <w:r>
        <w:rPr>
          <w:rFonts w:hint="eastAsia" w:ascii="宋体" w:hAnsi="宋体"/>
          <w:color w:val="000000" w:themeColor="text1"/>
          <w:kern w:val="0"/>
          <w:szCs w:val="21"/>
          <w:highlight w:val="none"/>
          <w:lang w:eastAsia="zh-CN"/>
          <w14:textFill>
            <w14:solidFill>
              <w14:schemeClr w14:val="tx1"/>
            </w14:solidFill>
          </w14:textFill>
        </w:rPr>
        <w:t>0%，结算审计后付至审计金额的97%，余3%为工程质保金（质保期两年，质保期自竣工验收合格之日起计算）。</w:t>
      </w:r>
    </w:p>
    <w:p w14:paraId="1F9A8C93">
      <w:pPr>
        <w:pStyle w:val="7"/>
        <w:spacing w:before="0" w:beforeAutospacing="0" w:after="0" w:afterAutospacing="0" w:line="360" w:lineRule="auto"/>
        <w:ind w:firstLine="422" w:firstLineChars="200"/>
        <w:rPr>
          <w:color w:val="auto"/>
          <w:sz w:val="21"/>
          <w:szCs w:val="21"/>
          <w:highlight w:val="none"/>
        </w:rPr>
      </w:pPr>
      <w:bookmarkStart w:id="1826" w:name="_Toc351203585"/>
      <w:bookmarkStart w:id="1827" w:name="_Toc532377387"/>
      <w:r>
        <w:rPr>
          <w:rFonts w:hint="eastAsia"/>
          <w:color w:val="auto"/>
          <w:sz w:val="21"/>
          <w:szCs w:val="21"/>
          <w:highlight w:val="none"/>
        </w:rPr>
        <w:t>12.5支付账户</w:t>
      </w:r>
      <w:bookmarkEnd w:id="1826"/>
      <w:bookmarkEnd w:id="1827"/>
    </w:p>
    <w:p w14:paraId="075E753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发包人应将合同价款支付至如下承包人指定的开户银行及银行账户：</w:t>
      </w:r>
    </w:p>
    <w:p w14:paraId="1C0DB609">
      <w:pPr>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收款单位名称：</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52458B31">
      <w:pPr>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收款账号：</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B387FCF">
      <w:pPr>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收款开户银行：</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0633C8B">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28" w:name="_Toc532377388"/>
      <w:bookmarkStart w:id="1829" w:name="_Toc532375651"/>
      <w:bookmarkStart w:id="1830" w:name="_Toc351203645"/>
      <w:bookmarkStart w:id="1831" w:name="_Toc296503219"/>
      <w:bookmarkStart w:id="1832" w:name="_Toc303539172"/>
      <w:bookmarkStart w:id="1833" w:name="_Toc297216223"/>
      <w:bookmarkStart w:id="1834" w:name="_Toc297123564"/>
      <w:bookmarkStart w:id="1835" w:name="_Toc296891259"/>
      <w:bookmarkStart w:id="1836" w:name="_Toc292559929"/>
      <w:bookmarkStart w:id="1837" w:name="_Toc296346720"/>
      <w:bookmarkStart w:id="1838" w:name="_Toc296944558"/>
      <w:bookmarkStart w:id="1839" w:name="_Toc297048405"/>
      <w:bookmarkStart w:id="1840" w:name="_Toc300935015"/>
      <w:bookmarkStart w:id="1841" w:name="_Toc297120519"/>
      <w:bookmarkStart w:id="1842" w:name="_Toc292559424"/>
      <w:bookmarkStart w:id="1843" w:name="_Toc312678053"/>
      <w:bookmarkStart w:id="1844" w:name="_Toc296891047"/>
      <w:bookmarkStart w:id="1845" w:name="_Toc296347218"/>
      <w:bookmarkStart w:id="1846" w:name="_Toc304295593"/>
      <w:r>
        <w:rPr>
          <w:rFonts w:hint="eastAsia"/>
          <w:color w:val="auto"/>
          <w:kern w:val="2"/>
          <w:sz w:val="21"/>
          <w:szCs w:val="21"/>
          <w:highlight w:val="none"/>
        </w:rPr>
        <w:t>13. 验收和工程试车</w:t>
      </w:r>
      <w:bookmarkEnd w:id="1828"/>
      <w:bookmarkEnd w:id="1829"/>
      <w:bookmarkEnd w:id="1830"/>
    </w:p>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14:paraId="5D743CFD">
      <w:pPr>
        <w:pStyle w:val="7"/>
        <w:spacing w:before="0" w:beforeAutospacing="0" w:after="0" w:afterAutospacing="0" w:line="360" w:lineRule="auto"/>
        <w:ind w:firstLine="422" w:firstLineChars="200"/>
        <w:rPr>
          <w:color w:val="auto"/>
          <w:sz w:val="21"/>
          <w:szCs w:val="21"/>
          <w:highlight w:val="none"/>
        </w:rPr>
      </w:pPr>
      <w:bookmarkStart w:id="1847" w:name="_Toc532377389"/>
      <w:bookmarkStart w:id="1848" w:name="_Toc532375652"/>
      <w:bookmarkStart w:id="1849" w:name="_Toc280868704"/>
      <w:bookmarkStart w:id="1850" w:name="_Toc280868705"/>
      <w:bookmarkStart w:id="1851" w:name="_Toc280868706"/>
      <w:bookmarkStart w:id="1852" w:name="_Toc280868707"/>
      <w:bookmarkStart w:id="1853" w:name="_Toc280868708"/>
      <w:bookmarkStart w:id="1854" w:name="_Toc280868709"/>
      <w:bookmarkStart w:id="1855" w:name="_Toc267251474"/>
      <w:bookmarkStart w:id="1856" w:name="_Toc267251473"/>
      <w:bookmarkStart w:id="1857" w:name="_Toc267251472"/>
      <w:bookmarkStart w:id="1858" w:name="_Toc267251476"/>
      <w:bookmarkStart w:id="1859" w:name="_Toc267251471"/>
      <w:bookmarkStart w:id="1860" w:name="_Toc267251475"/>
      <w:bookmarkStart w:id="1861" w:name="_Toc267251470"/>
      <w:r>
        <w:rPr>
          <w:rFonts w:hint="eastAsia"/>
          <w:color w:val="auto"/>
          <w:sz w:val="21"/>
          <w:szCs w:val="21"/>
          <w:highlight w:val="none"/>
        </w:rPr>
        <w:t>13.1 分部分项工程验收</w:t>
      </w:r>
      <w:bookmarkEnd w:id="1847"/>
      <w:bookmarkEnd w:id="1848"/>
    </w:p>
    <w:p w14:paraId="4F56200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13.1.2 监理人不能按时进行验收时，应提前</w:t>
      </w:r>
      <w:r>
        <w:rPr>
          <w:rFonts w:hint="eastAsia" w:ascii="宋体" w:hAnsi="宋体"/>
          <w:color w:val="auto"/>
          <w:szCs w:val="21"/>
          <w:highlight w:val="none"/>
          <w:u w:val="single"/>
        </w:rPr>
        <w:t>24</w:t>
      </w:r>
      <w:r>
        <w:rPr>
          <w:rFonts w:hint="eastAsia" w:ascii="宋体" w:hAnsi="宋体"/>
          <w:color w:val="auto"/>
          <w:szCs w:val="21"/>
          <w:highlight w:val="none"/>
        </w:rPr>
        <w:t>小时提交书面延期要求。</w:t>
      </w:r>
    </w:p>
    <w:p w14:paraId="30BE233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关于延期最长不得超过：</w:t>
      </w:r>
      <w:r>
        <w:rPr>
          <w:rFonts w:hint="eastAsia" w:ascii="宋体" w:hAnsi="宋体"/>
          <w:color w:val="auto"/>
          <w:szCs w:val="21"/>
          <w:highlight w:val="none"/>
          <w:u w:val="single"/>
        </w:rPr>
        <w:t>48</w:t>
      </w:r>
      <w:r>
        <w:rPr>
          <w:rFonts w:hint="eastAsia" w:ascii="宋体" w:hAnsi="宋体"/>
          <w:color w:val="auto"/>
          <w:szCs w:val="21"/>
          <w:highlight w:val="none"/>
        </w:rPr>
        <w:t>小时。</w:t>
      </w:r>
    </w:p>
    <w:p w14:paraId="2C9183A6">
      <w:pPr>
        <w:pStyle w:val="7"/>
        <w:spacing w:before="0" w:beforeAutospacing="0" w:after="0" w:afterAutospacing="0" w:line="360" w:lineRule="auto"/>
        <w:ind w:firstLine="422" w:firstLineChars="200"/>
        <w:rPr>
          <w:color w:val="auto"/>
          <w:sz w:val="21"/>
          <w:szCs w:val="21"/>
          <w:highlight w:val="none"/>
        </w:rPr>
      </w:pPr>
      <w:bookmarkStart w:id="1862" w:name="_Toc532375653"/>
      <w:bookmarkStart w:id="1863" w:name="_Toc532377390"/>
      <w:bookmarkStart w:id="1864" w:name="_Toc300935016"/>
      <w:bookmarkStart w:id="1865" w:name="_Toc297048409"/>
      <w:bookmarkStart w:id="1866" w:name="_Toc296347222"/>
      <w:bookmarkStart w:id="1867" w:name="_Toc304295596"/>
      <w:bookmarkStart w:id="1868" w:name="_Toc292559933"/>
      <w:bookmarkStart w:id="1869" w:name="_Toc297123565"/>
      <w:bookmarkStart w:id="1870" w:name="_Toc292559428"/>
      <w:bookmarkStart w:id="1871" w:name="_Toc296346724"/>
      <w:bookmarkStart w:id="1872" w:name="_Toc296891051"/>
      <w:bookmarkStart w:id="1873" w:name="_Toc303539173"/>
      <w:bookmarkStart w:id="1874" w:name="_Toc297120523"/>
      <w:bookmarkStart w:id="1875" w:name="_Toc297216224"/>
      <w:bookmarkStart w:id="1876" w:name="_Toc312678056"/>
      <w:bookmarkStart w:id="1877" w:name="_Toc296891263"/>
      <w:bookmarkStart w:id="1878" w:name="_Toc296944562"/>
      <w:bookmarkStart w:id="1879" w:name="_Toc296503223"/>
      <w:r>
        <w:rPr>
          <w:rFonts w:hint="eastAsia"/>
          <w:color w:val="auto"/>
          <w:sz w:val="21"/>
          <w:szCs w:val="21"/>
          <w:highlight w:val="none"/>
        </w:rPr>
        <w:t>13.2 竣工验收</w:t>
      </w:r>
      <w:bookmarkEnd w:id="1862"/>
      <w:bookmarkEnd w:id="1863"/>
    </w:p>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14:paraId="2181592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13.2.2竣工验收程序</w:t>
      </w:r>
    </w:p>
    <w:bookmarkEnd w:id="1849"/>
    <w:p w14:paraId="05DCE52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关于竣工验收程序的约定：工程完工且符合下列条件时，承包人可向发包人提供竣工报告，并要求验收：</w:t>
      </w:r>
    </w:p>
    <w:p w14:paraId="1F5C448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（1）除发包人同意的甩项工作和缺陷修补工作外，合同范围内的全部工程以及有关工作，包括合同要求的试验、试运行以及检验均已完成，并符合合同要求；</w:t>
      </w:r>
    </w:p>
    <w:p w14:paraId="091CF2E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（2）已按合同约定编制了甩项工作和缺陷修补工作清单以及相应的施工计划；</w:t>
      </w:r>
    </w:p>
    <w:p w14:paraId="607ADDE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（3）已按合同约定的内容和份数备齐竣工资料。</w:t>
      </w:r>
    </w:p>
    <w:p w14:paraId="76F3D32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232F60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工程竣工及竣工资料：</w:t>
      </w:r>
    </w:p>
    <w:p w14:paraId="25E163D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（1）发包人应在收到承包人竣工报告后14天内组织设计单位、监理单位、质监等其他部门进行验收，竣工日期以最后一次整改后通过竣工验收的时间为准</w:t>
      </w:r>
      <w:r>
        <w:rPr>
          <w:rFonts w:hint="eastAsia" w:ascii="宋体" w:hAnsi="宋体"/>
          <w:color w:val="auto"/>
          <w:szCs w:val="21"/>
          <w:highlight w:val="none"/>
        </w:rPr>
        <w:t>。</w:t>
      </w:r>
    </w:p>
    <w:p w14:paraId="00AC08D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color w:val="auto"/>
          <w:szCs w:val="21"/>
          <w:highlight w:val="none"/>
        </w:rPr>
        <w:t>。</w:t>
      </w:r>
    </w:p>
    <w:p w14:paraId="66574828">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（3）承包人提供竣工资料的约定：</w:t>
      </w:r>
      <w:r>
        <w:rPr>
          <w:rFonts w:hint="eastAsia" w:ascii="宋体" w:hAnsi="宋体"/>
          <w:color w:val="auto"/>
          <w:szCs w:val="21"/>
          <w:highlight w:val="none"/>
          <w:u w:val="single"/>
        </w:rPr>
        <w:t>承包人提供纸质版竣工图三套，电子版竣工图二套（刻光盘）</w:t>
      </w:r>
      <w:r>
        <w:rPr>
          <w:rFonts w:hint="eastAsia" w:ascii="宋体" w:hAnsi="宋体"/>
          <w:color w:val="auto"/>
          <w:szCs w:val="21"/>
          <w:highlight w:val="none"/>
        </w:rPr>
        <w:t>。</w:t>
      </w:r>
    </w:p>
    <w:bookmarkEnd w:id="1850"/>
    <w:p w14:paraId="3D6B202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13.2.5 移交、接收全部与部分工程</w:t>
      </w:r>
    </w:p>
    <w:bookmarkEnd w:id="1851"/>
    <w:p w14:paraId="260DB4A8">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承包人向发包人移交工程的期限：</w:t>
      </w:r>
      <w:r>
        <w:rPr>
          <w:rFonts w:hint="eastAsia" w:ascii="宋体" w:hAnsi="宋体"/>
          <w:color w:val="auto"/>
          <w:szCs w:val="21"/>
          <w:highlight w:val="none"/>
          <w:u w:val="single"/>
        </w:rPr>
        <w:t>颁发工程接收证书后7天内完成工程的移交</w:t>
      </w:r>
      <w:r>
        <w:rPr>
          <w:rFonts w:hint="eastAsia" w:ascii="宋体" w:hAnsi="宋体"/>
          <w:color w:val="auto"/>
          <w:szCs w:val="21"/>
          <w:highlight w:val="none"/>
        </w:rPr>
        <w:t>。</w:t>
      </w:r>
    </w:p>
    <w:p w14:paraId="310D1497">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发包人未按合同约定接收全部或部分工程的，违约金的计算方法为：发包人自应当接收工程之日起承担工程照管、成品保护、保管等与工程有关的各项费用。</w:t>
      </w:r>
    </w:p>
    <w:bookmarkEnd w:id="1852"/>
    <w:p w14:paraId="156EDC7D">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因承包人自身原因未按时移交工程的，违约金的计算方法为：</w:t>
      </w:r>
      <w:r>
        <w:rPr>
          <w:rFonts w:hint="eastAsia" w:ascii="宋体" w:hAnsi="宋体"/>
          <w:color w:val="auto"/>
          <w:szCs w:val="21"/>
          <w:highlight w:val="none"/>
          <w:u w:val="single"/>
        </w:rPr>
        <w:t>承包人应承担工程照管、成品保护、保管等与工程有关的各项费用，并按经审定结算金额的0.5‰/天支付违约金</w:t>
      </w:r>
      <w:r>
        <w:rPr>
          <w:rFonts w:hint="eastAsia" w:ascii="宋体" w:hAnsi="宋体"/>
          <w:color w:val="auto"/>
          <w:szCs w:val="21"/>
          <w:highlight w:val="none"/>
        </w:rPr>
        <w:t>。</w:t>
      </w:r>
    </w:p>
    <w:p w14:paraId="0B855158">
      <w:pPr>
        <w:pStyle w:val="7"/>
        <w:spacing w:before="0" w:beforeAutospacing="0" w:after="0" w:afterAutospacing="0" w:line="360" w:lineRule="auto"/>
        <w:ind w:firstLine="422" w:firstLineChars="200"/>
        <w:rPr>
          <w:color w:val="auto"/>
          <w:sz w:val="21"/>
          <w:szCs w:val="21"/>
          <w:highlight w:val="none"/>
        </w:rPr>
      </w:pPr>
      <w:bookmarkStart w:id="1880" w:name="_Toc532375654"/>
      <w:bookmarkStart w:id="1881" w:name="_Toc532377391"/>
      <w:r>
        <w:rPr>
          <w:rFonts w:hint="eastAsia"/>
          <w:color w:val="auto"/>
          <w:sz w:val="21"/>
          <w:szCs w:val="21"/>
          <w:highlight w:val="none"/>
        </w:rPr>
        <w:t>13.3 工程试车</w:t>
      </w:r>
      <w:bookmarkEnd w:id="1880"/>
      <w:bookmarkEnd w:id="1881"/>
    </w:p>
    <w:p w14:paraId="50B5321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13.3.1 试车程序</w:t>
      </w:r>
    </w:p>
    <w:p w14:paraId="4D7FD01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工程试车内容：</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46612A5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（1）单机无负荷试车费用由</w:t>
      </w:r>
      <w:r>
        <w:rPr>
          <w:rFonts w:hint="eastAsia" w:ascii="宋体" w:hAnsi="宋体"/>
          <w:color w:val="auto"/>
          <w:szCs w:val="21"/>
          <w:highlight w:val="none"/>
          <w:u w:val="single"/>
        </w:rPr>
        <w:t>承包人</w:t>
      </w:r>
      <w:r>
        <w:rPr>
          <w:rFonts w:hint="eastAsia" w:ascii="宋体" w:hAnsi="宋体"/>
          <w:color w:val="auto"/>
          <w:szCs w:val="21"/>
          <w:highlight w:val="none"/>
        </w:rPr>
        <w:t>承担；</w:t>
      </w:r>
    </w:p>
    <w:p w14:paraId="2CD7FF6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（2）无负荷联动试车费用由</w:t>
      </w:r>
      <w:r>
        <w:rPr>
          <w:rFonts w:hint="eastAsia" w:ascii="宋体" w:hAnsi="宋体"/>
          <w:color w:val="auto"/>
          <w:szCs w:val="21"/>
          <w:highlight w:val="none"/>
          <w:u w:val="single"/>
        </w:rPr>
        <w:t>承包人</w:t>
      </w:r>
      <w:r>
        <w:rPr>
          <w:rFonts w:hint="eastAsia" w:ascii="宋体" w:hAnsi="宋体"/>
          <w:color w:val="auto"/>
          <w:szCs w:val="21"/>
          <w:highlight w:val="none"/>
        </w:rPr>
        <w:t>承担。</w:t>
      </w:r>
    </w:p>
    <w:p w14:paraId="3022FE50">
      <w:pPr>
        <w:pStyle w:val="7"/>
        <w:spacing w:before="0" w:beforeAutospacing="0" w:after="0" w:afterAutospacing="0" w:line="360" w:lineRule="auto"/>
        <w:ind w:firstLine="422" w:firstLineChars="200"/>
        <w:rPr>
          <w:color w:val="auto"/>
          <w:sz w:val="21"/>
          <w:szCs w:val="21"/>
          <w:highlight w:val="none"/>
        </w:rPr>
      </w:pPr>
      <w:bookmarkStart w:id="1882" w:name="_Toc532375655"/>
      <w:bookmarkStart w:id="1883" w:name="_Toc532377392"/>
      <w:r>
        <w:rPr>
          <w:rFonts w:hint="eastAsia"/>
          <w:color w:val="auto"/>
          <w:sz w:val="21"/>
          <w:szCs w:val="21"/>
          <w:highlight w:val="none"/>
        </w:rPr>
        <w:t>13.6 竣工退场</w:t>
      </w:r>
      <w:bookmarkEnd w:id="1882"/>
      <w:bookmarkEnd w:id="1883"/>
    </w:p>
    <w:p w14:paraId="4AB82BB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13.6.1 竣工退场</w:t>
      </w:r>
    </w:p>
    <w:p w14:paraId="5F13359A">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承包人完成竣工退场的期限：</w:t>
      </w:r>
      <w:r>
        <w:rPr>
          <w:rFonts w:hint="eastAsia" w:ascii="宋体" w:hAnsi="宋体"/>
          <w:color w:val="auto"/>
          <w:szCs w:val="21"/>
          <w:highlight w:val="none"/>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olor w:val="auto"/>
          <w:szCs w:val="21"/>
          <w:highlight w:val="none"/>
        </w:rPr>
        <w:t>。</w:t>
      </w:r>
    </w:p>
    <w:bookmarkEnd w:id="1853"/>
    <w:p w14:paraId="1695F4C8">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84" w:name="_Toc532377393"/>
      <w:bookmarkStart w:id="1885" w:name="_Toc532375656"/>
      <w:bookmarkStart w:id="1886" w:name="_Toc351203646"/>
      <w:r>
        <w:rPr>
          <w:rFonts w:hint="eastAsia"/>
          <w:color w:val="auto"/>
          <w:kern w:val="2"/>
          <w:sz w:val="21"/>
          <w:szCs w:val="21"/>
          <w:highlight w:val="none"/>
        </w:rPr>
        <w:t>14. 竣工结算</w:t>
      </w:r>
      <w:bookmarkEnd w:id="1884"/>
      <w:bookmarkEnd w:id="1885"/>
      <w:bookmarkEnd w:id="1886"/>
    </w:p>
    <w:p w14:paraId="2BBD5499">
      <w:pPr>
        <w:pStyle w:val="7"/>
        <w:spacing w:before="0" w:beforeAutospacing="0" w:after="0" w:afterAutospacing="0" w:line="360" w:lineRule="auto"/>
        <w:ind w:firstLine="422" w:firstLineChars="200"/>
        <w:rPr>
          <w:color w:val="auto"/>
          <w:sz w:val="21"/>
          <w:szCs w:val="21"/>
          <w:highlight w:val="none"/>
        </w:rPr>
      </w:pPr>
      <w:bookmarkStart w:id="1887" w:name="_Toc532375657"/>
      <w:bookmarkStart w:id="1888" w:name="_Toc532377394"/>
      <w:r>
        <w:rPr>
          <w:rFonts w:hint="eastAsia"/>
          <w:color w:val="auto"/>
          <w:sz w:val="21"/>
          <w:szCs w:val="21"/>
          <w:highlight w:val="none"/>
        </w:rPr>
        <w:t>14.1 竣工结算申请</w:t>
      </w:r>
      <w:bookmarkEnd w:id="1887"/>
      <w:bookmarkEnd w:id="1888"/>
    </w:p>
    <w:p w14:paraId="0E64EECD">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承包人提交竣工结算申请单的期限：</w:t>
      </w:r>
      <w:r>
        <w:rPr>
          <w:rFonts w:hint="eastAsia" w:ascii="宋体" w:hAnsi="宋体"/>
          <w:color w:val="auto"/>
          <w:szCs w:val="21"/>
          <w:highlight w:val="none"/>
          <w:u w:val="single"/>
        </w:rPr>
        <w:t>承包人应在工程竣工验收合格且报送</w:t>
      </w:r>
      <w:r>
        <w:rPr>
          <w:rFonts w:ascii="宋体" w:hAnsi="宋体"/>
          <w:color w:val="auto"/>
          <w:szCs w:val="21"/>
          <w:highlight w:val="none"/>
          <w:u w:val="single"/>
        </w:rPr>
        <w:t>完整工程竣工资料</w:t>
      </w:r>
      <w:r>
        <w:rPr>
          <w:rFonts w:hint="eastAsia" w:ascii="宋体" w:hAnsi="宋体"/>
          <w:color w:val="auto"/>
          <w:szCs w:val="21"/>
          <w:highlight w:val="none"/>
          <w:u w:val="single"/>
        </w:rPr>
        <w:t>之日起28天内向监理人、发包人提交竣工结算申请单，并向发包人报送完整的工程竣工资料及经监理人初审确认的完整的竣工结算资料</w:t>
      </w:r>
      <w:bookmarkStart w:id="1889" w:name="_Hlk524297994"/>
      <w:r>
        <w:rPr>
          <w:rFonts w:hint="eastAsia" w:ascii="宋体" w:hAnsi="宋体"/>
          <w:color w:val="auto"/>
          <w:szCs w:val="21"/>
          <w:highlight w:val="none"/>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02C5481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竣工结算申请单包括但不限于以下内容：</w:t>
      </w:r>
    </w:p>
    <w:p w14:paraId="13FAFC7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（1）竣工结算合同价格；</w:t>
      </w:r>
    </w:p>
    <w:p w14:paraId="0345154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（2）变更增减金额；</w:t>
      </w:r>
    </w:p>
    <w:p w14:paraId="14D0EEF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（3）现场签证增减金额；</w:t>
      </w:r>
    </w:p>
    <w:p w14:paraId="533957C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（4）索赔增减金额；</w:t>
      </w:r>
    </w:p>
    <w:p w14:paraId="11A9F1A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（5）奖励、罚金及违约金；</w:t>
      </w:r>
    </w:p>
    <w:p w14:paraId="5B26A6D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（6）发包人已支付承包人的款项；</w:t>
      </w:r>
    </w:p>
    <w:p w14:paraId="6BF2DC5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（7）应扣留的质量保证金；</w:t>
      </w:r>
    </w:p>
    <w:p w14:paraId="6906EC5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（8）发包人应支付承包人的合同价款。</w:t>
      </w:r>
      <w:bookmarkEnd w:id="1889"/>
    </w:p>
    <w:p w14:paraId="72B9494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9CD9B8E">
      <w:pPr>
        <w:pStyle w:val="7"/>
        <w:spacing w:before="0" w:beforeAutospacing="0" w:after="0" w:afterAutospacing="0" w:line="360" w:lineRule="auto"/>
        <w:ind w:firstLine="422" w:firstLineChars="200"/>
        <w:rPr>
          <w:color w:val="auto"/>
          <w:sz w:val="21"/>
          <w:szCs w:val="21"/>
          <w:highlight w:val="none"/>
        </w:rPr>
      </w:pPr>
      <w:bookmarkStart w:id="1890" w:name="_Toc532377395"/>
      <w:bookmarkStart w:id="1891" w:name="_Toc532375658"/>
      <w:r>
        <w:rPr>
          <w:rFonts w:hint="eastAsia"/>
          <w:color w:val="auto"/>
          <w:sz w:val="21"/>
          <w:szCs w:val="21"/>
          <w:highlight w:val="none"/>
        </w:rPr>
        <w:t>14.2 竣工结算审核</w:t>
      </w:r>
      <w:bookmarkEnd w:id="1890"/>
      <w:bookmarkEnd w:id="1891"/>
    </w:p>
    <w:p w14:paraId="10E3486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 竣工结算办法</w:t>
      </w:r>
    </w:p>
    <w:p w14:paraId="222F62B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14.2.1.1计量原则</w:t>
      </w:r>
    </w:p>
    <w:p w14:paraId="3ABB65F4">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按照第12.3.1项〔计量原则〕约定执行。</w:t>
      </w:r>
    </w:p>
    <w:p w14:paraId="0166FB3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14.2.1.2计价原则</w:t>
      </w:r>
    </w:p>
    <w:p w14:paraId="33AA330A">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合同竣工结算价=Σ分部分项工程结算价+Σ措施项目结算价+Σ其他项目结算价±Σ价格调整（如有）±Σ变更、索赔与现场签证结算价±Σ奖励、罚金、违约金及其他费用+Σ规费+Σ税金</w:t>
      </w:r>
      <w:r>
        <w:rPr>
          <w:rFonts w:hint="eastAsia" w:ascii="宋体" w:hAnsi="宋体"/>
          <w:color w:val="auto"/>
          <w:szCs w:val="21"/>
          <w:highlight w:val="none"/>
        </w:rPr>
        <w:t>。</w:t>
      </w:r>
    </w:p>
    <w:p w14:paraId="4BC3DC1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具体结算办法如下：</w:t>
      </w:r>
    </w:p>
    <w:p w14:paraId="4AFF46A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（1）分部分项工程：</w:t>
      </w:r>
    </w:p>
    <w:p w14:paraId="7A678587">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①已标价工程量清单子目综合单价按合同约定无需调整的，以按照竣工图和第12.3.1项〔计量原则〕约定确定的工程量乘以相应的已标价工程量清单子目综合单价确定该部分分部分项工程结算价</w:t>
      </w:r>
      <w:r>
        <w:rPr>
          <w:rFonts w:hint="eastAsia" w:ascii="宋体" w:hAnsi="宋体"/>
          <w:color w:val="auto"/>
          <w:szCs w:val="21"/>
          <w:highlight w:val="none"/>
        </w:rPr>
        <w:t>；</w:t>
      </w:r>
    </w:p>
    <w:p w14:paraId="0481D0A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已标价工程量清单子目综合单价按第11.3款〔严重不平衡报价引起的调整〕约定需要修正综合单价的，结算工程量超过已标价工程量15%的，超出部分工程量乘以按第11.3款〔严重不平衡报价引起的调整〕约定修正综合单价确定该部分分部分项工程结算价</w:t>
      </w:r>
      <w:r>
        <w:rPr>
          <w:rFonts w:hint="eastAsia" w:ascii="宋体" w:hAnsi="宋体"/>
          <w:color w:val="auto"/>
          <w:szCs w:val="21"/>
          <w:highlight w:val="none"/>
        </w:rPr>
        <w:t>；</w:t>
      </w:r>
    </w:p>
    <w:p w14:paraId="3D3295D6">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③需要对没有填入综合单价或总额价的子目项目进行扣减的，第12.3.1项〔计量原则〕约定确定的工程量乘以按照10.4.1〔变更估价原则〕（3）目约定的综合单价进行扣减</w:t>
      </w:r>
      <w:r>
        <w:rPr>
          <w:rFonts w:hint="eastAsia" w:ascii="宋体" w:hAnsi="宋体"/>
          <w:color w:val="auto"/>
          <w:szCs w:val="21"/>
          <w:highlight w:val="none"/>
        </w:rPr>
        <w:t>；</w:t>
      </w:r>
    </w:p>
    <w:p w14:paraId="48FECE5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④合同、已标价工程量清单和</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文件另有约定的，按照其约定执行</w:t>
      </w:r>
      <w:r>
        <w:rPr>
          <w:rFonts w:hint="eastAsia" w:ascii="宋体" w:hAnsi="宋体"/>
          <w:color w:val="auto"/>
          <w:szCs w:val="21"/>
          <w:highlight w:val="none"/>
        </w:rPr>
        <w:t>。</w:t>
      </w:r>
    </w:p>
    <w:p w14:paraId="595AA30B">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（2）措施项目：</w:t>
      </w:r>
    </w:p>
    <w:p w14:paraId="1E98971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①已标价工程量清单范围内以项为计量单位的措施项目费（安全文明施工费除外）包干使用；不以项为计量单位的措施项目费按第14.2.1项〔竣工结算办理办法〕分部分项约定执行</w:t>
      </w:r>
      <w:r>
        <w:rPr>
          <w:rFonts w:hint="eastAsia" w:ascii="宋体" w:hAnsi="宋体"/>
          <w:color w:val="auto"/>
          <w:szCs w:val="21"/>
          <w:highlight w:val="none"/>
        </w:rPr>
        <w:t>。</w:t>
      </w:r>
    </w:p>
    <w:p w14:paraId="23FD7A5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②工程变更引起施工方案改变使措施项目发生变化的，经监理人、发包人确定后可对按第10.4.3项约定执行</w:t>
      </w:r>
      <w:r>
        <w:rPr>
          <w:rFonts w:hint="eastAsia" w:ascii="宋体" w:hAnsi="宋体"/>
          <w:color w:val="auto"/>
          <w:szCs w:val="21"/>
          <w:highlight w:val="none"/>
        </w:rPr>
        <w:t>。</w:t>
      </w:r>
    </w:p>
    <w:p w14:paraId="6C5F80C5">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③安全文明施工费按照《重庆市建设工程安全文明施工费计取及使用管理规定》（渝建发〔2014〕25号）、《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的规定进行结算</w:t>
      </w:r>
      <w:r>
        <w:rPr>
          <w:rFonts w:hint="eastAsia" w:ascii="宋体" w:hAnsi="宋体"/>
          <w:color w:val="auto"/>
          <w:szCs w:val="21"/>
          <w:highlight w:val="none"/>
        </w:rPr>
        <w:t>。</w:t>
      </w:r>
    </w:p>
    <w:p w14:paraId="3B0AA1ED">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（3）其他项目：</w:t>
      </w:r>
    </w:p>
    <w:p w14:paraId="5D2B4B2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①材料（工程设备）暂估价：</w:t>
      </w:r>
      <w:r>
        <w:rPr>
          <w:rFonts w:hint="eastAsia" w:ascii="宋体" w:hAnsi="宋体"/>
          <w:color w:val="auto"/>
          <w:szCs w:val="21"/>
          <w:highlight w:val="none"/>
          <w:u w:val="single"/>
        </w:rPr>
        <w:t>按照第12.3.1项〔计量原则〕约定及对应定额消耗量确定的数量乘以监理人、跟审单位、发包人根据市场行情认质核价确定的价格进行结算</w:t>
      </w:r>
      <w:r>
        <w:rPr>
          <w:rFonts w:hint="eastAsia" w:ascii="宋体" w:hAnsi="宋体"/>
          <w:color w:val="auto"/>
          <w:szCs w:val="21"/>
          <w:highlight w:val="none"/>
        </w:rPr>
        <w:t>。</w:t>
      </w:r>
    </w:p>
    <w:p w14:paraId="6463AF5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②专业工程暂估价：</w:t>
      </w:r>
    </w:p>
    <w:p w14:paraId="6658CB3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1）对于不属于依法必须</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的暂估价项目：按发包人审定的价格进行结算</w:t>
      </w:r>
      <w:r>
        <w:rPr>
          <w:rFonts w:hint="eastAsia" w:ascii="宋体" w:hAnsi="宋体"/>
          <w:color w:val="auto"/>
          <w:szCs w:val="21"/>
          <w:highlight w:val="none"/>
        </w:rPr>
        <w:t>。</w:t>
      </w:r>
    </w:p>
    <w:p w14:paraId="6CF5FDD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2）对于依法必须</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的暂估价项目：达到</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规模标准的暂估价内容，包括专业工程暂估价和材料设备暂估价均应</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确定，并按暂估价</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文件约定结算</w:t>
      </w:r>
      <w:r>
        <w:rPr>
          <w:rFonts w:hint="eastAsia" w:ascii="宋体" w:hAnsi="宋体"/>
          <w:color w:val="auto"/>
          <w:szCs w:val="21"/>
          <w:highlight w:val="none"/>
        </w:rPr>
        <w:t>。</w:t>
      </w:r>
    </w:p>
    <w:p w14:paraId="53D8F22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3）总承包服务费：总承包服务费包干使用，结算时不作调整</w:t>
      </w:r>
      <w:r>
        <w:rPr>
          <w:rFonts w:hint="eastAsia" w:ascii="宋体" w:hAnsi="宋体"/>
          <w:color w:val="auto"/>
          <w:szCs w:val="21"/>
          <w:highlight w:val="none"/>
        </w:rPr>
        <w:t>。</w:t>
      </w:r>
    </w:p>
    <w:p w14:paraId="4AF0516B">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rPr>
      </w:pPr>
      <w:r>
        <w:rPr>
          <w:rFonts w:hint="eastAsia" w:ascii="宋体" w:hAnsi="宋体"/>
          <w:color w:val="auto"/>
          <w:szCs w:val="21"/>
          <w:highlight w:val="none"/>
        </w:rPr>
        <w:t>（4）价格调整：</w:t>
      </w:r>
      <w:r>
        <w:rPr>
          <w:rFonts w:hint="eastAsia" w:ascii="宋体" w:hAnsi="宋体"/>
          <w:color w:val="auto"/>
          <w:szCs w:val="21"/>
          <w:highlight w:val="none"/>
          <w:u w:val="single"/>
        </w:rPr>
        <w:t>按照第11条〔价格调整〕约定约定执行</w:t>
      </w:r>
      <w:r>
        <w:rPr>
          <w:rFonts w:hint="eastAsia" w:ascii="宋体" w:hAnsi="宋体"/>
          <w:color w:val="auto"/>
          <w:szCs w:val="21"/>
          <w:highlight w:val="none"/>
        </w:rPr>
        <w:t>。</w:t>
      </w:r>
    </w:p>
    <w:p w14:paraId="3F15CF73">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（5）工程变更、索赔与现场签证：</w:t>
      </w:r>
    </w:p>
    <w:p w14:paraId="39C51F15">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1）工程变更：按照第10.4.1项〔变更估价原则〕约定确定为总价包干的，按审定包干总价计入结算；其余项目按照有效的竣工结算资料和第12.3.1项〔计量原则〕约定确定的工程量乘以相应的按照第10.4.1项〔变更估价原则〕约定确定综合单价来确定该部分结算价。</w:t>
      </w:r>
    </w:p>
    <w:p w14:paraId="111FDBB4">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2）索赔：按照第10.4.1项〔变更估价原则〕和第14.2.1项〔竣工结算办法〕约定执行。</w:t>
      </w:r>
    </w:p>
    <w:p w14:paraId="6E295051">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3）现场签证：按照第10.4.1项〔变更估价原则〕和第14.2.1项〔竣工结算办法〕约定执行。</w:t>
      </w:r>
    </w:p>
    <w:p w14:paraId="4A43852A">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（6）奖励、罚金、违约金及其他费用：</w:t>
      </w:r>
      <w:r>
        <w:rPr>
          <w:rFonts w:hint="eastAsia" w:ascii="宋体" w:hAnsi="宋体"/>
          <w:color w:val="auto"/>
          <w:szCs w:val="21"/>
          <w:highlight w:val="none"/>
          <w:u w:val="single"/>
        </w:rPr>
        <w:t>按实进行结算</w:t>
      </w:r>
      <w:r>
        <w:rPr>
          <w:rFonts w:hint="eastAsia" w:ascii="宋体" w:hAnsi="宋体"/>
          <w:color w:val="auto"/>
          <w:szCs w:val="21"/>
          <w:highlight w:val="none"/>
        </w:rPr>
        <w:t>。</w:t>
      </w:r>
    </w:p>
    <w:p w14:paraId="08520BE4">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（7）规费：已标价工程量清单中规费费用按《重庆市建设工程费用定额》（CQFYDE-2018）执行。</w:t>
      </w:r>
    </w:p>
    <w:p w14:paraId="2BFE9077">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w:t>
      </w:r>
    </w:p>
    <w:p w14:paraId="18A1F1D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14.2.1.3竣工结算价</w:t>
      </w:r>
    </w:p>
    <w:p w14:paraId="6012F68C">
      <w:pPr>
        <w:tabs>
          <w:tab w:val="left" w:pos="711"/>
          <w:tab w:val="left" w:pos="2580"/>
        </w:tabs>
        <w:spacing w:line="360" w:lineRule="auto"/>
        <w:ind w:right="105" w:rightChars="50" w:firstLine="420" w:firstLineChars="200"/>
        <w:jc w:val="left"/>
        <w:textAlignment w:val="baseline"/>
        <w:rPr>
          <w:rFonts w:ascii="宋体" w:hAnsi="宋体"/>
          <w:color w:val="auto"/>
          <w:szCs w:val="21"/>
          <w:highlight w:val="none"/>
          <w:u w:val="single"/>
        </w:rPr>
      </w:pPr>
      <w:bookmarkStart w:id="1892" w:name="_Hlk528660512"/>
      <w:r>
        <w:rPr>
          <w:rFonts w:hint="eastAsia" w:ascii="宋体" w:hAnsi="宋体"/>
          <w:color w:val="auto"/>
          <w:szCs w:val="21"/>
          <w:highlight w:val="none"/>
          <w:u w:val="single"/>
        </w:rPr>
        <w:t>以发包人会同跟审单位、监理人、承包人根据有效资料共同确定竣工结算金额作为合同竣工结算价</w:t>
      </w:r>
      <w:r>
        <w:rPr>
          <w:rFonts w:hint="eastAsia" w:ascii="宋体" w:hAnsi="宋体"/>
          <w:color w:val="auto"/>
          <w:szCs w:val="21"/>
          <w:highlight w:val="none"/>
        </w:rPr>
        <w:t>。</w:t>
      </w:r>
    </w:p>
    <w:bookmarkEnd w:id="1892"/>
    <w:p w14:paraId="38DB3B7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14.2.2 竣工结算审核期限</w:t>
      </w:r>
    </w:p>
    <w:p w14:paraId="1C84112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监理人审核竣工付款申请单的期限：</w:t>
      </w:r>
      <w:r>
        <w:rPr>
          <w:rFonts w:hint="eastAsia" w:ascii="宋体" w:hAnsi="宋体"/>
          <w:color w:val="auto"/>
          <w:szCs w:val="21"/>
          <w:highlight w:val="none"/>
          <w:u w:val="single"/>
        </w:rPr>
        <w:t>不超过</w:t>
      </w:r>
      <w:r>
        <w:rPr>
          <w:rFonts w:hint="eastAsia" w:ascii="宋体" w:hAnsi="宋体"/>
          <w:color w:val="auto"/>
          <w:szCs w:val="21"/>
          <w:highlight w:val="none"/>
          <w:u w:val="single"/>
          <w:lang w:val="en-US" w:eastAsia="zh-CN"/>
        </w:rPr>
        <w:t>14</w:t>
      </w:r>
      <w:r>
        <w:rPr>
          <w:rFonts w:hint="eastAsia" w:ascii="宋体" w:hAnsi="宋体"/>
          <w:color w:val="auto"/>
          <w:szCs w:val="21"/>
          <w:highlight w:val="none"/>
          <w:u w:val="single"/>
        </w:rPr>
        <w:t>日</w:t>
      </w:r>
      <w:r>
        <w:rPr>
          <w:rFonts w:hint="eastAsia" w:ascii="宋体" w:hAnsi="宋体"/>
          <w:color w:val="auto"/>
          <w:szCs w:val="21"/>
          <w:highlight w:val="none"/>
        </w:rPr>
        <w:t>。</w:t>
      </w:r>
    </w:p>
    <w:p w14:paraId="03DA9B9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发包人审核竣工付款申请单的期限：</w:t>
      </w:r>
      <w:r>
        <w:rPr>
          <w:rFonts w:hint="eastAsia" w:ascii="宋体" w:hAnsi="宋体"/>
          <w:color w:val="auto"/>
          <w:szCs w:val="21"/>
          <w:highlight w:val="none"/>
          <w:u w:val="single"/>
        </w:rPr>
        <w:t>不超过</w:t>
      </w:r>
      <w:r>
        <w:rPr>
          <w:rFonts w:hint="eastAsia" w:ascii="宋体" w:hAnsi="宋体"/>
          <w:color w:val="auto"/>
          <w:szCs w:val="21"/>
          <w:highlight w:val="none"/>
          <w:u w:val="single"/>
          <w:lang w:val="en-US" w:eastAsia="zh-CN"/>
        </w:rPr>
        <w:t>14</w:t>
      </w:r>
      <w:r>
        <w:rPr>
          <w:rFonts w:hint="eastAsia" w:ascii="宋体" w:hAnsi="宋体"/>
          <w:color w:val="auto"/>
          <w:szCs w:val="21"/>
          <w:highlight w:val="none"/>
          <w:u w:val="single"/>
        </w:rPr>
        <w:t>日</w:t>
      </w:r>
      <w:r>
        <w:rPr>
          <w:rFonts w:hint="eastAsia" w:ascii="宋体" w:hAnsi="宋体"/>
          <w:color w:val="auto"/>
          <w:szCs w:val="21"/>
          <w:highlight w:val="none"/>
        </w:rPr>
        <w:t>。</w:t>
      </w:r>
    </w:p>
    <w:p w14:paraId="17A95FE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发包人完成竣工付款的期限：</w:t>
      </w:r>
      <w:r>
        <w:rPr>
          <w:rFonts w:hint="eastAsia" w:ascii="宋体" w:hAnsi="宋体"/>
          <w:color w:val="auto"/>
          <w:szCs w:val="21"/>
          <w:highlight w:val="none"/>
          <w:u w:val="single"/>
        </w:rPr>
        <w:t>完成竣工付款申请单审核后</w:t>
      </w:r>
      <w:r>
        <w:rPr>
          <w:rFonts w:hint="eastAsia" w:ascii="宋体" w:hAnsi="宋体"/>
          <w:color w:val="auto"/>
          <w:szCs w:val="21"/>
          <w:highlight w:val="none"/>
          <w:u w:val="single"/>
          <w:lang w:val="en-US" w:eastAsia="zh-CN"/>
        </w:rPr>
        <w:t>28</w:t>
      </w:r>
      <w:r>
        <w:rPr>
          <w:rFonts w:hint="eastAsia" w:ascii="宋体" w:hAnsi="宋体"/>
          <w:color w:val="auto"/>
          <w:szCs w:val="21"/>
          <w:highlight w:val="none"/>
          <w:u w:val="single"/>
        </w:rPr>
        <w:t>天内</w:t>
      </w:r>
      <w:r>
        <w:rPr>
          <w:rFonts w:hint="eastAsia" w:ascii="宋体" w:hAnsi="宋体"/>
          <w:color w:val="auto"/>
          <w:szCs w:val="21"/>
          <w:highlight w:val="none"/>
        </w:rPr>
        <w:t>。</w:t>
      </w:r>
    </w:p>
    <w:p w14:paraId="1849828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关于竣工付款证书异议部分复核的方式和程序： 按照第20条〔争议解决〕约定处理。</w:t>
      </w:r>
    </w:p>
    <w:p w14:paraId="3E9DDA1A">
      <w:pPr>
        <w:pStyle w:val="7"/>
        <w:spacing w:before="0" w:beforeAutospacing="0" w:after="0" w:afterAutospacing="0" w:line="360" w:lineRule="auto"/>
        <w:ind w:firstLine="422" w:firstLineChars="200"/>
        <w:rPr>
          <w:color w:val="auto"/>
          <w:sz w:val="21"/>
          <w:szCs w:val="21"/>
          <w:highlight w:val="none"/>
        </w:rPr>
      </w:pPr>
      <w:bookmarkStart w:id="1893" w:name="_Toc532377396"/>
      <w:bookmarkStart w:id="1894" w:name="_Toc532375659"/>
      <w:r>
        <w:rPr>
          <w:rFonts w:hint="eastAsia"/>
          <w:color w:val="auto"/>
          <w:sz w:val="21"/>
          <w:szCs w:val="21"/>
          <w:highlight w:val="none"/>
        </w:rPr>
        <w:t>14.4 最终结清</w:t>
      </w:r>
      <w:bookmarkEnd w:id="1893"/>
      <w:bookmarkEnd w:id="1894"/>
    </w:p>
    <w:p w14:paraId="31C1B23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14.4.1 最终结清申请单</w:t>
      </w:r>
    </w:p>
    <w:p w14:paraId="35C6138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承包人提交最终结清申请单的份数：</w:t>
      </w:r>
      <w:r>
        <w:rPr>
          <w:rFonts w:hint="eastAsia" w:ascii="宋体" w:hAnsi="宋体"/>
          <w:color w:val="auto"/>
          <w:szCs w:val="21"/>
          <w:highlight w:val="none"/>
          <w:u w:val="single"/>
        </w:rPr>
        <w:t>3份</w:t>
      </w:r>
      <w:r>
        <w:rPr>
          <w:rFonts w:hint="eastAsia" w:ascii="宋体" w:hAnsi="宋体"/>
          <w:color w:val="auto"/>
          <w:szCs w:val="21"/>
          <w:highlight w:val="none"/>
        </w:rPr>
        <w:t>。</w:t>
      </w:r>
    </w:p>
    <w:p w14:paraId="3573D3E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承包人提交最终结算申请单的期限：</w:t>
      </w:r>
      <w:r>
        <w:rPr>
          <w:rFonts w:hint="eastAsia" w:ascii="宋体" w:hAnsi="宋体"/>
          <w:color w:val="auto"/>
          <w:szCs w:val="21"/>
          <w:highlight w:val="none"/>
          <w:u w:val="single"/>
        </w:rPr>
        <w:t>缺陷责任期终止证书颁发后14天内</w:t>
      </w:r>
      <w:r>
        <w:rPr>
          <w:rFonts w:hint="eastAsia" w:ascii="宋体" w:hAnsi="宋体"/>
          <w:color w:val="auto"/>
          <w:szCs w:val="21"/>
          <w:highlight w:val="none"/>
        </w:rPr>
        <w:t>。</w:t>
      </w:r>
    </w:p>
    <w:p w14:paraId="145DDCD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14.4.2 最终结清证书和支付</w:t>
      </w:r>
    </w:p>
    <w:p w14:paraId="6D3EA80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（1）发包人完成最终结清申请单的审批并颁发最终结清证书的期限：</w:t>
      </w:r>
      <w:r>
        <w:rPr>
          <w:rFonts w:hint="eastAsia" w:ascii="宋体" w:hAnsi="宋体"/>
          <w:color w:val="auto"/>
          <w:szCs w:val="21"/>
          <w:highlight w:val="none"/>
          <w:u w:val="single"/>
        </w:rPr>
        <w:t>发包人收到完整资料后14天内完成审批并颁发最终结清证书</w:t>
      </w:r>
      <w:r>
        <w:rPr>
          <w:rFonts w:hint="eastAsia" w:ascii="宋体" w:hAnsi="宋体"/>
          <w:color w:val="auto"/>
          <w:szCs w:val="21"/>
          <w:highlight w:val="none"/>
        </w:rPr>
        <w:t>。</w:t>
      </w:r>
    </w:p>
    <w:p w14:paraId="302B222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（2）发包人完成支付的期限：</w:t>
      </w:r>
      <w:r>
        <w:rPr>
          <w:rFonts w:hint="eastAsia" w:ascii="宋体" w:hAnsi="宋体"/>
          <w:color w:val="auto"/>
          <w:szCs w:val="21"/>
          <w:highlight w:val="none"/>
          <w:u w:val="single"/>
        </w:rPr>
        <w:t>颁发最终结清证书的14天内</w:t>
      </w:r>
      <w:r>
        <w:rPr>
          <w:rFonts w:hint="eastAsia" w:ascii="宋体" w:hAnsi="宋体"/>
          <w:color w:val="auto"/>
          <w:szCs w:val="21"/>
          <w:highlight w:val="none"/>
        </w:rPr>
        <w:t>。</w:t>
      </w:r>
    </w:p>
    <w:p w14:paraId="45B1C91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本条补充14.5款：</w:t>
      </w:r>
    </w:p>
    <w:bookmarkEnd w:id="1854"/>
    <w:bookmarkEnd w:id="1855"/>
    <w:bookmarkEnd w:id="1856"/>
    <w:bookmarkEnd w:id="1857"/>
    <w:bookmarkEnd w:id="1858"/>
    <w:bookmarkEnd w:id="1859"/>
    <w:bookmarkEnd w:id="1860"/>
    <w:bookmarkEnd w:id="1861"/>
    <w:p w14:paraId="6904D5DB">
      <w:pPr>
        <w:pStyle w:val="7"/>
        <w:spacing w:before="0" w:beforeAutospacing="0" w:after="0" w:afterAutospacing="0" w:line="360" w:lineRule="auto"/>
        <w:ind w:firstLine="422" w:firstLineChars="200"/>
        <w:rPr>
          <w:color w:val="auto"/>
          <w:sz w:val="21"/>
          <w:szCs w:val="21"/>
          <w:highlight w:val="none"/>
        </w:rPr>
      </w:pPr>
      <w:bookmarkStart w:id="1895" w:name="_Toc532377397"/>
      <w:bookmarkStart w:id="1896" w:name="_Toc532375660"/>
      <w:r>
        <w:rPr>
          <w:rFonts w:hint="eastAsia"/>
          <w:color w:val="auto"/>
          <w:sz w:val="21"/>
          <w:szCs w:val="21"/>
          <w:highlight w:val="none"/>
        </w:rPr>
        <w:t>14.5 逾期办理或不配合办理竣工结算的处理</w:t>
      </w:r>
      <w:bookmarkEnd w:id="1895"/>
      <w:bookmarkEnd w:id="1896"/>
    </w:p>
    <w:p w14:paraId="524819D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有下列情形之一的，视为承包人放弃与发包人共同办理竣工结算的权利，发包人有权会同跟审单位、监理人根据有效资料共同确定竣工结算金额。</w:t>
      </w:r>
    </w:p>
    <w:p w14:paraId="27AC3F3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（1）承包人逾期未报送竣工结算资料，亦未获得发包人批准延期报送，经发包人两</w:t>
      </w:r>
      <w:bookmarkStart w:id="1897" w:name="_Hlk529133622"/>
      <w:r>
        <w:rPr>
          <w:rFonts w:hint="eastAsia" w:ascii="宋体" w:hAnsi="宋体"/>
          <w:color w:val="auto"/>
          <w:szCs w:val="21"/>
          <w:highlight w:val="none"/>
        </w:rPr>
        <w:t>次书面催告仍未在限期内报送的</w:t>
      </w:r>
      <w:bookmarkEnd w:id="1897"/>
      <w:r>
        <w:rPr>
          <w:rFonts w:hint="eastAsia" w:ascii="宋体" w:hAnsi="宋体"/>
          <w:color w:val="auto"/>
          <w:szCs w:val="21"/>
          <w:highlight w:val="none"/>
        </w:rPr>
        <w:t>；</w:t>
      </w:r>
    </w:p>
    <w:p w14:paraId="07222F2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738CFE7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（3）承包人不配合发包人、跟审单位、监理人、发包人委托的工程造价咨询服务单位办理竣工结算的，经发包人两次书面函告仍未改正的。</w:t>
      </w:r>
    </w:p>
    <w:p w14:paraId="18FBCAA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78A9454">
      <w:pPr>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color w:val="auto"/>
          <w:szCs w:val="21"/>
          <w:highlight w:val="none"/>
        </w:rPr>
        <w:t>。</w:t>
      </w:r>
    </w:p>
    <w:bookmarkEnd w:id="1562"/>
    <w:bookmarkEnd w:id="1563"/>
    <w:bookmarkEnd w:id="1564"/>
    <w:bookmarkEnd w:id="1565"/>
    <w:bookmarkEnd w:id="1566"/>
    <w:bookmarkEnd w:id="1567"/>
    <w:bookmarkEnd w:id="1568"/>
    <w:bookmarkEnd w:id="1569"/>
    <w:p w14:paraId="5A2F548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898" w:name="_Toc532375661"/>
      <w:bookmarkStart w:id="1899" w:name="_Toc532377398"/>
      <w:bookmarkStart w:id="1900" w:name="_Toc351203647"/>
      <w:bookmarkStart w:id="1901" w:name="_Toc267251483"/>
      <w:bookmarkStart w:id="1902" w:name="_Toc280868718"/>
      <w:bookmarkStart w:id="1903" w:name="_Toc280868717"/>
      <w:r>
        <w:rPr>
          <w:rFonts w:hint="eastAsia"/>
          <w:color w:val="auto"/>
          <w:kern w:val="2"/>
          <w:sz w:val="21"/>
          <w:szCs w:val="21"/>
          <w:highlight w:val="none"/>
        </w:rPr>
        <w:t>15. 缺陷责任期与保修</w:t>
      </w:r>
      <w:bookmarkEnd w:id="1898"/>
      <w:bookmarkEnd w:id="1899"/>
      <w:bookmarkEnd w:id="1900"/>
    </w:p>
    <w:bookmarkEnd w:id="1901"/>
    <w:p w14:paraId="538CE1EC">
      <w:pPr>
        <w:pStyle w:val="7"/>
        <w:spacing w:before="0" w:beforeAutospacing="0" w:after="0" w:afterAutospacing="0" w:line="360" w:lineRule="auto"/>
        <w:ind w:firstLine="422" w:firstLineChars="200"/>
        <w:rPr>
          <w:color w:val="auto"/>
          <w:sz w:val="21"/>
          <w:szCs w:val="21"/>
          <w:highlight w:val="none"/>
        </w:rPr>
      </w:pPr>
      <w:bookmarkStart w:id="1904" w:name="_Toc532377399"/>
      <w:bookmarkStart w:id="1905" w:name="_Toc532375662"/>
      <w:r>
        <w:rPr>
          <w:rFonts w:hint="eastAsia"/>
          <w:color w:val="auto"/>
          <w:sz w:val="21"/>
          <w:szCs w:val="21"/>
          <w:highlight w:val="none"/>
        </w:rPr>
        <w:t>15.3 质量保证金</w:t>
      </w:r>
      <w:bookmarkEnd w:id="1904"/>
      <w:bookmarkEnd w:id="1905"/>
    </w:p>
    <w:p w14:paraId="3A7465B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15.3.1 承包人提供质量保证金的方式</w:t>
      </w:r>
    </w:p>
    <w:p w14:paraId="7FB837F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质量保证金采用以下第</w:t>
      </w:r>
      <w:r>
        <w:rPr>
          <w:rFonts w:hint="eastAsia" w:ascii="宋体" w:hAnsi="宋体"/>
          <w:color w:val="auto"/>
          <w:szCs w:val="21"/>
          <w:highlight w:val="none"/>
          <w:u w:val="single"/>
          <w:lang w:val="en-US" w:eastAsia="zh-CN"/>
        </w:rPr>
        <w:t>(3)</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19856BB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（1）质量保证金保函</w:t>
      </w:r>
    </w:p>
    <w:p w14:paraId="4E5C7CE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1）按</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文件载明的格式或发包人认可的格式向发包人提交不可撤销的见索即付银行保函</w:t>
      </w:r>
      <w:r>
        <w:rPr>
          <w:rFonts w:hint="eastAsia" w:ascii="宋体" w:hAnsi="宋体"/>
          <w:color w:val="auto"/>
          <w:szCs w:val="21"/>
          <w:highlight w:val="none"/>
        </w:rPr>
        <w:t>；</w:t>
      </w:r>
    </w:p>
    <w:p w14:paraId="2BDBF6F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2）出具保函的银行级别：</w:t>
      </w:r>
      <w:r>
        <w:rPr>
          <w:rFonts w:hint="eastAsia" w:ascii="宋体" w:hAnsi="宋体"/>
          <w:color w:val="auto"/>
          <w:szCs w:val="21"/>
          <w:highlight w:val="none"/>
          <w:u w:val="single"/>
        </w:rPr>
        <w:t>地市级及以上国家政策性银行或股份制商业银行的支行或其上级银行</w:t>
      </w:r>
      <w:r>
        <w:rPr>
          <w:rFonts w:hint="eastAsia" w:ascii="宋体" w:hAnsi="宋体"/>
          <w:color w:val="auto"/>
          <w:szCs w:val="21"/>
          <w:highlight w:val="none"/>
        </w:rPr>
        <w:t>；</w:t>
      </w:r>
    </w:p>
    <w:p w14:paraId="1828963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3）保函金额为：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1C7ACB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4）提交时间：</w:t>
      </w:r>
      <w:r>
        <w:rPr>
          <w:rFonts w:hint="eastAsia" w:ascii="宋体" w:hAnsi="宋体"/>
          <w:color w:val="auto"/>
          <w:szCs w:val="21"/>
          <w:highlight w:val="none"/>
          <w:u w:val="single"/>
        </w:rPr>
        <w:t>工程竣工验收合格后14天内</w:t>
      </w:r>
      <w:r>
        <w:rPr>
          <w:rFonts w:hint="eastAsia" w:ascii="宋体" w:hAnsi="宋体"/>
          <w:color w:val="auto"/>
          <w:szCs w:val="21"/>
          <w:highlight w:val="none"/>
        </w:rPr>
        <w:t>。</w:t>
      </w:r>
    </w:p>
    <w:p w14:paraId="788C2FB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color w:val="auto"/>
          <w:szCs w:val="21"/>
          <w:highlight w:val="none"/>
        </w:rPr>
        <w:t>。</w:t>
      </w:r>
    </w:p>
    <w:p w14:paraId="17606FF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（2）竣工结算价的</w:t>
      </w:r>
      <w:r>
        <w:rPr>
          <w:rFonts w:hint="eastAsia" w:ascii="宋体" w:hAnsi="宋体"/>
          <w:color w:val="auto"/>
          <w:szCs w:val="21"/>
          <w:highlight w:val="none"/>
          <w:u w:val="single"/>
        </w:rPr>
        <w:t xml:space="preserve"> 3% </w:t>
      </w:r>
      <w:r>
        <w:rPr>
          <w:rFonts w:hint="eastAsia" w:ascii="宋体" w:hAnsi="宋体"/>
          <w:color w:val="auto"/>
          <w:szCs w:val="21"/>
          <w:highlight w:val="none"/>
        </w:rPr>
        <w:t>；</w:t>
      </w:r>
    </w:p>
    <w:p w14:paraId="3F69B0F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（3）其他方式：</w:t>
      </w:r>
      <w:r>
        <w:rPr>
          <w:rFonts w:hint="eastAsia" w:ascii="宋体" w:hAnsi="宋体"/>
          <w:color w:val="auto"/>
          <w:szCs w:val="21"/>
          <w:highlight w:val="none"/>
          <w:u w:val="single"/>
          <w:lang w:eastAsia="zh-CN"/>
        </w:rPr>
        <w:t>本项目无质量保证金</w:t>
      </w:r>
      <w:r>
        <w:rPr>
          <w:rFonts w:hint="eastAsia" w:ascii="宋体" w:hAnsi="宋体"/>
          <w:color w:val="auto"/>
          <w:szCs w:val="21"/>
          <w:highlight w:val="none"/>
        </w:rPr>
        <w:t>。</w:t>
      </w:r>
    </w:p>
    <w:p w14:paraId="7A32987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15.3.2 质量保证金的扣留</w:t>
      </w:r>
    </w:p>
    <w:p w14:paraId="6BF2368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质量保证金的扣留采取以下第</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 xml:space="preserve"> </w:t>
      </w:r>
      <w:r>
        <w:rPr>
          <w:rFonts w:hint="eastAsia" w:ascii="宋体" w:hAnsi="宋体"/>
          <w:color w:val="auto"/>
          <w:szCs w:val="21"/>
          <w:highlight w:val="none"/>
        </w:rPr>
        <w:t>种方式：</w:t>
      </w:r>
    </w:p>
    <w:p w14:paraId="79105CE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（1）在支付工程进度款时逐次扣留，在此情形下，质量保证金的计算基数不包括预付款的支付、扣回以及价格调整的金额；</w:t>
      </w:r>
    </w:p>
    <w:p w14:paraId="295C317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（2）工程竣工结算时一次性扣留质量保证金；</w:t>
      </w:r>
    </w:p>
    <w:p w14:paraId="14CDD3A4">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w:t>
      </w:r>
      <w:r>
        <w:rPr>
          <w:rFonts w:hint="eastAsia" w:ascii="宋体" w:hAnsi="宋体"/>
          <w:color w:val="auto"/>
          <w:szCs w:val="21"/>
          <w:highlight w:val="none"/>
          <w:u w:val="single"/>
        </w:rPr>
        <w:t xml:space="preserve">其他扣留方式：        </w:t>
      </w:r>
      <w:r>
        <w:rPr>
          <w:rFonts w:hint="eastAsia" w:ascii="宋体" w:hAnsi="宋体"/>
          <w:color w:val="auto"/>
          <w:szCs w:val="21"/>
          <w:highlight w:val="none"/>
        </w:rPr>
        <w:t>。</w:t>
      </w:r>
    </w:p>
    <w:p w14:paraId="0199109C">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15.3.3质量保证金的退还</w:t>
      </w:r>
    </w:p>
    <w:p w14:paraId="2E91A9C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（1）在发包人颁发缺陷责任期终止证书之日起14天内退还。</w:t>
      </w:r>
    </w:p>
    <w:p w14:paraId="313263E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（2）缺陷责任期内，承包人认真履行合同约定的责任，到期后，承包人可向发包人申请返还质量保证金。</w:t>
      </w:r>
    </w:p>
    <w:p w14:paraId="0EC372E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（3）质量保证金是否支付利息采取以下</w:t>
      </w:r>
      <w:r>
        <w:rPr>
          <w:rFonts w:hint="eastAsia" w:ascii="宋体" w:hAnsi="宋体"/>
          <w:color w:val="auto"/>
          <w:szCs w:val="21"/>
          <w:highlight w:val="none"/>
          <w:u w:val="single"/>
        </w:rPr>
        <w:t>第②种</w:t>
      </w:r>
      <w:r>
        <w:rPr>
          <w:rFonts w:hint="eastAsia" w:ascii="宋体" w:hAnsi="宋体"/>
          <w:color w:val="auto"/>
          <w:szCs w:val="21"/>
          <w:highlight w:val="none"/>
        </w:rPr>
        <w:t>方式：</w:t>
      </w:r>
    </w:p>
    <w:p w14:paraId="300E0C3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①按照中国人民银行  年  月公布的5年期贷款市场报价利率支付利息</w:t>
      </w:r>
      <w:r>
        <w:rPr>
          <w:rFonts w:hint="eastAsia" w:ascii="宋体" w:hAnsi="宋体"/>
          <w:color w:val="auto"/>
          <w:szCs w:val="21"/>
          <w:highlight w:val="none"/>
        </w:rPr>
        <w:t>。</w:t>
      </w:r>
    </w:p>
    <w:p w14:paraId="54076E7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u w:val="single"/>
        </w:rPr>
        <w:t>②不采用</w:t>
      </w:r>
      <w:r>
        <w:rPr>
          <w:rFonts w:hint="eastAsia" w:ascii="宋体" w:hAnsi="宋体"/>
          <w:color w:val="auto"/>
          <w:szCs w:val="21"/>
          <w:highlight w:val="none"/>
        </w:rPr>
        <w:t>。</w:t>
      </w:r>
    </w:p>
    <w:p w14:paraId="0DD1AF31">
      <w:pPr>
        <w:pStyle w:val="7"/>
        <w:spacing w:before="0" w:beforeAutospacing="0" w:after="0" w:afterAutospacing="0" w:line="360" w:lineRule="auto"/>
        <w:ind w:firstLine="422" w:firstLineChars="200"/>
        <w:rPr>
          <w:color w:val="auto"/>
          <w:sz w:val="21"/>
          <w:szCs w:val="21"/>
          <w:highlight w:val="none"/>
        </w:rPr>
      </w:pPr>
      <w:bookmarkStart w:id="1906" w:name="_Toc532375663"/>
      <w:bookmarkStart w:id="1907" w:name="_Toc532377400"/>
      <w:r>
        <w:rPr>
          <w:rFonts w:hint="eastAsia"/>
          <w:color w:val="auto"/>
          <w:sz w:val="21"/>
          <w:szCs w:val="21"/>
          <w:highlight w:val="none"/>
        </w:rPr>
        <w:t>15.4 保修</w:t>
      </w:r>
      <w:bookmarkEnd w:id="1906"/>
      <w:bookmarkEnd w:id="1907"/>
    </w:p>
    <w:p w14:paraId="73D2EEDE">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15.4.1 保修责任</w:t>
      </w:r>
    </w:p>
    <w:p w14:paraId="10122FB7">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工程保修期为：</w:t>
      </w:r>
      <w:bookmarkStart w:id="1908" w:name="_Hlk524381274"/>
      <w:r>
        <w:rPr>
          <w:rFonts w:hint="eastAsia" w:ascii="宋体" w:hAnsi="宋体"/>
          <w:color w:val="auto"/>
          <w:szCs w:val="21"/>
          <w:highlight w:val="none"/>
        </w:rPr>
        <w:t>按照附件1《工程质量保修书》的规定执行。</w:t>
      </w:r>
      <w:bookmarkEnd w:id="1908"/>
    </w:p>
    <w:p w14:paraId="7D26C60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15.4.3 修复通知</w:t>
      </w:r>
    </w:p>
    <w:p w14:paraId="32A8319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承包人收到保修通知并到达工程现场的合理时间：</w:t>
      </w:r>
      <w:r>
        <w:rPr>
          <w:rFonts w:hint="eastAsia" w:ascii="宋体" w:hAnsi="宋体"/>
          <w:color w:val="auto"/>
          <w:szCs w:val="21"/>
          <w:highlight w:val="none"/>
          <w:u w:val="single"/>
          <w:lang w:val="en-US" w:eastAsia="zh-CN"/>
        </w:rPr>
        <w:t>12</w:t>
      </w:r>
      <w:r>
        <w:rPr>
          <w:rFonts w:hint="eastAsia" w:ascii="宋体" w:hAnsi="宋体"/>
          <w:color w:val="auto"/>
          <w:szCs w:val="21"/>
          <w:highlight w:val="none"/>
          <w:u w:val="single"/>
        </w:rPr>
        <w:t>小时内，最长不能超过</w:t>
      </w:r>
      <w:r>
        <w:rPr>
          <w:rFonts w:hint="eastAsia" w:ascii="宋体" w:hAnsi="宋体"/>
          <w:color w:val="auto"/>
          <w:szCs w:val="21"/>
          <w:highlight w:val="none"/>
          <w:u w:val="single"/>
          <w:lang w:val="en-US" w:eastAsia="zh-CN"/>
        </w:rPr>
        <w:t>24</w:t>
      </w:r>
      <w:r>
        <w:rPr>
          <w:rFonts w:hint="eastAsia" w:ascii="宋体" w:hAnsi="宋体"/>
          <w:color w:val="auto"/>
          <w:szCs w:val="21"/>
          <w:highlight w:val="none"/>
          <w:u w:val="single"/>
        </w:rPr>
        <w:t>小时</w:t>
      </w:r>
      <w:r>
        <w:rPr>
          <w:rFonts w:hint="eastAsia" w:ascii="宋体" w:hAnsi="宋体"/>
          <w:color w:val="auto"/>
          <w:szCs w:val="21"/>
          <w:highlight w:val="none"/>
        </w:rPr>
        <w:t>。</w:t>
      </w:r>
    </w:p>
    <w:p w14:paraId="52A01631">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09" w:name="_Toc532377401"/>
      <w:bookmarkStart w:id="1910" w:name="_Toc532375664"/>
      <w:bookmarkStart w:id="1911" w:name="_Toc351203648"/>
      <w:r>
        <w:rPr>
          <w:rFonts w:hint="eastAsia"/>
          <w:color w:val="auto"/>
          <w:kern w:val="2"/>
          <w:sz w:val="21"/>
          <w:szCs w:val="21"/>
          <w:highlight w:val="none"/>
        </w:rPr>
        <w:t>16. 违约</w:t>
      </w:r>
      <w:bookmarkEnd w:id="1909"/>
      <w:bookmarkEnd w:id="1910"/>
      <w:bookmarkEnd w:id="1911"/>
    </w:p>
    <w:p w14:paraId="09D0BE6A">
      <w:pPr>
        <w:pStyle w:val="7"/>
        <w:spacing w:before="0" w:beforeAutospacing="0" w:after="0" w:afterAutospacing="0" w:line="360" w:lineRule="auto"/>
        <w:ind w:firstLine="422" w:firstLineChars="200"/>
        <w:rPr>
          <w:color w:val="auto"/>
          <w:sz w:val="21"/>
          <w:szCs w:val="21"/>
          <w:highlight w:val="none"/>
        </w:rPr>
      </w:pPr>
      <w:bookmarkStart w:id="1912" w:name="_Toc532377402"/>
      <w:r>
        <w:rPr>
          <w:rFonts w:hint="eastAsia"/>
          <w:color w:val="auto"/>
          <w:sz w:val="21"/>
          <w:szCs w:val="21"/>
          <w:highlight w:val="none"/>
        </w:rPr>
        <w:t>16.1 发包人违约</w:t>
      </w:r>
      <w:bookmarkEnd w:id="1912"/>
    </w:p>
    <w:p w14:paraId="64F232A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16.1.1 发包人违约的情形</w:t>
      </w:r>
    </w:p>
    <w:p w14:paraId="151F8DFF">
      <w:pPr>
        <w:spacing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除通用合同条款约定外，发包人违约的其他情形：</w:t>
      </w:r>
    </w:p>
    <w:p w14:paraId="311DF63A">
      <w:pPr>
        <w:spacing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（1）根据专用合同条款7.5.1项因发包人原因导致工期延误的；</w:t>
      </w:r>
    </w:p>
    <w:p w14:paraId="2B7594A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（2）因发包人原因未能及时办理完毕合同约定的许可、批准或备案的；</w:t>
      </w:r>
    </w:p>
    <w:p w14:paraId="5F959DF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（3）因监理人未能按合同约定发出指示、指示延误或发出了错误指示而导致承包人费用增加和（或）工期延误的；</w:t>
      </w:r>
    </w:p>
    <w:p w14:paraId="39EB8D7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（4）根据5.3.3发包人或监理人要求重新检查的，经检查证明工程质量符合合同要求的，并由此产生增加的费用和（或）延误的工期的；</w:t>
      </w:r>
    </w:p>
    <w:p w14:paraId="6CA8EA5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（5）因发包人原因造成工程质量未达到合同约定标准的；</w:t>
      </w:r>
    </w:p>
    <w:p w14:paraId="03C25A6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（6）由于发包人原因对承包人造成的人员人身伤亡和财产损失的；</w:t>
      </w:r>
    </w:p>
    <w:p w14:paraId="098FC583">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（7）因发包人原因导致工程无法按期办理竣工验收或竣工结算的；</w:t>
      </w:r>
    </w:p>
    <w:p w14:paraId="0BBE7D2F">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（8）发包人无正当理由未按约定退还履约担保、低价风险担保、预付款担保或质量保证金的；</w:t>
      </w:r>
    </w:p>
    <w:p w14:paraId="3E514C75">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（9）发包人不当提取履约担保、低价风险担保或质量保证金的；</w:t>
      </w:r>
    </w:p>
    <w:p w14:paraId="3F6508DD">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（10）发包人未按合同约定接收全部或部分工作的；</w:t>
      </w:r>
    </w:p>
    <w:p w14:paraId="3828ECEF">
      <w:pPr>
        <w:pStyle w:val="65"/>
        <w:spacing w:line="360" w:lineRule="auto"/>
        <w:jc w:val="left"/>
        <w:rPr>
          <w:rFonts w:ascii="宋体" w:hAnsi="宋体" w:cs="Microsoft Sans Serif"/>
          <w:color w:val="auto"/>
          <w:kern w:val="0"/>
          <w:sz w:val="21"/>
          <w:szCs w:val="21"/>
          <w:highlight w:val="none"/>
          <w:u w:val="single"/>
        </w:rPr>
      </w:pPr>
      <w:r>
        <w:rPr>
          <w:rFonts w:hint="eastAsia" w:ascii="宋体" w:hAnsi="宋体" w:cs="Microsoft Sans Serif"/>
          <w:color w:val="auto"/>
          <w:kern w:val="0"/>
          <w:sz w:val="21"/>
          <w:szCs w:val="21"/>
          <w:highlight w:val="none"/>
        </w:rPr>
        <w:t>（11）发包人未按合同约定办理保险的；</w:t>
      </w:r>
    </w:p>
    <w:p w14:paraId="58E0FA68">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u w:val="single"/>
        </w:rPr>
        <w:t>（12）其他：</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56238264">
      <w:pPr>
        <w:pStyle w:val="65"/>
        <w:spacing w:line="360" w:lineRule="auto"/>
        <w:rPr>
          <w:rFonts w:ascii="宋体" w:hAnsi="宋体"/>
          <w:color w:val="auto"/>
          <w:sz w:val="21"/>
          <w:szCs w:val="21"/>
          <w:highlight w:val="none"/>
        </w:rPr>
      </w:pPr>
      <w:r>
        <w:rPr>
          <w:rFonts w:hint="eastAsia" w:ascii="宋体" w:hAnsi="宋体"/>
          <w:color w:val="auto"/>
          <w:sz w:val="21"/>
          <w:szCs w:val="21"/>
          <w:highlight w:val="none"/>
        </w:rPr>
        <w:t>16.1.2发包人违约的责任</w:t>
      </w:r>
    </w:p>
    <w:p w14:paraId="1D266AF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（1）因发包人原因未能及时办理完毕前述许可、批准或备案的违约责任：由发包人承担由此增加的费用和（或）顺延工期，并支付合理利润，具体索赔程序按照第19条〔索赔〕约定执行。</w:t>
      </w:r>
    </w:p>
    <w:p w14:paraId="02161EB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7F2D035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（3）因发包人原因导致工期延误的违约责任：由发包人承担由此增加的费用和（或）顺延工期，并支付合理利润，具体索赔程序按照第19条〔索赔〕约定执行。</w:t>
      </w:r>
    </w:p>
    <w:p w14:paraId="30F9CB8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（4）因发包人原因未能在计划开工日期前7天内下达开工通知的违约责任：由发包人承担由此增加的费用和（或）顺延工期，并支付合理利润，具体索赔程序按照第19条〔索赔〕约定执行。</w:t>
      </w:r>
    </w:p>
    <w:p w14:paraId="09C6A033">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（5）根据5.3.3项发包人或监理人要求重新检查的，经检查证明工程质量符合合同要求的，由发包人承担由此增加的费用和（或）顺延工期，并支付合理利润，具体索赔程序按照第19条〔索赔〕约定执行。</w:t>
      </w:r>
    </w:p>
    <w:p w14:paraId="3332A24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（6）因发包人原因未按合同约定支付合同价款的违约责任：发包人应向承包人支付违约金，自应当支付之日起28天后开始计算违约金，计算公式：</w:t>
      </w:r>
      <w:r>
        <w:rPr>
          <w:rFonts w:hint="eastAsia" w:ascii="宋体" w:hAnsi="宋体" w:cs="Microsoft Sans Serif"/>
          <w:color w:val="auto"/>
          <w:kern w:val="0"/>
          <w:szCs w:val="21"/>
          <w:highlight w:val="none"/>
          <w:u w:val="single"/>
        </w:rPr>
        <w:t>违约金=应付未付金额×中国人民银行  年  月公布的5年期贷款市场报价利率/360天×逾期天数</w:t>
      </w:r>
      <w:r>
        <w:rPr>
          <w:rFonts w:hint="eastAsia" w:ascii="宋体" w:hAnsi="宋体"/>
          <w:color w:val="auto"/>
          <w:szCs w:val="21"/>
          <w:highlight w:val="none"/>
          <w:u w:val="single"/>
        </w:rPr>
        <w:t>（自第29天起计算）</w:t>
      </w:r>
      <w:r>
        <w:rPr>
          <w:rFonts w:hint="eastAsia" w:ascii="宋体" w:hAnsi="宋体" w:cs="Microsoft Sans Serif"/>
          <w:color w:val="auto"/>
          <w:kern w:val="0"/>
          <w:szCs w:val="21"/>
          <w:highlight w:val="none"/>
          <w:u w:val="single"/>
        </w:rPr>
        <w:t>；逾期天数超过56天的，超过部分天数按上述利率的两倍计算并支付违约金</w:t>
      </w:r>
      <w:r>
        <w:rPr>
          <w:rFonts w:hint="eastAsia" w:ascii="宋体" w:hAnsi="宋体" w:cs="Microsoft Sans Serif"/>
          <w:color w:val="auto"/>
          <w:kern w:val="0"/>
          <w:szCs w:val="21"/>
          <w:highlight w:val="none"/>
        </w:rPr>
        <w:t>。</w:t>
      </w:r>
    </w:p>
    <w:p w14:paraId="68822BE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（7）发包人违反合同约定，自行实施或转由他人实施被取消的合同工作内容的违约责任：由发包人承担由此给承包人造成的实际损失并支付合理利润。</w:t>
      </w:r>
    </w:p>
    <w:p w14:paraId="3BD018C4">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24CB9A15">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（9）因发包人原因造成工程质量未达到合同约定标准的，由发包人承担由此增加的费用和（或）延误的工期，并支付合理利润。</w:t>
      </w:r>
    </w:p>
    <w:p w14:paraId="3303DEAE">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（10）因发包人违反合同约定造成暂停施工的违约责任：由发包人承担由此增加的费用和（或）顺延工期，并支付合理利润，具体索赔程序按照第19条〔索赔〕约定执行。</w:t>
      </w:r>
    </w:p>
    <w:p w14:paraId="5C56EAF9">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（11）发包人无正当理由没有在约定期限内发出复工指示，导致承包人无法复工的违约责任：由发包人承担由此增加的费用和（或）顺延工期，并支付合理利润，具体索赔程序按照第19条〔索赔〕约定执行。</w:t>
      </w:r>
    </w:p>
    <w:p w14:paraId="6D6B5E42">
      <w:pPr>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（12）因发包人原因导致工程无法按期办理竣工验收或竣工结算的违约责任：由发包人承担由此增加的费用和（或）顺延工期，并支付合理利润，具体索赔程序按照第19条〔索赔〕约定执行。</w:t>
      </w:r>
    </w:p>
    <w:p w14:paraId="2141DCD3">
      <w:pPr>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olor w:val="auto"/>
          <w:szCs w:val="21"/>
          <w:highlight w:val="none"/>
        </w:rPr>
        <w:t>（13）</w:t>
      </w:r>
      <w:r>
        <w:rPr>
          <w:rFonts w:hint="eastAsia" w:ascii="宋体" w:hAnsi="宋体" w:cs="Microsoft Sans Serif"/>
          <w:color w:val="auto"/>
          <w:kern w:val="0"/>
          <w:szCs w:val="21"/>
          <w:highlight w:val="none"/>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color w:val="auto"/>
          <w:kern w:val="0"/>
          <w:szCs w:val="21"/>
          <w:highlight w:val="none"/>
          <w:u w:val="single"/>
        </w:rPr>
        <w:t>计算公式：违约金=应退未退担保金额×中国人民银行  年  月公布的5年期贷款市场报价利率/360天×逾期天数</w:t>
      </w:r>
      <w:r>
        <w:rPr>
          <w:rFonts w:hint="eastAsia" w:ascii="宋体" w:hAnsi="宋体"/>
          <w:color w:val="auto"/>
          <w:szCs w:val="21"/>
          <w:highlight w:val="none"/>
          <w:u w:val="single"/>
        </w:rPr>
        <w:t>（自第29天起计算）</w:t>
      </w:r>
      <w:r>
        <w:rPr>
          <w:rFonts w:hint="eastAsia" w:ascii="宋体" w:hAnsi="宋体" w:cs="Microsoft Sans Serif"/>
          <w:color w:val="auto"/>
          <w:kern w:val="0"/>
          <w:szCs w:val="21"/>
          <w:highlight w:val="none"/>
        </w:rPr>
        <w:t>。</w:t>
      </w:r>
    </w:p>
    <w:p w14:paraId="0ADE6883">
      <w:pPr>
        <w:pStyle w:val="2"/>
        <w:spacing w:after="0"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（14）</w:t>
      </w:r>
      <w:r>
        <w:rPr>
          <w:rFonts w:hint="eastAsia" w:ascii="宋体" w:hAnsi="宋体"/>
          <w:color w:val="auto"/>
          <w:szCs w:val="21"/>
          <w:highlight w:val="none"/>
        </w:rPr>
        <w:t>发包人不当提取履约担保、低价风险担保、预付款担保或质量保证金的，应及时予以退还，若不当提取超过28天的，应承担违约责任：发包人应向承包人支付违约金，</w:t>
      </w:r>
      <w:r>
        <w:rPr>
          <w:rFonts w:hint="eastAsia" w:ascii="宋体" w:hAnsi="宋体"/>
          <w:color w:val="auto"/>
          <w:szCs w:val="21"/>
          <w:highlight w:val="none"/>
          <w:u w:val="single"/>
        </w:rPr>
        <w:t>计算公式：违约金=不当提取的担保金额×中国人民银行  年  月公布的5年期贷款市场报价利率/360天×逾期天数（自第29天起计算）</w:t>
      </w:r>
      <w:r>
        <w:rPr>
          <w:rFonts w:hint="eastAsia" w:ascii="宋体" w:hAnsi="宋体"/>
          <w:color w:val="auto"/>
          <w:szCs w:val="21"/>
          <w:highlight w:val="none"/>
        </w:rPr>
        <w:t>。</w:t>
      </w:r>
    </w:p>
    <w:p w14:paraId="00EDD6EF">
      <w:pPr>
        <w:pStyle w:val="2"/>
        <w:spacing w:after="0" w:line="360" w:lineRule="auto"/>
        <w:ind w:firstLine="420" w:firstLineChars="200"/>
        <w:rPr>
          <w:rFonts w:ascii="宋体" w:hAnsi="宋体"/>
          <w:color w:val="auto"/>
          <w:szCs w:val="21"/>
          <w:highlight w:val="none"/>
        </w:rPr>
      </w:pPr>
      <w:r>
        <w:rPr>
          <w:rFonts w:hint="eastAsia" w:ascii="宋体" w:hAnsi="宋体" w:cs="Microsoft Sans Serif"/>
          <w:color w:val="auto"/>
          <w:kern w:val="0"/>
          <w:szCs w:val="21"/>
          <w:highlight w:val="none"/>
        </w:rPr>
        <w:t>（15）发包人未按合同约定接收全部或部分工作的违约责任：由发包人承担自应当接收工程之日起的工程照管、成品保护、保管等与工程有关的各项费用。</w:t>
      </w:r>
    </w:p>
    <w:p w14:paraId="1E9B824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（16）由于发包人原因对承包人造成的人员人身伤亡和财产损失的，由发包人负责赔偿，并承担由此增加的费用和（或）延误的工期，并支付合理利润。</w:t>
      </w:r>
    </w:p>
    <w:p w14:paraId="589AE166">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（17）发包人未按合同约定办理保险的违约责任：除按18.6.1项约定执行外，每延迟1天，按</w:t>
      </w:r>
      <w:r>
        <w:rPr>
          <w:rFonts w:hint="eastAsia" w:ascii="宋体" w:hAnsi="宋体" w:cs="Microsoft Sans Serif"/>
          <w:color w:val="auto"/>
          <w:kern w:val="0"/>
          <w:szCs w:val="21"/>
          <w:highlight w:val="none"/>
          <w:u w:val="single"/>
        </w:rPr>
        <w:t>500元/天</w:t>
      </w:r>
      <w:r>
        <w:rPr>
          <w:rFonts w:hint="eastAsia" w:ascii="宋体" w:hAnsi="宋体" w:cs="Microsoft Sans Serif"/>
          <w:color w:val="auto"/>
          <w:kern w:val="0"/>
          <w:szCs w:val="21"/>
          <w:highlight w:val="none"/>
        </w:rPr>
        <w:t>支付违约金。</w:t>
      </w:r>
    </w:p>
    <w:p w14:paraId="7F6BEEE5">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（18）其他：</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3F606EA6">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7F61508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16.1.3 因发包人违约解除合同</w:t>
      </w:r>
    </w:p>
    <w:p w14:paraId="3EE0B64D">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因发包人违约并致使合同目的不能实现的，承包人有权解除合同：</w:t>
      </w:r>
    </w:p>
    <w:p w14:paraId="3D299A17">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（1）因发包人原因延迟支付合同价款超过180天的；</w:t>
      </w:r>
    </w:p>
    <w:p w14:paraId="3E7A02CF">
      <w:pPr>
        <w:autoSpaceDE w:val="0"/>
        <w:autoSpaceDN w:val="0"/>
        <w:adjustRightIn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（2）因发包人原因导致工期延误超过90天的；</w:t>
      </w:r>
    </w:p>
    <w:p w14:paraId="29C796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（3）因发包人第16.1.2（5）违约情形导致暂停施工满56天，且发包人仍未纠正其违约行为的；</w:t>
      </w:r>
    </w:p>
    <w:p w14:paraId="32786368">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（4）其他未履行合同项下的义务构成对合同的实质性违约，并且在收到承包人要求说明其违约并予以补救的通知后56天内仍未补救该实质性违约的；</w:t>
      </w:r>
    </w:p>
    <w:p w14:paraId="4D73F99E">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w:t>
      </w:r>
      <w:r>
        <w:rPr>
          <w:rFonts w:hint="eastAsia" w:ascii="宋体" w:hAnsi="宋体" w:cs="Microsoft Sans Serif"/>
          <w:color w:val="auto"/>
          <w:kern w:val="0"/>
          <w:szCs w:val="21"/>
          <w:highlight w:val="none"/>
          <w:u w:val="single"/>
        </w:rPr>
        <w:t>合同约定的承包人有权解除合同的其他情形</w:t>
      </w:r>
      <w:r>
        <w:rPr>
          <w:rFonts w:hint="eastAsia" w:ascii="宋体" w:hAnsi="宋体" w:cs="Microsoft Sans Serif"/>
          <w:color w:val="auto"/>
          <w:kern w:val="0"/>
          <w:szCs w:val="21"/>
          <w:highlight w:val="none"/>
        </w:rPr>
        <w:t>。</w:t>
      </w:r>
    </w:p>
    <w:p w14:paraId="204C132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16.1.4 因发包人违约解除合同后的付款</w:t>
      </w:r>
    </w:p>
    <w:p w14:paraId="30EE1B5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承包人按照本款约定解除合同的，发包人应在解除合同后28天内支付下列款项，并解除履约担保、低价风险担保、预付款担保：</w:t>
      </w:r>
    </w:p>
    <w:p w14:paraId="133791F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（1）合同解除前所完成工作的价款；</w:t>
      </w:r>
    </w:p>
    <w:p w14:paraId="1D74662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（2）承包人为工程施工订购并已付款的材料、工程设备和其他物品的价款；</w:t>
      </w:r>
    </w:p>
    <w:p w14:paraId="59C5323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（3）承包人撤离施工现场以及遣散承包人人员的款项；</w:t>
      </w:r>
    </w:p>
    <w:p w14:paraId="159CB2C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（4）按照合同约定在合同解除前应支付的违约金；</w:t>
      </w:r>
    </w:p>
    <w:p w14:paraId="2F68A38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（5）按照合同约定应当支付给承包人的其他款项；</w:t>
      </w:r>
    </w:p>
    <w:p w14:paraId="7CE35FD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（6）按照合同约定应退还的质量保证金；</w:t>
      </w:r>
    </w:p>
    <w:p w14:paraId="6ED97AD8">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（7）因解除合同给承包人造成的损失；</w:t>
      </w:r>
    </w:p>
    <w:p w14:paraId="1FDBECC0">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（8）</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w:t>
      </w:r>
    </w:p>
    <w:p w14:paraId="6ED76F2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合同当事人未能就解除合同后的结清达成一致的，按照第20条〔争议解决〕的约定处理。</w:t>
      </w:r>
    </w:p>
    <w:p w14:paraId="3D4DAF4A">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承包人应妥善做好已完工程和与工程有关的已购材料、工程设备的保护和移交工作，并将施工设备和人员撤出施工现场，发包人应为承包人撤出提供必要条件。</w:t>
      </w:r>
    </w:p>
    <w:p w14:paraId="383B5E5D">
      <w:pPr>
        <w:pStyle w:val="7"/>
        <w:spacing w:before="0" w:beforeAutospacing="0" w:after="0" w:afterAutospacing="0" w:line="360" w:lineRule="auto"/>
        <w:ind w:firstLine="422" w:firstLineChars="200"/>
        <w:rPr>
          <w:color w:val="auto"/>
          <w:sz w:val="21"/>
          <w:szCs w:val="21"/>
          <w:highlight w:val="none"/>
        </w:rPr>
      </w:pPr>
      <w:bookmarkStart w:id="1913" w:name="_Toc532377403"/>
      <w:r>
        <w:rPr>
          <w:rFonts w:hint="eastAsia"/>
          <w:color w:val="auto"/>
          <w:sz w:val="21"/>
          <w:szCs w:val="21"/>
          <w:highlight w:val="none"/>
        </w:rPr>
        <w:t>16.2 承包人违约</w:t>
      </w:r>
      <w:bookmarkEnd w:id="1913"/>
    </w:p>
    <w:p w14:paraId="6664F769">
      <w:pPr>
        <w:snapToGrid w:val="0"/>
        <w:spacing w:line="360" w:lineRule="auto"/>
        <w:ind w:firstLine="420" w:firstLineChars="200"/>
        <w:jc w:val="left"/>
        <w:rPr>
          <w:rFonts w:ascii="宋体" w:hAnsi="宋体" w:cs="Microsoft Sans Serif"/>
          <w:color w:val="auto"/>
          <w:kern w:val="0"/>
          <w:szCs w:val="21"/>
          <w:highlight w:val="none"/>
        </w:rPr>
      </w:pPr>
      <w:bookmarkStart w:id="1914" w:name="_Hlk524380579"/>
      <w:r>
        <w:rPr>
          <w:rFonts w:hint="eastAsia" w:ascii="宋体" w:hAnsi="宋体" w:cs="Microsoft Sans Serif"/>
          <w:color w:val="auto"/>
          <w:kern w:val="0"/>
          <w:szCs w:val="21"/>
          <w:highlight w:val="none"/>
        </w:rPr>
        <w:t>16.2.1 承包人违约的情形</w:t>
      </w:r>
    </w:p>
    <w:p w14:paraId="02F0A54F">
      <w:pPr>
        <w:snapToGrid w:val="0"/>
        <w:spacing w:line="360" w:lineRule="auto"/>
        <w:ind w:firstLine="420" w:firstLineChars="200"/>
        <w:jc w:val="left"/>
        <w:rPr>
          <w:rFonts w:ascii="宋体" w:hAnsi="宋体" w:cs="Microsoft Sans Serif"/>
          <w:color w:val="auto"/>
          <w:kern w:val="0"/>
          <w:szCs w:val="21"/>
          <w:highlight w:val="none"/>
          <w:u w:val="single"/>
        </w:rPr>
      </w:pPr>
      <w:r>
        <w:rPr>
          <w:rFonts w:hint="eastAsia" w:ascii="宋体" w:hAnsi="宋体" w:cs="Microsoft Sans Serif"/>
          <w:color w:val="auto"/>
          <w:kern w:val="0"/>
          <w:szCs w:val="21"/>
          <w:highlight w:val="none"/>
        </w:rPr>
        <w:t>除通用合同条款约定外，承包人违约的其他情形：</w:t>
      </w:r>
    </w:p>
    <w:p w14:paraId="0D6050F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（1）承包人未按合同约定提交履约担保或质量保证金的；</w:t>
      </w:r>
    </w:p>
    <w:p w14:paraId="5D6932E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（2）承包人未能按期开工的；</w:t>
      </w:r>
    </w:p>
    <w:p w14:paraId="7CCB4F6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（3）承包人未按投标文件或监理人的要求及时配备称职的主要管理人员，或承包人未按经审定的施工组织设计配备或更换关键施工设备的；</w:t>
      </w:r>
    </w:p>
    <w:p w14:paraId="5A72ADB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（4）承包人有安全问题或有违反安全管理规章制度情况的；</w:t>
      </w:r>
    </w:p>
    <w:p w14:paraId="3008FF0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（5）承包人在缺陷责任期及保修期内，未能在合理期限对工程缺陷进行修复，或拒绝按发包人要求进行修复的；</w:t>
      </w:r>
    </w:p>
    <w:p w14:paraId="5016B72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（6）承包人拖欠其工人或所雇人员工资或报酬，导致其工人或所雇人员向有关部门投诉、控告、检举或以聚集等方式讨要工资或报酬的；</w:t>
      </w:r>
    </w:p>
    <w:p w14:paraId="45E21B9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（7）承包人不配合发包人、监理人及发包人委托的工程造价咨询服务单位结算审核或承包人其他原因导致未按期完成工程竣工结算的；</w:t>
      </w:r>
    </w:p>
    <w:p w14:paraId="0039B04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（8）承包人违反合同约定进行转包或违法分包的；</w:t>
      </w:r>
    </w:p>
    <w:p w14:paraId="110D549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（9）承包人未按合同约定移交全部或部分工作的；</w:t>
      </w:r>
    </w:p>
    <w:p w14:paraId="1D4C7E8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（10）承包人未按合同约定购买保险的；</w:t>
      </w:r>
    </w:p>
    <w:p w14:paraId="40A57574">
      <w:pPr>
        <w:snapToGrid w:val="0"/>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（11）项目经理若有以下情形，属于承包人违约：</w:t>
      </w:r>
    </w:p>
    <w:p w14:paraId="2F2F247F">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1）项目经理不按承诺到岗的；</w:t>
      </w:r>
    </w:p>
    <w:p w14:paraId="61607FB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2）每月在施工现场的天数少于约定天数的；</w:t>
      </w:r>
    </w:p>
    <w:p w14:paraId="10C8AE0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3）承包人未提交项目经理劳动合同和社会保险证明的；</w:t>
      </w:r>
    </w:p>
    <w:p w14:paraId="4001EDD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4）未经批准，擅自离开施工现场（超过约定时间）的；</w:t>
      </w:r>
    </w:p>
    <w:p w14:paraId="0CE0C8D7">
      <w:pPr>
        <w:snapToGrid w:val="0"/>
        <w:spacing w:line="360" w:lineRule="auto"/>
        <w:ind w:firstLine="420" w:firstLineChars="200"/>
        <w:jc w:val="left"/>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5）未经批准，擅自变更项目经理的；</w:t>
      </w:r>
    </w:p>
    <w:p w14:paraId="306558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6）按照渝建发〔2015〕35号文的要求，施工期间，项目经理因在一个记分周期内累计记分达到12分，被建设行政主管部门依法责令停止执业的；</w:t>
      </w:r>
    </w:p>
    <w:p w14:paraId="710AB0F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7）发包人有正当理由认为项目经理不称职/不履职，且承包人在约定时间内不予更换的；</w:t>
      </w:r>
    </w:p>
    <w:p w14:paraId="37E2FB9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3696E5B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（12）技术负责人若有以下情形，属于承包人违约：</w:t>
      </w:r>
    </w:p>
    <w:p w14:paraId="5C9F7AE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1）每月在施工现场的天数少于约定天数的；</w:t>
      </w:r>
    </w:p>
    <w:p w14:paraId="1765746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2）承包人未提交技术负责人劳动合同和社会保险证明的；</w:t>
      </w:r>
    </w:p>
    <w:p w14:paraId="3309A29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3）未经批准，擅自离开施工现场（超过约定时间）的；</w:t>
      </w:r>
    </w:p>
    <w:p w14:paraId="510E4CE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4）未经批准，擅自变更技术负责人的；</w:t>
      </w:r>
    </w:p>
    <w:p w14:paraId="77E71F0E">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5）发包人有正当理由认为技术负责人不称职/不履职，且承包人在约定时间内不予更换的；</w:t>
      </w:r>
    </w:p>
    <w:p w14:paraId="2AE4DE2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46473FF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（13）主要施工管理人员若有以下情形，属于承包人违约：</w:t>
      </w:r>
    </w:p>
    <w:p w14:paraId="33A9C28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1）承包人未提交主要施工管理人员劳动合同和社会保险证明的；</w:t>
      </w:r>
    </w:p>
    <w:p w14:paraId="00CF328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2）未经批准，擅自离开施工现场（超过约定时间）的；</w:t>
      </w:r>
    </w:p>
    <w:p w14:paraId="5BE4F88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3）未经批准，擅自变更主要施工管理人员的；</w:t>
      </w:r>
    </w:p>
    <w:p w14:paraId="22AF144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4）发包人有正当理由认为主要施工管理人员不称职/不履职，且承包人在约定时间内不予更换的；</w:t>
      </w:r>
    </w:p>
    <w:p w14:paraId="2778D93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5）其他双方约定的情形：</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bookmarkEnd w:id="1914"/>
    <w:p w14:paraId="7347CE3E">
      <w:pPr>
        <w:adjustRightInd w:val="0"/>
        <w:snapToGrid w:val="0"/>
        <w:spacing w:line="360" w:lineRule="auto"/>
        <w:ind w:firstLine="420" w:firstLineChars="200"/>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（14）发包人在合同签订前对承包人已标价工程量清单清标时发现承包人的工程量清单综合单价报价超过</w:t>
      </w:r>
      <w:r>
        <w:rPr>
          <w:rFonts w:hint="eastAsia" w:ascii="宋体" w:hAnsi="宋体" w:cs="Microsoft Sans Serif"/>
          <w:color w:val="auto"/>
          <w:kern w:val="0"/>
          <w:szCs w:val="21"/>
          <w:highlight w:val="none"/>
          <w:lang w:eastAsia="zh-CN"/>
        </w:rPr>
        <w:t>比选</w:t>
      </w:r>
      <w:r>
        <w:rPr>
          <w:rFonts w:hint="eastAsia" w:ascii="宋体" w:hAnsi="宋体" w:cs="Microsoft Sans Serif"/>
          <w:color w:val="auto"/>
          <w:kern w:val="0"/>
          <w:szCs w:val="21"/>
          <w:highlight w:val="none"/>
        </w:rPr>
        <w:t>时给出的工程量清单综合单价最高限价，结算时拒不接受发包人以发出的工程量清单综合单价最高限价为基础，按照承包人的中标总报价与本工程的总价最高限价的下浮比例进行同比例下调的。</w:t>
      </w:r>
    </w:p>
    <w:p w14:paraId="7CE35C11">
      <w:pPr>
        <w:adjustRightInd w:val="0"/>
        <w:snapToGrid w:val="0"/>
        <w:spacing w:line="360" w:lineRule="auto"/>
        <w:ind w:firstLine="420" w:firstLineChars="200"/>
        <w:rPr>
          <w:rFonts w:hint="eastAsia" w:ascii="宋体" w:hAnsi="宋体" w:cs="Microsoft Sans Serif"/>
          <w:color w:val="auto"/>
          <w:kern w:val="0"/>
          <w:szCs w:val="21"/>
          <w:highlight w:val="none"/>
        </w:rPr>
      </w:pPr>
      <w:r>
        <w:rPr>
          <w:rFonts w:hint="eastAsia" w:ascii="宋体" w:hAnsi="宋体" w:cs="Microsoft Sans Serif"/>
          <w:color w:val="auto"/>
          <w:kern w:val="0"/>
          <w:szCs w:val="21"/>
          <w:highlight w:val="none"/>
        </w:rPr>
        <w:t>（15）</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476E18AD">
      <w:pPr>
        <w:adjustRightInd w:val="0"/>
        <w:snapToGrid w:val="0"/>
        <w:spacing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16.2.2 承包人违约的责任</w:t>
      </w:r>
    </w:p>
    <w:p w14:paraId="1CD0B7B4">
      <w:pPr>
        <w:adjustRightInd w:val="0"/>
        <w:snapToGrid w:val="0"/>
        <w:spacing w:line="360" w:lineRule="auto"/>
        <w:ind w:firstLine="420" w:firstLineChars="200"/>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承包人违约责任的承担方式和计算方法：</w:t>
      </w:r>
    </w:p>
    <w:p w14:paraId="6356D32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（1）承包人未按合同约定提交履约担保、质量保证金的违约责任：承包人应支付违约金，</w:t>
      </w:r>
      <w:r>
        <w:rPr>
          <w:rFonts w:hint="eastAsia" w:ascii="宋体" w:hAnsi="宋体" w:cs="Microsoft Sans Serif"/>
          <w:color w:val="auto"/>
          <w:szCs w:val="21"/>
          <w:highlight w:val="none"/>
        </w:rPr>
        <w:t>违约金的计算方法：</w:t>
      </w:r>
      <w:r>
        <w:rPr>
          <w:rFonts w:hint="eastAsia" w:ascii="宋体" w:hAnsi="宋体" w:cs="Microsoft Sans Serif"/>
          <w:color w:val="auto"/>
          <w:kern w:val="0"/>
          <w:szCs w:val="21"/>
          <w:highlight w:val="none"/>
        </w:rPr>
        <w:t>每延误1天，承包人按</w:t>
      </w:r>
      <w:r>
        <w:rPr>
          <w:rFonts w:hint="eastAsia" w:ascii="宋体" w:hAnsi="宋体" w:cs="Microsoft Sans Serif"/>
          <w:color w:val="auto"/>
          <w:kern w:val="0"/>
          <w:szCs w:val="21"/>
          <w:highlight w:val="none"/>
          <w:u w:val="single"/>
        </w:rPr>
        <w:t xml:space="preserve">  （5000～50000）元/天</w:t>
      </w:r>
      <w:r>
        <w:rPr>
          <w:rFonts w:hint="eastAsia" w:ascii="宋体" w:hAnsi="宋体" w:cs="Microsoft Sans Serif"/>
          <w:color w:val="auto"/>
          <w:kern w:val="0"/>
          <w:szCs w:val="21"/>
          <w:highlight w:val="none"/>
        </w:rPr>
        <w:t>计算违约金，累计违约金上限：</w:t>
      </w:r>
      <w:r>
        <w:rPr>
          <w:rFonts w:hint="eastAsia" w:ascii="宋体" w:hAnsi="宋体" w:cs="Microsoft Sans Serif"/>
          <w:color w:val="auto"/>
          <w:kern w:val="0"/>
          <w:szCs w:val="21"/>
          <w:highlight w:val="none"/>
          <w:u w:val="single"/>
        </w:rPr>
        <w:t xml:space="preserve">  万元（不超过签约合同价的3%）</w:t>
      </w:r>
      <w:r>
        <w:rPr>
          <w:rFonts w:hint="eastAsia" w:ascii="宋体" w:hAnsi="宋体" w:cs="Microsoft Sans Serif"/>
          <w:color w:val="auto"/>
          <w:kern w:val="0"/>
          <w:szCs w:val="21"/>
          <w:highlight w:val="none"/>
          <w:lang w:val="zh-CN"/>
        </w:rPr>
        <w:t>。</w:t>
      </w:r>
    </w:p>
    <w:p w14:paraId="01FB221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（2）承包人违反合同约定进行转包或违法分包的违约责任：按照违反合同约定进行转包和（或）违法分包相应转包和（或）分包合同的合同金额的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支付违约金，违法转/分包商应在7天内撤离出场。</w:t>
      </w:r>
    </w:p>
    <w:p w14:paraId="6FD53A80">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6D830AA4">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7EA176A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color w:val="auto"/>
          <w:kern w:val="0"/>
          <w:szCs w:val="21"/>
          <w:highlight w:val="none"/>
          <w:u w:val="single"/>
        </w:rPr>
        <w:t xml:space="preserve">  （1～5）%</w:t>
      </w:r>
      <w:r>
        <w:rPr>
          <w:rFonts w:hint="eastAsia" w:ascii="宋体" w:hAnsi="宋体" w:cs="Microsoft Sans Serif"/>
          <w:color w:val="auto"/>
          <w:kern w:val="0"/>
          <w:szCs w:val="21"/>
          <w:highlight w:val="none"/>
        </w:rPr>
        <w:t>支付违约金。</w:t>
      </w:r>
    </w:p>
    <w:p w14:paraId="06293805">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（6）因承包人原因造成工期延误的违约承担方式和计算方法：由承包人承担由此增加的费用，</w:t>
      </w:r>
      <w:r>
        <w:rPr>
          <w:rFonts w:hint="eastAsia" w:ascii="宋体" w:hAnsi="宋体" w:cs="Microsoft Sans Serif"/>
          <w:color w:val="auto"/>
          <w:szCs w:val="21"/>
          <w:highlight w:val="none"/>
        </w:rPr>
        <w:t>由此导致工期延误的，工期不予顺延；逾期竣工违约金的计算方法：</w:t>
      </w:r>
      <w:r>
        <w:rPr>
          <w:rFonts w:hint="eastAsia" w:ascii="宋体" w:hAnsi="宋体" w:cs="Microsoft Sans Serif"/>
          <w:color w:val="auto"/>
          <w:kern w:val="0"/>
          <w:szCs w:val="21"/>
          <w:highlight w:val="none"/>
        </w:rPr>
        <w:t>每延误1天，承包人按</w:t>
      </w:r>
      <w:r>
        <w:rPr>
          <w:rFonts w:hint="eastAsia" w:ascii="宋体" w:hAnsi="宋体" w:cs="Microsoft Sans Serif"/>
          <w:color w:val="auto"/>
          <w:kern w:val="0"/>
          <w:szCs w:val="21"/>
          <w:highlight w:val="none"/>
          <w:u w:val="single"/>
        </w:rPr>
        <w:t xml:space="preserve">  （5000～50000）元/天</w:t>
      </w:r>
      <w:r>
        <w:rPr>
          <w:rFonts w:hint="eastAsia" w:ascii="宋体" w:hAnsi="宋体" w:cs="Microsoft Sans Serif"/>
          <w:color w:val="auto"/>
          <w:kern w:val="0"/>
          <w:szCs w:val="21"/>
          <w:highlight w:val="none"/>
        </w:rPr>
        <w:t>计算逾期竣工违约金，累计违约金上限：</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万元（不超过签约合同价的3%）</w:t>
      </w:r>
      <w:r>
        <w:rPr>
          <w:rFonts w:hint="eastAsia" w:ascii="宋体" w:hAnsi="宋体" w:cs="Microsoft Sans Serif"/>
          <w:color w:val="auto"/>
          <w:kern w:val="0"/>
          <w:szCs w:val="21"/>
          <w:highlight w:val="none"/>
          <w:lang w:val="zh-CN"/>
        </w:rPr>
        <w:t>；</w:t>
      </w:r>
      <w:r>
        <w:rPr>
          <w:rFonts w:hint="eastAsia" w:ascii="宋体" w:hAnsi="宋体" w:cs="Microsoft Sans Serif"/>
          <w:color w:val="auto"/>
          <w:kern w:val="0"/>
          <w:szCs w:val="21"/>
          <w:highlight w:val="none"/>
        </w:rPr>
        <w:t>承包人支付逾期竣工违约金后，不免除承包人继续完成工程及修补缺陷的义务。</w:t>
      </w:r>
    </w:p>
    <w:p w14:paraId="0201E8C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（7）承包人在缺陷责任期及保修期内，未能在合理期限对工程缺陷进行修复，或拒绝按发包人要求进行修复的违约责任：按照发包人修复缺陷费用的</w:t>
      </w:r>
      <w:r>
        <w:rPr>
          <w:rFonts w:hint="eastAsia" w:ascii="宋体" w:hAnsi="宋体" w:cs="Microsoft Sans Serif"/>
          <w:color w:val="auto"/>
          <w:kern w:val="0"/>
          <w:szCs w:val="21"/>
          <w:highlight w:val="none"/>
          <w:u w:val="single"/>
        </w:rPr>
        <w:t xml:space="preserve">  （0.5～2）%</w:t>
      </w:r>
      <w:r>
        <w:rPr>
          <w:rFonts w:hint="eastAsia" w:ascii="宋体" w:hAnsi="宋体" w:cs="Microsoft Sans Serif"/>
          <w:color w:val="auto"/>
          <w:kern w:val="0"/>
          <w:szCs w:val="21"/>
          <w:highlight w:val="none"/>
        </w:rPr>
        <w:t>支付违约金。</w:t>
      </w:r>
    </w:p>
    <w:p w14:paraId="5D3F872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（8）承包人明确表示或者以其行为表明不履行合同主要义务的违约责任：按签约合同价的</w:t>
      </w:r>
      <w:r>
        <w:rPr>
          <w:rFonts w:hint="eastAsia" w:ascii="宋体" w:hAnsi="宋体" w:cs="Microsoft Sans Serif"/>
          <w:color w:val="auto"/>
          <w:kern w:val="0"/>
          <w:szCs w:val="21"/>
          <w:highlight w:val="none"/>
          <w:u w:val="single"/>
        </w:rPr>
        <w:t xml:space="preserve">  （5～10）%</w:t>
      </w:r>
      <w:r>
        <w:rPr>
          <w:rFonts w:hint="eastAsia" w:ascii="宋体" w:hAnsi="宋体" w:cs="Microsoft Sans Serif"/>
          <w:color w:val="auto"/>
          <w:kern w:val="0"/>
          <w:szCs w:val="21"/>
          <w:highlight w:val="none"/>
        </w:rPr>
        <w:t>支付违约金。</w:t>
      </w:r>
    </w:p>
    <w:p w14:paraId="5F9FB6DF">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（9）承包人未能按照合同约定履行其他义务的违约责任：按</w:t>
      </w:r>
      <w:r>
        <w:rPr>
          <w:rFonts w:hint="eastAsia" w:ascii="宋体" w:hAnsi="宋体" w:cs="Microsoft Sans Serif"/>
          <w:color w:val="auto"/>
          <w:kern w:val="0"/>
          <w:szCs w:val="21"/>
          <w:highlight w:val="none"/>
          <w:u w:val="single"/>
        </w:rPr>
        <w:t>（500～5000）元/次</w:t>
      </w:r>
      <w:r>
        <w:rPr>
          <w:rFonts w:hint="eastAsia" w:ascii="宋体" w:hAnsi="宋体" w:cs="Microsoft Sans Serif"/>
          <w:color w:val="auto"/>
          <w:kern w:val="0"/>
          <w:szCs w:val="21"/>
          <w:highlight w:val="none"/>
        </w:rPr>
        <w:t>支付违约金。</w:t>
      </w:r>
    </w:p>
    <w:p w14:paraId="73FFBA5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（10）承包人未能按期开工的违约责任：按合同价</w:t>
      </w:r>
      <w:r>
        <w:rPr>
          <w:rFonts w:hint="eastAsia" w:ascii="宋体" w:hAnsi="宋体" w:cs="Microsoft Sans Serif"/>
          <w:color w:val="auto"/>
          <w:kern w:val="0"/>
          <w:szCs w:val="21"/>
          <w:highlight w:val="none"/>
          <w:u w:val="single"/>
        </w:rPr>
        <w:t>0.2‰/天</w:t>
      </w:r>
      <w:r>
        <w:rPr>
          <w:rFonts w:hint="eastAsia" w:ascii="宋体" w:hAnsi="宋体" w:cs="Microsoft Sans Serif"/>
          <w:color w:val="auto"/>
          <w:kern w:val="0"/>
          <w:szCs w:val="21"/>
          <w:highlight w:val="none"/>
        </w:rPr>
        <w:t>支付违约金，本项违约金累计限额为签约合同价的</w:t>
      </w:r>
      <w:r>
        <w:rPr>
          <w:rFonts w:hint="eastAsia" w:ascii="宋体" w:hAnsi="宋体" w:cs="Microsoft Sans Serif"/>
          <w:color w:val="auto"/>
          <w:kern w:val="0"/>
          <w:szCs w:val="21"/>
          <w:highlight w:val="none"/>
          <w:u w:val="single"/>
        </w:rPr>
        <w:t xml:space="preserve"> 1 %</w:t>
      </w:r>
      <w:r>
        <w:rPr>
          <w:rFonts w:hint="eastAsia" w:ascii="宋体" w:hAnsi="宋体" w:cs="Microsoft Sans Serif"/>
          <w:color w:val="auto"/>
          <w:kern w:val="0"/>
          <w:szCs w:val="21"/>
          <w:highlight w:val="none"/>
        </w:rPr>
        <w:t>。</w:t>
      </w:r>
    </w:p>
    <w:p w14:paraId="5594C4F9">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（11）承包人未按经审定的施工组织设计配备或更换关键施工设备的违约责任：按</w:t>
      </w:r>
      <w:r>
        <w:rPr>
          <w:rFonts w:hint="eastAsia" w:ascii="宋体" w:hAnsi="宋体" w:cs="Microsoft Sans Serif"/>
          <w:color w:val="auto"/>
          <w:kern w:val="0"/>
          <w:szCs w:val="21"/>
          <w:highlight w:val="none"/>
          <w:u w:val="single"/>
        </w:rPr>
        <w:t xml:space="preserve">  （5000～50000）元/台·次</w:t>
      </w:r>
      <w:r>
        <w:rPr>
          <w:rFonts w:hint="eastAsia" w:ascii="宋体" w:hAnsi="宋体" w:cs="Microsoft Sans Serif"/>
          <w:color w:val="auto"/>
          <w:kern w:val="0"/>
          <w:szCs w:val="21"/>
          <w:highlight w:val="none"/>
        </w:rPr>
        <w:t>支付违约金。</w:t>
      </w:r>
    </w:p>
    <w:p w14:paraId="00B5E3ED">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（12）承包人有安全问题或有违反安全管理规章制度情况的违约责任：根据具体情节，按签约合同价的</w:t>
      </w:r>
      <w:r>
        <w:rPr>
          <w:rFonts w:hint="eastAsia" w:ascii="宋体" w:hAnsi="宋体" w:cs="Microsoft Sans Serif"/>
          <w:color w:val="auto"/>
          <w:kern w:val="0"/>
          <w:szCs w:val="21"/>
          <w:highlight w:val="none"/>
          <w:u w:val="single"/>
        </w:rPr>
        <w:t>0.5‰～4‰/次</w:t>
      </w:r>
      <w:r>
        <w:rPr>
          <w:rFonts w:hint="eastAsia" w:ascii="宋体" w:hAnsi="宋体" w:cs="Microsoft Sans Serif"/>
          <w:color w:val="auto"/>
          <w:kern w:val="0"/>
          <w:szCs w:val="21"/>
          <w:highlight w:val="none"/>
        </w:rPr>
        <w:t>支付违约金（累计不超过签约合同价的1%，详见附件9安全管理协议）。</w:t>
      </w:r>
    </w:p>
    <w:p w14:paraId="18524EB6">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color w:val="auto"/>
          <w:kern w:val="0"/>
          <w:szCs w:val="21"/>
          <w:highlight w:val="none"/>
          <w:u w:val="single"/>
        </w:rPr>
        <w:t xml:space="preserve">  （50000～200000）元/次</w:t>
      </w:r>
      <w:r>
        <w:rPr>
          <w:rFonts w:hint="eastAsia" w:ascii="宋体" w:hAnsi="宋体" w:cs="Microsoft Sans Serif"/>
          <w:color w:val="auto"/>
          <w:kern w:val="0"/>
          <w:szCs w:val="21"/>
          <w:highlight w:val="none"/>
        </w:rPr>
        <w:t>支付违约金。</w:t>
      </w:r>
    </w:p>
    <w:p w14:paraId="316748DB">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（14）承包人不配合发包人、监理人及发包人委托的工程造价咨询服务单位结算审核的违约责任：根据具体情节，按</w:t>
      </w:r>
      <w:r>
        <w:rPr>
          <w:rFonts w:hint="eastAsia" w:ascii="宋体" w:hAnsi="宋体" w:cs="Microsoft Sans Serif"/>
          <w:color w:val="auto"/>
          <w:kern w:val="0"/>
          <w:szCs w:val="21"/>
          <w:highlight w:val="none"/>
          <w:u w:val="single"/>
        </w:rPr>
        <w:t xml:space="preserve">  （10000～100000）元/次</w:t>
      </w:r>
      <w:r>
        <w:rPr>
          <w:rFonts w:hint="eastAsia" w:ascii="宋体" w:hAnsi="宋体" w:cs="Microsoft Sans Serif"/>
          <w:color w:val="auto"/>
          <w:kern w:val="0"/>
          <w:szCs w:val="21"/>
          <w:highlight w:val="none"/>
        </w:rPr>
        <w:t>支付违约金。</w:t>
      </w:r>
    </w:p>
    <w:p w14:paraId="6588C10C">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color w:val="auto"/>
          <w:kern w:val="0"/>
          <w:szCs w:val="21"/>
          <w:highlight w:val="none"/>
          <w:u w:val="single"/>
        </w:rPr>
        <w:t>0.5～1‰</w:t>
      </w:r>
      <w:r>
        <w:rPr>
          <w:rFonts w:hint="eastAsia" w:ascii="宋体" w:hAnsi="宋体" w:cs="Microsoft Sans Serif"/>
          <w:color w:val="auto"/>
          <w:kern w:val="0"/>
          <w:szCs w:val="21"/>
          <w:highlight w:val="none"/>
        </w:rPr>
        <w:t>支付违约金。</w:t>
      </w:r>
    </w:p>
    <w:p w14:paraId="3B3124C8">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（16）承包人未按合同约定购买保险的违约责任：除按18.6.2项约定执行外，每延迟1天，按</w:t>
      </w:r>
      <w:r>
        <w:rPr>
          <w:rFonts w:hint="eastAsia" w:ascii="宋体" w:hAnsi="宋体" w:cs="Microsoft Sans Serif"/>
          <w:color w:val="auto"/>
          <w:szCs w:val="21"/>
          <w:highlight w:val="none"/>
          <w:u w:val="single"/>
        </w:rPr>
        <w:t>500元/天</w:t>
      </w:r>
      <w:r>
        <w:rPr>
          <w:rFonts w:hint="eastAsia" w:ascii="宋体" w:hAnsi="宋体" w:cs="Microsoft Sans Serif"/>
          <w:color w:val="auto"/>
          <w:szCs w:val="21"/>
          <w:highlight w:val="none"/>
        </w:rPr>
        <w:t>支付违约金。</w:t>
      </w:r>
    </w:p>
    <w:p w14:paraId="4741B603">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（17）发生第16.2.1项（11）目、16.2.1项（12）目、16.2.1项（13）目违约情形的违约责任：除承担由此增加的费用和工期延误的责任，承包人应向发包人支付违约金：</w:t>
      </w:r>
    </w:p>
    <w:p w14:paraId="64B15A3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1）项目经理违约承担方式和计算方法：对于第16.2.1项（11）目的情形，每发现一次，根据具体情节，按</w:t>
      </w:r>
      <w:r>
        <w:rPr>
          <w:rFonts w:hint="eastAsia" w:ascii="宋体" w:hAnsi="宋体" w:cs="Microsoft Sans Serif"/>
          <w:color w:val="auto"/>
          <w:kern w:val="0"/>
          <w:szCs w:val="21"/>
          <w:highlight w:val="none"/>
          <w:u w:val="single"/>
        </w:rPr>
        <w:t>1000～30000元/天·次</w:t>
      </w:r>
      <w:r>
        <w:rPr>
          <w:rFonts w:hint="eastAsia" w:ascii="宋体" w:hAnsi="宋体" w:cs="Microsoft Sans Serif"/>
          <w:color w:val="auto"/>
          <w:kern w:val="0"/>
          <w:szCs w:val="21"/>
          <w:highlight w:val="none"/>
        </w:rPr>
        <w:t>计算违约金；项目经理不按承诺到岗的（</w:t>
      </w:r>
      <w:r>
        <w:rPr>
          <w:rFonts w:ascii="宋体" w:hAnsi="宋体" w:cs="Microsoft Sans Serif"/>
          <w:color w:val="auto"/>
          <w:kern w:val="0"/>
          <w:szCs w:val="21"/>
          <w:highlight w:val="none"/>
        </w:rPr>
        <w:t>3.2.3项约定的情形除外</w:t>
      </w:r>
      <w:r>
        <w:rPr>
          <w:rFonts w:hint="eastAsia" w:ascii="宋体" w:hAnsi="宋体" w:cs="Microsoft Sans Serif"/>
          <w:color w:val="auto"/>
          <w:kern w:val="0"/>
          <w:szCs w:val="21"/>
          <w:highlight w:val="none"/>
        </w:rPr>
        <w:t>），按履约保证金的</w:t>
      </w:r>
      <w:r>
        <w:rPr>
          <w:rFonts w:hint="eastAsia" w:ascii="宋体" w:hAnsi="宋体" w:cs="Microsoft Sans Serif"/>
          <w:color w:val="auto"/>
          <w:kern w:val="0"/>
          <w:szCs w:val="21"/>
          <w:highlight w:val="none"/>
          <w:u w:val="single"/>
        </w:rPr>
        <w:t>（50～100）%</w:t>
      </w:r>
      <w:r>
        <w:rPr>
          <w:rFonts w:hint="eastAsia" w:ascii="宋体" w:hAnsi="宋体" w:cs="Microsoft Sans Serif"/>
          <w:color w:val="auto"/>
          <w:kern w:val="0"/>
          <w:szCs w:val="21"/>
          <w:highlight w:val="none"/>
        </w:rPr>
        <w:t>支付违约金，并解除合同；擅自更换项目经理的，按签约合同价的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200万</w:t>
      </w:r>
      <w:r>
        <w:rPr>
          <w:rFonts w:hint="eastAsia" w:ascii="宋体" w:hAnsi="宋体" w:cs="Microsoft Sans Serif"/>
          <w:color w:val="auto"/>
          <w:kern w:val="0"/>
          <w:szCs w:val="21"/>
          <w:highlight w:val="none"/>
        </w:rPr>
        <w:t>；项目经理被责令停止执业的，按签约合同价的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200万</w:t>
      </w:r>
      <w:r>
        <w:rPr>
          <w:rFonts w:hint="eastAsia" w:ascii="宋体" w:hAnsi="宋体" w:cs="Microsoft Sans Serif"/>
          <w:color w:val="auto"/>
          <w:kern w:val="0"/>
          <w:szCs w:val="21"/>
          <w:highlight w:val="none"/>
        </w:rPr>
        <w:t>；项目经理被责令停止执业的，按签约合同价的</w:t>
      </w:r>
      <w:r>
        <w:rPr>
          <w:rFonts w:hint="eastAsia" w:ascii="宋体" w:hAnsi="宋体" w:cs="Microsoft Sans Serif"/>
          <w:color w:val="auto"/>
          <w:kern w:val="0"/>
          <w:szCs w:val="21"/>
          <w:highlight w:val="none"/>
          <w:u w:val="single"/>
        </w:rPr>
        <w:t>（0.5～3）%/人•次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20</w:t>
      </w:r>
      <w:r>
        <w:rPr>
          <w:rFonts w:hint="eastAsia" w:ascii="宋体" w:hAnsi="宋体" w:cs="Microsoft Sans Serif"/>
          <w:color w:val="auto"/>
          <w:kern w:val="0"/>
          <w:szCs w:val="21"/>
          <w:highlight w:val="none"/>
        </w:rPr>
        <w:t>万，累计不超过</w:t>
      </w:r>
      <w:r>
        <w:rPr>
          <w:rFonts w:hint="eastAsia" w:ascii="宋体" w:hAnsi="宋体" w:cs="Microsoft Sans Serif"/>
          <w:color w:val="auto"/>
          <w:kern w:val="0"/>
          <w:szCs w:val="21"/>
          <w:highlight w:val="none"/>
          <w:u w:val="single"/>
        </w:rPr>
        <w:t>200</w:t>
      </w:r>
      <w:r>
        <w:rPr>
          <w:rFonts w:hint="eastAsia" w:ascii="宋体" w:hAnsi="宋体" w:cs="Microsoft Sans Serif"/>
          <w:color w:val="auto"/>
          <w:kern w:val="0"/>
          <w:szCs w:val="21"/>
          <w:highlight w:val="none"/>
        </w:rPr>
        <w:t>万。</w:t>
      </w:r>
    </w:p>
    <w:p w14:paraId="3AC8C08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2）主要技术负责人违约承担方式和计算方法：对于第16.2.1项（12）目的六种情形，每发现一次，根据具体情节，按</w:t>
      </w:r>
      <w:r>
        <w:rPr>
          <w:rFonts w:hint="eastAsia" w:ascii="宋体" w:hAnsi="宋体" w:cs="Microsoft Sans Serif"/>
          <w:color w:val="auto"/>
          <w:kern w:val="0"/>
          <w:szCs w:val="21"/>
          <w:highlight w:val="none"/>
          <w:u w:val="single"/>
        </w:rPr>
        <w:t>1000～30000元/天·次</w:t>
      </w:r>
      <w:r>
        <w:rPr>
          <w:rFonts w:hint="eastAsia" w:ascii="宋体" w:hAnsi="宋体" w:cs="Microsoft Sans Serif"/>
          <w:color w:val="auto"/>
          <w:kern w:val="0"/>
          <w:szCs w:val="21"/>
          <w:highlight w:val="none"/>
        </w:rPr>
        <w:t>计算违约金；擅自更换主要技术负责人的，按签约合同价的</w:t>
      </w:r>
      <w:r>
        <w:rPr>
          <w:rFonts w:hint="eastAsia" w:ascii="宋体" w:hAnsi="宋体" w:cs="Microsoft Sans Serif"/>
          <w:color w:val="auto"/>
          <w:kern w:val="0"/>
          <w:szCs w:val="21"/>
          <w:highlight w:val="none"/>
          <w:u w:val="single"/>
        </w:rPr>
        <w:t>（0.5～2）%/人·次</w:t>
      </w:r>
      <w:r>
        <w:rPr>
          <w:rFonts w:hint="eastAsia" w:ascii="宋体" w:hAnsi="宋体" w:cs="Microsoft Sans Serif"/>
          <w:color w:val="auto"/>
          <w:kern w:val="0"/>
          <w:szCs w:val="21"/>
          <w:highlight w:val="none"/>
        </w:rPr>
        <w:t>支付违约金，每次不低于</w:t>
      </w:r>
      <w:r>
        <w:rPr>
          <w:rFonts w:hint="eastAsia" w:ascii="宋体" w:hAnsi="宋体" w:cs="Microsoft Sans Serif"/>
          <w:color w:val="auto"/>
          <w:kern w:val="0"/>
          <w:szCs w:val="21"/>
          <w:highlight w:val="none"/>
          <w:u w:val="single"/>
        </w:rPr>
        <w:t>10万</w:t>
      </w:r>
      <w:r>
        <w:rPr>
          <w:rFonts w:hint="eastAsia" w:ascii="宋体" w:hAnsi="宋体" w:cs="Microsoft Sans Serif"/>
          <w:color w:val="auto"/>
          <w:kern w:val="0"/>
          <w:szCs w:val="21"/>
          <w:highlight w:val="none"/>
        </w:rPr>
        <w:t>，累计不超过</w:t>
      </w:r>
      <w:r>
        <w:rPr>
          <w:rFonts w:hint="eastAsia" w:ascii="宋体" w:hAnsi="宋体" w:cs="Microsoft Sans Serif"/>
          <w:color w:val="auto"/>
          <w:kern w:val="0"/>
          <w:szCs w:val="21"/>
          <w:highlight w:val="none"/>
          <w:u w:val="single"/>
        </w:rPr>
        <w:t>100万</w:t>
      </w:r>
      <w:r>
        <w:rPr>
          <w:rFonts w:hint="eastAsia" w:ascii="宋体" w:hAnsi="宋体" w:cs="Microsoft Sans Serif"/>
          <w:color w:val="auto"/>
          <w:kern w:val="0"/>
          <w:szCs w:val="21"/>
          <w:highlight w:val="none"/>
        </w:rPr>
        <w:t>。</w:t>
      </w:r>
    </w:p>
    <w:p w14:paraId="4C7D1B76">
      <w:pPr>
        <w:snapToGrid w:val="0"/>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3）主要施工管理人员违约承担方式和计算方法：对于第16.2.1项（13）目的五种情形，每发现一次，根据具体情节，按</w:t>
      </w:r>
      <w:r>
        <w:rPr>
          <w:rFonts w:hint="eastAsia" w:ascii="宋体" w:hAnsi="宋体" w:cs="Microsoft Sans Serif"/>
          <w:color w:val="auto"/>
          <w:kern w:val="0"/>
          <w:szCs w:val="21"/>
          <w:highlight w:val="none"/>
          <w:u w:val="single"/>
        </w:rPr>
        <w:t>500～10000元/天·次</w:t>
      </w:r>
      <w:r>
        <w:rPr>
          <w:rFonts w:hint="eastAsia" w:ascii="宋体" w:hAnsi="宋体" w:cs="Microsoft Sans Serif"/>
          <w:color w:val="auto"/>
          <w:kern w:val="0"/>
          <w:szCs w:val="21"/>
          <w:highlight w:val="none"/>
        </w:rPr>
        <w:t>计算违约金。</w:t>
      </w:r>
    </w:p>
    <w:p w14:paraId="505F27D7">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（18）</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bookmarkStart w:id="1915" w:name="_Hlk524380347"/>
    </w:p>
    <w:p w14:paraId="71C78E5A">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color w:val="auto"/>
          <w:kern w:val="0"/>
          <w:szCs w:val="21"/>
          <w:highlight w:val="none"/>
        </w:rPr>
        <w:t>16.2.2项第（1）目承担违约责任</w:t>
      </w:r>
      <w:r>
        <w:rPr>
          <w:rFonts w:hint="eastAsia" w:ascii="宋体" w:hAnsi="宋体" w:cs="Microsoft Sans Serif"/>
          <w:color w:val="auto"/>
          <w:szCs w:val="21"/>
          <w:highlight w:val="none"/>
        </w:rPr>
        <w:t>，并从应付或到期应付给承包人的任何款项中或采用其他方法，扣除该违约金。</w:t>
      </w:r>
    </w:p>
    <w:p w14:paraId="57CE71D1">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color w:val="auto"/>
          <w:kern w:val="0"/>
          <w:szCs w:val="21"/>
          <w:highlight w:val="none"/>
        </w:rPr>
        <w:t>，承担由此给</w:t>
      </w:r>
      <w:r>
        <w:rPr>
          <w:rFonts w:hint="eastAsia" w:ascii="宋体" w:hAnsi="宋体" w:cs="Microsoft Sans Serif"/>
          <w:color w:val="auto"/>
          <w:szCs w:val="21"/>
          <w:highlight w:val="none"/>
        </w:rPr>
        <w:t>发包人造成的经济损失。</w:t>
      </w:r>
    </w:p>
    <w:p w14:paraId="2A2DE1D2">
      <w:pPr>
        <w:snapToGrid w:val="0"/>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szCs w:val="21"/>
          <w:highlight w:val="none"/>
        </w:rPr>
        <w:t>承包人承担承包范围的工程质量、安全、环保责任，因承包人原因引起的质量、安全、环保等事故由承包人承担相应的法律后果。</w:t>
      </w:r>
    </w:p>
    <w:bookmarkEnd w:id="1915"/>
    <w:p w14:paraId="7E58F313">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16.2.3 因承包人违约解除合同</w:t>
      </w:r>
    </w:p>
    <w:p w14:paraId="664EA9B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因承包人违约并致使合同目的不能实现的，发包人有权解除合同：</w:t>
      </w:r>
    </w:p>
    <w:p w14:paraId="289D3710">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（1）未按合同约定延迟提供履约担保、质量保证金超过14天的；</w:t>
      </w:r>
    </w:p>
    <w:p w14:paraId="170E065D">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（2）未按合同约定购买保险且经催告后超过56天的；</w:t>
      </w:r>
    </w:p>
    <w:p w14:paraId="743CBC19">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（3）因承包人原因导致开工时间累计延误超过56天的；</w:t>
      </w:r>
    </w:p>
    <w:p w14:paraId="49F4088C">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（4）因承包人原因导致工期延误超过90天的；</w:t>
      </w:r>
    </w:p>
    <w:p w14:paraId="39E20DF5">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（5）发生第21.2款〔退出机制〕约定的情形的；</w:t>
      </w:r>
    </w:p>
    <w:p w14:paraId="615B3FEF">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（6）监理人发出整改通知后，承包人在监理人限定的期限内仍不纠正违约行为的；</w:t>
      </w:r>
    </w:p>
    <w:p w14:paraId="4449BB9D">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（7）承包人进入清算或者严重资不抵债且无法履行合同的；</w:t>
      </w:r>
    </w:p>
    <w:p w14:paraId="75156165">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（8）违反适用法律而被相关政府部门依法吊销营业执照、责令停业、清算或宣布破产、责令关闭的；</w:t>
      </w:r>
    </w:p>
    <w:p w14:paraId="5B2F66C5">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（9）承包人未履行合同项下的义务构成对合同的实质性违约，并且在收到发包人要求说明其违约并予以补救的通知后56天内仍未能补救该实质性违约的；</w:t>
      </w:r>
    </w:p>
    <w:p w14:paraId="0DBC92C0">
      <w:pPr>
        <w:pStyle w:val="65"/>
        <w:spacing w:line="360" w:lineRule="auto"/>
        <w:jc w:val="left"/>
        <w:rPr>
          <w:rFonts w:ascii="宋体" w:hAnsi="宋体" w:cs="Microsoft Sans Serif"/>
          <w:color w:val="auto"/>
          <w:kern w:val="0"/>
          <w:sz w:val="21"/>
          <w:szCs w:val="21"/>
          <w:highlight w:val="none"/>
        </w:rPr>
      </w:pPr>
      <w:r>
        <w:rPr>
          <w:rFonts w:hint="eastAsia" w:ascii="宋体" w:hAnsi="宋体" w:cs="Microsoft Sans Serif"/>
          <w:color w:val="auto"/>
          <w:kern w:val="0"/>
          <w:sz w:val="21"/>
          <w:szCs w:val="21"/>
          <w:highlight w:val="none"/>
        </w:rPr>
        <w:t>（10）合</w:t>
      </w:r>
      <w:r>
        <w:rPr>
          <w:rFonts w:hint="eastAsia" w:ascii="宋体" w:hAnsi="宋体" w:cs="Microsoft Sans Serif"/>
          <w:color w:val="auto"/>
          <w:kern w:val="0"/>
          <w:sz w:val="21"/>
          <w:szCs w:val="21"/>
          <w:highlight w:val="none"/>
          <w:u w:val="single"/>
        </w:rPr>
        <w:t>同约定的发包人有权解除合同的其他情形</w:t>
      </w:r>
      <w:r>
        <w:rPr>
          <w:rFonts w:hint="eastAsia" w:ascii="宋体" w:hAnsi="宋体" w:cs="Microsoft Sans Serif"/>
          <w:color w:val="auto"/>
          <w:kern w:val="0"/>
          <w:sz w:val="21"/>
          <w:szCs w:val="21"/>
          <w:highlight w:val="none"/>
        </w:rPr>
        <w:t>。</w:t>
      </w:r>
    </w:p>
    <w:p w14:paraId="73D610E9">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16.2.4因承包人违约解除合同后的处理</w:t>
      </w:r>
    </w:p>
    <w:p w14:paraId="261766DB">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因承包人违约导致合同解除的，合同当事人应在合同解除后56天内完成估价、付款和清算，并按以下约定执行：</w:t>
      </w:r>
    </w:p>
    <w:p w14:paraId="147E264F">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（1）合同解除后，按第14.2款结算审定方式确定承包人实际完成工作对应的合同价款，以及承包人已提供的材料、工程设备、施工设备和临时工程等的价值；</w:t>
      </w:r>
    </w:p>
    <w:p w14:paraId="175A14F2">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（2）合同解除后，承包人应支付违约金；</w:t>
      </w:r>
    </w:p>
    <w:p w14:paraId="1EA74A37">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（3）合同解除后，赔偿因解除合同给发包人造成的损失；</w:t>
      </w:r>
    </w:p>
    <w:p w14:paraId="1BE99B8A">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（4）合同解除后，承包人应按照发包人要求和监理人的指示完成现场的清理和撤离。</w:t>
      </w:r>
    </w:p>
    <w:p w14:paraId="2529C5A9">
      <w:pPr>
        <w:spacing w:line="360" w:lineRule="auto"/>
        <w:ind w:firstLine="420" w:firstLineChars="200"/>
        <w:jc w:val="left"/>
        <w:rPr>
          <w:rFonts w:ascii="宋体" w:hAnsi="宋体"/>
          <w:color w:val="auto"/>
          <w:szCs w:val="21"/>
          <w:highlight w:val="none"/>
        </w:rPr>
      </w:pPr>
      <w:r>
        <w:rPr>
          <w:rFonts w:hint="eastAsia" w:ascii="宋体" w:hAnsi="宋体" w:cs="Microsoft Sans Serif"/>
          <w:color w:val="auto"/>
          <w:kern w:val="0"/>
          <w:szCs w:val="21"/>
          <w:highlight w:val="none"/>
        </w:rPr>
        <w:t>（5）</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u w:val="single"/>
          <w:lang w:val="en-US" w:eastAsia="zh-CN"/>
        </w:rPr>
        <w:t>/</w:t>
      </w:r>
      <w:r>
        <w:rPr>
          <w:rFonts w:hint="eastAsia" w:ascii="宋体" w:hAnsi="宋体" w:cs="Microsoft Sans Serif"/>
          <w:color w:val="auto"/>
          <w:kern w:val="0"/>
          <w:szCs w:val="21"/>
          <w:highlight w:val="none"/>
          <w:u w:val="single"/>
        </w:rPr>
        <w:t xml:space="preserve"> </w:t>
      </w:r>
      <w:r>
        <w:rPr>
          <w:rFonts w:hint="eastAsia" w:ascii="宋体" w:hAnsi="宋体" w:cs="Microsoft Sans Serif"/>
          <w:color w:val="auto"/>
          <w:kern w:val="0"/>
          <w:szCs w:val="21"/>
          <w:highlight w:val="none"/>
        </w:rPr>
        <w:t>。</w:t>
      </w:r>
    </w:p>
    <w:p w14:paraId="6B5E5846">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因承包人违约导致解除合同的，发包人有权暂停对承包人的付款，查清各项付款和已扣款项。发包人和承包人未能就合同解除后的清算和款项支付达成一致的，按照第20条〔争议解决〕的约定处理。</w:t>
      </w:r>
    </w:p>
    <w:p w14:paraId="6216D7E4">
      <w:pPr>
        <w:spacing w:line="360" w:lineRule="auto"/>
        <w:ind w:firstLine="420" w:firstLineChars="200"/>
        <w:jc w:val="left"/>
        <w:rPr>
          <w:rFonts w:ascii="宋体" w:hAnsi="宋体" w:cs="Microsoft Sans Serif"/>
          <w:color w:val="auto"/>
          <w:kern w:val="0"/>
          <w:szCs w:val="21"/>
          <w:highlight w:val="none"/>
        </w:rPr>
      </w:pPr>
      <w:r>
        <w:rPr>
          <w:rFonts w:hint="eastAsia" w:ascii="宋体" w:hAnsi="宋体" w:cs="Microsoft Sans Serif"/>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902"/>
    <w:bookmarkEnd w:id="1903"/>
    <w:p w14:paraId="6E0C1427">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16" w:name="_Toc351203649"/>
      <w:bookmarkStart w:id="1917" w:name="_Toc532375665"/>
      <w:bookmarkStart w:id="1918" w:name="_Toc532377404"/>
      <w:bookmarkStart w:id="1919" w:name="_Hlk528928440"/>
      <w:r>
        <w:rPr>
          <w:rFonts w:hint="eastAsia"/>
          <w:color w:val="auto"/>
          <w:kern w:val="2"/>
          <w:sz w:val="21"/>
          <w:szCs w:val="21"/>
          <w:highlight w:val="none"/>
        </w:rPr>
        <w:t>17. 不可抗力</w:t>
      </w:r>
      <w:bookmarkEnd w:id="1916"/>
      <w:bookmarkEnd w:id="1917"/>
      <w:bookmarkEnd w:id="1918"/>
    </w:p>
    <w:p w14:paraId="69DBDA4D">
      <w:pPr>
        <w:pStyle w:val="7"/>
        <w:spacing w:before="0" w:beforeAutospacing="0" w:after="0" w:afterAutospacing="0" w:line="360" w:lineRule="auto"/>
        <w:ind w:firstLine="422" w:firstLineChars="200"/>
        <w:rPr>
          <w:color w:val="auto"/>
          <w:sz w:val="21"/>
          <w:szCs w:val="21"/>
          <w:highlight w:val="none"/>
        </w:rPr>
      </w:pPr>
      <w:bookmarkStart w:id="1920" w:name="_Toc532375666"/>
      <w:bookmarkStart w:id="1921" w:name="_Toc532377405"/>
      <w:r>
        <w:rPr>
          <w:rFonts w:hint="eastAsia"/>
          <w:color w:val="auto"/>
          <w:sz w:val="21"/>
          <w:szCs w:val="21"/>
          <w:highlight w:val="none"/>
        </w:rPr>
        <w:t>17.1 不可抗力的确认</w:t>
      </w:r>
      <w:bookmarkEnd w:id="1920"/>
      <w:bookmarkEnd w:id="1921"/>
    </w:p>
    <w:p w14:paraId="69838CE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除通用合同条款约定的不可抗力事件之外，视为不可抗力的其他情形：</w:t>
      </w:r>
      <w:bookmarkStart w:id="1922" w:name="_Hlk524379638"/>
    </w:p>
    <w:p w14:paraId="5E275A9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（1）洪水、火山爆发、山崩、山体滑坡、泥石流、龙卷风、隧道内不可预测的突发性地质灾害等自然灾害；</w:t>
      </w:r>
    </w:p>
    <w:p w14:paraId="134543E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（2）骚乱、戒严、封锁、禁运、恐怖行为、等社会行为，但承包人或其分包人派遣与雇佣的人员由于合同工程施工原因引起的除外；</w:t>
      </w:r>
    </w:p>
    <w:p w14:paraId="317D1E5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（3）不能合理预见的重大交通阻滞、停运、交通事故，非双方责任引起的火灾、爆炸、船舶撞击等情形；</w:t>
      </w:r>
    </w:p>
    <w:p w14:paraId="6F3A1BC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（4）化学或放射性污染或核辐射；</w:t>
      </w:r>
    </w:p>
    <w:p w14:paraId="1E7D679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（5）环保治理等政府行为导致项目停工的。</w:t>
      </w:r>
      <w:bookmarkEnd w:id="1922"/>
    </w:p>
    <w:p w14:paraId="4BB5EF4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87F6455">
      <w:pPr>
        <w:pStyle w:val="7"/>
        <w:spacing w:before="0" w:beforeAutospacing="0" w:after="0" w:afterAutospacing="0" w:line="360" w:lineRule="auto"/>
        <w:ind w:firstLine="422" w:firstLineChars="200"/>
        <w:rPr>
          <w:color w:val="auto"/>
          <w:sz w:val="21"/>
          <w:szCs w:val="21"/>
          <w:highlight w:val="none"/>
        </w:rPr>
      </w:pPr>
      <w:bookmarkStart w:id="1923" w:name="_Toc532375667"/>
      <w:bookmarkStart w:id="1924" w:name="_Toc532377406"/>
      <w:bookmarkStart w:id="1925" w:name="_Toc351203610"/>
      <w:bookmarkStart w:id="1926" w:name="_Toc296503119"/>
      <w:bookmarkStart w:id="1927" w:name="_Toc296346620"/>
      <w:bookmarkStart w:id="1928" w:name="_Toc337558826"/>
      <w:r>
        <w:rPr>
          <w:rFonts w:hint="eastAsia"/>
          <w:color w:val="auto"/>
          <w:sz w:val="21"/>
          <w:szCs w:val="21"/>
          <w:highlight w:val="none"/>
        </w:rPr>
        <w:t>17.3 不可抗力后果的承担</w:t>
      </w:r>
      <w:bookmarkEnd w:id="1923"/>
      <w:bookmarkEnd w:id="1924"/>
      <w:bookmarkEnd w:id="1925"/>
    </w:p>
    <w:bookmarkEnd w:id="1926"/>
    <w:bookmarkEnd w:id="1927"/>
    <w:bookmarkEnd w:id="1928"/>
    <w:p w14:paraId="76DB1EB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17.3.1 不可抗力引起的后果及造成的损失由合同当事人按照法律规定及合同约定各自承担。不可抗力发生前已完成的工程应当按照合同约定进行计量支付。</w:t>
      </w:r>
    </w:p>
    <w:p w14:paraId="6707F6F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17.3.2 不可抗力导致的人员伤亡、财产损失、费用增加和（或）工期延误等后果，由合同当事人按以下原则承担：</w:t>
      </w:r>
    </w:p>
    <w:p w14:paraId="16C35CA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（1）永久工程、已运至施工现场的施工材料和工程设备的损坏，以及因工程损坏造成的第三方人员伤亡和财产损失由发包人承担；</w:t>
      </w:r>
    </w:p>
    <w:p w14:paraId="01F3ECD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（2）承包人施工设备的损坏由承包人承担；</w:t>
      </w:r>
    </w:p>
    <w:p w14:paraId="0C4CA0C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（3）发包人和承包人承担各自人员伤亡和财产的损失；</w:t>
      </w:r>
    </w:p>
    <w:p w14:paraId="17539E8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（4）因不可抗力影响承包人履行合同约定的义务，已经引起或将引起工期延误的，应当顺延工期，由此导致承包人停工的费用损失由发包人和承包人合理共担；</w:t>
      </w:r>
    </w:p>
    <w:p w14:paraId="5B21C1B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（5）因不可抗力引起或将引起工期延误，发包人要求赶工的，由此增加的赶工费用由发包人承担；</w:t>
      </w:r>
    </w:p>
    <w:p w14:paraId="4A4CCD8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（6）承包人在停工期间按照发包人要求照管、清理和修复工程的费用由发包人承担；</w:t>
      </w:r>
    </w:p>
    <w:p w14:paraId="66846C8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（7）不可抗力事件发生后，合同当事人均应采取措施尽量避免和减少损失的扩大，任何一方当事人没有采取有效措施导致损失扩大的，应对扩大的损失承担责任。</w:t>
      </w:r>
    </w:p>
    <w:p w14:paraId="418D04D5">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（8）</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2BF7203">
      <w:pPr>
        <w:pStyle w:val="7"/>
        <w:spacing w:before="0" w:beforeAutospacing="0" w:after="0" w:afterAutospacing="0" w:line="360" w:lineRule="auto"/>
        <w:ind w:firstLine="422" w:firstLineChars="200"/>
        <w:rPr>
          <w:color w:val="auto"/>
          <w:sz w:val="21"/>
          <w:szCs w:val="21"/>
          <w:highlight w:val="none"/>
        </w:rPr>
      </w:pPr>
      <w:bookmarkStart w:id="1929" w:name="_Toc532377407"/>
      <w:bookmarkStart w:id="1930" w:name="_Toc532375668"/>
      <w:r>
        <w:rPr>
          <w:rFonts w:hint="eastAsia"/>
          <w:color w:val="auto"/>
          <w:sz w:val="21"/>
          <w:szCs w:val="21"/>
          <w:highlight w:val="none"/>
        </w:rPr>
        <w:t>17.4 因不可抗力解除合同</w:t>
      </w:r>
      <w:bookmarkEnd w:id="1929"/>
      <w:bookmarkEnd w:id="1930"/>
    </w:p>
    <w:p w14:paraId="3B4988B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合同解除后，发包人应在商定或确定发包人应支付款项后</w:t>
      </w:r>
      <w:r>
        <w:rPr>
          <w:rFonts w:hint="eastAsia" w:ascii="宋体" w:hAnsi="宋体"/>
          <w:color w:val="auto"/>
          <w:szCs w:val="21"/>
          <w:highlight w:val="none"/>
          <w:u w:val="single"/>
        </w:rPr>
        <w:t>28</w:t>
      </w:r>
      <w:r>
        <w:rPr>
          <w:rFonts w:hint="eastAsia" w:ascii="宋体" w:hAnsi="宋体"/>
          <w:color w:val="auto"/>
          <w:szCs w:val="21"/>
          <w:highlight w:val="none"/>
        </w:rPr>
        <w:t>天内完成款项的支付。</w:t>
      </w:r>
    </w:p>
    <w:p w14:paraId="0F2946BD">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31" w:name="_Toc351203650"/>
      <w:bookmarkStart w:id="1932" w:name="_Toc532375669"/>
      <w:bookmarkStart w:id="1933" w:name="_Toc532377408"/>
      <w:r>
        <w:rPr>
          <w:rFonts w:hint="eastAsia"/>
          <w:color w:val="auto"/>
          <w:kern w:val="2"/>
          <w:sz w:val="21"/>
          <w:szCs w:val="21"/>
          <w:highlight w:val="none"/>
        </w:rPr>
        <w:t>18. 保险</w:t>
      </w:r>
      <w:bookmarkEnd w:id="1931"/>
      <w:bookmarkEnd w:id="1932"/>
      <w:bookmarkEnd w:id="1933"/>
    </w:p>
    <w:p w14:paraId="526FAA8A">
      <w:pPr>
        <w:pStyle w:val="7"/>
        <w:spacing w:before="0" w:beforeAutospacing="0" w:after="0" w:afterAutospacing="0" w:line="360" w:lineRule="auto"/>
        <w:ind w:firstLine="422" w:firstLineChars="200"/>
        <w:rPr>
          <w:color w:val="auto"/>
          <w:sz w:val="21"/>
          <w:szCs w:val="21"/>
          <w:highlight w:val="none"/>
        </w:rPr>
      </w:pPr>
      <w:bookmarkStart w:id="1934" w:name="_Toc532377409"/>
      <w:bookmarkStart w:id="1935" w:name="_Toc532375670"/>
      <w:r>
        <w:rPr>
          <w:rFonts w:hint="eastAsia"/>
          <w:color w:val="auto"/>
          <w:sz w:val="21"/>
          <w:szCs w:val="21"/>
          <w:highlight w:val="none"/>
        </w:rPr>
        <w:t>18.1 工程保险</w:t>
      </w:r>
      <w:bookmarkEnd w:id="1934"/>
      <w:bookmarkEnd w:id="1935"/>
    </w:p>
    <w:p w14:paraId="21F0CB6D">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关于工程保险的特别约定：发包人应投保</w:t>
      </w:r>
      <w:r>
        <w:rPr>
          <w:rFonts w:hint="eastAsia" w:ascii="宋体" w:hAnsi="宋体"/>
          <w:color w:val="auto"/>
          <w:szCs w:val="21"/>
          <w:highlight w:val="none"/>
          <w:u w:val="single"/>
        </w:rPr>
        <w:t>建筑工程一切险或安装工程一切险</w:t>
      </w:r>
      <w:r>
        <w:rPr>
          <w:rFonts w:hint="eastAsia" w:ascii="宋体" w:hAnsi="宋体"/>
          <w:color w:val="auto"/>
          <w:szCs w:val="21"/>
          <w:highlight w:val="none"/>
        </w:rPr>
        <w:t>；发包人委托承包人投保的，因投保产生的保险费和其他相关费用由发包人承担。</w:t>
      </w:r>
    </w:p>
    <w:p w14:paraId="51601279">
      <w:pPr>
        <w:pStyle w:val="7"/>
        <w:spacing w:before="0" w:beforeAutospacing="0" w:after="0" w:afterAutospacing="0" w:line="360" w:lineRule="auto"/>
        <w:ind w:firstLine="422" w:firstLineChars="200"/>
        <w:rPr>
          <w:color w:val="auto"/>
          <w:sz w:val="21"/>
          <w:szCs w:val="21"/>
          <w:highlight w:val="none"/>
        </w:rPr>
      </w:pPr>
      <w:bookmarkStart w:id="1936" w:name="_Toc532377410"/>
      <w:bookmarkStart w:id="1937" w:name="_Toc532375671"/>
      <w:r>
        <w:rPr>
          <w:rFonts w:hint="eastAsia"/>
          <w:color w:val="auto"/>
          <w:sz w:val="21"/>
          <w:szCs w:val="21"/>
          <w:highlight w:val="none"/>
        </w:rPr>
        <w:t>18.3 其他保险</w:t>
      </w:r>
      <w:bookmarkEnd w:id="1936"/>
      <w:bookmarkEnd w:id="1937"/>
    </w:p>
    <w:p w14:paraId="288B3AC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关于其他保险的约定：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3E42DE1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承包人是否应为其施工设备等办理财产保险：</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230BAAF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安全生产责任险：</w:t>
      </w:r>
      <w:r>
        <w:rPr>
          <w:rFonts w:hint="eastAsia" w:ascii="宋体" w:hAnsi="宋体"/>
          <w:color w:val="auto"/>
          <w:szCs w:val="21"/>
          <w:highlight w:val="none"/>
          <w:u w:val="single"/>
        </w:rPr>
        <w:t>承包人应按《重庆市人民政府办公厅关于在高危行业领域强制推行安全生产责任保险的实施意见》（渝府办法〔2017〕182号）的要求办理安全生产责任保险</w:t>
      </w:r>
      <w:r>
        <w:rPr>
          <w:rFonts w:hint="eastAsia" w:ascii="宋体" w:hAnsi="宋体"/>
          <w:color w:val="auto"/>
          <w:szCs w:val="21"/>
          <w:highlight w:val="none"/>
        </w:rPr>
        <w:t>。</w:t>
      </w:r>
    </w:p>
    <w:p w14:paraId="2B07A4A8">
      <w:pPr>
        <w:pStyle w:val="7"/>
        <w:spacing w:before="0" w:beforeAutospacing="0" w:after="0" w:afterAutospacing="0" w:line="360" w:lineRule="auto"/>
        <w:ind w:firstLine="422" w:firstLineChars="200"/>
        <w:rPr>
          <w:color w:val="auto"/>
          <w:sz w:val="21"/>
          <w:szCs w:val="21"/>
          <w:highlight w:val="none"/>
        </w:rPr>
      </w:pPr>
      <w:bookmarkStart w:id="1938" w:name="_Toc532375672"/>
      <w:bookmarkStart w:id="1939" w:name="_Toc532377411"/>
      <w:r>
        <w:rPr>
          <w:rFonts w:hint="eastAsia"/>
          <w:color w:val="auto"/>
          <w:sz w:val="21"/>
          <w:szCs w:val="21"/>
          <w:highlight w:val="none"/>
        </w:rPr>
        <w:t>18.7 通知义务</w:t>
      </w:r>
      <w:bookmarkEnd w:id="1938"/>
      <w:bookmarkEnd w:id="1939"/>
    </w:p>
    <w:p w14:paraId="57EFB90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关于变更保险合同时的通知义务的约定：</w:t>
      </w:r>
      <w:r>
        <w:rPr>
          <w:rFonts w:hint="eastAsia" w:ascii="宋体" w:hAnsi="宋体"/>
          <w:color w:val="auto"/>
          <w:szCs w:val="21"/>
          <w:highlight w:val="none"/>
          <w:u w:val="single"/>
        </w:rPr>
        <w:t>按通用合同条款执行</w:t>
      </w:r>
      <w:r>
        <w:rPr>
          <w:rFonts w:hint="eastAsia" w:ascii="宋体" w:hAnsi="宋体"/>
          <w:color w:val="auto"/>
          <w:szCs w:val="21"/>
          <w:highlight w:val="none"/>
        </w:rPr>
        <w:t>。</w:t>
      </w:r>
    </w:p>
    <w:p w14:paraId="04592B0E">
      <w:pPr>
        <w:pStyle w:val="7"/>
        <w:spacing w:before="0" w:beforeAutospacing="0" w:after="0" w:afterAutospacing="0" w:line="360" w:lineRule="auto"/>
        <w:ind w:firstLine="422" w:firstLineChars="200"/>
        <w:rPr>
          <w:color w:val="auto"/>
          <w:sz w:val="21"/>
          <w:szCs w:val="21"/>
          <w:highlight w:val="none"/>
        </w:rPr>
      </w:pPr>
      <w:bookmarkStart w:id="1940" w:name="_Toc532375673"/>
      <w:bookmarkStart w:id="1941" w:name="_Toc532377412"/>
      <w:r>
        <w:rPr>
          <w:rFonts w:hint="eastAsia"/>
          <w:color w:val="auto"/>
          <w:sz w:val="21"/>
          <w:szCs w:val="21"/>
          <w:highlight w:val="none"/>
        </w:rPr>
        <w:t>18.8 其他</w:t>
      </w:r>
      <w:bookmarkEnd w:id="1940"/>
      <w:bookmarkEnd w:id="1941"/>
    </w:p>
    <w:p w14:paraId="7F7C9E9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18.8.1 工程开工日前，承包人向发包人提交各项生效的保险证据和保险单副本。未按本项约定提交的，每延后1天，承包人按500元/天支付违约金。</w:t>
      </w:r>
    </w:p>
    <w:p w14:paraId="0F5F988B">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18.8.2 承包人保险赔偿金不足以补偿发包人损失时，</w:t>
      </w:r>
      <w:bookmarkStart w:id="1942" w:name="_Hlk524378346"/>
      <w:r>
        <w:rPr>
          <w:rFonts w:hint="eastAsia" w:ascii="宋体" w:hAnsi="宋体"/>
          <w:color w:val="auto"/>
          <w:szCs w:val="21"/>
          <w:highlight w:val="none"/>
        </w:rPr>
        <w:t>差额由承包人负责补足</w:t>
      </w:r>
      <w:bookmarkEnd w:id="1942"/>
      <w:r>
        <w:rPr>
          <w:rFonts w:hint="eastAsia" w:ascii="宋体" w:hAnsi="宋体"/>
          <w:color w:val="auto"/>
          <w:szCs w:val="21"/>
          <w:highlight w:val="none"/>
        </w:rPr>
        <w:t>。</w:t>
      </w:r>
    </w:p>
    <w:p w14:paraId="3E37BEC4">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43" w:name="_Toc351203620"/>
      <w:bookmarkStart w:id="1944" w:name="_Toc532375674"/>
      <w:bookmarkStart w:id="1945" w:name="_Toc532377413"/>
      <w:bookmarkStart w:id="1946" w:name="_Toc296503140"/>
      <w:bookmarkStart w:id="1947" w:name="_Toc337558835"/>
      <w:bookmarkStart w:id="1948" w:name="_Toc296346641"/>
      <w:r>
        <w:rPr>
          <w:rFonts w:hint="eastAsia"/>
          <w:color w:val="auto"/>
          <w:kern w:val="2"/>
          <w:sz w:val="21"/>
          <w:szCs w:val="21"/>
          <w:highlight w:val="none"/>
        </w:rPr>
        <w:t>19. 索赔</w:t>
      </w:r>
      <w:bookmarkEnd w:id="1943"/>
      <w:bookmarkEnd w:id="1944"/>
      <w:bookmarkEnd w:id="1945"/>
    </w:p>
    <w:bookmarkEnd w:id="1946"/>
    <w:bookmarkEnd w:id="1947"/>
    <w:bookmarkEnd w:id="1948"/>
    <w:p w14:paraId="25EA5413">
      <w:pPr>
        <w:pStyle w:val="7"/>
        <w:spacing w:before="0" w:beforeAutospacing="0" w:after="0" w:afterAutospacing="0" w:line="360" w:lineRule="auto"/>
        <w:ind w:firstLine="422" w:firstLineChars="200"/>
        <w:rPr>
          <w:color w:val="auto"/>
          <w:sz w:val="21"/>
          <w:szCs w:val="21"/>
          <w:highlight w:val="none"/>
        </w:rPr>
      </w:pPr>
      <w:bookmarkStart w:id="1949" w:name="_Toc532377414"/>
      <w:bookmarkStart w:id="1950" w:name="_Toc532375675"/>
      <w:bookmarkStart w:id="1951" w:name="_Toc296346642"/>
      <w:bookmarkStart w:id="1952" w:name="_Toc351203621"/>
      <w:bookmarkStart w:id="1953" w:name="_Toc337558836"/>
      <w:bookmarkStart w:id="1954" w:name="_Toc296503141"/>
      <w:r>
        <w:rPr>
          <w:rFonts w:hint="eastAsia"/>
          <w:color w:val="auto"/>
          <w:sz w:val="21"/>
          <w:szCs w:val="21"/>
          <w:highlight w:val="none"/>
        </w:rPr>
        <w:t>19.1 承包人的索赔</w:t>
      </w:r>
      <w:bookmarkEnd w:id="1949"/>
      <w:bookmarkEnd w:id="1950"/>
    </w:p>
    <w:p w14:paraId="001EEE47">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根据合同约定，承包人认为有权得到追加付款和（或）延长工期的，应按以下程序向发包人提出索赔：</w:t>
      </w:r>
    </w:p>
    <w:p w14:paraId="1394F8B9">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（1）承包人应在索赔事件发生后28天内，向监理人递交索赔意向通知书，并说明发生索赔事件的事由；承包人未在前述28天内发出索赔意向通知书的，丧失要求追加付款和（或）延长工期的权利；</w:t>
      </w:r>
    </w:p>
    <w:p w14:paraId="11FD0DD9">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50504455">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（3）索赔事件具有持续影响的，承包人应按监理人要求的合理时间间隔继续递交延续索赔通知，说明持续影响的实际情况和记录，列出累计的追加付款金额和（或）工期延长天数；</w:t>
      </w:r>
    </w:p>
    <w:p w14:paraId="14E0DD6F">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（4）在索赔事件影响结束后28天内，承包人应向监理人递交最终索赔报告，说明最终要求索赔的追加付款金额和（或）延长的工期，并附必要的记录和证明材料。</w:t>
      </w:r>
    </w:p>
    <w:p w14:paraId="1D3F300A">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C192FA5">
      <w:pPr>
        <w:pStyle w:val="7"/>
        <w:spacing w:before="0" w:beforeAutospacing="0" w:after="0" w:afterAutospacing="0" w:line="360" w:lineRule="auto"/>
        <w:ind w:firstLine="422" w:firstLineChars="200"/>
        <w:rPr>
          <w:color w:val="auto"/>
          <w:sz w:val="21"/>
          <w:szCs w:val="21"/>
          <w:highlight w:val="none"/>
        </w:rPr>
      </w:pPr>
      <w:bookmarkStart w:id="1955" w:name="_Toc532377415"/>
      <w:bookmarkStart w:id="1956" w:name="_Toc532375676"/>
      <w:r>
        <w:rPr>
          <w:rFonts w:hint="eastAsia"/>
          <w:color w:val="auto"/>
          <w:sz w:val="21"/>
          <w:szCs w:val="21"/>
          <w:highlight w:val="none"/>
        </w:rPr>
        <w:t>19.2 对承包人索赔的处理</w:t>
      </w:r>
      <w:bookmarkEnd w:id="1955"/>
      <w:bookmarkEnd w:id="1956"/>
    </w:p>
    <w:p w14:paraId="1651095F">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对承包人索赔的处理如下：</w:t>
      </w:r>
    </w:p>
    <w:p w14:paraId="6AB99B5E">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（1）监理人应在收到索赔报告后14天内完成审查并报送发包人。监理人对索赔报告存在异议的，有权要求承包人提交全部原始记录副本</w:t>
      </w:r>
      <w:r>
        <w:rPr>
          <w:rFonts w:hint="eastAsia" w:ascii="宋体" w:hAnsi="宋体"/>
          <w:color w:val="auto"/>
          <w:szCs w:val="21"/>
          <w:highlight w:val="none"/>
        </w:rPr>
        <w:t>；</w:t>
      </w:r>
    </w:p>
    <w:p w14:paraId="74AEDC68">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color w:val="auto"/>
          <w:szCs w:val="21"/>
          <w:highlight w:val="none"/>
        </w:rPr>
        <w:t>；</w:t>
      </w:r>
    </w:p>
    <w:p w14:paraId="7FB99454">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（3）承包人接受索赔处理结果的，索赔款项在当期进度款中进行支付；承包人不接受索赔处理结果的，按照第20条〔争议解决〕约定处理</w:t>
      </w:r>
      <w:r>
        <w:rPr>
          <w:rFonts w:hint="eastAsia" w:ascii="宋体" w:hAnsi="宋体"/>
          <w:color w:val="auto"/>
          <w:szCs w:val="21"/>
          <w:highlight w:val="none"/>
        </w:rPr>
        <w:t>；</w:t>
      </w:r>
    </w:p>
    <w:p w14:paraId="564D5F40">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u w:val="single"/>
        </w:rPr>
        <w:t>（4）工期延误的关键线路按照经监理人、发包人审批同意的施工组织设计计算</w:t>
      </w:r>
      <w:r>
        <w:rPr>
          <w:rFonts w:hint="eastAsia" w:ascii="宋体" w:hAnsi="宋体"/>
          <w:color w:val="auto"/>
          <w:szCs w:val="21"/>
          <w:highlight w:val="none"/>
        </w:rPr>
        <w:t>。</w:t>
      </w:r>
    </w:p>
    <w:p w14:paraId="249E9535">
      <w:pPr>
        <w:pStyle w:val="7"/>
        <w:spacing w:before="0" w:beforeAutospacing="0" w:after="0" w:afterAutospacing="0" w:line="360" w:lineRule="auto"/>
        <w:ind w:firstLine="422" w:firstLineChars="200"/>
        <w:rPr>
          <w:color w:val="auto"/>
          <w:sz w:val="21"/>
          <w:szCs w:val="21"/>
          <w:highlight w:val="none"/>
        </w:rPr>
      </w:pPr>
      <w:bookmarkStart w:id="1957" w:name="_Toc532377416"/>
      <w:bookmarkStart w:id="1958" w:name="_Toc532375677"/>
      <w:r>
        <w:rPr>
          <w:rFonts w:hint="eastAsia"/>
          <w:color w:val="auto"/>
          <w:sz w:val="21"/>
          <w:szCs w:val="21"/>
          <w:highlight w:val="none"/>
        </w:rPr>
        <w:t>19.3发包人的索赔</w:t>
      </w:r>
      <w:bookmarkEnd w:id="1957"/>
      <w:bookmarkEnd w:id="1958"/>
    </w:p>
    <w:p w14:paraId="79CE8332">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根据合同约定，发包人认为有权得到赔付金额和（或）延长缺陷责任期的，监理人应向承包人发出通知并附有详细的证明。</w:t>
      </w:r>
    </w:p>
    <w:p w14:paraId="612AF516">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1959" w:name="_Hlk528652769"/>
      <w:r>
        <w:rPr>
          <w:rFonts w:hint="eastAsia" w:ascii="宋体" w:hAnsi="宋体"/>
          <w:color w:val="auto"/>
          <w:szCs w:val="21"/>
          <w:highlight w:val="none"/>
        </w:rPr>
        <w:t>通过监理人向承包人正式递交最终索赔报告</w:t>
      </w:r>
      <w:bookmarkEnd w:id="1959"/>
      <w:r>
        <w:rPr>
          <w:rFonts w:hint="eastAsia" w:ascii="宋体" w:hAnsi="宋体"/>
          <w:color w:val="auto"/>
          <w:szCs w:val="21"/>
          <w:highlight w:val="none"/>
        </w:rPr>
        <w:t>。</w:t>
      </w:r>
    </w:p>
    <w:p w14:paraId="39EB9490">
      <w:pPr>
        <w:pStyle w:val="7"/>
        <w:spacing w:before="0" w:beforeAutospacing="0" w:after="0" w:afterAutospacing="0" w:line="360" w:lineRule="auto"/>
        <w:ind w:firstLine="422" w:firstLineChars="200"/>
        <w:rPr>
          <w:color w:val="auto"/>
          <w:sz w:val="21"/>
          <w:szCs w:val="21"/>
          <w:highlight w:val="none"/>
        </w:rPr>
      </w:pPr>
      <w:bookmarkStart w:id="1960" w:name="_Toc532377417"/>
      <w:bookmarkStart w:id="1961" w:name="_Toc532375678"/>
      <w:r>
        <w:rPr>
          <w:rFonts w:hint="eastAsia"/>
          <w:color w:val="auto"/>
          <w:sz w:val="21"/>
          <w:szCs w:val="21"/>
          <w:highlight w:val="none"/>
        </w:rPr>
        <w:t>19.4 对发包人索赔的处理</w:t>
      </w:r>
      <w:bookmarkEnd w:id="1960"/>
      <w:bookmarkEnd w:id="1961"/>
    </w:p>
    <w:p w14:paraId="7536CA40">
      <w:pPr>
        <w:autoSpaceDE w:val="0"/>
        <w:autoSpaceDN w:val="0"/>
        <w:spacing w:line="360" w:lineRule="auto"/>
        <w:ind w:right="105" w:rightChars="50"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对发包人索赔的处理如下：</w:t>
      </w:r>
    </w:p>
    <w:p w14:paraId="76D0015B">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（1）承包人收到发包人提交的索赔报告后，应及时审查索赔报告的内容、查验发包人证明材料；</w:t>
      </w:r>
    </w:p>
    <w:p w14:paraId="1CB31758">
      <w:pPr>
        <w:autoSpaceDE w:val="0"/>
        <w:autoSpaceDN w:val="0"/>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6C2E2080">
      <w:pPr>
        <w:autoSpaceDE w:val="0"/>
        <w:autoSpaceDN w:val="0"/>
        <w:spacing w:line="360" w:lineRule="auto"/>
        <w:ind w:right="105" w:rightChars="50" w:firstLine="420" w:firstLineChars="200"/>
        <w:jc w:val="left"/>
        <w:rPr>
          <w:rFonts w:ascii="宋体" w:hAnsi="宋体"/>
          <w:color w:val="auto"/>
          <w:szCs w:val="21"/>
          <w:highlight w:val="none"/>
          <w:u w:val="single"/>
        </w:rPr>
      </w:pPr>
      <w:r>
        <w:rPr>
          <w:rFonts w:hint="eastAsia" w:ascii="宋体" w:hAnsi="宋体"/>
          <w:color w:val="auto"/>
          <w:szCs w:val="21"/>
          <w:highlight w:val="none"/>
        </w:rPr>
        <w:t>（3）承包人接受索赔处理结果的，发包人可从应支付给承包人的合同价款中扣除赔付的金额或延长缺陷责任期；发包人不接受索赔处理结果的，按第20条〔争议解决〕约定处理。</w:t>
      </w:r>
    </w:p>
    <w:p w14:paraId="480AFF53">
      <w:pPr>
        <w:pStyle w:val="7"/>
        <w:spacing w:before="0" w:beforeAutospacing="0" w:after="0" w:afterAutospacing="0" w:line="360" w:lineRule="auto"/>
        <w:ind w:firstLine="422" w:firstLineChars="200"/>
        <w:rPr>
          <w:color w:val="auto"/>
          <w:sz w:val="21"/>
          <w:szCs w:val="21"/>
          <w:highlight w:val="none"/>
        </w:rPr>
      </w:pPr>
      <w:bookmarkStart w:id="1962" w:name="_Toc532375679"/>
      <w:bookmarkStart w:id="1963" w:name="_Toc532377418"/>
      <w:bookmarkStart w:id="1964" w:name="_Hlk528928420"/>
      <w:r>
        <w:rPr>
          <w:rFonts w:hint="eastAsia"/>
          <w:color w:val="auto"/>
          <w:sz w:val="21"/>
          <w:szCs w:val="21"/>
          <w:highlight w:val="none"/>
        </w:rPr>
        <w:t>19.5 提出索赔的期限</w:t>
      </w:r>
      <w:bookmarkEnd w:id="1962"/>
      <w:bookmarkEnd w:id="1963"/>
    </w:p>
    <w:p w14:paraId="7B0C1E2D">
      <w:pPr>
        <w:autoSpaceDE w:val="0"/>
        <w:autoSpaceDN w:val="0"/>
        <w:spacing w:line="360" w:lineRule="auto"/>
        <w:ind w:right="105" w:rightChars="50" w:firstLine="420" w:firstLineChars="200"/>
        <w:jc w:val="left"/>
        <w:rPr>
          <w:rFonts w:ascii="宋体" w:hAnsi="宋体"/>
          <w:color w:val="auto"/>
          <w:szCs w:val="21"/>
          <w:highlight w:val="none"/>
        </w:rPr>
      </w:pPr>
      <w:bookmarkStart w:id="1965" w:name="_Hlk524298376"/>
      <w:r>
        <w:rPr>
          <w:rFonts w:hint="eastAsia" w:ascii="宋体" w:hAnsi="宋体"/>
          <w:color w:val="auto"/>
          <w:szCs w:val="21"/>
          <w:highlight w:val="none"/>
        </w:rPr>
        <w:t>任一索赔事件发生后28天内，承包人/发包人未向对方发出索赔意向通知书的，视为其已放弃索赔权，无权再就该索赔事项提出任何索赔。</w:t>
      </w:r>
    </w:p>
    <w:bookmarkEnd w:id="1951"/>
    <w:bookmarkEnd w:id="1952"/>
    <w:bookmarkEnd w:id="1953"/>
    <w:bookmarkEnd w:id="1954"/>
    <w:bookmarkEnd w:id="1964"/>
    <w:bookmarkEnd w:id="1965"/>
    <w:p w14:paraId="6E26C2EF">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66" w:name="_Toc351203651"/>
      <w:bookmarkStart w:id="1967" w:name="_Toc532377419"/>
      <w:bookmarkStart w:id="1968" w:name="_Toc532375680"/>
      <w:r>
        <w:rPr>
          <w:rFonts w:hint="eastAsia"/>
          <w:color w:val="auto"/>
          <w:kern w:val="2"/>
          <w:sz w:val="21"/>
          <w:szCs w:val="21"/>
          <w:highlight w:val="none"/>
        </w:rPr>
        <w:t>20. 争议解决</w:t>
      </w:r>
      <w:bookmarkEnd w:id="1966"/>
      <w:bookmarkEnd w:id="1967"/>
      <w:bookmarkEnd w:id="1968"/>
    </w:p>
    <w:p w14:paraId="659734E0">
      <w:pPr>
        <w:pStyle w:val="7"/>
        <w:spacing w:before="0" w:beforeAutospacing="0" w:after="0" w:afterAutospacing="0" w:line="360" w:lineRule="auto"/>
        <w:ind w:firstLine="422" w:firstLineChars="200"/>
        <w:rPr>
          <w:color w:val="auto"/>
          <w:sz w:val="21"/>
          <w:szCs w:val="21"/>
          <w:highlight w:val="none"/>
        </w:rPr>
      </w:pPr>
      <w:bookmarkStart w:id="1969" w:name="_Toc532377420"/>
      <w:bookmarkStart w:id="1970" w:name="_Toc532375681"/>
      <w:r>
        <w:rPr>
          <w:rFonts w:hint="eastAsia"/>
          <w:color w:val="auto"/>
          <w:sz w:val="21"/>
          <w:szCs w:val="21"/>
          <w:highlight w:val="none"/>
        </w:rPr>
        <w:t>20.3 争议评审</w:t>
      </w:r>
      <w:bookmarkEnd w:id="1969"/>
      <w:bookmarkEnd w:id="1970"/>
    </w:p>
    <w:p w14:paraId="3013DA33">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合同当事人是否同意将工程争议提交争议评审小组决定：</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否</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D446F6A">
      <w:pPr>
        <w:pStyle w:val="7"/>
        <w:spacing w:before="0" w:beforeAutospacing="0" w:after="0" w:afterAutospacing="0" w:line="360" w:lineRule="auto"/>
        <w:ind w:firstLine="422" w:firstLineChars="200"/>
        <w:rPr>
          <w:color w:val="auto"/>
          <w:sz w:val="21"/>
          <w:szCs w:val="21"/>
          <w:highlight w:val="none"/>
        </w:rPr>
      </w:pPr>
      <w:bookmarkStart w:id="1971" w:name="_Toc532377421"/>
      <w:bookmarkStart w:id="1972" w:name="_Toc532375682"/>
      <w:r>
        <w:rPr>
          <w:rFonts w:hint="eastAsia"/>
          <w:color w:val="auto"/>
          <w:sz w:val="21"/>
          <w:szCs w:val="21"/>
          <w:highlight w:val="none"/>
        </w:rPr>
        <w:t>20.4 仲裁或诉讼</w:t>
      </w:r>
      <w:bookmarkEnd w:id="1971"/>
      <w:bookmarkEnd w:id="1972"/>
    </w:p>
    <w:p w14:paraId="6D0347BA">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因合同及合同有关事项发生的争议，按下列第</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35C9A2BE">
      <w:pPr>
        <w:spacing w:line="360" w:lineRule="auto"/>
        <w:ind w:right="105" w:rightChars="50" w:firstLine="420" w:firstLineChars="200"/>
        <w:jc w:val="left"/>
        <w:rPr>
          <w:rFonts w:ascii="宋体" w:hAnsi="宋体"/>
          <w:color w:val="auto"/>
          <w:szCs w:val="21"/>
          <w:highlight w:val="none"/>
        </w:rPr>
      </w:pPr>
      <w:r>
        <w:rPr>
          <w:rFonts w:ascii="宋体" w:hAnsi="宋体"/>
          <w:color w:val="auto"/>
          <w:szCs w:val="21"/>
          <w:highlight w:val="none"/>
        </w:rPr>
        <w:t>（1）向</w:t>
      </w:r>
      <w:r>
        <w:rPr>
          <w:rFonts w:ascii="宋体" w:hAnsi="宋体"/>
          <w:color w:val="auto"/>
          <w:szCs w:val="21"/>
          <w:highlight w:val="none"/>
          <w:u w:val="single"/>
        </w:rPr>
        <w:t xml:space="preserve">                     </w:t>
      </w:r>
      <w:r>
        <w:rPr>
          <w:rFonts w:ascii="宋体" w:hAnsi="宋体"/>
          <w:color w:val="auto"/>
          <w:szCs w:val="21"/>
          <w:highlight w:val="none"/>
        </w:rPr>
        <w:t>仲裁委员会申请仲裁；</w:t>
      </w:r>
    </w:p>
    <w:p w14:paraId="4A80AA9A">
      <w:pPr>
        <w:spacing w:line="360" w:lineRule="auto"/>
        <w:ind w:right="105" w:rightChars="50" w:firstLine="420" w:firstLineChars="200"/>
        <w:jc w:val="left"/>
        <w:rPr>
          <w:rFonts w:ascii="宋体" w:hAnsi="宋体"/>
          <w:color w:val="auto"/>
          <w:szCs w:val="21"/>
          <w:highlight w:val="none"/>
        </w:rPr>
      </w:pPr>
      <w:r>
        <w:rPr>
          <w:rFonts w:ascii="宋体" w:hAnsi="宋体"/>
          <w:color w:val="auto"/>
          <w:szCs w:val="21"/>
          <w:highlight w:val="none"/>
        </w:rPr>
        <w:t>（2）向</w:t>
      </w:r>
      <w:r>
        <w:rPr>
          <w:rFonts w:ascii="宋体" w:hAnsi="宋体"/>
          <w:color w:val="auto"/>
          <w:szCs w:val="21"/>
          <w:highlight w:val="none"/>
          <w:u w:val="single"/>
        </w:rPr>
        <w:t xml:space="preserve">   </w:t>
      </w:r>
      <w:r>
        <w:rPr>
          <w:rFonts w:hint="eastAsia" w:ascii="宋体" w:hAnsi="宋体"/>
          <w:color w:val="auto"/>
          <w:szCs w:val="21"/>
          <w:highlight w:val="none"/>
          <w:u w:val="single"/>
          <w:lang w:eastAsia="zh-CN"/>
        </w:rPr>
        <w:t>工程所在地（重庆市铜梁区）</w:t>
      </w:r>
      <w:r>
        <w:rPr>
          <w:rFonts w:ascii="宋体" w:hAnsi="宋体"/>
          <w:color w:val="auto"/>
          <w:szCs w:val="21"/>
          <w:highlight w:val="none"/>
          <w:u w:val="single"/>
        </w:rPr>
        <w:t xml:space="preserve">  </w:t>
      </w:r>
      <w:r>
        <w:rPr>
          <w:rFonts w:ascii="宋体" w:hAnsi="宋体"/>
          <w:color w:val="auto"/>
          <w:szCs w:val="21"/>
          <w:highlight w:val="none"/>
        </w:rPr>
        <w:t>人民法院起诉。</w:t>
      </w:r>
    </w:p>
    <w:p w14:paraId="72E9704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73" w:name="_Toc532375683"/>
      <w:bookmarkStart w:id="1974" w:name="_Toc532377422"/>
      <w:r>
        <w:rPr>
          <w:rFonts w:hint="eastAsia"/>
          <w:color w:val="auto"/>
          <w:kern w:val="2"/>
          <w:sz w:val="21"/>
          <w:szCs w:val="21"/>
          <w:highlight w:val="none"/>
        </w:rPr>
        <w:t>21. 补充条款</w:t>
      </w:r>
      <w:bookmarkEnd w:id="1973"/>
      <w:bookmarkEnd w:id="1974"/>
    </w:p>
    <w:p w14:paraId="6FBAE489">
      <w:pPr>
        <w:pStyle w:val="7"/>
        <w:spacing w:before="0" w:beforeAutospacing="0" w:after="0" w:afterAutospacing="0" w:line="360" w:lineRule="auto"/>
        <w:ind w:firstLine="422" w:firstLineChars="200"/>
        <w:rPr>
          <w:color w:val="auto"/>
          <w:sz w:val="21"/>
          <w:szCs w:val="21"/>
          <w:highlight w:val="none"/>
        </w:rPr>
      </w:pPr>
      <w:bookmarkStart w:id="1975" w:name="_Toc532377423"/>
      <w:bookmarkStart w:id="1976" w:name="_Toc532375684"/>
      <w:r>
        <w:rPr>
          <w:rFonts w:hint="eastAsia"/>
          <w:color w:val="auto"/>
          <w:sz w:val="21"/>
          <w:szCs w:val="21"/>
          <w:highlight w:val="none"/>
        </w:rPr>
        <w:t>21.1 退出机制</w:t>
      </w:r>
      <w:bookmarkEnd w:id="1975"/>
      <w:bookmarkEnd w:id="1976"/>
    </w:p>
    <w:p w14:paraId="60DAA87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21.1.1有下列情形之一的，发包人有权解除合同，亦有权兑付履约担保，并对承包人做清退出场处理</w:t>
      </w:r>
      <w:r>
        <w:rPr>
          <w:rFonts w:hint="eastAsia" w:ascii="宋体" w:hAnsi="宋体"/>
          <w:color w:val="auto"/>
          <w:kern w:val="0"/>
          <w:szCs w:val="21"/>
          <w:highlight w:val="none"/>
        </w:rPr>
        <w:t>：</w:t>
      </w:r>
    </w:p>
    <w:p w14:paraId="63C4D59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（1）因承包人原因造成较大及以上等级生产安全事故或工程质量事故的；</w:t>
      </w:r>
    </w:p>
    <w:p w14:paraId="7BDC331D">
      <w:pPr>
        <w:spacing w:line="360" w:lineRule="auto"/>
        <w:ind w:right="105" w:rightChars="50"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（2）因承包人债权债务纠纷或其他纠纷导致工程无法正常施工的。</w:t>
      </w:r>
    </w:p>
    <w:p w14:paraId="49C1F0E1">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kern w:val="0"/>
          <w:szCs w:val="21"/>
          <w:highlight w:val="none"/>
        </w:rPr>
        <w:t>（3）</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7D00F171">
      <w:pPr>
        <w:pStyle w:val="2"/>
        <w:spacing w:after="0" w:line="360" w:lineRule="auto"/>
        <w:ind w:firstLine="420" w:firstLineChars="200"/>
        <w:rPr>
          <w:rFonts w:ascii="宋体" w:hAnsi="宋体"/>
          <w:color w:val="auto"/>
          <w:szCs w:val="21"/>
          <w:highlight w:val="none"/>
        </w:rPr>
      </w:pPr>
      <w:r>
        <w:rPr>
          <w:rFonts w:hint="eastAsia" w:ascii="宋体" w:hAnsi="宋体"/>
          <w:color w:val="auto"/>
          <w:szCs w:val="21"/>
          <w:highlight w:val="none"/>
        </w:rPr>
        <w:t>21.1.2有下列情形之一的，承包人有权解除合同，并按16.1.4约定执行：</w:t>
      </w:r>
    </w:p>
    <w:p w14:paraId="673DEEDF">
      <w:pPr>
        <w:pStyle w:val="2"/>
        <w:spacing w:after="0"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（1）因发包人征地、拆迁、补偿、审批手续等原因致使本工程延期开工超过90天的。</w:t>
      </w:r>
    </w:p>
    <w:p w14:paraId="32922F2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kern w:val="0"/>
          <w:szCs w:val="21"/>
          <w:highlight w:val="none"/>
        </w:rPr>
        <w:t>（2）</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43C921E9">
      <w:pPr>
        <w:pStyle w:val="7"/>
        <w:spacing w:before="0" w:beforeAutospacing="0" w:after="0" w:afterAutospacing="0" w:line="360" w:lineRule="auto"/>
        <w:ind w:firstLine="422" w:firstLineChars="200"/>
        <w:rPr>
          <w:color w:val="auto"/>
          <w:sz w:val="21"/>
          <w:szCs w:val="21"/>
          <w:highlight w:val="none"/>
        </w:rPr>
      </w:pPr>
      <w:bookmarkStart w:id="1977" w:name="_Toc532375685"/>
      <w:bookmarkStart w:id="1978" w:name="_Toc532377424"/>
      <w:r>
        <w:rPr>
          <w:rFonts w:hint="eastAsia"/>
          <w:color w:val="auto"/>
          <w:sz w:val="21"/>
          <w:szCs w:val="21"/>
          <w:highlight w:val="none"/>
        </w:rPr>
        <w:t>21.2智慧工地</w:t>
      </w:r>
      <w:bookmarkEnd w:id="1977"/>
      <w:bookmarkEnd w:id="1978"/>
    </w:p>
    <w:p w14:paraId="7004C6F3">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工地建设可参照重庆市城乡建设委员会《关于印发“智慧工地”建设工作方案的通知》（渝建〔2017〕414号）的相关要求建设。</w:t>
      </w:r>
      <w:bookmarkEnd w:id="1919"/>
    </w:p>
    <w:p w14:paraId="692536A2">
      <w:pPr>
        <w:pStyle w:val="7"/>
        <w:spacing w:before="0" w:beforeAutospacing="0" w:after="0" w:afterAutospacing="0" w:line="360" w:lineRule="auto"/>
        <w:ind w:firstLine="422" w:firstLineChars="200"/>
        <w:rPr>
          <w:color w:val="auto"/>
          <w:sz w:val="21"/>
          <w:szCs w:val="21"/>
          <w:highlight w:val="none"/>
        </w:rPr>
      </w:pPr>
      <w:r>
        <w:rPr>
          <w:rFonts w:hint="eastAsia"/>
          <w:color w:val="auto"/>
          <w:sz w:val="21"/>
          <w:szCs w:val="21"/>
          <w:highlight w:val="none"/>
        </w:rPr>
        <w:t xml:space="preserve">21.3 </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w:t>
      </w:r>
      <w:r>
        <w:rPr>
          <w:rFonts w:hint="eastAsia"/>
          <w:color w:val="auto"/>
          <w:sz w:val="21"/>
          <w:szCs w:val="21"/>
          <w:highlight w:val="none"/>
          <w:u w:val="single"/>
        </w:rPr>
        <w:t xml:space="preserve">   </w:t>
      </w:r>
    </w:p>
    <w:p w14:paraId="21183CA3">
      <w:pPr>
        <w:pStyle w:val="6"/>
        <w:keepNext/>
        <w:keepLines/>
        <w:spacing w:before="156" w:beforeLines="50" w:beforeAutospacing="0" w:after="156" w:afterLines="50" w:afterAutospacing="0" w:line="360" w:lineRule="auto"/>
        <w:jc w:val="both"/>
        <w:rPr>
          <w:bCs w:val="0"/>
          <w:color w:val="auto"/>
          <w:kern w:val="2"/>
          <w:sz w:val="21"/>
          <w:szCs w:val="21"/>
          <w:highlight w:val="none"/>
        </w:rPr>
      </w:pPr>
      <w:bookmarkStart w:id="1979" w:name="baidusnap3"/>
      <w:bookmarkEnd w:id="1979"/>
      <w:bookmarkStart w:id="1980" w:name="baidusnap7"/>
      <w:bookmarkEnd w:id="1980"/>
      <w:bookmarkStart w:id="1981" w:name="_Toc532375686"/>
      <w:bookmarkStart w:id="1982" w:name="_Toc532377425"/>
      <w:bookmarkStart w:id="1983" w:name="_Toc351203652"/>
      <w:r>
        <w:rPr>
          <w:rFonts w:hint="eastAsia"/>
          <w:color w:val="auto"/>
          <w:kern w:val="2"/>
          <w:sz w:val="21"/>
          <w:szCs w:val="21"/>
          <w:highlight w:val="none"/>
        </w:rPr>
        <w:t>22. 合同附件</w:t>
      </w:r>
      <w:bookmarkEnd w:id="1981"/>
      <w:bookmarkEnd w:id="1982"/>
    </w:p>
    <w:p w14:paraId="791DC98C">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以下十个附件是本合同的有效组成部分：</w:t>
      </w:r>
    </w:p>
    <w:p w14:paraId="2A7CA556">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附件1：工程质量保修书</w:t>
      </w:r>
    </w:p>
    <w:p w14:paraId="4810814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附件2：主要建设工程文件目录</w:t>
      </w:r>
    </w:p>
    <w:p w14:paraId="431E6359">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附件3：承包人项目管理机构组成表</w:t>
      </w:r>
    </w:p>
    <w:p w14:paraId="240C5F38">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附件4：履约担保（如有）</w:t>
      </w:r>
    </w:p>
    <w:p w14:paraId="78D93429">
      <w:pPr>
        <w:spacing w:line="360" w:lineRule="auto"/>
        <w:ind w:right="105" w:rightChars="50" w:firstLine="420" w:firstLineChars="200"/>
        <w:jc w:val="left"/>
        <w:rPr>
          <w:rFonts w:hint="eastAsia" w:ascii="宋体" w:hAnsi="宋体"/>
          <w:color w:val="auto"/>
          <w:szCs w:val="21"/>
          <w:highlight w:val="none"/>
        </w:rPr>
      </w:pPr>
      <w:r>
        <w:rPr>
          <w:rFonts w:hint="eastAsia" w:ascii="宋体" w:hAnsi="宋体"/>
          <w:color w:val="auto"/>
          <w:szCs w:val="21"/>
          <w:highlight w:val="none"/>
        </w:rPr>
        <w:t>附件5：预付款担保（如有）</w:t>
      </w:r>
    </w:p>
    <w:p w14:paraId="17A2DE54">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附件6：支付担保（如有）</w:t>
      </w:r>
    </w:p>
    <w:p w14:paraId="3F89F90F">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附件7：专业工程暂估价表</w:t>
      </w:r>
    </w:p>
    <w:p w14:paraId="3C55B882">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附件8：廉洁从业协议</w:t>
      </w:r>
    </w:p>
    <w:p w14:paraId="241427E0">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附件9：安全管理协议</w:t>
      </w:r>
    </w:p>
    <w:bookmarkEnd w:id="1983"/>
    <w:p w14:paraId="44399DA8">
      <w:pPr>
        <w:spacing w:line="36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1984" w:name="_Toc296891266"/>
      <w:bookmarkStart w:id="1985" w:name="_Toc296346727"/>
      <w:bookmarkStart w:id="1986" w:name="_Toc296347225"/>
      <w:bookmarkStart w:id="1987" w:name="_Toc296503226"/>
      <w:bookmarkStart w:id="1988" w:name="_Toc296891054"/>
      <w:bookmarkStart w:id="1989" w:name="_Toc296944565"/>
      <w:bookmarkStart w:id="1990" w:name="_Toc267261693"/>
      <w:r>
        <w:rPr>
          <w:rFonts w:hint="eastAsia" w:ascii="宋体" w:hAnsi="宋体"/>
          <w:color w:val="auto"/>
          <w:szCs w:val="21"/>
          <w:highlight w:val="none"/>
        </w:rPr>
        <w:t>件1：</w:t>
      </w:r>
      <w:bookmarkEnd w:id="1984"/>
      <w:bookmarkEnd w:id="1985"/>
      <w:bookmarkEnd w:id="1986"/>
      <w:bookmarkEnd w:id="1987"/>
      <w:bookmarkEnd w:id="1988"/>
      <w:bookmarkEnd w:id="1989"/>
      <w:bookmarkEnd w:id="1990"/>
    </w:p>
    <w:p w14:paraId="52712701">
      <w:pPr>
        <w:spacing w:before="156" w:beforeLines="50" w:after="156" w:afterLines="50" w:line="360" w:lineRule="auto"/>
        <w:jc w:val="center"/>
        <w:rPr>
          <w:rFonts w:ascii="宋体" w:hAnsi="宋体"/>
          <w:color w:val="auto"/>
          <w:szCs w:val="21"/>
          <w:highlight w:val="none"/>
        </w:rPr>
      </w:pPr>
      <w:r>
        <w:rPr>
          <w:rFonts w:hint="eastAsia" w:ascii="宋体" w:hAnsi="宋体"/>
          <w:color w:val="auto"/>
          <w:szCs w:val="21"/>
          <w:highlight w:val="none"/>
        </w:rPr>
        <w:t>工程质量保修书</w:t>
      </w:r>
    </w:p>
    <w:p w14:paraId="0808D619">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4657207C">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4CA6D93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发包人和承包人根据《中华人民共和国建筑法》和《建设工程质量管理条例》，经协商一致就</w:t>
      </w:r>
    </w:p>
    <w:p w14:paraId="427BE3D3">
      <w:pPr>
        <w:spacing w:line="360" w:lineRule="auto"/>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（工程全称）签订工程质量保修书。</w:t>
      </w:r>
    </w:p>
    <w:p w14:paraId="5FDFDB8F">
      <w:pPr>
        <w:spacing w:line="360" w:lineRule="auto"/>
        <w:ind w:firstLine="420" w:firstLineChars="200"/>
        <w:rPr>
          <w:rFonts w:ascii="宋体" w:hAnsi="宋体"/>
          <w:color w:val="auto"/>
          <w:szCs w:val="21"/>
          <w:highlight w:val="none"/>
        </w:rPr>
      </w:pPr>
      <w:bookmarkStart w:id="1991" w:name="_Toc532375687"/>
      <w:r>
        <w:rPr>
          <w:rFonts w:hint="eastAsia" w:ascii="宋体" w:hAnsi="宋体"/>
          <w:color w:val="auto"/>
          <w:szCs w:val="21"/>
          <w:highlight w:val="none"/>
        </w:rPr>
        <w:t>一、工程质量保修范围和内容</w:t>
      </w:r>
      <w:bookmarkEnd w:id="1991"/>
    </w:p>
    <w:p w14:paraId="2EF18E2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承包人在质量保修期内，按照有关法律规定和合同约定，承担工程质量保修责任。</w:t>
      </w:r>
    </w:p>
    <w:p w14:paraId="40F36CD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6D93BC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承包人承包范围内容均属质量保修范围内容；其中：</w:t>
      </w:r>
    </w:p>
    <w:p w14:paraId="59AA461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1.属于设计原因造成的质量问题，承包人负责维修，不留隐患，费用由发包人承担；</w:t>
      </w:r>
    </w:p>
    <w:p w14:paraId="1D3F37E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2.属于施工造成的质量问题，承包人负责维修，不留隐患；</w:t>
      </w:r>
    </w:p>
    <w:p w14:paraId="5F61D9C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3.属于业主使用不当造成的质量问题，配合抢修，费用由发包人承担。</w:t>
      </w:r>
    </w:p>
    <w:p w14:paraId="77FBF3D5">
      <w:pPr>
        <w:spacing w:line="360" w:lineRule="auto"/>
        <w:ind w:firstLine="420" w:firstLineChars="200"/>
        <w:rPr>
          <w:rFonts w:ascii="宋体" w:hAnsi="宋体"/>
          <w:color w:val="auto"/>
          <w:szCs w:val="21"/>
          <w:highlight w:val="none"/>
        </w:rPr>
      </w:pPr>
      <w:bookmarkStart w:id="1992" w:name="_Toc532375688"/>
      <w:r>
        <w:rPr>
          <w:rFonts w:hint="eastAsia" w:ascii="宋体" w:hAnsi="宋体"/>
          <w:color w:val="auto"/>
          <w:szCs w:val="21"/>
          <w:highlight w:val="none"/>
        </w:rPr>
        <w:t>二、质量保修期</w:t>
      </w:r>
      <w:bookmarkEnd w:id="1992"/>
    </w:p>
    <w:p w14:paraId="19B9B8A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根据《建设工程质量管理条例》及有关规定，本工程质量保修期约定如下：</w:t>
      </w:r>
    </w:p>
    <w:p w14:paraId="74A3A7B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1.基础设施工程、房屋建筑的地基基础工程和主体结构工程，为设计文件规定的该工程的合理使用年限；</w:t>
      </w:r>
    </w:p>
    <w:p w14:paraId="249389B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2.屋面防水工程、有防水要求的卫生间、房间和外墙面的防渗漏，为5年；</w:t>
      </w:r>
    </w:p>
    <w:p w14:paraId="02FA957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3.供热与供冷系统，为2个采暖期、供冷期；</w:t>
      </w:r>
    </w:p>
    <w:p w14:paraId="197915B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4.电气管线、给排水管道、设备安装和装修工程，为2年；</w:t>
      </w:r>
    </w:p>
    <w:p w14:paraId="59919FE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5.其他项目保修期限：2年；</w:t>
      </w:r>
    </w:p>
    <w:p w14:paraId="358FCB8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建设工程的保修期，自工程竣工验收合格之日起计算。</w:t>
      </w:r>
    </w:p>
    <w:p w14:paraId="00FD0C40">
      <w:pPr>
        <w:spacing w:line="360" w:lineRule="auto"/>
        <w:ind w:firstLine="420" w:firstLineChars="200"/>
        <w:rPr>
          <w:rFonts w:ascii="宋体" w:hAnsi="宋体"/>
          <w:color w:val="auto"/>
          <w:szCs w:val="21"/>
          <w:highlight w:val="none"/>
        </w:rPr>
      </w:pPr>
      <w:bookmarkStart w:id="1993" w:name="_Toc532375689"/>
      <w:r>
        <w:rPr>
          <w:rFonts w:hint="eastAsia" w:ascii="宋体" w:hAnsi="宋体"/>
          <w:color w:val="auto"/>
          <w:szCs w:val="21"/>
          <w:highlight w:val="none"/>
        </w:rPr>
        <w:t>三、质量保修责任</w:t>
      </w:r>
      <w:bookmarkEnd w:id="1993"/>
    </w:p>
    <w:p w14:paraId="1C19F95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1.属于保修范围、内容的项目，承包人应当在接到保修通知之日起7天内派人保修。承包人不在约定期限内派人保修的，发包人可以委托他人修理。</w:t>
      </w:r>
    </w:p>
    <w:p w14:paraId="193A83B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2.发生紧急事故需抢修的，承包人在接到事故通知后，应当立即到达事故现场抢修。</w:t>
      </w:r>
    </w:p>
    <w:p w14:paraId="3E3DDBE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17869A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4.质量保修完成后，由发包人组织验收。</w:t>
      </w:r>
    </w:p>
    <w:p w14:paraId="7C7CF8A8">
      <w:pPr>
        <w:spacing w:line="360" w:lineRule="auto"/>
        <w:ind w:firstLine="420" w:firstLineChars="200"/>
        <w:rPr>
          <w:rFonts w:ascii="宋体" w:hAnsi="宋体"/>
          <w:color w:val="auto"/>
          <w:szCs w:val="21"/>
          <w:highlight w:val="none"/>
        </w:rPr>
      </w:pPr>
      <w:bookmarkStart w:id="1994" w:name="_Toc532375690"/>
      <w:r>
        <w:rPr>
          <w:rFonts w:hint="eastAsia" w:ascii="宋体" w:hAnsi="宋体"/>
          <w:color w:val="auto"/>
          <w:szCs w:val="21"/>
          <w:highlight w:val="none"/>
        </w:rPr>
        <w:t>四、保修费用</w:t>
      </w:r>
      <w:bookmarkEnd w:id="1994"/>
    </w:p>
    <w:p w14:paraId="66563D0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保修费用由质量缺陷的责任方承担。</w:t>
      </w:r>
    </w:p>
    <w:p w14:paraId="6B44DEDD">
      <w:pPr>
        <w:spacing w:line="360" w:lineRule="auto"/>
        <w:ind w:firstLine="420" w:firstLineChars="200"/>
        <w:rPr>
          <w:rFonts w:ascii="宋体" w:hAnsi="宋体"/>
          <w:color w:val="auto"/>
          <w:szCs w:val="21"/>
          <w:highlight w:val="none"/>
        </w:rPr>
      </w:pPr>
      <w:bookmarkStart w:id="1995" w:name="_Toc532375691"/>
      <w:r>
        <w:rPr>
          <w:rFonts w:hint="eastAsia" w:ascii="宋体" w:hAnsi="宋体"/>
          <w:color w:val="auto"/>
          <w:szCs w:val="21"/>
          <w:highlight w:val="none"/>
        </w:rPr>
        <w:t>五、双方约定的其他工程质量保修事项</w:t>
      </w:r>
    </w:p>
    <w:p w14:paraId="759A334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按国家相关法律和规定执行</w:t>
      </w:r>
      <w:r>
        <w:rPr>
          <w:rFonts w:hint="eastAsia" w:ascii="宋体" w:hAnsi="宋体"/>
          <w:color w:val="auto"/>
          <w:szCs w:val="21"/>
          <w:highlight w:val="none"/>
        </w:rPr>
        <w:t>。</w:t>
      </w:r>
      <w:bookmarkEnd w:id="1995"/>
    </w:p>
    <w:p w14:paraId="57A4A57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本工程质量保修书由发包人、承包人在工程竣工验收前共同签署，作为施工合同附件，其有效期限至保修期满。</w:t>
      </w:r>
    </w:p>
    <w:p w14:paraId="51D4CCB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六、本文件生效</w:t>
      </w:r>
    </w:p>
    <w:p w14:paraId="1D71574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本工程质量保修书经发包人与承包人盖章后生效。</w:t>
      </w:r>
    </w:p>
    <w:p w14:paraId="7BC09E79">
      <w:pPr>
        <w:pStyle w:val="2"/>
        <w:spacing w:line="360" w:lineRule="auto"/>
        <w:ind w:firstLine="420" w:firstLineChars="200"/>
        <w:rPr>
          <w:rFonts w:ascii="宋体" w:hAnsi="宋体"/>
          <w:color w:val="auto"/>
          <w:szCs w:val="21"/>
          <w:highlight w:val="none"/>
        </w:rPr>
      </w:pPr>
    </w:p>
    <w:p w14:paraId="1147C67D">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发包人：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14:paraId="502A0865">
      <w:pPr>
        <w:spacing w:line="360" w:lineRule="auto"/>
        <w:ind w:firstLine="420" w:firstLineChars="200"/>
        <w:rPr>
          <w:rFonts w:ascii="宋体" w:hAnsi="宋体"/>
          <w:snapToGrid w:val="0"/>
          <w:color w:val="auto"/>
          <w:kern w:val="0"/>
          <w:szCs w:val="21"/>
          <w:highlight w:val="none"/>
        </w:rPr>
      </w:pPr>
    </w:p>
    <w:p w14:paraId="410B0697">
      <w:pPr>
        <w:spacing w:line="360" w:lineRule="auto"/>
        <w:ind w:firstLine="420" w:firstLineChars="200"/>
        <w:rPr>
          <w:rFonts w:ascii="宋体" w:hAnsi="宋体"/>
          <w:snapToGrid w:val="0"/>
          <w:color w:val="auto"/>
          <w:kern w:val="0"/>
          <w:szCs w:val="21"/>
          <w:highlight w:val="none"/>
        </w:rPr>
      </w:pPr>
    </w:p>
    <w:p w14:paraId="34D64ECC">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（签字）</w:t>
      </w:r>
    </w:p>
    <w:p w14:paraId="4A7E89A5">
      <w:pPr>
        <w:spacing w:line="360" w:lineRule="auto"/>
        <w:ind w:firstLine="420" w:firstLineChars="200"/>
        <w:rPr>
          <w:rFonts w:ascii="宋体" w:hAnsi="宋体"/>
          <w:snapToGrid w:val="0"/>
          <w:color w:val="auto"/>
          <w:kern w:val="0"/>
          <w:szCs w:val="21"/>
          <w:highlight w:val="none"/>
        </w:rPr>
      </w:pPr>
    </w:p>
    <w:p w14:paraId="5C1DA9C2">
      <w:pPr>
        <w:spacing w:line="360" w:lineRule="auto"/>
        <w:ind w:firstLine="420" w:firstLineChars="200"/>
        <w:rPr>
          <w:rFonts w:ascii="宋体" w:hAnsi="宋体"/>
          <w:snapToGrid w:val="0"/>
          <w:color w:val="auto"/>
          <w:kern w:val="0"/>
          <w:szCs w:val="21"/>
          <w:highlight w:val="none"/>
        </w:rPr>
      </w:pPr>
    </w:p>
    <w:p w14:paraId="7DC0EBB6">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承包人：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14:paraId="2D04B730">
      <w:pPr>
        <w:spacing w:line="360" w:lineRule="auto"/>
        <w:ind w:firstLine="420" w:firstLineChars="200"/>
        <w:rPr>
          <w:rFonts w:ascii="宋体" w:hAnsi="宋体"/>
          <w:snapToGrid w:val="0"/>
          <w:color w:val="auto"/>
          <w:kern w:val="0"/>
          <w:szCs w:val="21"/>
          <w:highlight w:val="none"/>
        </w:rPr>
      </w:pPr>
    </w:p>
    <w:p w14:paraId="5590F4C6">
      <w:pPr>
        <w:spacing w:line="360" w:lineRule="auto"/>
        <w:ind w:firstLine="420" w:firstLineChars="200"/>
        <w:rPr>
          <w:rFonts w:ascii="宋体" w:hAnsi="宋体"/>
          <w:snapToGrid w:val="0"/>
          <w:color w:val="auto"/>
          <w:kern w:val="0"/>
          <w:szCs w:val="21"/>
          <w:highlight w:val="none"/>
        </w:rPr>
      </w:pPr>
    </w:p>
    <w:p w14:paraId="4062E609">
      <w:pPr>
        <w:spacing w:line="360" w:lineRule="auto"/>
        <w:ind w:firstLine="420" w:firstLineChars="200"/>
        <w:rPr>
          <w:rFonts w:ascii="宋体" w:hAnsi="宋体"/>
          <w:bCs/>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（签字）</w:t>
      </w:r>
    </w:p>
    <w:p w14:paraId="3EBD6120">
      <w:pPr>
        <w:spacing w:line="360" w:lineRule="auto"/>
        <w:ind w:firstLine="418" w:firstLineChars="200"/>
        <w:rPr>
          <w:rFonts w:ascii="宋体" w:hAnsi="宋体"/>
          <w:snapToGrid w:val="0"/>
          <w:color w:val="auto"/>
          <w:spacing w:val="1"/>
          <w:w w:val="99"/>
          <w:kern w:val="0"/>
          <w:position w:val="-2"/>
          <w:szCs w:val="21"/>
          <w:highlight w:val="none"/>
        </w:rPr>
      </w:pPr>
    </w:p>
    <w:p w14:paraId="48D42A59">
      <w:pPr>
        <w:spacing w:line="360" w:lineRule="auto"/>
        <w:ind w:firstLine="418" w:firstLineChars="200"/>
        <w:rPr>
          <w:rFonts w:ascii="宋体" w:hAnsi="宋体"/>
          <w:snapToGrid w:val="0"/>
          <w:color w:val="auto"/>
          <w:spacing w:val="1"/>
          <w:w w:val="99"/>
          <w:kern w:val="0"/>
          <w:position w:val="-2"/>
          <w:szCs w:val="21"/>
          <w:highlight w:val="none"/>
        </w:rPr>
      </w:pPr>
    </w:p>
    <w:p w14:paraId="6902DCFB">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p>
    <w:p w14:paraId="451A3716">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附件2：</w:t>
      </w:r>
    </w:p>
    <w:p w14:paraId="75E72370">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主要建设工程文件目录</w:t>
      </w:r>
    </w:p>
    <w:tbl>
      <w:tblPr>
        <w:tblStyle w:val="4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3534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noWrap w:val="0"/>
            <w:vAlign w:val="center"/>
          </w:tcPr>
          <w:p w14:paraId="481E1381">
            <w:pPr>
              <w:spacing w:line="400" w:lineRule="exact"/>
              <w:jc w:val="center"/>
              <w:rPr>
                <w:rFonts w:ascii="宋体" w:hAnsi="宋体"/>
                <w:color w:val="auto"/>
                <w:szCs w:val="21"/>
                <w:highlight w:val="none"/>
              </w:rPr>
            </w:pPr>
            <w:r>
              <w:rPr>
                <w:rFonts w:hint="eastAsia" w:ascii="宋体" w:hAnsi="宋体"/>
                <w:color w:val="auto"/>
                <w:szCs w:val="21"/>
                <w:highlight w:val="none"/>
              </w:rPr>
              <w:t>文件名称</w:t>
            </w:r>
          </w:p>
        </w:tc>
        <w:tc>
          <w:tcPr>
            <w:tcW w:w="1418" w:type="dxa"/>
            <w:noWrap w:val="0"/>
            <w:vAlign w:val="center"/>
          </w:tcPr>
          <w:p w14:paraId="57B7314B">
            <w:pPr>
              <w:spacing w:line="400" w:lineRule="exact"/>
              <w:jc w:val="center"/>
              <w:rPr>
                <w:rFonts w:ascii="宋体" w:hAnsi="宋体"/>
                <w:color w:val="auto"/>
                <w:szCs w:val="21"/>
                <w:highlight w:val="none"/>
              </w:rPr>
            </w:pPr>
            <w:r>
              <w:rPr>
                <w:rFonts w:hint="eastAsia" w:ascii="宋体" w:hAnsi="宋体"/>
                <w:color w:val="auto"/>
                <w:szCs w:val="21"/>
                <w:highlight w:val="none"/>
              </w:rPr>
              <w:t>套数</w:t>
            </w:r>
          </w:p>
        </w:tc>
        <w:tc>
          <w:tcPr>
            <w:tcW w:w="1418" w:type="dxa"/>
            <w:noWrap w:val="0"/>
            <w:vAlign w:val="top"/>
          </w:tcPr>
          <w:p w14:paraId="1281ECE6">
            <w:pPr>
              <w:spacing w:line="400" w:lineRule="exact"/>
              <w:jc w:val="center"/>
              <w:rPr>
                <w:rFonts w:ascii="宋体" w:hAnsi="宋体"/>
                <w:color w:val="auto"/>
                <w:szCs w:val="21"/>
                <w:highlight w:val="none"/>
              </w:rPr>
            </w:pPr>
            <w:r>
              <w:rPr>
                <w:rFonts w:hint="eastAsia" w:ascii="宋体" w:hAnsi="宋体"/>
                <w:color w:val="auto"/>
                <w:szCs w:val="21"/>
                <w:highlight w:val="none"/>
              </w:rPr>
              <w:t>移交时间</w:t>
            </w:r>
          </w:p>
        </w:tc>
        <w:tc>
          <w:tcPr>
            <w:tcW w:w="2917" w:type="dxa"/>
            <w:noWrap w:val="0"/>
            <w:vAlign w:val="top"/>
          </w:tcPr>
          <w:p w14:paraId="4234C788">
            <w:pPr>
              <w:spacing w:line="400" w:lineRule="exact"/>
              <w:jc w:val="center"/>
              <w:rPr>
                <w:rFonts w:ascii="宋体" w:hAnsi="宋体"/>
                <w:color w:val="auto"/>
                <w:szCs w:val="21"/>
                <w:highlight w:val="none"/>
              </w:rPr>
            </w:pPr>
            <w:r>
              <w:rPr>
                <w:rFonts w:hint="eastAsia" w:ascii="宋体" w:hAnsi="宋体"/>
                <w:color w:val="auto"/>
                <w:szCs w:val="21"/>
                <w:highlight w:val="none"/>
              </w:rPr>
              <w:t>责任人</w:t>
            </w:r>
          </w:p>
        </w:tc>
      </w:tr>
      <w:tr w14:paraId="31B2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3E927B33">
            <w:pPr>
              <w:spacing w:line="400" w:lineRule="exact"/>
              <w:ind w:firstLine="420" w:firstLineChars="200"/>
              <w:rPr>
                <w:rFonts w:ascii="宋体" w:hAnsi="宋体"/>
                <w:color w:val="auto"/>
                <w:szCs w:val="21"/>
                <w:highlight w:val="none"/>
              </w:rPr>
            </w:pPr>
          </w:p>
        </w:tc>
        <w:tc>
          <w:tcPr>
            <w:tcW w:w="1418" w:type="dxa"/>
            <w:noWrap w:val="0"/>
            <w:vAlign w:val="center"/>
          </w:tcPr>
          <w:p w14:paraId="1D319A4E">
            <w:pPr>
              <w:spacing w:line="400" w:lineRule="exact"/>
              <w:ind w:firstLine="420" w:firstLineChars="200"/>
              <w:rPr>
                <w:rFonts w:ascii="宋体" w:hAnsi="宋体"/>
                <w:color w:val="auto"/>
                <w:szCs w:val="21"/>
                <w:highlight w:val="none"/>
              </w:rPr>
            </w:pPr>
          </w:p>
        </w:tc>
        <w:tc>
          <w:tcPr>
            <w:tcW w:w="1418" w:type="dxa"/>
            <w:noWrap w:val="0"/>
            <w:vAlign w:val="center"/>
          </w:tcPr>
          <w:p w14:paraId="44489129">
            <w:pPr>
              <w:spacing w:line="400" w:lineRule="exact"/>
              <w:ind w:firstLine="420" w:firstLineChars="200"/>
              <w:rPr>
                <w:rFonts w:ascii="宋体" w:hAnsi="宋体"/>
                <w:color w:val="auto"/>
                <w:szCs w:val="21"/>
                <w:highlight w:val="none"/>
              </w:rPr>
            </w:pPr>
          </w:p>
        </w:tc>
        <w:tc>
          <w:tcPr>
            <w:tcW w:w="2917" w:type="dxa"/>
            <w:noWrap w:val="0"/>
            <w:vAlign w:val="center"/>
          </w:tcPr>
          <w:p w14:paraId="309E58A1">
            <w:pPr>
              <w:spacing w:line="400" w:lineRule="exact"/>
              <w:ind w:firstLine="420" w:firstLineChars="200"/>
              <w:rPr>
                <w:rFonts w:ascii="宋体" w:hAnsi="宋体"/>
                <w:color w:val="auto"/>
                <w:szCs w:val="21"/>
                <w:highlight w:val="none"/>
              </w:rPr>
            </w:pPr>
          </w:p>
        </w:tc>
      </w:tr>
      <w:tr w14:paraId="1640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31577800">
            <w:pPr>
              <w:spacing w:line="400" w:lineRule="exact"/>
              <w:ind w:firstLine="420" w:firstLineChars="200"/>
              <w:rPr>
                <w:rFonts w:ascii="宋体" w:hAnsi="宋体"/>
                <w:color w:val="auto"/>
                <w:szCs w:val="21"/>
                <w:highlight w:val="none"/>
              </w:rPr>
            </w:pPr>
          </w:p>
        </w:tc>
        <w:tc>
          <w:tcPr>
            <w:tcW w:w="1418" w:type="dxa"/>
            <w:noWrap w:val="0"/>
            <w:vAlign w:val="center"/>
          </w:tcPr>
          <w:p w14:paraId="738C2637">
            <w:pPr>
              <w:spacing w:line="400" w:lineRule="exact"/>
              <w:ind w:firstLine="420" w:firstLineChars="200"/>
              <w:rPr>
                <w:rFonts w:ascii="宋体" w:hAnsi="宋体"/>
                <w:color w:val="auto"/>
                <w:szCs w:val="21"/>
                <w:highlight w:val="none"/>
              </w:rPr>
            </w:pPr>
          </w:p>
        </w:tc>
        <w:tc>
          <w:tcPr>
            <w:tcW w:w="1418" w:type="dxa"/>
            <w:noWrap w:val="0"/>
            <w:vAlign w:val="center"/>
          </w:tcPr>
          <w:p w14:paraId="10F3647B">
            <w:pPr>
              <w:spacing w:line="400" w:lineRule="exact"/>
              <w:ind w:firstLine="420" w:firstLineChars="200"/>
              <w:rPr>
                <w:rFonts w:ascii="宋体" w:hAnsi="宋体"/>
                <w:color w:val="auto"/>
                <w:szCs w:val="21"/>
                <w:highlight w:val="none"/>
              </w:rPr>
            </w:pPr>
          </w:p>
        </w:tc>
        <w:tc>
          <w:tcPr>
            <w:tcW w:w="2917" w:type="dxa"/>
            <w:noWrap w:val="0"/>
            <w:vAlign w:val="center"/>
          </w:tcPr>
          <w:p w14:paraId="7BFFB6B2">
            <w:pPr>
              <w:spacing w:line="400" w:lineRule="exact"/>
              <w:ind w:firstLine="420" w:firstLineChars="200"/>
              <w:rPr>
                <w:rFonts w:ascii="宋体" w:hAnsi="宋体"/>
                <w:color w:val="auto"/>
                <w:szCs w:val="21"/>
                <w:highlight w:val="none"/>
              </w:rPr>
            </w:pPr>
          </w:p>
        </w:tc>
      </w:tr>
      <w:tr w14:paraId="3A6E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529D1BCF">
            <w:pPr>
              <w:spacing w:line="400" w:lineRule="exact"/>
              <w:ind w:firstLine="420" w:firstLineChars="200"/>
              <w:rPr>
                <w:rFonts w:ascii="宋体" w:hAnsi="宋体"/>
                <w:color w:val="auto"/>
                <w:szCs w:val="21"/>
                <w:highlight w:val="none"/>
              </w:rPr>
            </w:pPr>
          </w:p>
        </w:tc>
        <w:tc>
          <w:tcPr>
            <w:tcW w:w="1418" w:type="dxa"/>
            <w:noWrap w:val="0"/>
            <w:vAlign w:val="center"/>
          </w:tcPr>
          <w:p w14:paraId="7306583D">
            <w:pPr>
              <w:spacing w:line="400" w:lineRule="exact"/>
              <w:ind w:firstLine="420" w:firstLineChars="200"/>
              <w:rPr>
                <w:rFonts w:ascii="宋体" w:hAnsi="宋体"/>
                <w:color w:val="auto"/>
                <w:szCs w:val="21"/>
                <w:highlight w:val="none"/>
              </w:rPr>
            </w:pPr>
          </w:p>
        </w:tc>
        <w:tc>
          <w:tcPr>
            <w:tcW w:w="1418" w:type="dxa"/>
            <w:noWrap w:val="0"/>
            <w:vAlign w:val="center"/>
          </w:tcPr>
          <w:p w14:paraId="0CB7D915">
            <w:pPr>
              <w:spacing w:line="400" w:lineRule="exact"/>
              <w:ind w:firstLine="420" w:firstLineChars="200"/>
              <w:rPr>
                <w:rFonts w:ascii="宋体" w:hAnsi="宋体"/>
                <w:color w:val="auto"/>
                <w:szCs w:val="21"/>
                <w:highlight w:val="none"/>
              </w:rPr>
            </w:pPr>
          </w:p>
        </w:tc>
        <w:tc>
          <w:tcPr>
            <w:tcW w:w="2917" w:type="dxa"/>
            <w:noWrap w:val="0"/>
            <w:vAlign w:val="center"/>
          </w:tcPr>
          <w:p w14:paraId="47081CBE">
            <w:pPr>
              <w:spacing w:line="400" w:lineRule="exact"/>
              <w:ind w:firstLine="420" w:firstLineChars="200"/>
              <w:rPr>
                <w:rFonts w:ascii="宋体" w:hAnsi="宋体"/>
                <w:color w:val="auto"/>
                <w:szCs w:val="21"/>
                <w:highlight w:val="none"/>
              </w:rPr>
            </w:pPr>
          </w:p>
        </w:tc>
      </w:tr>
      <w:tr w14:paraId="2B2C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066F2BC">
            <w:pPr>
              <w:spacing w:line="400" w:lineRule="exact"/>
              <w:ind w:firstLine="420" w:firstLineChars="200"/>
              <w:rPr>
                <w:rFonts w:ascii="宋体" w:hAnsi="宋体"/>
                <w:color w:val="auto"/>
                <w:szCs w:val="21"/>
                <w:highlight w:val="none"/>
              </w:rPr>
            </w:pPr>
          </w:p>
        </w:tc>
        <w:tc>
          <w:tcPr>
            <w:tcW w:w="1418" w:type="dxa"/>
            <w:noWrap w:val="0"/>
            <w:vAlign w:val="center"/>
          </w:tcPr>
          <w:p w14:paraId="380BA9EF">
            <w:pPr>
              <w:spacing w:line="400" w:lineRule="exact"/>
              <w:ind w:firstLine="420" w:firstLineChars="200"/>
              <w:rPr>
                <w:rFonts w:ascii="宋体" w:hAnsi="宋体"/>
                <w:color w:val="auto"/>
                <w:szCs w:val="21"/>
                <w:highlight w:val="none"/>
              </w:rPr>
            </w:pPr>
          </w:p>
        </w:tc>
        <w:tc>
          <w:tcPr>
            <w:tcW w:w="1418" w:type="dxa"/>
            <w:noWrap w:val="0"/>
            <w:vAlign w:val="center"/>
          </w:tcPr>
          <w:p w14:paraId="68CB83BE">
            <w:pPr>
              <w:spacing w:line="400" w:lineRule="exact"/>
              <w:ind w:firstLine="420" w:firstLineChars="200"/>
              <w:rPr>
                <w:rFonts w:ascii="宋体" w:hAnsi="宋体"/>
                <w:color w:val="auto"/>
                <w:szCs w:val="21"/>
                <w:highlight w:val="none"/>
              </w:rPr>
            </w:pPr>
          </w:p>
        </w:tc>
        <w:tc>
          <w:tcPr>
            <w:tcW w:w="2917" w:type="dxa"/>
            <w:noWrap w:val="0"/>
            <w:vAlign w:val="center"/>
          </w:tcPr>
          <w:p w14:paraId="26380D5D">
            <w:pPr>
              <w:spacing w:line="400" w:lineRule="exact"/>
              <w:ind w:firstLine="420" w:firstLineChars="200"/>
              <w:rPr>
                <w:rFonts w:ascii="宋体" w:hAnsi="宋体"/>
                <w:color w:val="auto"/>
                <w:szCs w:val="21"/>
                <w:highlight w:val="none"/>
              </w:rPr>
            </w:pPr>
          </w:p>
        </w:tc>
      </w:tr>
      <w:tr w14:paraId="1572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7A877D46">
            <w:pPr>
              <w:spacing w:line="400" w:lineRule="exact"/>
              <w:ind w:firstLine="420" w:firstLineChars="200"/>
              <w:rPr>
                <w:rFonts w:ascii="宋体" w:hAnsi="宋体"/>
                <w:color w:val="auto"/>
                <w:szCs w:val="21"/>
                <w:highlight w:val="none"/>
              </w:rPr>
            </w:pPr>
          </w:p>
        </w:tc>
        <w:tc>
          <w:tcPr>
            <w:tcW w:w="1418" w:type="dxa"/>
            <w:noWrap w:val="0"/>
            <w:vAlign w:val="center"/>
          </w:tcPr>
          <w:p w14:paraId="50BDBB47">
            <w:pPr>
              <w:spacing w:line="400" w:lineRule="exact"/>
              <w:ind w:firstLine="420" w:firstLineChars="200"/>
              <w:rPr>
                <w:rFonts w:ascii="宋体" w:hAnsi="宋体"/>
                <w:color w:val="auto"/>
                <w:szCs w:val="21"/>
                <w:highlight w:val="none"/>
              </w:rPr>
            </w:pPr>
          </w:p>
        </w:tc>
        <w:tc>
          <w:tcPr>
            <w:tcW w:w="1418" w:type="dxa"/>
            <w:noWrap w:val="0"/>
            <w:vAlign w:val="center"/>
          </w:tcPr>
          <w:p w14:paraId="71177D28">
            <w:pPr>
              <w:spacing w:line="400" w:lineRule="exact"/>
              <w:ind w:firstLine="420" w:firstLineChars="200"/>
              <w:rPr>
                <w:rFonts w:ascii="宋体" w:hAnsi="宋体"/>
                <w:color w:val="auto"/>
                <w:szCs w:val="21"/>
                <w:highlight w:val="none"/>
              </w:rPr>
            </w:pPr>
          </w:p>
        </w:tc>
        <w:tc>
          <w:tcPr>
            <w:tcW w:w="2917" w:type="dxa"/>
            <w:noWrap w:val="0"/>
            <w:vAlign w:val="center"/>
          </w:tcPr>
          <w:p w14:paraId="59C009DA">
            <w:pPr>
              <w:spacing w:line="400" w:lineRule="exact"/>
              <w:ind w:firstLine="420" w:firstLineChars="200"/>
              <w:rPr>
                <w:rFonts w:ascii="宋体" w:hAnsi="宋体"/>
                <w:color w:val="auto"/>
                <w:szCs w:val="21"/>
                <w:highlight w:val="none"/>
              </w:rPr>
            </w:pPr>
          </w:p>
        </w:tc>
      </w:tr>
      <w:tr w14:paraId="7310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5F6D1024">
            <w:pPr>
              <w:spacing w:line="400" w:lineRule="exact"/>
              <w:ind w:firstLine="420" w:firstLineChars="200"/>
              <w:rPr>
                <w:rFonts w:ascii="宋体" w:hAnsi="宋体"/>
                <w:color w:val="auto"/>
                <w:szCs w:val="21"/>
                <w:highlight w:val="none"/>
              </w:rPr>
            </w:pPr>
          </w:p>
        </w:tc>
        <w:tc>
          <w:tcPr>
            <w:tcW w:w="1418" w:type="dxa"/>
            <w:noWrap w:val="0"/>
            <w:vAlign w:val="center"/>
          </w:tcPr>
          <w:p w14:paraId="7F806CD3">
            <w:pPr>
              <w:spacing w:line="400" w:lineRule="exact"/>
              <w:ind w:firstLine="420" w:firstLineChars="200"/>
              <w:rPr>
                <w:rFonts w:ascii="宋体" w:hAnsi="宋体"/>
                <w:color w:val="auto"/>
                <w:szCs w:val="21"/>
                <w:highlight w:val="none"/>
              </w:rPr>
            </w:pPr>
          </w:p>
        </w:tc>
        <w:tc>
          <w:tcPr>
            <w:tcW w:w="1418" w:type="dxa"/>
            <w:noWrap w:val="0"/>
            <w:vAlign w:val="center"/>
          </w:tcPr>
          <w:p w14:paraId="032AA14E">
            <w:pPr>
              <w:spacing w:line="400" w:lineRule="exact"/>
              <w:ind w:firstLine="420" w:firstLineChars="200"/>
              <w:rPr>
                <w:rFonts w:ascii="宋体" w:hAnsi="宋体"/>
                <w:color w:val="auto"/>
                <w:szCs w:val="21"/>
                <w:highlight w:val="none"/>
              </w:rPr>
            </w:pPr>
          </w:p>
        </w:tc>
        <w:tc>
          <w:tcPr>
            <w:tcW w:w="2917" w:type="dxa"/>
            <w:noWrap w:val="0"/>
            <w:vAlign w:val="center"/>
          </w:tcPr>
          <w:p w14:paraId="4F3C11DC">
            <w:pPr>
              <w:spacing w:line="400" w:lineRule="exact"/>
              <w:ind w:firstLine="420" w:firstLineChars="200"/>
              <w:rPr>
                <w:rFonts w:ascii="宋体" w:hAnsi="宋体"/>
                <w:color w:val="auto"/>
                <w:szCs w:val="21"/>
                <w:highlight w:val="none"/>
              </w:rPr>
            </w:pPr>
          </w:p>
        </w:tc>
      </w:tr>
      <w:tr w14:paraId="0A10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7014AA7B">
            <w:pPr>
              <w:spacing w:line="400" w:lineRule="exact"/>
              <w:ind w:firstLine="420" w:firstLineChars="200"/>
              <w:rPr>
                <w:rFonts w:ascii="宋体" w:hAnsi="宋体"/>
                <w:color w:val="auto"/>
                <w:szCs w:val="21"/>
                <w:highlight w:val="none"/>
              </w:rPr>
            </w:pPr>
          </w:p>
        </w:tc>
        <w:tc>
          <w:tcPr>
            <w:tcW w:w="1418" w:type="dxa"/>
            <w:noWrap w:val="0"/>
            <w:vAlign w:val="center"/>
          </w:tcPr>
          <w:p w14:paraId="20AD3EF1">
            <w:pPr>
              <w:spacing w:line="400" w:lineRule="exact"/>
              <w:ind w:firstLine="420" w:firstLineChars="200"/>
              <w:rPr>
                <w:rFonts w:ascii="宋体" w:hAnsi="宋体"/>
                <w:color w:val="auto"/>
                <w:szCs w:val="21"/>
                <w:highlight w:val="none"/>
              </w:rPr>
            </w:pPr>
          </w:p>
        </w:tc>
        <w:tc>
          <w:tcPr>
            <w:tcW w:w="1418" w:type="dxa"/>
            <w:noWrap w:val="0"/>
            <w:vAlign w:val="center"/>
          </w:tcPr>
          <w:p w14:paraId="7EBF302E">
            <w:pPr>
              <w:spacing w:line="400" w:lineRule="exact"/>
              <w:ind w:firstLine="420" w:firstLineChars="200"/>
              <w:rPr>
                <w:rFonts w:ascii="宋体" w:hAnsi="宋体"/>
                <w:color w:val="auto"/>
                <w:szCs w:val="21"/>
                <w:highlight w:val="none"/>
              </w:rPr>
            </w:pPr>
          </w:p>
        </w:tc>
        <w:tc>
          <w:tcPr>
            <w:tcW w:w="2917" w:type="dxa"/>
            <w:noWrap w:val="0"/>
            <w:vAlign w:val="center"/>
          </w:tcPr>
          <w:p w14:paraId="29F796BF">
            <w:pPr>
              <w:spacing w:line="400" w:lineRule="exact"/>
              <w:ind w:firstLine="420" w:firstLineChars="200"/>
              <w:rPr>
                <w:rFonts w:ascii="宋体" w:hAnsi="宋体"/>
                <w:color w:val="auto"/>
                <w:szCs w:val="21"/>
                <w:highlight w:val="none"/>
              </w:rPr>
            </w:pPr>
          </w:p>
        </w:tc>
      </w:tr>
      <w:tr w14:paraId="09AD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3D585B19">
            <w:pPr>
              <w:spacing w:line="400" w:lineRule="exact"/>
              <w:ind w:firstLine="420" w:firstLineChars="200"/>
              <w:rPr>
                <w:rFonts w:ascii="宋体" w:hAnsi="宋体"/>
                <w:color w:val="auto"/>
                <w:szCs w:val="21"/>
                <w:highlight w:val="none"/>
              </w:rPr>
            </w:pPr>
          </w:p>
        </w:tc>
        <w:tc>
          <w:tcPr>
            <w:tcW w:w="1418" w:type="dxa"/>
            <w:noWrap w:val="0"/>
            <w:vAlign w:val="center"/>
          </w:tcPr>
          <w:p w14:paraId="24C9927D">
            <w:pPr>
              <w:spacing w:line="400" w:lineRule="exact"/>
              <w:ind w:firstLine="420" w:firstLineChars="200"/>
              <w:rPr>
                <w:rFonts w:ascii="宋体" w:hAnsi="宋体"/>
                <w:color w:val="auto"/>
                <w:szCs w:val="21"/>
                <w:highlight w:val="none"/>
              </w:rPr>
            </w:pPr>
          </w:p>
        </w:tc>
        <w:tc>
          <w:tcPr>
            <w:tcW w:w="1418" w:type="dxa"/>
            <w:noWrap w:val="0"/>
            <w:vAlign w:val="center"/>
          </w:tcPr>
          <w:p w14:paraId="0C7F43AC">
            <w:pPr>
              <w:spacing w:line="400" w:lineRule="exact"/>
              <w:ind w:firstLine="420" w:firstLineChars="200"/>
              <w:rPr>
                <w:rFonts w:ascii="宋体" w:hAnsi="宋体"/>
                <w:color w:val="auto"/>
                <w:szCs w:val="21"/>
                <w:highlight w:val="none"/>
              </w:rPr>
            </w:pPr>
          </w:p>
        </w:tc>
        <w:tc>
          <w:tcPr>
            <w:tcW w:w="2917" w:type="dxa"/>
            <w:noWrap w:val="0"/>
            <w:vAlign w:val="center"/>
          </w:tcPr>
          <w:p w14:paraId="47B12C0D">
            <w:pPr>
              <w:spacing w:line="400" w:lineRule="exact"/>
              <w:ind w:firstLine="420" w:firstLineChars="200"/>
              <w:rPr>
                <w:rFonts w:ascii="宋体" w:hAnsi="宋体"/>
                <w:color w:val="auto"/>
                <w:szCs w:val="21"/>
                <w:highlight w:val="none"/>
              </w:rPr>
            </w:pPr>
          </w:p>
        </w:tc>
      </w:tr>
      <w:tr w14:paraId="054F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7DAEF8AC">
            <w:pPr>
              <w:spacing w:line="400" w:lineRule="exact"/>
              <w:ind w:firstLine="420" w:firstLineChars="200"/>
              <w:rPr>
                <w:rFonts w:ascii="宋体" w:hAnsi="宋体"/>
                <w:color w:val="auto"/>
                <w:szCs w:val="21"/>
                <w:highlight w:val="none"/>
              </w:rPr>
            </w:pPr>
          </w:p>
        </w:tc>
        <w:tc>
          <w:tcPr>
            <w:tcW w:w="1418" w:type="dxa"/>
            <w:noWrap w:val="0"/>
            <w:vAlign w:val="top"/>
          </w:tcPr>
          <w:p w14:paraId="0962D637">
            <w:pPr>
              <w:spacing w:line="400" w:lineRule="exact"/>
              <w:ind w:firstLine="420" w:firstLineChars="200"/>
              <w:rPr>
                <w:rFonts w:ascii="宋体" w:hAnsi="宋体"/>
                <w:color w:val="auto"/>
                <w:szCs w:val="21"/>
                <w:highlight w:val="none"/>
              </w:rPr>
            </w:pPr>
          </w:p>
        </w:tc>
        <w:tc>
          <w:tcPr>
            <w:tcW w:w="1418" w:type="dxa"/>
            <w:noWrap w:val="0"/>
            <w:vAlign w:val="top"/>
          </w:tcPr>
          <w:p w14:paraId="64C1722A">
            <w:pPr>
              <w:spacing w:line="400" w:lineRule="exact"/>
              <w:ind w:firstLine="420" w:firstLineChars="200"/>
              <w:rPr>
                <w:rFonts w:ascii="宋体" w:hAnsi="宋体"/>
                <w:color w:val="auto"/>
                <w:szCs w:val="21"/>
                <w:highlight w:val="none"/>
              </w:rPr>
            </w:pPr>
          </w:p>
        </w:tc>
        <w:tc>
          <w:tcPr>
            <w:tcW w:w="2917" w:type="dxa"/>
            <w:noWrap w:val="0"/>
            <w:vAlign w:val="top"/>
          </w:tcPr>
          <w:p w14:paraId="739F1123">
            <w:pPr>
              <w:spacing w:line="400" w:lineRule="exact"/>
              <w:ind w:firstLine="420" w:firstLineChars="200"/>
              <w:rPr>
                <w:rFonts w:ascii="宋体" w:hAnsi="宋体"/>
                <w:color w:val="auto"/>
                <w:szCs w:val="21"/>
                <w:highlight w:val="none"/>
              </w:rPr>
            </w:pPr>
          </w:p>
        </w:tc>
      </w:tr>
      <w:tr w14:paraId="3DC7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center"/>
          </w:tcPr>
          <w:p w14:paraId="1D00D906">
            <w:pPr>
              <w:spacing w:line="400" w:lineRule="exact"/>
              <w:ind w:firstLine="420" w:firstLineChars="200"/>
              <w:rPr>
                <w:rFonts w:ascii="宋体" w:hAnsi="宋体"/>
                <w:color w:val="auto"/>
                <w:szCs w:val="21"/>
                <w:highlight w:val="none"/>
              </w:rPr>
            </w:pPr>
          </w:p>
        </w:tc>
        <w:tc>
          <w:tcPr>
            <w:tcW w:w="1418" w:type="dxa"/>
            <w:noWrap w:val="0"/>
            <w:vAlign w:val="center"/>
          </w:tcPr>
          <w:p w14:paraId="21AF32F7">
            <w:pPr>
              <w:spacing w:line="400" w:lineRule="exact"/>
              <w:ind w:firstLine="420" w:firstLineChars="200"/>
              <w:rPr>
                <w:rFonts w:ascii="宋体" w:hAnsi="宋体"/>
                <w:color w:val="auto"/>
                <w:szCs w:val="21"/>
                <w:highlight w:val="none"/>
              </w:rPr>
            </w:pPr>
          </w:p>
        </w:tc>
        <w:tc>
          <w:tcPr>
            <w:tcW w:w="1418" w:type="dxa"/>
            <w:noWrap w:val="0"/>
            <w:vAlign w:val="center"/>
          </w:tcPr>
          <w:p w14:paraId="56E6C0B3">
            <w:pPr>
              <w:spacing w:line="400" w:lineRule="exact"/>
              <w:ind w:firstLine="420" w:firstLineChars="200"/>
              <w:rPr>
                <w:rFonts w:ascii="宋体" w:hAnsi="宋体"/>
                <w:color w:val="auto"/>
                <w:szCs w:val="21"/>
                <w:highlight w:val="none"/>
              </w:rPr>
            </w:pPr>
          </w:p>
        </w:tc>
        <w:tc>
          <w:tcPr>
            <w:tcW w:w="2917" w:type="dxa"/>
            <w:noWrap w:val="0"/>
            <w:vAlign w:val="center"/>
          </w:tcPr>
          <w:p w14:paraId="72813AF9">
            <w:pPr>
              <w:spacing w:line="400" w:lineRule="exact"/>
              <w:ind w:firstLine="420" w:firstLineChars="200"/>
              <w:rPr>
                <w:rFonts w:ascii="宋体" w:hAnsi="宋体"/>
                <w:color w:val="auto"/>
                <w:szCs w:val="21"/>
                <w:highlight w:val="none"/>
              </w:rPr>
            </w:pPr>
          </w:p>
        </w:tc>
      </w:tr>
      <w:tr w14:paraId="4090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45062BCF">
            <w:pPr>
              <w:spacing w:line="400" w:lineRule="exact"/>
              <w:ind w:firstLine="420" w:firstLineChars="200"/>
              <w:rPr>
                <w:rFonts w:ascii="宋体" w:hAnsi="宋体"/>
                <w:color w:val="auto"/>
                <w:szCs w:val="21"/>
                <w:highlight w:val="none"/>
              </w:rPr>
            </w:pPr>
          </w:p>
        </w:tc>
        <w:tc>
          <w:tcPr>
            <w:tcW w:w="1418" w:type="dxa"/>
            <w:noWrap w:val="0"/>
            <w:vAlign w:val="top"/>
          </w:tcPr>
          <w:p w14:paraId="0A5E78B8">
            <w:pPr>
              <w:spacing w:line="400" w:lineRule="exact"/>
              <w:ind w:firstLine="420" w:firstLineChars="200"/>
              <w:rPr>
                <w:rFonts w:ascii="宋体" w:hAnsi="宋体"/>
                <w:color w:val="auto"/>
                <w:szCs w:val="21"/>
                <w:highlight w:val="none"/>
              </w:rPr>
            </w:pPr>
          </w:p>
        </w:tc>
        <w:tc>
          <w:tcPr>
            <w:tcW w:w="1418" w:type="dxa"/>
            <w:noWrap w:val="0"/>
            <w:vAlign w:val="top"/>
          </w:tcPr>
          <w:p w14:paraId="76834E68">
            <w:pPr>
              <w:spacing w:line="400" w:lineRule="exact"/>
              <w:ind w:firstLine="420" w:firstLineChars="200"/>
              <w:rPr>
                <w:rFonts w:ascii="宋体" w:hAnsi="宋体"/>
                <w:color w:val="auto"/>
                <w:szCs w:val="21"/>
                <w:highlight w:val="none"/>
              </w:rPr>
            </w:pPr>
          </w:p>
        </w:tc>
        <w:tc>
          <w:tcPr>
            <w:tcW w:w="2917" w:type="dxa"/>
            <w:noWrap w:val="0"/>
            <w:vAlign w:val="top"/>
          </w:tcPr>
          <w:p w14:paraId="4FD02606">
            <w:pPr>
              <w:spacing w:line="400" w:lineRule="exact"/>
              <w:ind w:firstLine="420" w:firstLineChars="200"/>
              <w:rPr>
                <w:rFonts w:ascii="宋体" w:hAnsi="宋体"/>
                <w:color w:val="auto"/>
                <w:szCs w:val="21"/>
                <w:highlight w:val="none"/>
              </w:rPr>
            </w:pPr>
          </w:p>
        </w:tc>
      </w:tr>
      <w:tr w14:paraId="3E21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374EEB18">
            <w:pPr>
              <w:spacing w:line="400" w:lineRule="exact"/>
              <w:ind w:firstLine="420" w:firstLineChars="200"/>
              <w:rPr>
                <w:rFonts w:ascii="宋体" w:hAnsi="宋体"/>
                <w:color w:val="auto"/>
                <w:szCs w:val="21"/>
                <w:highlight w:val="none"/>
              </w:rPr>
            </w:pPr>
          </w:p>
        </w:tc>
        <w:tc>
          <w:tcPr>
            <w:tcW w:w="1418" w:type="dxa"/>
            <w:noWrap w:val="0"/>
            <w:vAlign w:val="top"/>
          </w:tcPr>
          <w:p w14:paraId="5B7FA946">
            <w:pPr>
              <w:spacing w:line="400" w:lineRule="exact"/>
              <w:ind w:firstLine="420" w:firstLineChars="200"/>
              <w:rPr>
                <w:rFonts w:ascii="宋体" w:hAnsi="宋体"/>
                <w:color w:val="auto"/>
                <w:szCs w:val="21"/>
                <w:highlight w:val="none"/>
              </w:rPr>
            </w:pPr>
          </w:p>
        </w:tc>
        <w:tc>
          <w:tcPr>
            <w:tcW w:w="1418" w:type="dxa"/>
            <w:noWrap w:val="0"/>
            <w:vAlign w:val="top"/>
          </w:tcPr>
          <w:p w14:paraId="1CF9611B">
            <w:pPr>
              <w:spacing w:line="400" w:lineRule="exact"/>
              <w:ind w:firstLine="420" w:firstLineChars="200"/>
              <w:rPr>
                <w:rFonts w:ascii="宋体" w:hAnsi="宋体"/>
                <w:color w:val="auto"/>
                <w:szCs w:val="21"/>
                <w:highlight w:val="none"/>
              </w:rPr>
            </w:pPr>
          </w:p>
        </w:tc>
        <w:tc>
          <w:tcPr>
            <w:tcW w:w="2917" w:type="dxa"/>
            <w:noWrap w:val="0"/>
            <w:vAlign w:val="top"/>
          </w:tcPr>
          <w:p w14:paraId="19AF4042">
            <w:pPr>
              <w:spacing w:line="400" w:lineRule="exact"/>
              <w:ind w:firstLine="420" w:firstLineChars="200"/>
              <w:rPr>
                <w:rFonts w:ascii="宋体" w:hAnsi="宋体"/>
                <w:color w:val="auto"/>
                <w:szCs w:val="21"/>
                <w:highlight w:val="none"/>
              </w:rPr>
            </w:pPr>
          </w:p>
        </w:tc>
      </w:tr>
      <w:tr w14:paraId="6C5D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16466ED3">
            <w:pPr>
              <w:spacing w:line="400" w:lineRule="exact"/>
              <w:ind w:firstLine="420" w:firstLineChars="200"/>
              <w:rPr>
                <w:rFonts w:ascii="宋体" w:hAnsi="宋体"/>
                <w:color w:val="auto"/>
                <w:szCs w:val="21"/>
                <w:highlight w:val="none"/>
              </w:rPr>
            </w:pPr>
          </w:p>
        </w:tc>
        <w:tc>
          <w:tcPr>
            <w:tcW w:w="1418" w:type="dxa"/>
            <w:noWrap w:val="0"/>
            <w:vAlign w:val="top"/>
          </w:tcPr>
          <w:p w14:paraId="4DB13A86">
            <w:pPr>
              <w:spacing w:line="400" w:lineRule="exact"/>
              <w:ind w:firstLine="420" w:firstLineChars="200"/>
              <w:rPr>
                <w:rFonts w:ascii="宋体" w:hAnsi="宋体"/>
                <w:color w:val="auto"/>
                <w:szCs w:val="21"/>
                <w:highlight w:val="none"/>
              </w:rPr>
            </w:pPr>
          </w:p>
        </w:tc>
        <w:tc>
          <w:tcPr>
            <w:tcW w:w="1418" w:type="dxa"/>
            <w:noWrap w:val="0"/>
            <w:vAlign w:val="top"/>
          </w:tcPr>
          <w:p w14:paraId="00222480">
            <w:pPr>
              <w:spacing w:line="400" w:lineRule="exact"/>
              <w:ind w:firstLine="420" w:firstLineChars="200"/>
              <w:rPr>
                <w:rFonts w:ascii="宋体" w:hAnsi="宋体"/>
                <w:color w:val="auto"/>
                <w:szCs w:val="21"/>
                <w:highlight w:val="none"/>
              </w:rPr>
            </w:pPr>
          </w:p>
        </w:tc>
        <w:tc>
          <w:tcPr>
            <w:tcW w:w="2917" w:type="dxa"/>
            <w:noWrap w:val="0"/>
            <w:vAlign w:val="top"/>
          </w:tcPr>
          <w:p w14:paraId="11323F0F">
            <w:pPr>
              <w:spacing w:line="400" w:lineRule="exact"/>
              <w:ind w:firstLine="420" w:firstLineChars="200"/>
              <w:rPr>
                <w:rFonts w:ascii="宋体" w:hAnsi="宋体"/>
                <w:color w:val="auto"/>
                <w:szCs w:val="21"/>
                <w:highlight w:val="none"/>
              </w:rPr>
            </w:pPr>
          </w:p>
        </w:tc>
      </w:tr>
      <w:tr w14:paraId="1305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6C894A8B">
            <w:pPr>
              <w:spacing w:line="400" w:lineRule="exact"/>
              <w:ind w:firstLine="420" w:firstLineChars="200"/>
              <w:rPr>
                <w:rFonts w:ascii="宋体" w:hAnsi="宋体"/>
                <w:color w:val="auto"/>
                <w:szCs w:val="21"/>
                <w:highlight w:val="none"/>
              </w:rPr>
            </w:pPr>
          </w:p>
        </w:tc>
        <w:tc>
          <w:tcPr>
            <w:tcW w:w="1418" w:type="dxa"/>
            <w:noWrap w:val="0"/>
            <w:vAlign w:val="top"/>
          </w:tcPr>
          <w:p w14:paraId="5402CDC8">
            <w:pPr>
              <w:spacing w:line="400" w:lineRule="exact"/>
              <w:ind w:firstLine="420" w:firstLineChars="200"/>
              <w:rPr>
                <w:rFonts w:ascii="宋体" w:hAnsi="宋体"/>
                <w:color w:val="auto"/>
                <w:szCs w:val="21"/>
                <w:highlight w:val="none"/>
              </w:rPr>
            </w:pPr>
          </w:p>
        </w:tc>
        <w:tc>
          <w:tcPr>
            <w:tcW w:w="1418" w:type="dxa"/>
            <w:noWrap w:val="0"/>
            <w:vAlign w:val="top"/>
          </w:tcPr>
          <w:p w14:paraId="2FC9A8AE">
            <w:pPr>
              <w:spacing w:line="400" w:lineRule="exact"/>
              <w:ind w:firstLine="420" w:firstLineChars="200"/>
              <w:rPr>
                <w:rFonts w:ascii="宋体" w:hAnsi="宋体"/>
                <w:color w:val="auto"/>
                <w:szCs w:val="21"/>
                <w:highlight w:val="none"/>
              </w:rPr>
            </w:pPr>
          </w:p>
        </w:tc>
        <w:tc>
          <w:tcPr>
            <w:tcW w:w="2917" w:type="dxa"/>
            <w:noWrap w:val="0"/>
            <w:vAlign w:val="top"/>
          </w:tcPr>
          <w:p w14:paraId="686AF839">
            <w:pPr>
              <w:spacing w:line="400" w:lineRule="exact"/>
              <w:ind w:firstLine="420" w:firstLineChars="200"/>
              <w:rPr>
                <w:rFonts w:ascii="宋体" w:hAnsi="宋体"/>
                <w:color w:val="auto"/>
                <w:szCs w:val="21"/>
                <w:highlight w:val="none"/>
              </w:rPr>
            </w:pPr>
          </w:p>
        </w:tc>
      </w:tr>
      <w:tr w14:paraId="0067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6A837812">
            <w:pPr>
              <w:spacing w:line="400" w:lineRule="exact"/>
              <w:ind w:firstLine="420" w:firstLineChars="200"/>
              <w:rPr>
                <w:rFonts w:ascii="宋体" w:hAnsi="宋体"/>
                <w:color w:val="auto"/>
                <w:szCs w:val="21"/>
                <w:highlight w:val="none"/>
              </w:rPr>
            </w:pPr>
          </w:p>
        </w:tc>
        <w:tc>
          <w:tcPr>
            <w:tcW w:w="1418" w:type="dxa"/>
            <w:noWrap w:val="0"/>
            <w:vAlign w:val="top"/>
          </w:tcPr>
          <w:p w14:paraId="3FCE1A79">
            <w:pPr>
              <w:spacing w:line="400" w:lineRule="exact"/>
              <w:ind w:firstLine="420" w:firstLineChars="200"/>
              <w:rPr>
                <w:rFonts w:ascii="宋体" w:hAnsi="宋体"/>
                <w:color w:val="auto"/>
                <w:szCs w:val="21"/>
                <w:highlight w:val="none"/>
              </w:rPr>
            </w:pPr>
          </w:p>
        </w:tc>
        <w:tc>
          <w:tcPr>
            <w:tcW w:w="1418" w:type="dxa"/>
            <w:noWrap w:val="0"/>
            <w:vAlign w:val="top"/>
          </w:tcPr>
          <w:p w14:paraId="06F8D801">
            <w:pPr>
              <w:spacing w:line="400" w:lineRule="exact"/>
              <w:ind w:firstLine="420" w:firstLineChars="200"/>
              <w:rPr>
                <w:rFonts w:ascii="宋体" w:hAnsi="宋体"/>
                <w:color w:val="auto"/>
                <w:szCs w:val="21"/>
                <w:highlight w:val="none"/>
              </w:rPr>
            </w:pPr>
          </w:p>
        </w:tc>
        <w:tc>
          <w:tcPr>
            <w:tcW w:w="2917" w:type="dxa"/>
            <w:noWrap w:val="0"/>
            <w:vAlign w:val="top"/>
          </w:tcPr>
          <w:p w14:paraId="51C979FE">
            <w:pPr>
              <w:spacing w:line="400" w:lineRule="exact"/>
              <w:ind w:firstLine="420" w:firstLineChars="200"/>
              <w:rPr>
                <w:rFonts w:ascii="宋体" w:hAnsi="宋体"/>
                <w:color w:val="auto"/>
                <w:szCs w:val="21"/>
                <w:highlight w:val="none"/>
              </w:rPr>
            </w:pPr>
          </w:p>
        </w:tc>
      </w:tr>
      <w:tr w14:paraId="2222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460CD67D">
            <w:pPr>
              <w:spacing w:line="400" w:lineRule="exact"/>
              <w:ind w:firstLine="420" w:firstLineChars="200"/>
              <w:rPr>
                <w:rFonts w:ascii="宋体" w:hAnsi="宋体"/>
                <w:color w:val="auto"/>
                <w:szCs w:val="21"/>
                <w:highlight w:val="none"/>
              </w:rPr>
            </w:pPr>
          </w:p>
        </w:tc>
        <w:tc>
          <w:tcPr>
            <w:tcW w:w="1418" w:type="dxa"/>
            <w:noWrap w:val="0"/>
            <w:vAlign w:val="top"/>
          </w:tcPr>
          <w:p w14:paraId="1EFE9B6C">
            <w:pPr>
              <w:spacing w:line="400" w:lineRule="exact"/>
              <w:ind w:firstLine="420" w:firstLineChars="200"/>
              <w:rPr>
                <w:rFonts w:ascii="宋体" w:hAnsi="宋体"/>
                <w:color w:val="auto"/>
                <w:szCs w:val="21"/>
                <w:highlight w:val="none"/>
              </w:rPr>
            </w:pPr>
          </w:p>
        </w:tc>
        <w:tc>
          <w:tcPr>
            <w:tcW w:w="1418" w:type="dxa"/>
            <w:noWrap w:val="0"/>
            <w:vAlign w:val="top"/>
          </w:tcPr>
          <w:p w14:paraId="50A6F562">
            <w:pPr>
              <w:spacing w:line="400" w:lineRule="exact"/>
              <w:ind w:firstLine="420" w:firstLineChars="200"/>
              <w:rPr>
                <w:rFonts w:ascii="宋体" w:hAnsi="宋体"/>
                <w:color w:val="auto"/>
                <w:szCs w:val="21"/>
                <w:highlight w:val="none"/>
              </w:rPr>
            </w:pPr>
          </w:p>
        </w:tc>
        <w:tc>
          <w:tcPr>
            <w:tcW w:w="2917" w:type="dxa"/>
            <w:noWrap w:val="0"/>
            <w:vAlign w:val="top"/>
          </w:tcPr>
          <w:p w14:paraId="671A752F">
            <w:pPr>
              <w:spacing w:line="400" w:lineRule="exact"/>
              <w:ind w:firstLine="420" w:firstLineChars="200"/>
              <w:rPr>
                <w:rFonts w:ascii="宋体" w:hAnsi="宋体"/>
                <w:color w:val="auto"/>
                <w:szCs w:val="21"/>
                <w:highlight w:val="none"/>
              </w:rPr>
            </w:pPr>
          </w:p>
        </w:tc>
      </w:tr>
      <w:tr w14:paraId="15E7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121BA87A">
            <w:pPr>
              <w:spacing w:line="400" w:lineRule="exact"/>
              <w:ind w:firstLine="420" w:firstLineChars="200"/>
              <w:rPr>
                <w:rFonts w:ascii="宋体" w:hAnsi="宋体"/>
                <w:color w:val="auto"/>
                <w:szCs w:val="21"/>
                <w:highlight w:val="none"/>
              </w:rPr>
            </w:pPr>
          </w:p>
        </w:tc>
        <w:tc>
          <w:tcPr>
            <w:tcW w:w="1418" w:type="dxa"/>
            <w:noWrap w:val="0"/>
            <w:vAlign w:val="top"/>
          </w:tcPr>
          <w:p w14:paraId="2F9EFA4E">
            <w:pPr>
              <w:spacing w:line="400" w:lineRule="exact"/>
              <w:ind w:firstLine="420" w:firstLineChars="200"/>
              <w:rPr>
                <w:rFonts w:ascii="宋体" w:hAnsi="宋体"/>
                <w:color w:val="auto"/>
                <w:szCs w:val="21"/>
                <w:highlight w:val="none"/>
              </w:rPr>
            </w:pPr>
          </w:p>
        </w:tc>
        <w:tc>
          <w:tcPr>
            <w:tcW w:w="1418" w:type="dxa"/>
            <w:noWrap w:val="0"/>
            <w:vAlign w:val="top"/>
          </w:tcPr>
          <w:p w14:paraId="0311336C">
            <w:pPr>
              <w:spacing w:line="400" w:lineRule="exact"/>
              <w:ind w:firstLine="420" w:firstLineChars="200"/>
              <w:rPr>
                <w:rFonts w:ascii="宋体" w:hAnsi="宋体"/>
                <w:color w:val="auto"/>
                <w:szCs w:val="21"/>
                <w:highlight w:val="none"/>
              </w:rPr>
            </w:pPr>
          </w:p>
        </w:tc>
        <w:tc>
          <w:tcPr>
            <w:tcW w:w="2917" w:type="dxa"/>
            <w:noWrap w:val="0"/>
            <w:vAlign w:val="top"/>
          </w:tcPr>
          <w:p w14:paraId="2E5FA471">
            <w:pPr>
              <w:spacing w:line="400" w:lineRule="exact"/>
              <w:ind w:firstLine="420" w:firstLineChars="200"/>
              <w:rPr>
                <w:rFonts w:ascii="宋体" w:hAnsi="宋体"/>
                <w:color w:val="auto"/>
                <w:szCs w:val="21"/>
                <w:highlight w:val="none"/>
              </w:rPr>
            </w:pPr>
          </w:p>
        </w:tc>
      </w:tr>
      <w:tr w14:paraId="2787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noWrap w:val="0"/>
            <w:vAlign w:val="top"/>
          </w:tcPr>
          <w:p w14:paraId="1080DC42">
            <w:pPr>
              <w:spacing w:line="400" w:lineRule="exact"/>
              <w:ind w:firstLine="420" w:firstLineChars="200"/>
              <w:rPr>
                <w:rFonts w:ascii="宋体" w:hAnsi="宋体"/>
                <w:color w:val="auto"/>
                <w:szCs w:val="21"/>
                <w:highlight w:val="none"/>
              </w:rPr>
            </w:pPr>
          </w:p>
        </w:tc>
        <w:tc>
          <w:tcPr>
            <w:tcW w:w="1418" w:type="dxa"/>
            <w:noWrap w:val="0"/>
            <w:vAlign w:val="top"/>
          </w:tcPr>
          <w:p w14:paraId="75B69E03">
            <w:pPr>
              <w:spacing w:line="400" w:lineRule="exact"/>
              <w:ind w:firstLine="420" w:firstLineChars="200"/>
              <w:rPr>
                <w:rFonts w:ascii="宋体" w:hAnsi="宋体"/>
                <w:color w:val="auto"/>
                <w:szCs w:val="21"/>
                <w:highlight w:val="none"/>
              </w:rPr>
            </w:pPr>
          </w:p>
        </w:tc>
        <w:tc>
          <w:tcPr>
            <w:tcW w:w="1418" w:type="dxa"/>
            <w:noWrap w:val="0"/>
            <w:vAlign w:val="top"/>
          </w:tcPr>
          <w:p w14:paraId="51D5763F">
            <w:pPr>
              <w:spacing w:line="400" w:lineRule="exact"/>
              <w:ind w:firstLine="420" w:firstLineChars="200"/>
              <w:rPr>
                <w:rFonts w:ascii="宋体" w:hAnsi="宋体"/>
                <w:color w:val="auto"/>
                <w:szCs w:val="21"/>
                <w:highlight w:val="none"/>
              </w:rPr>
            </w:pPr>
          </w:p>
        </w:tc>
        <w:tc>
          <w:tcPr>
            <w:tcW w:w="2917" w:type="dxa"/>
            <w:noWrap w:val="0"/>
            <w:vAlign w:val="top"/>
          </w:tcPr>
          <w:p w14:paraId="734AF84E">
            <w:pPr>
              <w:spacing w:line="400" w:lineRule="exact"/>
              <w:ind w:firstLine="420" w:firstLineChars="200"/>
              <w:rPr>
                <w:rFonts w:ascii="宋体" w:hAnsi="宋体"/>
                <w:color w:val="auto"/>
                <w:szCs w:val="21"/>
                <w:highlight w:val="none"/>
              </w:rPr>
            </w:pPr>
          </w:p>
        </w:tc>
      </w:tr>
    </w:tbl>
    <w:p w14:paraId="4EDDC896">
      <w:pPr>
        <w:spacing w:line="360" w:lineRule="auto"/>
        <w:ind w:firstLine="420" w:firstLineChars="200"/>
        <w:rPr>
          <w:rFonts w:ascii="宋体" w:hAnsi="宋体"/>
          <w:color w:val="auto"/>
          <w:szCs w:val="21"/>
          <w:highlight w:val="none"/>
        </w:rPr>
      </w:pPr>
    </w:p>
    <w:p w14:paraId="1A3D61DE">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1996" w:name="_Toc296346729"/>
      <w:bookmarkStart w:id="1997" w:name="_Toc296503228"/>
      <w:bookmarkStart w:id="1998" w:name="_Toc296891056"/>
      <w:bookmarkStart w:id="1999" w:name="_Toc296347227"/>
      <w:bookmarkStart w:id="2000" w:name="_Toc296944567"/>
      <w:bookmarkStart w:id="2001" w:name="_Toc296891268"/>
      <w:bookmarkStart w:id="2002" w:name="_Toc267261699"/>
      <w:r>
        <w:rPr>
          <w:rFonts w:hint="eastAsia" w:ascii="宋体" w:hAnsi="宋体"/>
          <w:color w:val="auto"/>
          <w:szCs w:val="21"/>
          <w:highlight w:val="none"/>
        </w:rPr>
        <w:t>件3：</w:t>
      </w:r>
    </w:p>
    <w:bookmarkEnd w:id="1996"/>
    <w:bookmarkEnd w:id="1997"/>
    <w:bookmarkEnd w:id="1998"/>
    <w:bookmarkEnd w:id="1999"/>
    <w:bookmarkEnd w:id="2000"/>
    <w:bookmarkEnd w:id="2001"/>
    <w:bookmarkEnd w:id="2002"/>
    <w:p w14:paraId="784CC6A8">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承包人项目管理机构组成表</w:t>
      </w:r>
    </w:p>
    <w:tbl>
      <w:tblPr>
        <w:tblStyle w:val="4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0D142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79AB8F6">
            <w:pPr>
              <w:spacing w:line="400" w:lineRule="exact"/>
              <w:jc w:val="center"/>
              <w:rPr>
                <w:rFonts w:ascii="宋体" w:hAnsi="宋体"/>
                <w:color w:val="auto"/>
                <w:szCs w:val="21"/>
                <w:highlight w:val="none"/>
              </w:rPr>
            </w:pPr>
            <w:r>
              <w:rPr>
                <w:rFonts w:hint="eastAsia" w:ascii="宋体" w:hAnsi="宋体"/>
                <w:color w:val="auto"/>
                <w:szCs w:val="21"/>
                <w:highlight w:val="none"/>
              </w:rPr>
              <w:t>名    称</w:t>
            </w:r>
          </w:p>
        </w:tc>
        <w:tc>
          <w:tcPr>
            <w:tcW w:w="1418" w:type="dxa"/>
            <w:noWrap w:val="0"/>
            <w:vAlign w:val="center"/>
          </w:tcPr>
          <w:p w14:paraId="69FDA18E">
            <w:pPr>
              <w:spacing w:line="400" w:lineRule="exact"/>
              <w:jc w:val="center"/>
              <w:rPr>
                <w:rFonts w:ascii="宋体" w:hAnsi="宋体"/>
                <w:color w:val="auto"/>
                <w:szCs w:val="21"/>
                <w:highlight w:val="none"/>
              </w:rPr>
            </w:pPr>
            <w:r>
              <w:rPr>
                <w:rFonts w:hint="eastAsia" w:ascii="宋体" w:hAnsi="宋体"/>
                <w:color w:val="auto"/>
                <w:szCs w:val="21"/>
                <w:highlight w:val="none"/>
              </w:rPr>
              <w:t>姓名</w:t>
            </w:r>
          </w:p>
        </w:tc>
        <w:tc>
          <w:tcPr>
            <w:tcW w:w="1134" w:type="dxa"/>
            <w:noWrap w:val="0"/>
            <w:vAlign w:val="center"/>
          </w:tcPr>
          <w:p w14:paraId="1E225C71">
            <w:pPr>
              <w:spacing w:line="400" w:lineRule="exact"/>
              <w:jc w:val="center"/>
              <w:rPr>
                <w:rFonts w:ascii="宋体" w:hAnsi="宋体"/>
                <w:color w:val="auto"/>
                <w:szCs w:val="21"/>
                <w:highlight w:val="none"/>
              </w:rPr>
            </w:pPr>
            <w:r>
              <w:rPr>
                <w:rFonts w:hint="eastAsia" w:ascii="宋体" w:hAnsi="宋体"/>
                <w:color w:val="auto"/>
                <w:szCs w:val="21"/>
                <w:highlight w:val="none"/>
              </w:rPr>
              <w:t>职务</w:t>
            </w:r>
          </w:p>
        </w:tc>
        <w:tc>
          <w:tcPr>
            <w:tcW w:w="1134" w:type="dxa"/>
            <w:noWrap w:val="0"/>
            <w:vAlign w:val="center"/>
          </w:tcPr>
          <w:p w14:paraId="6224F945">
            <w:pPr>
              <w:spacing w:line="400" w:lineRule="exact"/>
              <w:jc w:val="center"/>
              <w:rPr>
                <w:rFonts w:ascii="宋体" w:hAnsi="宋体"/>
                <w:color w:val="auto"/>
                <w:szCs w:val="21"/>
                <w:highlight w:val="none"/>
              </w:rPr>
            </w:pPr>
            <w:r>
              <w:rPr>
                <w:rFonts w:hint="eastAsia" w:ascii="宋体" w:hAnsi="宋体"/>
                <w:color w:val="auto"/>
                <w:szCs w:val="21"/>
                <w:highlight w:val="none"/>
              </w:rPr>
              <w:t>职称</w:t>
            </w:r>
          </w:p>
        </w:tc>
        <w:tc>
          <w:tcPr>
            <w:tcW w:w="4252" w:type="dxa"/>
            <w:noWrap w:val="0"/>
            <w:vAlign w:val="center"/>
          </w:tcPr>
          <w:p w14:paraId="13506B10">
            <w:pPr>
              <w:spacing w:line="400" w:lineRule="exact"/>
              <w:jc w:val="center"/>
              <w:rPr>
                <w:rFonts w:ascii="宋体" w:hAnsi="宋体"/>
                <w:color w:val="auto"/>
                <w:szCs w:val="21"/>
                <w:highlight w:val="none"/>
              </w:rPr>
            </w:pPr>
            <w:r>
              <w:rPr>
                <w:rFonts w:hint="eastAsia" w:ascii="宋体" w:hAnsi="宋体"/>
                <w:color w:val="auto"/>
                <w:szCs w:val="21"/>
                <w:highlight w:val="none"/>
              </w:rPr>
              <w:t>主要资历、经验及承担过的项目</w:t>
            </w:r>
          </w:p>
        </w:tc>
      </w:tr>
      <w:tr w14:paraId="4259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noWrap w:val="0"/>
            <w:vAlign w:val="center"/>
          </w:tcPr>
          <w:p w14:paraId="29258FBD">
            <w:pPr>
              <w:spacing w:line="400" w:lineRule="exact"/>
              <w:rPr>
                <w:rFonts w:ascii="宋体" w:hAnsi="宋体"/>
                <w:color w:val="auto"/>
                <w:szCs w:val="21"/>
                <w:highlight w:val="none"/>
              </w:rPr>
            </w:pPr>
            <w:r>
              <w:rPr>
                <w:rFonts w:hint="eastAsia" w:ascii="宋体" w:hAnsi="宋体"/>
                <w:color w:val="auto"/>
                <w:szCs w:val="21"/>
                <w:highlight w:val="none"/>
              </w:rPr>
              <w:t>一、总部人员</w:t>
            </w:r>
          </w:p>
        </w:tc>
      </w:tr>
      <w:tr w14:paraId="09D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94CA70B">
            <w:pPr>
              <w:spacing w:line="400" w:lineRule="exact"/>
              <w:jc w:val="center"/>
              <w:rPr>
                <w:rFonts w:ascii="宋体" w:hAnsi="宋体"/>
                <w:color w:val="auto"/>
                <w:szCs w:val="21"/>
                <w:highlight w:val="none"/>
              </w:rPr>
            </w:pPr>
            <w:r>
              <w:rPr>
                <w:rFonts w:hint="eastAsia" w:ascii="宋体" w:hAnsi="宋体"/>
                <w:color w:val="auto"/>
                <w:szCs w:val="21"/>
                <w:highlight w:val="none"/>
              </w:rPr>
              <w:t>项目主管</w:t>
            </w:r>
          </w:p>
        </w:tc>
        <w:tc>
          <w:tcPr>
            <w:tcW w:w="1418" w:type="dxa"/>
            <w:noWrap w:val="0"/>
            <w:vAlign w:val="center"/>
          </w:tcPr>
          <w:p w14:paraId="6276D2F9">
            <w:pPr>
              <w:spacing w:line="400" w:lineRule="exact"/>
              <w:ind w:firstLine="420" w:firstLineChars="200"/>
              <w:rPr>
                <w:rFonts w:ascii="宋体" w:hAnsi="宋体"/>
                <w:color w:val="auto"/>
                <w:szCs w:val="21"/>
                <w:highlight w:val="none"/>
              </w:rPr>
            </w:pPr>
          </w:p>
        </w:tc>
        <w:tc>
          <w:tcPr>
            <w:tcW w:w="1134" w:type="dxa"/>
            <w:noWrap w:val="0"/>
            <w:vAlign w:val="center"/>
          </w:tcPr>
          <w:p w14:paraId="2CE52A83">
            <w:pPr>
              <w:spacing w:line="400" w:lineRule="exact"/>
              <w:ind w:firstLine="420" w:firstLineChars="200"/>
              <w:rPr>
                <w:rFonts w:ascii="宋体" w:hAnsi="宋体"/>
                <w:color w:val="auto"/>
                <w:szCs w:val="21"/>
                <w:highlight w:val="none"/>
              </w:rPr>
            </w:pPr>
          </w:p>
        </w:tc>
        <w:tc>
          <w:tcPr>
            <w:tcW w:w="1134" w:type="dxa"/>
            <w:noWrap w:val="0"/>
            <w:vAlign w:val="center"/>
          </w:tcPr>
          <w:p w14:paraId="20B7F7ED">
            <w:pPr>
              <w:spacing w:line="400" w:lineRule="exact"/>
              <w:ind w:firstLine="420" w:firstLineChars="200"/>
              <w:rPr>
                <w:rFonts w:ascii="宋体" w:hAnsi="宋体"/>
                <w:color w:val="auto"/>
                <w:szCs w:val="21"/>
                <w:highlight w:val="none"/>
              </w:rPr>
            </w:pPr>
          </w:p>
        </w:tc>
        <w:tc>
          <w:tcPr>
            <w:tcW w:w="4252" w:type="dxa"/>
            <w:noWrap w:val="0"/>
            <w:vAlign w:val="center"/>
          </w:tcPr>
          <w:p w14:paraId="580EC39B">
            <w:pPr>
              <w:spacing w:line="400" w:lineRule="exact"/>
              <w:ind w:firstLine="420" w:firstLineChars="200"/>
              <w:rPr>
                <w:rFonts w:ascii="宋体" w:hAnsi="宋体"/>
                <w:color w:val="auto"/>
                <w:szCs w:val="21"/>
                <w:highlight w:val="none"/>
              </w:rPr>
            </w:pPr>
          </w:p>
        </w:tc>
      </w:tr>
      <w:tr w14:paraId="7BAB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8D5B868">
            <w:pPr>
              <w:spacing w:line="400" w:lineRule="exact"/>
              <w:jc w:val="center"/>
              <w:rPr>
                <w:rFonts w:ascii="宋体" w:hAnsi="宋体"/>
                <w:color w:val="auto"/>
                <w:szCs w:val="21"/>
                <w:highlight w:val="none"/>
              </w:rPr>
            </w:pPr>
          </w:p>
        </w:tc>
        <w:tc>
          <w:tcPr>
            <w:tcW w:w="1418" w:type="dxa"/>
            <w:noWrap w:val="0"/>
            <w:vAlign w:val="center"/>
          </w:tcPr>
          <w:p w14:paraId="3C96CBF7">
            <w:pPr>
              <w:spacing w:line="400" w:lineRule="exact"/>
              <w:ind w:firstLine="420" w:firstLineChars="200"/>
              <w:rPr>
                <w:rFonts w:ascii="宋体" w:hAnsi="宋体"/>
                <w:color w:val="auto"/>
                <w:szCs w:val="21"/>
                <w:highlight w:val="none"/>
              </w:rPr>
            </w:pPr>
          </w:p>
        </w:tc>
        <w:tc>
          <w:tcPr>
            <w:tcW w:w="1134" w:type="dxa"/>
            <w:noWrap w:val="0"/>
            <w:vAlign w:val="center"/>
          </w:tcPr>
          <w:p w14:paraId="3FF6F447">
            <w:pPr>
              <w:spacing w:line="400" w:lineRule="exact"/>
              <w:ind w:firstLine="420" w:firstLineChars="200"/>
              <w:rPr>
                <w:rFonts w:ascii="宋体" w:hAnsi="宋体"/>
                <w:color w:val="auto"/>
                <w:szCs w:val="21"/>
                <w:highlight w:val="none"/>
              </w:rPr>
            </w:pPr>
          </w:p>
        </w:tc>
        <w:tc>
          <w:tcPr>
            <w:tcW w:w="1134" w:type="dxa"/>
            <w:noWrap w:val="0"/>
            <w:vAlign w:val="center"/>
          </w:tcPr>
          <w:p w14:paraId="5B759516">
            <w:pPr>
              <w:spacing w:line="400" w:lineRule="exact"/>
              <w:ind w:firstLine="420" w:firstLineChars="200"/>
              <w:rPr>
                <w:rFonts w:ascii="宋体" w:hAnsi="宋体"/>
                <w:color w:val="auto"/>
                <w:szCs w:val="21"/>
                <w:highlight w:val="none"/>
              </w:rPr>
            </w:pPr>
          </w:p>
        </w:tc>
        <w:tc>
          <w:tcPr>
            <w:tcW w:w="4252" w:type="dxa"/>
            <w:noWrap w:val="0"/>
            <w:vAlign w:val="center"/>
          </w:tcPr>
          <w:p w14:paraId="71B117E9">
            <w:pPr>
              <w:spacing w:line="400" w:lineRule="exact"/>
              <w:ind w:firstLine="420" w:firstLineChars="200"/>
              <w:rPr>
                <w:rFonts w:ascii="宋体" w:hAnsi="宋体"/>
                <w:color w:val="auto"/>
                <w:szCs w:val="21"/>
                <w:highlight w:val="none"/>
              </w:rPr>
            </w:pPr>
          </w:p>
        </w:tc>
      </w:tr>
      <w:tr w14:paraId="76C8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DD4A711">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noWrap w:val="0"/>
            <w:vAlign w:val="center"/>
          </w:tcPr>
          <w:p w14:paraId="1738EF42">
            <w:pPr>
              <w:spacing w:line="400" w:lineRule="exact"/>
              <w:ind w:firstLine="420" w:firstLineChars="200"/>
              <w:rPr>
                <w:rFonts w:ascii="宋体" w:hAnsi="宋体"/>
                <w:color w:val="auto"/>
                <w:szCs w:val="21"/>
                <w:highlight w:val="none"/>
              </w:rPr>
            </w:pPr>
          </w:p>
        </w:tc>
        <w:tc>
          <w:tcPr>
            <w:tcW w:w="1134" w:type="dxa"/>
            <w:noWrap w:val="0"/>
            <w:vAlign w:val="center"/>
          </w:tcPr>
          <w:p w14:paraId="28DF2981">
            <w:pPr>
              <w:spacing w:line="400" w:lineRule="exact"/>
              <w:ind w:firstLine="420" w:firstLineChars="200"/>
              <w:rPr>
                <w:rFonts w:ascii="宋体" w:hAnsi="宋体"/>
                <w:color w:val="auto"/>
                <w:szCs w:val="21"/>
                <w:highlight w:val="none"/>
              </w:rPr>
            </w:pPr>
          </w:p>
        </w:tc>
        <w:tc>
          <w:tcPr>
            <w:tcW w:w="1134" w:type="dxa"/>
            <w:noWrap w:val="0"/>
            <w:vAlign w:val="center"/>
          </w:tcPr>
          <w:p w14:paraId="66E5CD4E">
            <w:pPr>
              <w:spacing w:line="400" w:lineRule="exact"/>
              <w:ind w:firstLine="420" w:firstLineChars="200"/>
              <w:rPr>
                <w:rFonts w:ascii="宋体" w:hAnsi="宋体"/>
                <w:color w:val="auto"/>
                <w:szCs w:val="21"/>
                <w:highlight w:val="none"/>
              </w:rPr>
            </w:pPr>
          </w:p>
        </w:tc>
        <w:tc>
          <w:tcPr>
            <w:tcW w:w="4252" w:type="dxa"/>
            <w:noWrap w:val="0"/>
            <w:vAlign w:val="center"/>
          </w:tcPr>
          <w:p w14:paraId="0846CA08">
            <w:pPr>
              <w:spacing w:line="400" w:lineRule="exact"/>
              <w:ind w:firstLine="420" w:firstLineChars="200"/>
              <w:rPr>
                <w:rFonts w:ascii="宋体" w:hAnsi="宋体"/>
                <w:color w:val="auto"/>
                <w:szCs w:val="21"/>
                <w:highlight w:val="none"/>
              </w:rPr>
            </w:pPr>
          </w:p>
        </w:tc>
      </w:tr>
      <w:tr w14:paraId="52DC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D745734">
            <w:pPr>
              <w:spacing w:line="400" w:lineRule="exact"/>
              <w:jc w:val="center"/>
              <w:rPr>
                <w:rFonts w:ascii="宋体" w:hAnsi="宋体"/>
                <w:color w:val="auto"/>
                <w:szCs w:val="21"/>
                <w:highlight w:val="none"/>
              </w:rPr>
            </w:pPr>
          </w:p>
        </w:tc>
        <w:tc>
          <w:tcPr>
            <w:tcW w:w="1418" w:type="dxa"/>
            <w:noWrap w:val="0"/>
            <w:vAlign w:val="center"/>
          </w:tcPr>
          <w:p w14:paraId="261BF389">
            <w:pPr>
              <w:spacing w:line="400" w:lineRule="exact"/>
              <w:ind w:firstLine="420" w:firstLineChars="200"/>
              <w:rPr>
                <w:rFonts w:ascii="宋体" w:hAnsi="宋体"/>
                <w:color w:val="auto"/>
                <w:szCs w:val="21"/>
                <w:highlight w:val="none"/>
              </w:rPr>
            </w:pPr>
          </w:p>
        </w:tc>
        <w:tc>
          <w:tcPr>
            <w:tcW w:w="1134" w:type="dxa"/>
            <w:noWrap w:val="0"/>
            <w:vAlign w:val="center"/>
          </w:tcPr>
          <w:p w14:paraId="13B8F246">
            <w:pPr>
              <w:spacing w:line="400" w:lineRule="exact"/>
              <w:ind w:firstLine="420" w:firstLineChars="200"/>
              <w:rPr>
                <w:rFonts w:ascii="宋体" w:hAnsi="宋体"/>
                <w:color w:val="auto"/>
                <w:szCs w:val="21"/>
                <w:highlight w:val="none"/>
              </w:rPr>
            </w:pPr>
          </w:p>
        </w:tc>
        <w:tc>
          <w:tcPr>
            <w:tcW w:w="1134" w:type="dxa"/>
            <w:noWrap w:val="0"/>
            <w:vAlign w:val="center"/>
          </w:tcPr>
          <w:p w14:paraId="645C78BD">
            <w:pPr>
              <w:spacing w:line="400" w:lineRule="exact"/>
              <w:ind w:firstLine="420" w:firstLineChars="200"/>
              <w:rPr>
                <w:rFonts w:ascii="宋体" w:hAnsi="宋体"/>
                <w:color w:val="auto"/>
                <w:szCs w:val="21"/>
                <w:highlight w:val="none"/>
              </w:rPr>
            </w:pPr>
          </w:p>
        </w:tc>
        <w:tc>
          <w:tcPr>
            <w:tcW w:w="4252" w:type="dxa"/>
            <w:noWrap w:val="0"/>
            <w:vAlign w:val="center"/>
          </w:tcPr>
          <w:p w14:paraId="25B650BC">
            <w:pPr>
              <w:spacing w:line="400" w:lineRule="exact"/>
              <w:ind w:firstLine="420" w:firstLineChars="200"/>
              <w:rPr>
                <w:rFonts w:ascii="宋体" w:hAnsi="宋体"/>
                <w:color w:val="auto"/>
                <w:szCs w:val="21"/>
                <w:highlight w:val="none"/>
              </w:rPr>
            </w:pPr>
          </w:p>
        </w:tc>
      </w:tr>
      <w:tr w14:paraId="162B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5608FE33">
            <w:pPr>
              <w:spacing w:line="400" w:lineRule="exact"/>
              <w:rPr>
                <w:rFonts w:ascii="宋体" w:hAnsi="宋体"/>
                <w:color w:val="auto"/>
                <w:szCs w:val="21"/>
                <w:highlight w:val="none"/>
              </w:rPr>
            </w:pPr>
            <w:r>
              <w:rPr>
                <w:rFonts w:hint="eastAsia" w:ascii="宋体" w:hAnsi="宋体"/>
                <w:color w:val="auto"/>
                <w:szCs w:val="21"/>
                <w:highlight w:val="none"/>
              </w:rPr>
              <w:t>二、现场人员</w:t>
            </w:r>
          </w:p>
        </w:tc>
      </w:tr>
      <w:tr w14:paraId="17E2A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70A6C27">
            <w:pPr>
              <w:spacing w:line="400" w:lineRule="exact"/>
              <w:jc w:val="center"/>
              <w:rPr>
                <w:rFonts w:ascii="宋体" w:hAnsi="宋体"/>
                <w:color w:val="auto"/>
                <w:szCs w:val="21"/>
                <w:highlight w:val="none"/>
              </w:rPr>
            </w:pPr>
            <w:r>
              <w:rPr>
                <w:rFonts w:hint="eastAsia" w:ascii="宋体" w:hAnsi="宋体"/>
                <w:color w:val="auto"/>
                <w:szCs w:val="21"/>
                <w:highlight w:val="none"/>
              </w:rPr>
              <w:t>项目经理</w:t>
            </w:r>
          </w:p>
        </w:tc>
        <w:tc>
          <w:tcPr>
            <w:tcW w:w="1418" w:type="dxa"/>
            <w:noWrap w:val="0"/>
            <w:vAlign w:val="center"/>
          </w:tcPr>
          <w:p w14:paraId="6B6419DB">
            <w:pPr>
              <w:spacing w:line="400" w:lineRule="exact"/>
              <w:ind w:firstLine="420" w:firstLineChars="200"/>
              <w:rPr>
                <w:rFonts w:ascii="宋体" w:hAnsi="宋体"/>
                <w:color w:val="auto"/>
                <w:szCs w:val="21"/>
                <w:highlight w:val="none"/>
              </w:rPr>
            </w:pPr>
          </w:p>
        </w:tc>
        <w:tc>
          <w:tcPr>
            <w:tcW w:w="1134" w:type="dxa"/>
            <w:noWrap w:val="0"/>
            <w:vAlign w:val="center"/>
          </w:tcPr>
          <w:p w14:paraId="4710F943">
            <w:pPr>
              <w:spacing w:line="400" w:lineRule="exact"/>
              <w:ind w:firstLine="420" w:firstLineChars="200"/>
              <w:rPr>
                <w:rFonts w:ascii="宋体" w:hAnsi="宋体"/>
                <w:color w:val="auto"/>
                <w:szCs w:val="21"/>
                <w:highlight w:val="none"/>
              </w:rPr>
            </w:pPr>
          </w:p>
        </w:tc>
        <w:tc>
          <w:tcPr>
            <w:tcW w:w="1134" w:type="dxa"/>
            <w:noWrap w:val="0"/>
            <w:vAlign w:val="center"/>
          </w:tcPr>
          <w:p w14:paraId="0A202D2A">
            <w:pPr>
              <w:spacing w:line="400" w:lineRule="exact"/>
              <w:ind w:firstLine="420" w:firstLineChars="200"/>
              <w:rPr>
                <w:rFonts w:ascii="宋体" w:hAnsi="宋体"/>
                <w:color w:val="auto"/>
                <w:szCs w:val="21"/>
                <w:highlight w:val="none"/>
              </w:rPr>
            </w:pPr>
          </w:p>
        </w:tc>
        <w:tc>
          <w:tcPr>
            <w:tcW w:w="4252" w:type="dxa"/>
            <w:noWrap w:val="0"/>
            <w:vAlign w:val="center"/>
          </w:tcPr>
          <w:p w14:paraId="2D13B217">
            <w:pPr>
              <w:spacing w:line="400" w:lineRule="exact"/>
              <w:ind w:firstLine="420" w:firstLineChars="200"/>
              <w:rPr>
                <w:rFonts w:ascii="宋体" w:hAnsi="宋体"/>
                <w:color w:val="auto"/>
                <w:szCs w:val="21"/>
                <w:highlight w:val="none"/>
              </w:rPr>
            </w:pPr>
          </w:p>
        </w:tc>
      </w:tr>
      <w:tr w14:paraId="67D6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09F6C18">
            <w:pPr>
              <w:spacing w:line="400" w:lineRule="exact"/>
              <w:jc w:val="center"/>
              <w:rPr>
                <w:rFonts w:ascii="宋体" w:hAnsi="宋体"/>
                <w:color w:val="auto"/>
                <w:szCs w:val="21"/>
                <w:highlight w:val="none"/>
              </w:rPr>
            </w:pPr>
            <w:r>
              <w:rPr>
                <w:rFonts w:hint="eastAsia" w:ascii="宋体" w:hAnsi="宋体"/>
                <w:color w:val="auto"/>
                <w:szCs w:val="21"/>
                <w:highlight w:val="none"/>
              </w:rPr>
              <w:t>项目副经理</w:t>
            </w:r>
          </w:p>
        </w:tc>
        <w:tc>
          <w:tcPr>
            <w:tcW w:w="1418" w:type="dxa"/>
            <w:noWrap w:val="0"/>
            <w:vAlign w:val="center"/>
          </w:tcPr>
          <w:p w14:paraId="1F9A87E7">
            <w:pPr>
              <w:spacing w:line="400" w:lineRule="exact"/>
              <w:ind w:firstLine="420" w:firstLineChars="200"/>
              <w:rPr>
                <w:rFonts w:ascii="宋体" w:hAnsi="宋体"/>
                <w:color w:val="auto"/>
                <w:szCs w:val="21"/>
                <w:highlight w:val="none"/>
              </w:rPr>
            </w:pPr>
          </w:p>
        </w:tc>
        <w:tc>
          <w:tcPr>
            <w:tcW w:w="1134" w:type="dxa"/>
            <w:noWrap w:val="0"/>
            <w:vAlign w:val="center"/>
          </w:tcPr>
          <w:p w14:paraId="50F652BF">
            <w:pPr>
              <w:spacing w:line="400" w:lineRule="exact"/>
              <w:ind w:firstLine="420" w:firstLineChars="200"/>
              <w:rPr>
                <w:rFonts w:ascii="宋体" w:hAnsi="宋体"/>
                <w:color w:val="auto"/>
                <w:szCs w:val="21"/>
                <w:highlight w:val="none"/>
              </w:rPr>
            </w:pPr>
          </w:p>
        </w:tc>
        <w:tc>
          <w:tcPr>
            <w:tcW w:w="1134" w:type="dxa"/>
            <w:noWrap w:val="0"/>
            <w:vAlign w:val="center"/>
          </w:tcPr>
          <w:p w14:paraId="77A94E63">
            <w:pPr>
              <w:spacing w:line="400" w:lineRule="exact"/>
              <w:ind w:firstLine="420" w:firstLineChars="200"/>
              <w:rPr>
                <w:rFonts w:ascii="宋体" w:hAnsi="宋体"/>
                <w:color w:val="auto"/>
                <w:szCs w:val="21"/>
                <w:highlight w:val="none"/>
              </w:rPr>
            </w:pPr>
          </w:p>
        </w:tc>
        <w:tc>
          <w:tcPr>
            <w:tcW w:w="4252" w:type="dxa"/>
            <w:noWrap w:val="0"/>
            <w:vAlign w:val="center"/>
          </w:tcPr>
          <w:p w14:paraId="7D5E5A24">
            <w:pPr>
              <w:spacing w:line="400" w:lineRule="exact"/>
              <w:ind w:firstLine="420" w:firstLineChars="200"/>
              <w:rPr>
                <w:rFonts w:ascii="宋体" w:hAnsi="宋体"/>
                <w:color w:val="auto"/>
                <w:szCs w:val="21"/>
                <w:highlight w:val="none"/>
              </w:rPr>
            </w:pPr>
          </w:p>
        </w:tc>
      </w:tr>
      <w:tr w14:paraId="1944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1B3219C">
            <w:pPr>
              <w:spacing w:line="400" w:lineRule="exact"/>
              <w:jc w:val="center"/>
              <w:rPr>
                <w:rFonts w:ascii="宋体" w:hAnsi="宋体"/>
                <w:color w:val="auto"/>
                <w:szCs w:val="21"/>
                <w:highlight w:val="none"/>
              </w:rPr>
            </w:pPr>
            <w:r>
              <w:rPr>
                <w:rFonts w:hint="eastAsia" w:ascii="宋体" w:hAnsi="宋体"/>
                <w:color w:val="auto"/>
                <w:szCs w:val="21"/>
                <w:highlight w:val="none"/>
              </w:rPr>
              <w:t>技术负责人</w:t>
            </w:r>
          </w:p>
        </w:tc>
        <w:tc>
          <w:tcPr>
            <w:tcW w:w="1418" w:type="dxa"/>
            <w:noWrap w:val="0"/>
            <w:vAlign w:val="center"/>
          </w:tcPr>
          <w:p w14:paraId="31860EA9">
            <w:pPr>
              <w:spacing w:line="400" w:lineRule="exact"/>
              <w:ind w:firstLine="420" w:firstLineChars="200"/>
              <w:rPr>
                <w:rFonts w:ascii="宋体" w:hAnsi="宋体"/>
                <w:color w:val="auto"/>
                <w:szCs w:val="21"/>
                <w:highlight w:val="none"/>
              </w:rPr>
            </w:pPr>
          </w:p>
        </w:tc>
        <w:tc>
          <w:tcPr>
            <w:tcW w:w="1134" w:type="dxa"/>
            <w:noWrap w:val="0"/>
            <w:vAlign w:val="center"/>
          </w:tcPr>
          <w:p w14:paraId="3F2BD57D">
            <w:pPr>
              <w:spacing w:line="400" w:lineRule="exact"/>
              <w:ind w:firstLine="420" w:firstLineChars="200"/>
              <w:rPr>
                <w:rFonts w:ascii="宋体" w:hAnsi="宋体"/>
                <w:color w:val="auto"/>
                <w:szCs w:val="21"/>
                <w:highlight w:val="none"/>
              </w:rPr>
            </w:pPr>
          </w:p>
        </w:tc>
        <w:tc>
          <w:tcPr>
            <w:tcW w:w="1134" w:type="dxa"/>
            <w:noWrap w:val="0"/>
            <w:vAlign w:val="center"/>
          </w:tcPr>
          <w:p w14:paraId="15DABEBB">
            <w:pPr>
              <w:spacing w:line="400" w:lineRule="exact"/>
              <w:ind w:firstLine="420" w:firstLineChars="200"/>
              <w:rPr>
                <w:rFonts w:ascii="宋体" w:hAnsi="宋体"/>
                <w:color w:val="auto"/>
                <w:szCs w:val="21"/>
                <w:highlight w:val="none"/>
              </w:rPr>
            </w:pPr>
          </w:p>
        </w:tc>
        <w:tc>
          <w:tcPr>
            <w:tcW w:w="4252" w:type="dxa"/>
            <w:noWrap w:val="0"/>
            <w:vAlign w:val="center"/>
          </w:tcPr>
          <w:p w14:paraId="35F95FBA">
            <w:pPr>
              <w:spacing w:line="400" w:lineRule="exact"/>
              <w:ind w:firstLine="420" w:firstLineChars="200"/>
              <w:rPr>
                <w:rFonts w:ascii="宋体" w:hAnsi="宋体"/>
                <w:color w:val="auto"/>
                <w:szCs w:val="21"/>
                <w:highlight w:val="none"/>
              </w:rPr>
            </w:pPr>
          </w:p>
        </w:tc>
      </w:tr>
      <w:tr w14:paraId="1124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C38D3E8">
            <w:pPr>
              <w:spacing w:line="400" w:lineRule="exact"/>
              <w:jc w:val="center"/>
              <w:rPr>
                <w:rFonts w:ascii="宋体" w:hAnsi="宋体"/>
                <w:color w:val="auto"/>
                <w:szCs w:val="21"/>
                <w:highlight w:val="none"/>
              </w:rPr>
            </w:pPr>
            <w:r>
              <w:rPr>
                <w:rFonts w:hint="eastAsia" w:ascii="宋体" w:hAnsi="宋体"/>
                <w:color w:val="auto"/>
                <w:szCs w:val="21"/>
                <w:highlight w:val="none"/>
              </w:rPr>
              <w:t>造价管理</w:t>
            </w:r>
          </w:p>
        </w:tc>
        <w:tc>
          <w:tcPr>
            <w:tcW w:w="1418" w:type="dxa"/>
            <w:noWrap w:val="0"/>
            <w:vAlign w:val="center"/>
          </w:tcPr>
          <w:p w14:paraId="4C0389B4">
            <w:pPr>
              <w:spacing w:line="400" w:lineRule="exact"/>
              <w:ind w:firstLine="420" w:firstLineChars="200"/>
              <w:rPr>
                <w:rFonts w:ascii="宋体" w:hAnsi="宋体"/>
                <w:color w:val="auto"/>
                <w:szCs w:val="21"/>
                <w:highlight w:val="none"/>
              </w:rPr>
            </w:pPr>
          </w:p>
        </w:tc>
        <w:tc>
          <w:tcPr>
            <w:tcW w:w="1134" w:type="dxa"/>
            <w:noWrap w:val="0"/>
            <w:vAlign w:val="center"/>
          </w:tcPr>
          <w:p w14:paraId="182EF7CE">
            <w:pPr>
              <w:spacing w:line="400" w:lineRule="exact"/>
              <w:ind w:firstLine="420" w:firstLineChars="200"/>
              <w:rPr>
                <w:rFonts w:ascii="宋体" w:hAnsi="宋体"/>
                <w:color w:val="auto"/>
                <w:szCs w:val="21"/>
                <w:highlight w:val="none"/>
              </w:rPr>
            </w:pPr>
          </w:p>
        </w:tc>
        <w:tc>
          <w:tcPr>
            <w:tcW w:w="1134" w:type="dxa"/>
            <w:noWrap w:val="0"/>
            <w:vAlign w:val="center"/>
          </w:tcPr>
          <w:p w14:paraId="00F56E1E">
            <w:pPr>
              <w:spacing w:line="400" w:lineRule="exact"/>
              <w:ind w:firstLine="420" w:firstLineChars="200"/>
              <w:rPr>
                <w:rFonts w:ascii="宋体" w:hAnsi="宋体"/>
                <w:color w:val="auto"/>
                <w:szCs w:val="21"/>
                <w:highlight w:val="none"/>
              </w:rPr>
            </w:pPr>
          </w:p>
        </w:tc>
        <w:tc>
          <w:tcPr>
            <w:tcW w:w="4252" w:type="dxa"/>
            <w:noWrap w:val="0"/>
            <w:vAlign w:val="center"/>
          </w:tcPr>
          <w:p w14:paraId="3B1A87DB">
            <w:pPr>
              <w:spacing w:line="400" w:lineRule="exact"/>
              <w:ind w:firstLine="420" w:firstLineChars="200"/>
              <w:rPr>
                <w:rFonts w:ascii="宋体" w:hAnsi="宋体"/>
                <w:color w:val="auto"/>
                <w:szCs w:val="21"/>
                <w:highlight w:val="none"/>
              </w:rPr>
            </w:pPr>
          </w:p>
        </w:tc>
      </w:tr>
      <w:tr w14:paraId="1323B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EACD5E2">
            <w:pPr>
              <w:spacing w:line="400" w:lineRule="exact"/>
              <w:jc w:val="center"/>
              <w:rPr>
                <w:rFonts w:ascii="宋体" w:hAnsi="宋体"/>
                <w:color w:val="auto"/>
                <w:szCs w:val="21"/>
                <w:highlight w:val="none"/>
              </w:rPr>
            </w:pPr>
            <w:r>
              <w:rPr>
                <w:rFonts w:hint="eastAsia" w:ascii="宋体" w:hAnsi="宋体"/>
                <w:color w:val="auto"/>
                <w:szCs w:val="21"/>
                <w:highlight w:val="none"/>
              </w:rPr>
              <w:t>质量管理</w:t>
            </w:r>
          </w:p>
        </w:tc>
        <w:tc>
          <w:tcPr>
            <w:tcW w:w="1418" w:type="dxa"/>
            <w:noWrap w:val="0"/>
            <w:vAlign w:val="center"/>
          </w:tcPr>
          <w:p w14:paraId="2905DA00">
            <w:pPr>
              <w:spacing w:line="400" w:lineRule="exact"/>
              <w:ind w:firstLine="420" w:firstLineChars="200"/>
              <w:rPr>
                <w:rFonts w:ascii="宋体" w:hAnsi="宋体"/>
                <w:color w:val="auto"/>
                <w:szCs w:val="21"/>
                <w:highlight w:val="none"/>
              </w:rPr>
            </w:pPr>
          </w:p>
        </w:tc>
        <w:tc>
          <w:tcPr>
            <w:tcW w:w="1134" w:type="dxa"/>
            <w:noWrap w:val="0"/>
            <w:vAlign w:val="center"/>
          </w:tcPr>
          <w:p w14:paraId="3D449AB9">
            <w:pPr>
              <w:spacing w:line="400" w:lineRule="exact"/>
              <w:ind w:firstLine="420" w:firstLineChars="200"/>
              <w:rPr>
                <w:rFonts w:ascii="宋体" w:hAnsi="宋体"/>
                <w:color w:val="auto"/>
                <w:szCs w:val="21"/>
                <w:highlight w:val="none"/>
              </w:rPr>
            </w:pPr>
          </w:p>
        </w:tc>
        <w:tc>
          <w:tcPr>
            <w:tcW w:w="1134" w:type="dxa"/>
            <w:noWrap w:val="0"/>
            <w:vAlign w:val="center"/>
          </w:tcPr>
          <w:p w14:paraId="0F34A74A">
            <w:pPr>
              <w:spacing w:line="400" w:lineRule="exact"/>
              <w:ind w:firstLine="420" w:firstLineChars="200"/>
              <w:rPr>
                <w:rFonts w:ascii="宋体" w:hAnsi="宋体"/>
                <w:color w:val="auto"/>
                <w:szCs w:val="21"/>
                <w:highlight w:val="none"/>
              </w:rPr>
            </w:pPr>
          </w:p>
        </w:tc>
        <w:tc>
          <w:tcPr>
            <w:tcW w:w="4252" w:type="dxa"/>
            <w:noWrap w:val="0"/>
            <w:vAlign w:val="center"/>
          </w:tcPr>
          <w:p w14:paraId="1EBA0EA2">
            <w:pPr>
              <w:spacing w:line="400" w:lineRule="exact"/>
              <w:ind w:firstLine="420" w:firstLineChars="200"/>
              <w:rPr>
                <w:rFonts w:ascii="宋体" w:hAnsi="宋体"/>
                <w:color w:val="auto"/>
                <w:szCs w:val="21"/>
                <w:highlight w:val="none"/>
              </w:rPr>
            </w:pPr>
          </w:p>
        </w:tc>
      </w:tr>
      <w:tr w14:paraId="6D70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0EE761A">
            <w:pPr>
              <w:spacing w:line="400" w:lineRule="exact"/>
              <w:jc w:val="center"/>
              <w:rPr>
                <w:rFonts w:ascii="宋体" w:hAnsi="宋体"/>
                <w:color w:val="auto"/>
                <w:szCs w:val="21"/>
                <w:highlight w:val="none"/>
              </w:rPr>
            </w:pPr>
            <w:r>
              <w:rPr>
                <w:rFonts w:hint="eastAsia" w:ascii="宋体" w:hAnsi="宋体"/>
                <w:color w:val="auto"/>
                <w:szCs w:val="21"/>
                <w:highlight w:val="none"/>
              </w:rPr>
              <w:t>材料管理</w:t>
            </w:r>
          </w:p>
        </w:tc>
        <w:tc>
          <w:tcPr>
            <w:tcW w:w="1418" w:type="dxa"/>
            <w:noWrap w:val="0"/>
            <w:vAlign w:val="center"/>
          </w:tcPr>
          <w:p w14:paraId="6AA5F693">
            <w:pPr>
              <w:spacing w:line="400" w:lineRule="exact"/>
              <w:ind w:firstLine="420" w:firstLineChars="200"/>
              <w:rPr>
                <w:rFonts w:ascii="宋体" w:hAnsi="宋体"/>
                <w:color w:val="auto"/>
                <w:szCs w:val="21"/>
                <w:highlight w:val="none"/>
              </w:rPr>
            </w:pPr>
          </w:p>
        </w:tc>
        <w:tc>
          <w:tcPr>
            <w:tcW w:w="1134" w:type="dxa"/>
            <w:noWrap w:val="0"/>
            <w:vAlign w:val="center"/>
          </w:tcPr>
          <w:p w14:paraId="5D1394E3">
            <w:pPr>
              <w:spacing w:line="400" w:lineRule="exact"/>
              <w:ind w:firstLine="420" w:firstLineChars="200"/>
              <w:rPr>
                <w:rFonts w:ascii="宋体" w:hAnsi="宋体"/>
                <w:color w:val="auto"/>
                <w:szCs w:val="21"/>
                <w:highlight w:val="none"/>
              </w:rPr>
            </w:pPr>
          </w:p>
        </w:tc>
        <w:tc>
          <w:tcPr>
            <w:tcW w:w="1134" w:type="dxa"/>
            <w:noWrap w:val="0"/>
            <w:vAlign w:val="center"/>
          </w:tcPr>
          <w:p w14:paraId="30F84DDA">
            <w:pPr>
              <w:spacing w:line="400" w:lineRule="exact"/>
              <w:ind w:firstLine="420" w:firstLineChars="200"/>
              <w:rPr>
                <w:rFonts w:ascii="宋体" w:hAnsi="宋体"/>
                <w:color w:val="auto"/>
                <w:szCs w:val="21"/>
                <w:highlight w:val="none"/>
              </w:rPr>
            </w:pPr>
          </w:p>
        </w:tc>
        <w:tc>
          <w:tcPr>
            <w:tcW w:w="4252" w:type="dxa"/>
            <w:noWrap w:val="0"/>
            <w:vAlign w:val="center"/>
          </w:tcPr>
          <w:p w14:paraId="3AAF1791">
            <w:pPr>
              <w:spacing w:line="400" w:lineRule="exact"/>
              <w:ind w:firstLine="420" w:firstLineChars="200"/>
              <w:rPr>
                <w:rFonts w:ascii="宋体" w:hAnsi="宋体"/>
                <w:color w:val="auto"/>
                <w:szCs w:val="21"/>
                <w:highlight w:val="none"/>
              </w:rPr>
            </w:pPr>
          </w:p>
        </w:tc>
      </w:tr>
      <w:tr w14:paraId="59ADC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DFEBB42">
            <w:pPr>
              <w:spacing w:line="400" w:lineRule="exact"/>
              <w:jc w:val="center"/>
              <w:rPr>
                <w:rFonts w:ascii="宋体" w:hAnsi="宋体"/>
                <w:color w:val="auto"/>
                <w:szCs w:val="21"/>
                <w:highlight w:val="none"/>
              </w:rPr>
            </w:pPr>
            <w:r>
              <w:rPr>
                <w:rFonts w:hint="eastAsia" w:ascii="宋体" w:hAnsi="宋体"/>
                <w:color w:val="auto"/>
                <w:szCs w:val="21"/>
                <w:highlight w:val="none"/>
              </w:rPr>
              <w:t>计划管理</w:t>
            </w:r>
          </w:p>
        </w:tc>
        <w:tc>
          <w:tcPr>
            <w:tcW w:w="1418" w:type="dxa"/>
            <w:noWrap w:val="0"/>
            <w:vAlign w:val="center"/>
          </w:tcPr>
          <w:p w14:paraId="07C453B0">
            <w:pPr>
              <w:spacing w:line="400" w:lineRule="exact"/>
              <w:ind w:firstLine="420" w:firstLineChars="200"/>
              <w:rPr>
                <w:rFonts w:ascii="宋体" w:hAnsi="宋体"/>
                <w:color w:val="auto"/>
                <w:szCs w:val="21"/>
                <w:highlight w:val="none"/>
              </w:rPr>
            </w:pPr>
          </w:p>
        </w:tc>
        <w:tc>
          <w:tcPr>
            <w:tcW w:w="1134" w:type="dxa"/>
            <w:noWrap w:val="0"/>
            <w:vAlign w:val="center"/>
          </w:tcPr>
          <w:p w14:paraId="0CA19049">
            <w:pPr>
              <w:spacing w:line="400" w:lineRule="exact"/>
              <w:ind w:firstLine="420" w:firstLineChars="200"/>
              <w:rPr>
                <w:rFonts w:ascii="宋体" w:hAnsi="宋体"/>
                <w:color w:val="auto"/>
                <w:szCs w:val="21"/>
                <w:highlight w:val="none"/>
              </w:rPr>
            </w:pPr>
          </w:p>
        </w:tc>
        <w:tc>
          <w:tcPr>
            <w:tcW w:w="1134" w:type="dxa"/>
            <w:noWrap w:val="0"/>
            <w:vAlign w:val="center"/>
          </w:tcPr>
          <w:p w14:paraId="52442BCB">
            <w:pPr>
              <w:spacing w:line="400" w:lineRule="exact"/>
              <w:ind w:firstLine="420" w:firstLineChars="200"/>
              <w:rPr>
                <w:rFonts w:ascii="宋体" w:hAnsi="宋体"/>
                <w:color w:val="auto"/>
                <w:szCs w:val="21"/>
                <w:highlight w:val="none"/>
              </w:rPr>
            </w:pPr>
          </w:p>
        </w:tc>
        <w:tc>
          <w:tcPr>
            <w:tcW w:w="4252" w:type="dxa"/>
            <w:noWrap w:val="0"/>
            <w:vAlign w:val="center"/>
          </w:tcPr>
          <w:p w14:paraId="2A21B156">
            <w:pPr>
              <w:spacing w:line="400" w:lineRule="exact"/>
              <w:ind w:firstLine="420" w:firstLineChars="200"/>
              <w:rPr>
                <w:rFonts w:ascii="宋体" w:hAnsi="宋体"/>
                <w:color w:val="auto"/>
                <w:szCs w:val="21"/>
                <w:highlight w:val="none"/>
              </w:rPr>
            </w:pPr>
          </w:p>
        </w:tc>
      </w:tr>
      <w:tr w14:paraId="42D2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46B2B0D">
            <w:pPr>
              <w:spacing w:line="400" w:lineRule="exact"/>
              <w:jc w:val="center"/>
              <w:rPr>
                <w:rFonts w:ascii="宋体" w:hAnsi="宋体"/>
                <w:color w:val="auto"/>
                <w:szCs w:val="21"/>
                <w:highlight w:val="none"/>
              </w:rPr>
            </w:pPr>
            <w:r>
              <w:rPr>
                <w:rFonts w:hint="eastAsia" w:ascii="宋体" w:hAnsi="宋体"/>
                <w:color w:val="auto"/>
                <w:szCs w:val="21"/>
                <w:highlight w:val="none"/>
              </w:rPr>
              <w:t>安全管理</w:t>
            </w:r>
          </w:p>
        </w:tc>
        <w:tc>
          <w:tcPr>
            <w:tcW w:w="1418" w:type="dxa"/>
            <w:noWrap w:val="0"/>
            <w:vAlign w:val="center"/>
          </w:tcPr>
          <w:p w14:paraId="28A82A63">
            <w:pPr>
              <w:spacing w:line="400" w:lineRule="exact"/>
              <w:ind w:firstLine="420" w:firstLineChars="200"/>
              <w:rPr>
                <w:rFonts w:ascii="宋体" w:hAnsi="宋体"/>
                <w:color w:val="auto"/>
                <w:szCs w:val="21"/>
                <w:highlight w:val="none"/>
              </w:rPr>
            </w:pPr>
          </w:p>
        </w:tc>
        <w:tc>
          <w:tcPr>
            <w:tcW w:w="1134" w:type="dxa"/>
            <w:noWrap w:val="0"/>
            <w:vAlign w:val="center"/>
          </w:tcPr>
          <w:p w14:paraId="426F4B76">
            <w:pPr>
              <w:spacing w:line="400" w:lineRule="exact"/>
              <w:ind w:firstLine="420" w:firstLineChars="200"/>
              <w:rPr>
                <w:rFonts w:ascii="宋体" w:hAnsi="宋体"/>
                <w:color w:val="auto"/>
                <w:szCs w:val="21"/>
                <w:highlight w:val="none"/>
              </w:rPr>
            </w:pPr>
          </w:p>
        </w:tc>
        <w:tc>
          <w:tcPr>
            <w:tcW w:w="1134" w:type="dxa"/>
            <w:noWrap w:val="0"/>
            <w:vAlign w:val="center"/>
          </w:tcPr>
          <w:p w14:paraId="138BFF45">
            <w:pPr>
              <w:spacing w:line="400" w:lineRule="exact"/>
              <w:ind w:firstLine="420" w:firstLineChars="200"/>
              <w:rPr>
                <w:rFonts w:ascii="宋体" w:hAnsi="宋体"/>
                <w:color w:val="auto"/>
                <w:szCs w:val="21"/>
                <w:highlight w:val="none"/>
              </w:rPr>
            </w:pPr>
          </w:p>
        </w:tc>
        <w:tc>
          <w:tcPr>
            <w:tcW w:w="4252" w:type="dxa"/>
            <w:noWrap w:val="0"/>
            <w:vAlign w:val="center"/>
          </w:tcPr>
          <w:p w14:paraId="58BACDBD">
            <w:pPr>
              <w:spacing w:line="400" w:lineRule="exact"/>
              <w:ind w:firstLine="420" w:firstLineChars="200"/>
              <w:rPr>
                <w:rFonts w:ascii="宋体" w:hAnsi="宋体"/>
                <w:color w:val="auto"/>
                <w:szCs w:val="21"/>
                <w:highlight w:val="none"/>
              </w:rPr>
            </w:pPr>
          </w:p>
        </w:tc>
      </w:tr>
      <w:tr w14:paraId="3543A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4449AB72">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noWrap w:val="0"/>
            <w:vAlign w:val="center"/>
          </w:tcPr>
          <w:p w14:paraId="076C6C04">
            <w:pPr>
              <w:spacing w:line="400" w:lineRule="exact"/>
              <w:ind w:firstLine="420" w:firstLineChars="200"/>
              <w:rPr>
                <w:rFonts w:ascii="宋体" w:hAnsi="宋体"/>
                <w:color w:val="auto"/>
                <w:szCs w:val="21"/>
                <w:highlight w:val="none"/>
              </w:rPr>
            </w:pPr>
          </w:p>
        </w:tc>
        <w:tc>
          <w:tcPr>
            <w:tcW w:w="1134" w:type="dxa"/>
            <w:noWrap w:val="0"/>
            <w:vAlign w:val="center"/>
          </w:tcPr>
          <w:p w14:paraId="41BBBF51">
            <w:pPr>
              <w:spacing w:line="400" w:lineRule="exact"/>
              <w:ind w:firstLine="420" w:firstLineChars="200"/>
              <w:rPr>
                <w:rFonts w:ascii="宋体" w:hAnsi="宋体"/>
                <w:color w:val="auto"/>
                <w:szCs w:val="21"/>
                <w:highlight w:val="none"/>
              </w:rPr>
            </w:pPr>
          </w:p>
        </w:tc>
        <w:tc>
          <w:tcPr>
            <w:tcW w:w="1134" w:type="dxa"/>
            <w:noWrap w:val="0"/>
            <w:vAlign w:val="center"/>
          </w:tcPr>
          <w:p w14:paraId="4E2A0F99">
            <w:pPr>
              <w:spacing w:line="400" w:lineRule="exact"/>
              <w:ind w:firstLine="420" w:firstLineChars="200"/>
              <w:rPr>
                <w:rFonts w:ascii="宋体" w:hAnsi="宋体"/>
                <w:color w:val="auto"/>
                <w:szCs w:val="21"/>
                <w:highlight w:val="none"/>
              </w:rPr>
            </w:pPr>
          </w:p>
        </w:tc>
        <w:tc>
          <w:tcPr>
            <w:tcW w:w="4252" w:type="dxa"/>
            <w:noWrap w:val="0"/>
            <w:vAlign w:val="center"/>
          </w:tcPr>
          <w:p w14:paraId="6CC96ED7">
            <w:pPr>
              <w:spacing w:line="400" w:lineRule="exact"/>
              <w:ind w:firstLine="420" w:firstLineChars="200"/>
              <w:rPr>
                <w:rFonts w:ascii="宋体" w:hAnsi="宋体"/>
                <w:color w:val="auto"/>
                <w:szCs w:val="21"/>
                <w:highlight w:val="none"/>
              </w:rPr>
            </w:pPr>
          </w:p>
        </w:tc>
      </w:tr>
      <w:tr w14:paraId="4D9E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5F1DD9C">
            <w:pPr>
              <w:spacing w:line="400" w:lineRule="exact"/>
              <w:ind w:firstLine="420" w:firstLineChars="200"/>
              <w:rPr>
                <w:rFonts w:ascii="宋体" w:hAnsi="宋体"/>
                <w:color w:val="auto"/>
                <w:szCs w:val="21"/>
                <w:highlight w:val="none"/>
              </w:rPr>
            </w:pPr>
          </w:p>
        </w:tc>
        <w:tc>
          <w:tcPr>
            <w:tcW w:w="1418" w:type="dxa"/>
            <w:noWrap w:val="0"/>
            <w:vAlign w:val="center"/>
          </w:tcPr>
          <w:p w14:paraId="5021FC6E">
            <w:pPr>
              <w:spacing w:line="400" w:lineRule="exact"/>
              <w:ind w:firstLine="420" w:firstLineChars="200"/>
              <w:rPr>
                <w:rFonts w:ascii="宋体" w:hAnsi="宋体"/>
                <w:color w:val="auto"/>
                <w:szCs w:val="21"/>
                <w:highlight w:val="none"/>
              </w:rPr>
            </w:pPr>
          </w:p>
        </w:tc>
        <w:tc>
          <w:tcPr>
            <w:tcW w:w="1134" w:type="dxa"/>
            <w:noWrap w:val="0"/>
            <w:vAlign w:val="center"/>
          </w:tcPr>
          <w:p w14:paraId="5E71A722">
            <w:pPr>
              <w:spacing w:line="400" w:lineRule="exact"/>
              <w:ind w:firstLine="420" w:firstLineChars="200"/>
              <w:rPr>
                <w:rFonts w:ascii="宋体" w:hAnsi="宋体"/>
                <w:color w:val="auto"/>
                <w:szCs w:val="21"/>
                <w:highlight w:val="none"/>
              </w:rPr>
            </w:pPr>
          </w:p>
        </w:tc>
        <w:tc>
          <w:tcPr>
            <w:tcW w:w="1134" w:type="dxa"/>
            <w:noWrap w:val="0"/>
            <w:vAlign w:val="center"/>
          </w:tcPr>
          <w:p w14:paraId="11C340EC">
            <w:pPr>
              <w:spacing w:line="400" w:lineRule="exact"/>
              <w:ind w:firstLine="420" w:firstLineChars="200"/>
              <w:rPr>
                <w:rFonts w:ascii="宋体" w:hAnsi="宋体"/>
                <w:color w:val="auto"/>
                <w:szCs w:val="21"/>
                <w:highlight w:val="none"/>
              </w:rPr>
            </w:pPr>
          </w:p>
        </w:tc>
        <w:tc>
          <w:tcPr>
            <w:tcW w:w="4252" w:type="dxa"/>
            <w:noWrap w:val="0"/>
            <w:vAlign w:val="center"/>
          </w:tcPr>
          <w:p w14:paraId="7197DDA2">
            <w:pPr>
              <w:spacing w:line="400" w:lineRule="exact"/>
              <w:ind w:firstLine="420" w:firstLineChars="200"/>
              <w:rPr>
                <w:rFonts w:ascii="宋体" w:hAnsi="宋体"/>
                <w:color w:val="auto"/>
                <w:szCs w:val="21"/>
                <w:highlight w:val="none"/>
              </w:rPr>
            </w:pPr>
          </w:p>
        </w:tc>
      </w:tr>
      <w:tr w14:paraId="1316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241E3D3">
            <w:pPr>
              <w:spacing w:line="400" w:lineRule="exact"/>
              <w:ind w:firstLine="420" w:firstLineChars="200"/>
              <w:rPr>
                <w:rFonts w:ascii="宋体" w:hAnsi="宋体"/>
                <w:color w:val="auto"/>
                <w:szCs w:val="21"/>
                <w:highlight w:val="none"/>
              </w:rPr>
            </w:pPr>
          </w:p>
        </w:tc>
        <w:tc>
          <w:tcPr>
            <w:tcW w:w="1418" w:type="dxa"/>
            <w:noWrap w:val="0"/>
            <w:vAlign w:val="center"/>
          </w:tcPr>
          <w:p w14:paraId="02207E31">
            <w:pPr>
              <w:spacing w:line="400" w:lineRule="exact"/>
              <w:ind w:firstLine="420" w:firstLineChars="200"/>
              <w:rPr>
                <w:rFonts w:ascii="宋体" w:hAnsi="宋体"/>
                <w:color w:val="auto"/>
                <w:szCs w:val="21"/>
                <w:highlight w:val="none"/>
              </w:rPr>
            </w:pPr>
          </w:p>
        </w:tc>
        <w:tc>
          <w:tcPr>
            <w:tcW w:w="1134" w:type="dxa"/>
            <w:noWrap w:val="0"/>
            <w:vAlign w:val="center"/>
          </w:tcPr>
          <w:p w14:paraId="14CAC51B">
            <w:pPr>
              <w:spacing w:line="400" w:lineRule="exact"/>
              <w:ind w:firstLine="420" w:firstLineChars="200"/>
              <w:rPr>
                <w:rFonts w:ascii="宋体" w:hAnsi="宋体"/>
                <w:color w:val="auto"/>
                <w:szCs w:val="21"/>
                <w:highlight w:val="none"/>
              </w:rPr>
            </w:pPr>
          </w:p>
        </w:tc>
        <w:tc>
          <w:tcPr>
            <w:tcW w:w="1134" w:type="dxa"/>
            <w:noWrap w:val="0"/>
            <w:vAlign w:val="center"/>
          </w:tcPr>
          <w:p w14:paraId="35D65A46">
            <w:pPr>
              <w:spacing w:line="400" w:lineRule="exact"/>
              <w:ind w:firstLine="420" w:firstLineChars="200"/>
              <w:rPr>
                <w:rFonts w:ascii="宋体" w:hAnsi="宋体"/>
                <w:color w:val="auto"/>
                <w:szCs w:val="21"/>
                <w:highlight w:val="none"/>
              </w:rPr>
            </w:pPr>
          </w:p>
        </w:tc>
        <w:tc>
          <w:tcPr>
            <w:tcW w:w="4252" w:type="dxa"/>
            <w:noWrap w:val="0"/>
            <w:vAlign w:val="center"/>
          </w:tcPr>
          <w:p w14:paraId="3FFAC1B8">
            <w:pPr>
              <w:spacing w:line="400" w:lineRule="exact"/>
              <w:ind w:firstLine="420" w:firstLineChars="200"/>
              <w:rPr>
                <w:rFonts w:ascii="宋体" w:hAnsi="宋体"/>
                <w:color w:val="auto"/>
                <w:szCs w:val="21"/>
                <w:highlight w:val="none"/>
              </w:rPr>
            </w:pPr>
          </w:p>
        </w:tc>
      </w:tr>
      <w:tr w14:paraId="50FD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noWrap w:val="0"/>
            <w:vAlign w:val="center"/>
          </w:tcPr>
          <w:p w14:paraId="05541C4E">
            <w:pPr>
              <w:spacing w:line="400" w:lineRule="exact"/>
              <w:ind w:firstLine="420" w:firstLineChars="200"/>
              <w:rPr>
                <w:rFonts w:ascii="宋体" w:hAnsi="宋体"/>
                <w:color w:val="auto"/>
                <w:szCs w:val="21"/>
                <w:highlight w:val="none"/>
              </w:rPr>
            </w:pPr>
          </w:p>
        </w:tc>
        <w:tc>
          <w:tcPr>
            <w:tcW w:w="1418" w:type="dxa"/>
            <w:noWrap w:val="0"/>
            <w:vAlign w:val="center"/>
          </w:tcPr>
          <w:p w14:paraId="3633AD87">
            <w:pPr>
              <w:spacing w:line="400" w:lineRule="exact"/>
              <w:ind w:firstLine="420" w:firstLineChars="200"/>
              <w:rPr>
                <w:rFonts w:ascii="宋体" w:hAnsi="宋体"/>
                <w:color w:val="auto"/>
                <w:szCs w:val="21"/>
                <w:highlight w:val="none"/>
              </w:rPr>
            </w:pPr>
          </w:p>
        </w:tc>
        <w:tc>
          <w:tcPr>
            <w:tcW w:w="1134" w:type="dxa"/>
            <w:noWrap w:val="0"/>
            <w:vAlign w:val="center"/>
          </w:tcPr>
          <w:p w14:paraId="32BDA134">
            <w:pPr>
              <w:spacing w:line="400" w:lineRule="exact"/>
              <w:ind w:firstLine="420" w:firstLineChars="200"/>
              <w:rPr>
                <w:rFonts w:ascii="宋体" w:hAnsi="宋体"/>
                <w:color w:val="auto"/>
                <w:szCs w:val="21"/>
                <w:highlight w:val="none"/>
              </w:rPr>
            </w:pPr>
          </w:p>
        </w:tc>
        <w:tc>
          <w:tcPr>
            <w:tcW w:w="1134" w:type="dxa"/>
            <w:noWrap w:val="0"/>
            <w:vAlign w:val="center"/>
          </w:tcPr>
          <w:p w14:paraId="45813E16">
            <w:pPr>
              <w:spacing w:line="400" w:lineRule="exact"/>
              <w:ind w:firstLine="420" w:firstLineChars="200"/>
              <w:rPr>
                <w:rFonts w:ascii="宋体" w:hAnsi="宋体"/>
                <w:color w:val="auto"/>
                <w:szCs w:val="21"/>
                <w:highlight w:val="none"/>
              </w:rPr>
            </w:pPr>
          </w:p>
        </w:tc>
        <w:tc>
          <w:tcPr>
            <w:tcW w:w="4252" w:type="dxa"/>
            <w:noWrap w:val="0"/>
            <w:vAlign w:val="center"/>
          </w:tcPr>
          <w:p w14:paraId="6218293B">
            <w:pPr>
              <w:spacing w:line="400" w:lineRule="exact"/>
              <w:ind w:firstLine="420" w:firstLineChars="200"/>
              <w:rPr>
                <w:rFonts w:ascii="宋体" w:hAnsi="宋体"/>
                <w:color w:val="auto"/>
                <w:szCs w:val="21"/>
                <w:highlight w:val="none"/>
              </w:rPr>
            </w:pPr>
          </w:p>
        </w:tc>
      </w:tr>
      <w:tr w14:paraId="4F3A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noWrap w:val="0"/>
            <w:vAlign w:val="center"/>
          </w:tcPr>
          <w:p w14:paraId="49405140">
            <w:pPr>
              <w:spacing w:line="400" w:lineRule="exact"/>
              <w:ind w:firstLine="420" w:firstLineChars="200"/>
              <w:rPr>
                <w:rFonts w:ascii="宋体" w:hAnsi="宋体"/>
                <w:color w:val="auto"/>
                <w:szCs w:val="21"/>
                <w:highlight w:val="none"/>
              </w:rPr>
            </w:pPr>
          </w:p>
        </w:tc>
        <w:tc>
          <w:tcPr>
            <w:tcW w:w="1418" w:type="dxa"/>
            <w:noWrap w:val="0"/>
            <w:vAlign w:val="center"/>
          </w:tcPr>
          <w:p w14:paraId="3345D97C">
            <w:pPr>
              <w:spacing w:line="400" w:lineRule="exact"/>
              <w:ind w:firstLine="420" w:firstLineChars="200"/>
              <w:rPr>
                <w:rFonts w:ascii="宋体" w:hAnsi="宋体"/>
                <w:color w:val="auto"/>
                <w:szCs w:val="21"/>
                <w:highlight w:val="none"/>
              </w:rPr>
            </w:pPr>
          </w:p>
        </w:tc>
        <w:tc>
          <w:tcPr>
            <w:tcW w:w="1134" w:type="dxa"/>
            <w:noWrap w:val="0"/>
            <w:vAlign w:val="center"/>
          </w:tcPr>
          <w:p w14:paraId="265F1E82">
            <w:pPr>
              <w:spacing w:line="400" w:lineRule="exact"/>
              <w:ind w:firstLine="420" w:firstLineChars="200"/>
              <w:rPr>
                <w:rFonts w:ascii="宋体" w:hAnsi="宋体"/>
                <w:color w:val="auto"/>
                <w:szCs w:val="21"/>
                <w:highlight w:val="none"/>
              </w:rPr>
            </w:pPr>
          </w:p>
        </w:tc>
        <w:tc>
          <w:tcPr>
            <w:tcW w:w="1134" w:type="dxa"/>
            <w:noWrap w:val="0"/>
            <w:vAlign w:val="center"/>
          </w:tcPr>
          <w:p w14:paraId="2EA2078E">
            <w:pPr>
              <w:spacing w:line="400" w:lineRule="exact"/>
              <w:ind w:firstLine="420" w:firstLineChars="200"/>
              <w:rPr>
                <w:rFonts w:ascii="宋体" w:hAnsi="宋体"/>
                <w:color w:val="auto"/>
                <w:szCs w:val="21"/>
                <w:highlight w:val="none"/>
              </w:rPr>
            </w:pPr>
          </w:p>
        </w:tc>
        <w:tc>
          <w:tcPr>
            <w:tcW w:w="4252" w:type="dxa"/>
            <w:noWrap w:val="0"/>
            <w:vAlign w:val="center"/>
          </w:tcPr>
          <w:p w14:paraId="08A72FF5">
            <w:pPr>
              <w:spacing w:line="400" w:lineRule="exact"/>
              <w:ind w:firstLine="420" w:firstLineChars="200"/>
              <w:rPr>
                <w:rFonts w:ascii="宋体" w:hAnsi="宋体"/>
                <w:color w:val="auto"/>
                <w:szCs w:val="21"/>
                <w:highlight w:val="none"/>
              </w:rPr>
            </w:pPr>
          </w:p>
        </w:tc>
      </w:tr>
    </w:tbl>
    <w:p w14:paraId="4668C76E">
      <w:pPr>
        <w:spacing w:line="480" w:lineRule="auto"/>
        <w:rPr>
          <w:rFonts w:ascii="宋体" w:hAnsi="宋体"/>
          <w:color w:val="auto"/>
          <w:szCs w:val="21"/>
          <w:highlight w:val="none"/>
        </w:rPr>
      </w:pPr>
      <w:r>
        <w:rPr>
          <w:rFonts w:hint="eastAsia" w:ascii="宋体" w:hAnsi="宋体"/>
          <w:color w:val="auto"/>
          <w:szCs w:val="21"/>
          <w:highlight w:val="none"/>
        </w:rPr>
        <w:br w:type="page"/>
      </w:r>
      <w:bookmarkStart w:id="2003" w:name="_Toc267261701"/>
      <w:r>
        <w:rPr>
          <w:rFonts w:hint="eastAsia" w:ascii="宋体" w:hAnsi="宋体"/>
          <w:color w:val="auto"/>
          <w:szCs w:val="21"/>
          <w:highlight w:val="none"/>
        </w:rPr>
        <w:t>附</w:t>
      </w:r>
      <w:bookmarkStart w:id="2004" w:name="_Toc296503231"/>
      <w:bookmarkStart w:id="2005" w:name="_Toc296891059"/>
      <w:bookmarkStart w:id="2006" w:name="_Toc296347230"/>
      <w:bookmarkStart w:id="2007" w:name="_Toc296346732"/>
      <w:bookmarkStart w:id="2008" w:name="_Toc296891271"/>
      <w:bookmarkStart w:id="2009" w:name="_Toc296944570"/>
      <w:r>
        <w:rPr>
          <w:rFonts w:hint="eastAsia" w:ascii="宋体" w:hAnsi="宋体"/>
          <w:color w:val="auto"/>
          <w:szCs w:val="21"/>
          <w:highlight w:val="none"/>
        </w:rPr>
        <w:t>件4：</w:t>
      </w:r>
    </w:p>
    <w:bookmarkEnd w:id="2003"/>
    <w:bookmarkEnd w:id="2004"/>
    <w:bookmarkEnd w:id="2005"/>
    <w:bookmarkEnd w:id="2006"/>
    <w:bookmarkEnd w:id="2007"/>
    <w:bookmarkEnd w:id="2008"/>
    <w:bookmarkEnd w:id="2009"/>
    <w:p w14:paraId="77BA1E9A">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履约担保（如有）</w:t>
      </w:r>
    </w:p>
    <w:p w14:paraId="4285620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w:t>
      </w:r>
    </w:p>
    <w:p w14:paraId="5523D0DA">
      <w:pPr>
        <w:spacing w:line="360" w:lineRule="auto"/>
        <w:ind w:firstLine="420" w:firstLineChars="200"/>
        <w:rPr>
          <w:rFonts w:ascii="宋体" w:hAnsi="宋体"/>
          <w:color w:val="auto"/>
          <w:szCs w:val="21"/>
          <w:highlight w:val="none"/>
        </w:rPr>
      </w:pPr>
    </w:p>
    <w:p w14:paraId="2C8AB79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（发包人名称，以下简称“发包人”）与</w:t>
      </w:r>
    </w:p>
    <w:p w14:paraId="7CED31DE">
      <w:pPr>
        <w:spacing w:line="360" w:lineRule="auto"/>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日就</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（工程名称）施工及有关事项协商一致共同签订《建设工程施工合同》。我方愿意无条件地、不可撤销地就承包人履行与你方签订的合同，向你方提供连带责任担保。</w:t>
      </w:r>
    </w:p>
    <w:p w14:paraId="288AE86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CBFFBE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w:t>
      </w:r>
      <w:r>
        <w:rPr>
          <w:rFonts w:hint="eastAsia" w:ascii="宋体" w:hAnsi="宋体"/>
          <w:color w:val="auto"/>
          <w:szCs w:val="21"/>
          <w:highlight w:val="none"/>
          <w:u w:val="single"/>
        </w:rPr>
        <w:t>自</w:t>
      </w:r>
      <w:r>
        <w:rPr>
          <w:rStyle w:val="54"/>
          <w:rFonts w:hint="eastAsia"/>
          <w:color w:val="auto"/>
          <w:highlight w:val="none"/>
        </w:rPr>
        <w:t>我</w:t>
      </w:r>
      <w:r>
        <w:rPr>
          <w:rFonts w:hint="eastAsia" w:ascii="宋体" w:hAnsi="宋体"/>
          <w:color w:val="auto"/>
          <w:szCs w:val="21"/>
          <w:highlight w:val="none"/>
          <w:u w:val="single"/>
        </w:rPr>
        <w:t>方法定代表人（或其委托代理人）签字并加盖公章之日起至你方签发或应签发工程接收证书之日止</w:t>
      </w:r>
      <w:r>
        <w:rPr>
          <w:rFonts w:hint="eastAsia" w:ascii="宋体" w:hAnsi="宋体"/>
          <w:color w:val="auto"/>
          <w:szCs w:val="21"/>
          <w:highlight w:val="none"/>
        </w:rPr>
        <w:t>。</w:t>
      </w:r>
    </w:p>
    <w:p w14:paraId="6099C94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在本担保有效期内，因承包人违反合同约定的义务给你方造成经济损失时，我方在收到你方以书面形式提出的在担保金额内的赔偿要求后，在7天内无条件支付。</w:t>
      </w:r>
    </w:p>
    <w:p w14:paraId="41D00C1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你方和承包人按合同约定变更合同时，我方承担本担保规定的义务不变。</w:t>
      </w:r>
    </w:p>
    <w:p w14:paraId="2FE754F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6C1DD29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5C16F43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52F88BD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本保函自我方法定代表人（或其委托代理人）签字并加盖公章之日起生效。</w:t>
      </w:r>
    </w:p>
    <w:p w14:paraId="3FF3D26F">
      <w:pPr>
        <w:spacing w:line="360" w:lineRule="auto"/>
        <w:ind w:firstLine="420" w:firstLineChars="200"/>
        <w:rPr>
          <w:rFonts w:hint="eastAsia" w:ascii="宋体" w:hAnsi="宋体"/>
          <w:color w:val="auto"/>
          <w:szCs w:val="21"/>
          <w:highlight w:val="none"/>
        </w:rPr>
      </w:pPr>
    </w:p>
    <w:p w14:paraId="4138234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 保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1827D74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0558DEC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0358DD6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14:paraId="6417CF4C">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654187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14:paraId="425FEFFA">
      <w:pPr>
        <w:spacing w:line="360" w:lineRule="auto"/>
        <w:ind w:firstLine="420" w:firstLineChars="200"/>
        <w:jc w:val="right"/>
        <w:rPr>
          <w:rFonts w:hint="eastAsia" w:ascii="宋体" w:hAnsi="宋体"/>
          <w:color w:val="auto"/>
          <w:szCs w:val="21"/>
          <w:highlight w:val="none"/>
          <w:u w:val="single"/>
        </w:rPr>
      </w:pPr>
    </w:p>
    <w:p w14:paraId="09BE71AD">
      <w:pPr>
        <w:spacing w:line="360" w:lineRule="auto"/>
        <w:ind w:firstLine="420" w:firstLineChars="200"/>
        <w:jc w:val="right"/>
        <w:rPr>
          <w:rFonts w:hint="eastAsia" w:ascii="宋体" w:hAnsi="宋体"/>
          <w:color w:val="auto"/>
          <w:szCs w:val="21"/>
          <w:highlight w:val="none"/>
          <w:u w:val="single"/>
        </w:rPr>
      </w:pPr>
    </w:p>
    <w:p w14:paraId="7F85846A">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D87A93A">
      <w:pPr>
        <w:widowControl/>
        <w:spacing w:line="360" w:lineRule="auto"/>
        <w:jc w:val="left"/>
        <w:rPr>
          <w:rFonts w:ascii="宋体" w:hAnsi="宋体"/>
          <w:color w:val="auto"/>
          <w:szCs w:val="21"/>
          <w:highlight w:val="none"/>
        </w:rPr>
      </w:pPr>
      <w:r>
        <w:rPr>
          <w:rFonts w:ascii="宋体" w:hAnsi="宋体"/>
          <w:color w:val="auto"/>
          <w:szCs w:val="21"/>
          <w:highlight w:val="none"/>
        </w:rPr>
        <w:br w:type="page"/>
      </w:r>
    </w:p>
    <w:p w14:paraId="01C7E253">
      <w:pPr>
        <w:spacing w:line="480" w:lineRule="auto"/>
        <w:rPr>
          <w:rFonts w:ascii="宋体" w:hAnsi="宋体"/>
          <w:color w:val="auto"/>
          <w:szCs w:val="21"/>
          <w:highlight w:val="none"/>
        </w:rPr>
      </w:pPr>
      <w:r>
        <w:rPr>
          <w:rFonts w:hint="eastAsia" w:ascii="宋体" w:hAnsi="宋体"/>
          <w:color w:val="auto"/>
          <w:szCs w:val="21"/>
          <w:highlight w:val="none"/>
        </w:rPr>
        <w:t>附</w:t>
      </w:r>
      <w:bookmarkStart w:id="2010" w:name="_Toc296891272"/>
      <w:bookmarkStart w:id="2011" w:name="_Toc296891060"/>
      <w:bookmarkStart w:id="2012" w:name="_Toc267261702"/>
      <w:bookmarkStart w:id="2013" w:name="_Toc296346733"/>
      <w:bookmarkStart w:id="2014" w:name="_Toc296347231"/>
      <w:bookmarkStart w:id="2015" w:name="_Toc296944571"/>
      <w:bookmarkStart w:id="2016" w:name="_Toc296503232"/>
      <w:r>
        <w:rPr>
          <w:rFonts w:hint="eastAsia" w:ascii="宋体" w:hAnsi="宋体"/>
          <w:color w:val="auto"/>
          <w:szCs w:val="21"/>
          <w:highlight w:val="none"/>
        </w:rPr>
        <w:t>件5：</w:t>
      </w:r>
    </w:p>
    <w:bookmarkEnd w:id="2010"/>
    <w:bookmarkEnd w:id="2011"/>
    <w:bookmarkEnd w:id="2012"/>
    <w:bookmarkEnd w:id="2013"/>
    <w:bookmarkEnd w:id="2014"/>
    <w:bookmarkEnd w:id="2015"/>
    <w:bookmarkEnd w:id="2016"/>
    <w:p w14:paraId="7A959C09">
      <w:pPr>
        <w:spacing w:before="156" w:beforeLines="50" w:after="156" w:afterLines="50" w:line="480" w:lineRule="auto"/>
        <w:jc w:val="center"/>
        <w:rPr>
          <w:rFonts w:hint="eastAsia" w:ascii="宋体" w:hAnsi="宋体"/>
          <w:color w:val="auto"/>
          <w:szCs w:val="21"/>
          <w:highlight w:val="none"/>
        </w:rPr>
      </w:pPr>
      <w:r>
        <w:rPr>
          <w:rFonts w:hint="eastAsia" w:ascii="宋体" w:hAnsi="宋体"/>
          <w:color w:val="auto"/>
          <w:szCs w:val="21"/>
          <w:highlight w:val="none"/>
        </w:rPr>
        <w:t>预付款担保（如有）</w:t>
      </w:r>
    </w:p>
    <w:p w14:paraId="28C8131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（发包人名称）：</w:t>
      </w:r>
    </w:p>
    <w:p w14:paraId="7E1D4DD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日签订的</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03574A6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A50EF2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担保有效期自预付款支付给承包人起生效，至你方签发的进度款支付证书说明已完全扣清止。</w:t>
      </w:r>
    </w:p>
    <w:p w14:paraId="732FEB3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7E67CFB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你方和承包人按合同约定变更合同时，我方承担本保函规定的义务不变。</w:t>
      </w:r>
    </w:p>
    <w:p w14:paraId="33FE580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3A718F0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5742DE6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77283A9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本保函自我方法定代表人（或其委托代理人）签字并加盖公章之日起生效。</w:t>
      </w:r>
    </w:p>
    <w:p w14:paraId="00B0157B">
      <w:pPr>
        <w:pStyle w:val="2"/>
        <w:spacing w:line="360" w:lineRule="auto"/>
        <w:ind w:firstLine="420" w:firstLineChars="200"/>
        <w:rPr>
          <w:rFonts w:ascii="宋体" w:hAnsi="宋体"/>
          <w:color w:val="auto"/>
          <w:szCs w:val="21"/>
          <w:highlight w:val="none"/>
        </w:rPr>
      </w:pPr>
    </w:p>
    <w:p w14:paraId="4B44D1C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7E4AB36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3F35C3E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699AACA4">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邮政编码：</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12B49EE2">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1D08CB5E">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传    真：</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14:paraId="5A96393C">
      <w:pPr>
        <w:spacing w:line="360" w:lineRule="auto"/>
        <w:ind w:firstLine="420" w:firstLineChars="200"/>
        <w:rPr>
          <w:rFonts w:ascii="宋体" w:hAnsi="宋体"/>
          <w:color w:val="auto"/>
          <w:szCs w:val="21"/>
          <w:highlight w:val="none"/>
          <w:u w:val="single"/>
        </w:rPr>
      </w:pPr>
    </w:p>
    <w:p w14:paraId="29A6BE61">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D09BA4D">
      <w:pPr>
        <w:spacing w:line="480" w:lineRule="auto"/>
        <w:rPr>
          <w:rFonts w:hint="eastAsia"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w:t>
      </w:r>
      <w:bookmarkStart w:id="2017" w:name="_Toc296346734"/>
      <w:bookmarkStart w:id="2018" w:name="_Toc296347232"/>
      <w:bookmarkStart w:id="2019" w:name="_Toc296891273"/>
      <w:bookmarkStart w:id="2020" w:name="_Toc296944572"/>
      <w:bookmarkStart w:id="2021" w:name="_Toc296503233"/>
      <w:bookmarkStart w:id="2022" w:name="_Toc296891061"/>
      <w:r>
        <w:rPr>
          <w:rFonts w:hint="eastAsia" w:ascii="宋体" w:hAnsi="宋体"/>
          <w:color w:val="auto"/>
          <w:szCs w:val="21"/>
          <w:highlight w:val="none"/>
        </w:rPr>
        <w:t>件6：</w:t>
      </w:r>
    </w:p>
    <w:bookmarkEnd w:id="2017"/>
    <w:bookmarkEnd w:id="2018"/>
    <w:bookmarkEnd w:id="2019"/>
    <w:bookmarkEnd w:id="2020"/>
    <w:bookmarkEnd w:id="2021"/>
    <w:bookmarkEnd w:id="2022"/>
    <w:p w14:paraId="6BBE67D0">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支付担保（如有）</w:t>
      </w:r>
    </w:p>
    <w:p w14:paraId="4C7DB4A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（承包人）：</w:t>
      </w:r>
    </w:p>
    <w:p w14:paraId="099B02D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鉴于你方作为承包人已经与 </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日签订了</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（工程名称）《建设工程施工合同》（以下称“主合同”），应发包人的申请，我方愿就发包人履行主合同约定的工程款支付义务以保证的方式向你方提供如下担保：</w:t>
      </w:r>
    </w:p>
    <w:p w14:paraId="41CB07DD">
      <w:pPr>
        <w:spacing w:line="360" w:lineRule="auto"/>
        <w:ind w:firstLine="420" w:firstLineChars="200"/>
        <w:rPr>
          <w:rFonts w:ascii="宋体" w:hAnsi="宋体"/>
          <w:color w:val="auto"/>
          <w:szCs w:val="21"/>
          <w:highlight w:val="none"/>
        </w:rPr>
      </w:pPr>
      <w:bookmarkStart w:id="2023" w:name="_Toc532375692"/>
      <w:r>
        <w:rPr>
          <w:rFonts w:hint="eastAsia" w:ascii="宋体" w:hAnsi="宋体"/>
          <w:color w:val="auto"/>
          <w:szCs w:val="21"/>
          <w:highlight w:val="none"/>
        </w:rPr>
        <w:t>一、保证的范围及保证金额</w:t>
      </w:r>
      <w:bookmarkEnd w:id="2023"/>
    </w:p>
    <w:p w14:paraId="592DD15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我方的保证范围是主合同约定的工程款。</w:t>
      </w:r>
    </w:p>
    <w:p w14:paraId="4E14CB4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本保函所称主合同约定的工程款是指主合同约定的除工程质量保证金以外的合同价款。</w:t>
      </w:r>
    </w:p>
    <w:p w14:paraId="47E6CBE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我方保证的金额是主合同约定的工程款的</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%，数额最高不超过人民币元（大写：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0E173CC">
      <w:pPr>
        <w:spacing w:line="360" w:lineRule="auto"/>
        <w:ind w:firstLine="420" w:firstLineChars="200"/>
        <w:rPr>
          <w:rFonts w:ascii="宋体" w:hAnsi="宋体"/>
          <w:color w:val="auto"/>
          <w:szCs w:val="21"/>
          <w:highlight w:val="none"/>
        </w:rPr>
      </w:pPr>
      <w:bookmarkStart w:id="2024" w:name="_Toc532375693"/>
      <w:r>
        <w:rPr>
          <w:rFonts w:hint="eastAsia" w:ascii="宋体" w:hAnsi="宋体"/>
          <w:color w:val="auto"/>
          <w:szCs w:val="21"/>
          <w:highlight w:val="none"/>
        </w:rPr>
        <w:t>二、保证的方式及保证期间</w:t>
      </w:r>
      <w:bookmarkEnd w:id="2024"/>
    </w:p>
    <w:p w14:paraId="4020C90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我方保证的方式为：连带责任保证。</w:t>
      </w:r>
    </w:p>
    <w:p w14:paraId="4DE4BC9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我方保证的期间为：自合同生效之日起至主合同约定的工程款支付完毕之日后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3260FF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你方与发包人协议变更工程款支付日期的，经我方书面同意后，保证期间按照变更后的支付日期做相应调整。</w:t>
      </w:r>
    </w:p>
    <w:p w14:paraId="50800DA3">
      <w:pPr>
        <w:spacing w:line="360" w:lineRule="auto"/>
        <w:ind w:firstLine="420" w:firstLineChars="200"/>
        <w:rPr>
          <w:rFonts w:ascii="宋体" w:hAnsi="宋体"/>
          <w:color w:val="auto"/>
          <w:szCs w:val="21"/>
          <w:highlight w:val="none"/>
        </w:rPr>
      </w:pPr>
      <w:bookmarkStart w:id="2025" w:name="_Toc532375694"/>
      <w:r>
        <w:rPr>
          <w:rFonts w:hint="eastAsia" w:ascii="宋体" w:hAnsi="宋体"/>
          <w:color w:val="auto"/>
          <w:szCs w:val="21"/>
          <w:highlight w:val="none"/>
        </w:rPr>
        <w:t>三、承担保证责任的形式</w:t>
      </w:r>
      <w:bookmarkEnd w:id="2025"/>
    </w:p>
    <w:p w14:paraId="08D1E4B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我方承担保证责任的形式是代为支付。发包人未按主合同约定向你方支付工程款的，由我方在保证金额内代为支付。</w:t>
      </w:r>
    </w:p>
    <w:p w14:paraId="34F57E1C">
      <w:pPr>
        <w:spacing w:line="360" w:lineRule="auto"/>
        <w:ind w:firstLine="420" w:firstLineChars="200"/>
        <w:rPr>
          <w:rFonts w:ascii="宋体" w:hAnsi="宋体"/>
          <w:color w:val="auto"/>
          <w:szCs w:val="21"/>
          <w:highlight w:val="none"/>
        </w:rPr>
      </w:pPr>
      <w:bookmarkStart w:id="2026" w:name="_Toc532375695"/>
      <w:r>
        <w:rPr>
          <w:rFonts w:hint="eastAsia" w:ascii="宋体" w:hAnsi="宋体"/>
          <w:color w:val="auto"/>
          <w:szCs w:val="21"/>
          <w:highlight w:val="none"/>
        </w:rPr>
        <w:t>四、代偿的安排</w:t>
      </w:r>
      <w:bookmarkEnd w:id="2026"/>
    </w:p>
    <w:p w14:paraId="2615520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14:paraId="500AA15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2677795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我方收到你方的书面索赔通知及相应的证明材料后７天内无条件支付。</w:t>
      </w:r>
    </w:p>
    <w:p w14:paraId="598E9E23">
      <w:pPr>
        <w:spacing w:line="360" w:lineRule="auto"/>
        <w:ind w:firstLine="420" w:firstLineChars="200"/>
        <w:rPr>
          <w:rFonts w:ascii="宋体" w:hAnsi="宋体"/>
          <w:color w:val="auto"/>
          <w:szCs w:val="21"/>
          <w:highlight w:val="none"/>
        </w:rPr>
      </w:pPr>
      <w:bookmarkStart w:id="2027" w:name="_Toc532375696"/>
      <w:r>
        <w:rPr>
          <w:rFonts w:hint="eastAsia" w:ascii="宋体" w:hAnsi="宋体"/>
          <w:color w:val="auto"/>
          <w:szCs w:val="21"/>
          <w:highlight w:val="none"/>
        </w:rPr>
        <w:t>五、保证责任的解除</w:t>
      </w:r>
      <w:bookmarkEnd w:id="2027"/>
    </w:p>
    <w:p w14:paraId="1B9AC4D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在本保函承诺的保证期间内，你方未书面向我方主张保证责任的，自保证期间届满次日起，我方保证责任解除。</w:t>
      </w:r>
    </w:p>
    <w:p w14:paraId="0A01EF2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发包人按主合同约定履行了工程款的全部支付义务的，自本保函承诺的保证期间届满次日起，我方保证责任解除。</w:t>
      </w:r>
    </w:p>
    <w:p w14:paraId="1CC8F3D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我方按照本保函向你方履行保证责任所支付金额达到本保函保证金额时，自我方向你方支付（支付款项从我方账户划出）之日起，保证责任即解除。</w:t>
      </w:r>
    </w:p>
    <w:p w14:paraId="0CD5BBB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按照法律法规的规定或出现应解除我方保证责任的其他情形的，我方在本保函项下的保证责任亦解除。</w:t>
      </w:r>
    </w:p>
    <w:p w14:paraId="51D5111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我方解除保证责任后，你方应自我方保证责任解除之日起  个工作日内，将本保函原件返还我方。</w:t>
      </w:r>
    </w:p>
    <w:p w14:paraId="530E6095">
      <w:pPr>
        <w:spacing w:line="360" w:lineRule="auto"/>
        <w:ind w:firstLine="420" w:firstLineChars="200"/>
        <w:rPr>
          <w:rFonts w:ascii="宋体" w:hAnsi="宋体"/>
          <w:color w:val="auto"/>
          <w:szCs w:val="21"/>
          <w:highlight w:val="none"/>
        </w:rPr>
      </w:pPr>
      <w:bookmarkStart w:id="2028" w:name="_Toc532375697"/>
      <w:r>
        <w:rPr>
          <w:rFonts w:hint="eastAsia" w:ascii="宋体" w:hAnsi="宋体"/>
          <w:color w:val="auto"/>
          <w:szCs w:val="21"/>
          <w:highlight w:val="none"/>
        </w:rPr>
        <w:t>六、免责条款</w:t>
      </w:r>
      <w:bookmarkEnd w:id="2028"/>
    </w:p>
    <w:p w14:paraId="354D656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因你方违约致使发包人不能履行义务的，我方不承担保证责任。</w:t>
      </w:r>
    </w:p>
    <w:p w14:paraId="54A7725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依照法律法规的规定或你方与发包人的另行约定，免除发包人部分或全部义务的，我方亦免除其相应的保证责任。</w:t>
      </w:r>
    </w:p>
    <w:p w14:paraId="43D2B93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2E13829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因不可抗力造成发包人不能履行义务的，我方不承担保证责任。</w:t>
      </w:r>
    </w:p>
    <w:p w14:paraId="4A5F6ABA">
      <w:pPr>
        <w:spacing w:line="360" w:lineRule="auto"/>
        <w:ind w:firstLine="420" w:firstLineChars="200"/>
        <w:rPr>
          <w:rFonts w:ascii="宋体" w:hAnsi="宋体"/>
          <w:color w:val="auto"/>
          <w:szCs w:val="21"/>
          <w:highlight w:val="none"/>
        </w:rPr>
      </w:pPr>
      <w:bookmarkStart w:id="2029" w:name="_Toc532375698"/>
      <w:r>
        <w:rPr>
          <w:rFonts w:hint="eastAsia" w:ascii="宋体" w:hAnsi="宋体"/>
          <w:color w:val="auto"/>
          <w:szCs w:val="21"/>
          <w:highlight w:val="none"/>
        </w:rPr>
        <w:t>七、争议解决</w:t>
      </w:r>
      <w:bookmarkEnd w:id="2029"/>
    </w:p>
    <w:p w14:paraId="17BE03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因本保函或本保函相关事项发生的纠纷，可由双方协商解决，协商不成的，按下列第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14:paraId="48EFCCA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1BF03B6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1BE426FB">
      <w:pPr>
        <w:spacing w:line="360" w:lineRule="auto"/>
        <w:ind w:firstLine="420" w:firstLineChars="200"/>
        <w:rPr>
          <w:rFonts w:ascii="宋体" w:hAnsi="宋体"/>
          <w:color w:val="auto"/>
          <w:szCs w:val="21"/>
          <w:highlight w:val="none"/>
        </w:rPr>
      </w:pPr>
      <w:bookmarkStart w:id="2030" w:name="_Toc532375699"/>
      <w:r>
        <w:rPr>
          <w:rFonts w:hint="eastAsia" w:ascii="宋体" w:hAnsi="宋体"/>
          <w:color w:val="auto"/>
          <w:szCs w:val="21"/>
          <w:highlight w:val="none"/>
        </w:rPr>
        <w:t>八、保函的生效</w:t>
      </w:r>
      <w:bookmarkEnd w:id="2030"/>
    </w:p>
    <w:p w14:paraId="674FC41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本保函自我方法定代表人（或其委托代理人）签字并加盖公章之日起生效。</w:t>
      </w:r>
    </w:p>
    <w:p w14:paraId="4107618C">
      <w:pPr>
        <w:spacing w:line="360" w:lineRule="auto"/>
        <w:ind w:right="600" w:firstLine="420" w:firstLineChars="200"/>
        <w:jc w:val="left"/>
        <w:rPr>
          <w:rFonts w:hint="eastAsia" w:ascii="宋体" w:hAnsi="宋体"/>
          <w:color w:val="auto"/>
          <w:szCs w:val="21"/>
          <w:highlight w:val="none"/>
        </w:rPr>
      </w:pPr>
    </w:p>
    <w:p w14:paraId="36BD9C95">
      <w:pPr>
        <w:spacing w:line="360" w:lineRule="auto"/>
        <w:ind w:right="600" w:firstLine="420" w:firstLineChars="200"/>
        <w:jc w:val="left"/>
        <w:rPr>
          <w:rFonts w:hint="eastAsia" w:ascii="宋体" w:hAnsi="宋体"/>
          <w:color w:val="auto"/>
          <w:szCs w:val="21"/>
          <w:highlight w:val="none"/>
        </w:rPr>
      </w:pPr>
    </w:p>
    <w:p w14:paraId="1C9A1C9D">
      <w:pPr>
        <w:spacing w:line="360" w:lineRule="auto"/>
        <w:ind w:right="600" w:firstLine="420" w:firstLineChars="200"/>
        <w:jc w:val="left"/>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（盖章）</w:t>
      </w:r>
    </w:p>
    <w:p w14:paraId="119665A2">
      <w:pPr>
        <w:spacing w:line="360" w:lineRule="auto"/>
        <w:ind w:right="1200" w:firstLine="420" w:firstLineChars="200"/>
        <w:rPr>
          <w:rFonts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5614C38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4379CB7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14:paraId="0B5977C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14:paraId="6C5BEEA1">
      <w:pPr>
        <w:widowControl/>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w:t>
      </w:r>
    </w:p>
    <w:p w14:paraId="2486F300">
      <w:pPr>
        <w:widowControl/>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hint="eastAsia" w:ascii="宋体" w:hAnsi="宋体"/>
          <w:color w:val="auto"/>
          <w:szCs w:val="21"/>
          <w:highlight w:val="none"/>
        </w:rPr>
        <w:br w:type="page"/>
      </w:r>
    </w:p>
    <w:p w14:paraId="60CE10FB">
      <w:pPr>
        <w:spacing w:line="480" w:lineRule="auto"/>
        <w:rPr>
          <w:rFonts w:ascii="宋体" w:hAnsi="宋体"/>
          <w:color w:val="auto"/>
          <w:szCs w:val="21"/>
          <w:highlight w:val="none"/>
        </w:rPr>
      </w:pPr>
      <w:r>
        <w:rPr>
          <w:rFonts w:hint="eastAsia" w:ascii="宋体" w:hAnsi="宋体"/>
          <w:color w:val="auto"/>
          <w:szCs w:val="21"/>
          <w:highlight w:val="none"/>
        </w:rPr>
        <w:t>附件7：</w:t>
      </w:r>
    </w:p>
    <w:p w14:paraId="1ACF944D">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05B1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56E9D884">
            <w:pPr>
              <w:spacing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1984" w:type="dxa"/>
            <w:noWrap w:val="0"/>
            <w:vAlign w:val="top"/>
          </w:tcPr>
          <w:p w14:paraId="64B8BD6F">
            <w:pPr>
              <w:spacing w:line="400" w:lineRule="exact"/>
              <w:jc w:val="center"/>
              <w:rPr>
                <w:rFonts w:ascii="宋体" w:hAnsi="宋体"/>
                <w:color w:val="auto"/>
                <w:szCs w:val="21"/>
                <w:highlight w:val="none"/>
              </w:rPr>
            </w:pPr>
            <w:r>
              <w:rPr>
                <w:rFonts w:hint="eastAsia" w:ascii="宋体" w:hAnsi="宋体"/>
                <w:color w:val="auto"/>
                <w:szCs w:val="21"/>
                <w:highlight w:val="none"/>
              </w:rPr>
              <w:t>专业工程名称</w:t>
            </w:r>
          </w:p>
        </w:tc>
        <w:tc>
          <w:tcPr>
            <w:tcW w:w="5103" w:type="dxa"/>
            <w:noWrap w:val="0"/>
            <w:vAlign w:val="top"/>
          </w:tcPr>
          <w:p w14:paraId="6C8B0D71">
            <w:pPr>
              <w:spacing w:line="400" w:lineRule="exact"/>
              <w:jc w:val="center"/>
              <w:rPr>
                <w:rFonts w:ascii="宋体" w:hAnsi="宋体"/>
                <w:color w:val="auto"/>
                <w:szCs w:val="21"/>
                <w:highlight w:val="none"/>
              </w:rPr>
            </w:pPr>
            <w:r>
              <w:rPr>
                <w:rFonts w:hint="eastAsia" w:ascii="宋体" w:hAnsi="宋体"/>
                <w:color w:val="auto"/>
                <w:szCs w:val="21"/>
                <w:highlight w:val="none"/>
              </w:rPr>
              <w:t>工程内容</w:t>
            </w:r>
          </w:p>
        </w:tc>
        <w:tc>
          <w:tcPr>
            <w:tcW w:w="1560" w:type="dxa"/>
            <w:noWrap w:val="0"/>
            <w:vAlign w:val="top"/>
          </w:tcPr>
          <w:p w14:paraId="5F7A5A50">
            <w:pPr>
              <w:spacing w:line="400" w:lineRule="exact"/>
              <w:jc w:val="center"/>
              <w:rPr>
                <w:rFonts w:ascii="宋体" w:hAnsi="宋体"/>
                <w:color w:val="auto"/>
                <w:szCs w:val="21"/>
                <w:highlight w:val="none"/>
              </w:rPr>
            </w:pPr>
            <w:r>
              <w:rPr>
                <w:rFonts w:hint="eastAsia" w:ascii="宋体" w:hAnsi="宋体"/>
                <w:color w:val="auto"/>
                <w:szCs w:val="21"/>
                <w:highlight w:val="none"/>
              </w:rPr>
              <w:t>金额</w:t>
            </w:r>
          </w:p>
        </w:tc>
      </w:tr>
      <w:tr w14:paraId="46B8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31FB754">
            <w:pPr>
              <w:spacing w:line="400" w:lineRule="exact"/>
              <w:ind w:firstLine="420" w:firstLineChars="200"/>
              <w:rPr>
                <w:rFonts w:ascii="宋体" w:hAnsi="宋体"/>
                <w:color w:val="auto"/>
                <w:szCs w:val="21"/>
                <w:highlight w:val="none"/>
              </w:rPr>
            </w:pPr>
          </w:p>
        </w:tc>
        <w:tc>
          <w:tcPr>
            <w:tcW w:w="1984" w:type="dxa"/>
            <w:noWrap w:val="0"/>
            <w:vAlign w:val="top"/>
          </w:tcPr>
          <w:p w14:paraId="71D7BD68">
            <w:pPr>
              <w:spacing w:line="400" w:lineRule="exact"/>
              <w:ind w:firstLine="420" w:firstLineChars="200"/>
              <w:rPr>
                <w:rFonts w:ascii="宋体" w:hAnsi="宋体"/>
                <w:color w:val="auto"/>
                <w:szCs w:val="21"/>
                <w:highlight w:val="none"/>
              </w:rPr>
            </w:pPr>
          </w:p>
        </w:tc>
        <w:tc>
          <w:tcPr>
            <w:tcW w:w="5103" w:type="dxa"/>
            <w:noWrap w:val="0"/>
            <w:vAlign w:val="top"/>
          </w:tcPr>
          <w:p w14:paraId="5BFB0D1D">
            <w:pPr>
              <w:spacing w:line="400" w:lineRule="exact"/>
              <w:ind w:firstLine="420" w:firstLineChars="200"/>
              <w:rPr>
                <w:rFonts w:ascii="宋体" w:hAnsi="宋体"/>
                <w:color w:val="auto"/>
                <w:szCs w:val="21"/>
                <w:highlight w:val="none"/>
              </w:rPr>
            </w:pPr>
          </w:p>
        </w:tc>
        <w:tc>
          <w:tcPr>
            <w:tcW w:w="1560" w:type="dxa"/>
            <w:noWrap w:val="0"/>
            <w:vAlign w:val="top"/>
          </w:tcPr>
          <w:p w14:paraId="6402B36E">
            <w:pPr>
              <w:spacing w:line="400" w:lineRule="exact"/>
              <w:ind w:firstLine="420" w:firstLineChars="200"/>
              <w:rPr>
                <w:rFonts w:ascii="宋体" w:hAnsi="宋体"/>
                <w:color w:val="auto"/>
                <w:szCs w:val="21"/>
                <w:highlight w:val="none"/>
              </w:rPr>
            </w:pPr>
          </w:p>
        </w:tc>
      </w:tr>
      <w:tr w14:paraId="7337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90A1C73">
            <w:pPr>
              <w:spacing w:line="400" w:lineRule="exact"/>
              <w:ind w:firstLine="420" w:firstLineChars="200"/>
              <w:rPr>
                <w:rFonts w:ascii="宋体" w:hAnsi="宋体"/>
                <w:color w:val="auto"/>
                <w:szCs w:val="21"/>
                <w:highlight w:val="none"/>
              </w:rPr>
            </w:pPr>
          </w:p>
        </w:tc>
        <w:tc>
          <w:tcPr>
            <w:tcW w:w="1984" w:type="dxa"/>
            <w:noWrap w:val="0"/>
            <w:vAlign w:val="top"/>
          </w:tcPr>
          <w:p w14:paraId="2431C44F">
            <w:pPr>
              <w:spacing w:line="400" w:lineRule="exact"/>
              <w:ind w:firstLine="420" w:firstLineChars="200"/>
              <w:rPr>
                <w:rFonts w:ascii="宋体" w:hAnsi="宋体"/>
                <w:color w:val="auto"/>
                <w:szCs w:val="21"/>
                <w:highlight w:val="none"/>
              </w:rPr>
            </w:pPr>
          </w:p>
        </w:tc>
        <w:tc>
          <w:tcPr>
            <w:tcW w:w="5103" w:type="dxa"/>
            <w:noWrap w:val="0"/>
            <w:vAlign w:val="top"/>
          </w:tcPr>
          <w:p w14:paraId="3BD26EBE">
            <w:pPr>
              <w:spacing w:line="400" w:lineRule="exact"/>
              <w:ind w:firstLine="420" w:firstLineChars="200"/>
              <w:rPr>
                <w:rFonts w:ascii="宋体" w:hAnsi="宋体"/>
                <w:color w:val="auto"/>
                <w:szCs w:val="21"/>
                <w:highlight w:val="none"/>
              </w:rPr>
            </w:pPr>
          </w:p>
        </w:tc>
        <w:tc>
          <w:tcPr>
            <w:tcW w:w="1560" w:type="dxa"/>
            <w:noWrap w:val="0"/>
            <w:vAlign w:val="top"/>
          </w:tcPr>
          <w:p w14:paraId="2294CCF7">
            <w:pPr>
              <w:spacing w:line="400" w:lineRule="exact"/>
              <w:ind w:firstLine="420" w:firstLineChars="200"/>
              <w:rPr>
                <w:rFonts w:ascii="宋体" w:hAnsi="宋体"/>
                <w:color w:val="auto"/>
                <w:szCs w:val="21"/>
                <w:highlight w:val="none"/>
              </w:rPr>
            </w:pPr>
          </w:p>
        </w:tc>
      </w:tr>
      <w:tr w14:paraId="7A17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05B8F33C">
            <w:pPr>
              <w:spacing w:line="400" w:lineRule="exact"/>
              <w:ind w:firstLine="420" w:firstLineChars="200"/>
              <w:rPr>
                <w:rFonts w:ascii="宋体" w:hAnsi="宋体"/>
                <w:color w:val="auto"/>
                <w:szCs w:val="21"/>
                <w:highlight w:val="none"/>
              </w:rPr>
            </w:pPr>
          </w:p>
        </w:tc>
        <w:tc>
          <w:tcPr>
            <w:tcW w:w="1984" w:type="dxa"/>
            <w:noWrap w:val="0"/>
            <w:vAlign w:val="top"/>
          </w:tcPr>
          <w:p w14:paraId="1B9D7C0F">
            <w:pPr>
              <w:spacing w:line="400" w:lineRule="exact"/>
              <w:ind w:firstLine="420" w:firstLineChars="200"/>
              <w:rPr>
                <w:rFonts w:ascii="宋体" w:hAnsi="宋体"/>
                <w:color w:val="auto"/>
                <w:szCs w:val="21"/>
                <w:highlight w:val="none"/>
              </w:rPr>
            </w:pPr>
          </w:p>
        </w:tc>
        <w:tc>
          <w:tcPr>
            <w:tcW w:w="5103" w:type="dxa"/>
            <w:noWrap w:val="0"/>
            <w:vAlign w:val="top"/>
          </w:tcPr>
          <w:p w14:paraId="7E2D8632">
            <w:pPr>
              <w:spacing w:line="400" w:lineRule="exact"/>
              <w:ind w:firstLine="420" w:firstLineChars="200"/>
              <w:rPr>
                <w:rFonts w:ascii="宋体" w:hAnsi="宋体"/>
                <w:color w:val="auto"/>
                <w:szCs w:val="21"/>
                <w:highlight w:val="none"/>
              </w:rPr>
            </w:pPr>
          </w:p>
        </w:tc>
        <w:tc>
          <w:tcPr>
            <w:tcW w:w="1560" w:type="dxa"/>
            <w:noWrap w:val="0"/>
            <w:vAlign w:val="top"/>
          </w:tcPr>
          <w:p w14:paraId="7BA0EDB2">
            <w:pPr>
              <w:spacing w:line="400" w:lineRule="exact"/>
              <w:ind w:firstLine="420" w:firstLineChars="200"/>
              <w:rPr>
                <w:rFonts w:ascii="宋体" w:hAnsi="宋体"/>
                <w:color w:val="auto"/>
                <w:szCs w:val="21"/>
                <w:highlight w:val="none"/>
              </w:rPr>
            </w:pPr>
          </w:p>
        </w:tc>
      </w:tr>
      <w:tr w14:paraId="2A35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31BCDC0">
            <w:pPr>
              <w:spacing w:line="400" w:lineRule="exact"/>
              <w:ind w:firstLine="420" w:firstLineChars="200"/>
              <w:rPr>
                <w:rFonts w:ascii="宋体" w:hAnsi="宋体"/>
                <w:color w:val="auto"/>
                <w:szCs w:val="21"/>
                <w:highlight w:val="none"/>
              </w:rPr>
            </w:pPr>
          </w:p>
        </w:tc>
        <w:tc>
          <w:tcPr>
            <w:tcW w:w="1984" w:type="dxa"/>
            <w:noWrap w:val="0"/>
            <w:vAlign w:val="top"/>
          </w:tcPr>
          <w:p w14:paraId="51E5EE15">
            <w:pPr>
              <w:spacing w:line="400" w:lineRule="exact"/>
              <w:ind w:firstLine="420" w:firstLineChars="200"/>
              <w:rPr>
                <w:rFonts w:ascii="宋体" w:hAnsi="宋体"/>
                <w:color w:val="auto"/>
                <w:szCs w:val="21"/>
                <w:highlight w:val="none"/>
              </w:rPr>
            </w:pPr>
          </w:p>
        </w:tc>
        <w:tc>
          <w:tcPr>
            <w:tcW w:w="5103" w:type="dxa"/>
            <w:noWrap w:val="0"/>
            <w:vAlign w:val="top"/>
          </w:tcPr>
          <w:p w14:paraId="0C501CC2">
            <w:pPr>
              <w:spacing w:line="400" w:lineRule="exact"/>
              <w:ind w:firstLine="420" w:firstLineChars="200"/>
              <w:rPr>
                <w:rFonts w:ascii="宋体" w:hAnsi="宋体"/>
                <w:color w:val="auto"/>
                <w:szCs w:val="21"/>
                <w:highlight w:val="none"/>
              </w:rPr>
            </w:pPr>
          </w:p>
        </w:tc>
        <w:tc>
          <w:tcPr>
            <w:tcW w:w="1560" w:type="dxa"/>
            <w:noWrap w:val="0"/>
            <w:vAlign w:val="top"/>
          </w:tcPr>
          <w:p w14:paraId="687E5BCC">
            <w:pPr>
              <w:spacing w:line="400" w:lineRule="exact"/>
              <w:ind w:firstLine="420" w:firstLineChars="200"/>
              <w:rPr>
                <w:rFonts w:ascii="宋体" w:hAnsi="宋体"/>
                <w:color w:val="auto"/>
                <w:szCs w:val="21"/>
                <w:highlight w:val="none"/>
              </w:rPr>
            </w:pPr>
          </w:p>
        </w:tc>
      </w:tr>
      <w:tr w14:paraId="7B36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C226AA8">
            <w:pPr>
              <w:spacing w:line="400" w:lineRule="exact"/>
              <w:ind w:firstLine="420" w:firstLineChars="200"/>
              <w:rPr>
                <w:rFonts w:ascii="宋体" w:hAnsi="宋体"/>
                <w:color w:val="auto"/>
                <w:szCs w:val="21"/>
                <w:highlight w:val="none"/>
              </w:rPr>
            </w:pPr>
          </w:p>
        </w:tc>
        <w:tc>
          <w:tcPr>
            <w:tcW w:w="1984" w:type="dxa"/>
            <w:noWrap w:val="0"/>
            <w:vAlign w:val="top"/>
          </w:tcPr>
          <w:p w14:paraId="45FF054F">
            <w:pPr>
              <w:spacing w:line="400" w:lineRule="exact"/>
              <w:ind w:firstLine="420" w:firstLineChars="200"/>
              <w:rPr>
                <w:rFonts w:ascii="宋体" w:hAnsi="宋体"/>
                <w:color w:val="auto"/>
                <w:szCs w:val="21"/>
                <w:highlight w:val="none"/>
              </w:rPr>
            </w:pPr>
          </w:p>
        </w:tc>
        <w:tc>
          <w:tcPr>
            <w:tcW w:w="5103" w:type="dxa"/>
            <w:noWrap w:val="0"/>
            <w:vAlign w:val="top"/>
          </w:tcPr>
          <w:p w14:paraId="6E374B6A">
            <w:pPr>
              <w:spacing w:line="400" w:lineRule="exact"/>
              <w:ind w:firstLine="420" w:firstLineChars="200"/>
              <w:rPr>
                <w:rFonts w:ascii="宋体" w:hAnsi="宋体"/>
                <w:color w:val="auto"/>
                <w:szCs w:val="21"/>
                <w:highlight w:val="none"/>
              </w:rPr>
            </w:pPr>
          </w:p>
        </w:tc>
        <w:tc>
          <w:tcPr>
            <w:tcW w:w="1560" w:type="dxa"/>
            <w:noWrap w:val="0"/>
            <w:vAlign w:val="top"/>
          </w:tcPr>
          <w:p w14:paraId="22678460">
            <w:pPr>
              <w:spacing w:line="400" w:lineRule="exact"/>
              <w:ind w:firstLine="420" w:firstLineChars="200"/>
              <w:rPr>
                <w:rFonts w:ascii="宋体" w:hAnsi="宋体"/>
                <w:color w:val="auto"/>
                <w:szCs w:val="21"/>
                <w:highlight w:val="none"/>
              </w:rPr>
            </w:pPr>
          </w:p>
        </w:tc>
      </w:tr>
      <w:tr w14:paraId="6753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116EAF0">
            <w:pPr>
              <w:spacing w:line="400" w:lineRule="exact"/>
              <w:ind w:firstLine="420" w:firstLineChars="200"/>
              <w:rPr>
                <w:rFonts w:ascii="宋体" w:hAnsi="宋体"/>
                <w:color w:val="auto"/>
                <w:szCs w:val="21"/>
                <w:highlight w:val="none"/>
              </w:rPr>
            </w:pPr>
          </w:p>
        </w:tc>
        <w:tc>
          <w:tcPr>
            <w:tcW w:w="1984" w:type="dxa"/>
            <w:noWrap w:val="0"/>
            <w:vAlign w:val="top"/>
          </w:tcPr>
          <w:p w14:paraId="0A066C9C">
            <w:pPr>
              <w:spacing w:line="400" w:lineRule="exact"/>
              <w:ind w:firstLine="420" w:firstLineChars="200"/>
              <w:rPr>
                <w:rFonts w:ascii="宋体" w:hAnsi="宋体"/>
                <w:color w:val="auto"/>
                <w:szCs w:val="21"/>
                <w:highlight w:val="none"/>
              </w:rPr>
            </w:pPr>
          </w:p>
        </w:tc>
        <w:tc>
          <w:tcPr>
            <w:tcW w:w="5103" w:type="dxa"/>
            <w:noWrap w:val="0"/>
            <w:vAlign w:val="top"/>
          </w:tcPr>
          <w:p w14:paraId="3CE77794">
            <w:pPr>
              <w:spacing w:line="400" w:lineRule="exact"/>
              <w:ind w:firstLine="420" w:firstLineChars="200"/>
              <w:rPr>
                <w:rFonts w:ascii="宋体" w:hAnsi="宋体"/>
                <w:color w:val="auto"/>
                <w:szCs w:val="21"/>
                <w:highlight w:val="none"/>
              </w:rPr>
            </w:pPr>
          </w:p>
        </w:tc>
        <w:tc>
          <w:tcPr>
            <w:tcW w:w="1560" w:type="dxa"/>
            <w:noWrap w:val="0"/>
            <w:vAlign w:val="top"/>
          </w:tcPr>
          <w:p w14:paraId="7F24DB56">
            <w:pPr>
              <w:spacing w:line="400" w:lineRule="exact"/>
              <w:ind w:firstLine="420" w:firstLineChars="200"/>
              <w:rPr>
                <w:rFonts w:ascii="宋体" w:hAnsi="宋体"/>
                <w:color w:val="auto"/>
                <w:szCs w:val="21"/>
                <w:highlight w:val="none"/>
              </w:rPr>
            </w:pPr>
          </w:p>
        </w:tc>
      </w:tr>
      <w:tr w14:paraId="12D5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C2742CB">
            <w:pPr>
              <w:spacing w:line="400" w:lineRule="exact"/>
              <w:ind w:firstLine="420" w:firstLineChars="200"/>
              <w:rPr>
                <w:rFonts w:ascii="宋体" w:hAnsi="宋体"/>
                <w:color w:val="auto"/>
                <w:szCs w:val="21"/>
                <w:highlight w:val="none"/>
              </w:rPr>
            </w:pPr>
          </w:p>
        </w:tc>
        <w:tc>
          <w:tcPr>
            <w:tcW w:w="1984" w:type="dxa"/>
            <w:noWrap w:val="0"/>
            <w:vAlign w:val="top"/>
          </w:tcPr>
          <w:p w14:paraId="767723F5">
            <w:pPr>
              <w:spacing w:line="400" w:lineRule="exact"/>
              <w:ind w:firstLine="420" w:firstLineChars="200"/>
              <w:rPr>
                <w:rFonts w:ascii="宋体" w:hAnsi="宋体"/>
                <w:color w:val="auto"/>
                <w:szCs w:val="21"/>
                <w:highlight w:val="none"/>
              </w:rPr>
            </w:pPr>
          </w:p>
        </w:tc>
        <w:tc>
          <w:tcPr>
            <w:tcW w:w="5103" w:type="dxa"/>
            <w:noWrap w:val="0"/>
            <w:vAlign w:val="top"/>
          </w:tcPr>
          <w:p w14:paraId="3781BC77">
            <w:pPr>
              <w:spacing w:line="400" w:lineRule="exact"/>
              <w:ind w:firstLine="420" w:firstLineChars="200"/>
              <w:rPr>
                <w:rFonts w:ascii="宋体" w:hAnsi="宋体"/>
                <w:color w:val="auto"/>
                <w:szCs w:val="21"/>
                <w:highlight w:val="none"/>
              </w:rPr>
            </w:pPr>
          </w:p>
        </w:tc>
        <w:tc>
          <w:tcPr>
            <w:tcW w:w="1560" w:type="dxa"/>
            <w:noWrap w:val="0"/>
            <w:vAlign w:val="top"/>
          </w:tcPr>
          <w:p w14:paraId="1E5F8067">
            <w:pPr>
              <w:spacing w:line="400" w:lineRule="exact"/>
              <w:ind w:firstLine="420" w:firstLineChars="200"/>
              <w:rPr>
                <w:rFonts w:ascii="宋体" w:hAnsi="宋体"/>
                <w:color w:val="auto"/>
                <w:szCs w:val="21"/>
                <w:highlight w:val="none"/>
              </w:rPr>
            </w:pPr>
          </w:p>
        </w:tc>
      </w:tr>
      <w:tr w14:paraId="3707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8765B2E">
            <w:pPr>
              <w:spacing w:line="400" w:lineRule="exact"/>
              <w:ind w:firstLine="420" w:firstLineChars="200"/>
              <w:rPr>
                <w:rFonts w:ascii="宋体" w:hAnsi="宋体"/>
                <w:color w:val="auto"/>
                <w:szCs w:val="21"/>
                <w:highlight w:val="none"/>
              </w:rPr>
            </w:pPr>
          </w:p>
        </w:tc>
        <w:tc>
          <w:tcPr>
            <w:tcW w:w="1984" w:type="dxa"/>
            <w:noWrap w:val="0"/>
            <w:vAlign w:val="top"/>
          </w:tcPr>
          <w:p w14:paraId="590A4BD0">
            <w:pPr>
              <w:spacing w:line="400" w:lineRule="exact"/>
              <w:ind w:firstLine="420" w:firstLineChars="200"/>
              <w:rPr>
                <w:rFonts w:ascii="宋体" w:hAnsi="宋体"/>
                <w:color w:val="auto"/>
                <w:szCs w:val="21"/>
                <w:highlight w:val="none"/>
              </w:rPr>
            </w:pPr>
          </w:p>
        </w:tc>
        <w:tc>
          <w:tcPr>
            <w:tcW w:w="5103" w:type="dxa"/>
            <w:noWrap w:val="0"/>
            <w:vAlign w:val="top"/>
          </w:tcPr>
          <w:p w14:paraId="22B86403">
            <w:pPr>
              <w:spacing w:line="400" w:lineRule="exact"/>
              <w:ind w:firstLine="420" w:firstLineChars="200"/>
              <w:rPr>
                <w:rFonts w:ascii="宋体" w:hAnsi="宋体"/>
                <w:color w:val="auto"/>
                <w:szCs w:val="21"/>
                <w:highlight w:val="none"/>
              </w:rPr>
            </w:pPr>
          </w:p>
        </w:tc>
        <w:tc>
          <w:tcPr>
            <w:tcW w:w="1560" w:type="dxa"/>
            <w:noWrap w:val="0"/>
            <w:vAlign w:val="top"/>
          </w:tcPr>
          <w:p w14:paraId="3182CD93">
            <w:pPr>
              <w:spacing w:line="400" w:lineRule="exact"/>
              <w:ind w:firstLine="420" w:firstLineChars="200"/>
              <w:rPr>
                <w:rFonts w:ascii="宋体" w:hAnsi="宋体"/>
                <w:color w:val="auto"/>
                <w:szCs w:val="21"/>
                <w:highlight w:val="none"/>
              </w:rPr>
            </w:pPr>
          </w:p>
        </w:tc>
      </w:tr>
      <w:tr w14:paraId="1072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3E85230">
            <w:pPr>
              <w:spacing w:line="400" w:lineRule="exact"/>
              <w:ind w:firstLine="420" w:firstLineChars="200"/>
              <w:rPr>
                <w:rFonts w:ascii="宋体" w:hAnsi="宋体"/>
                <w:color w:val="auto"/>
                <w:szCs w:val="21"/>
                <w:highlight w:val="none"/>
              </w:rPr>
            </w:pPr>
          </w:p>
        </w:tc>
        <w:tc>
          <w:tcPr>
            <w:tcW w:w="1984" w:type="dxa"/>
            <w:noWrap w:val="0"/>
            <w:vAlign w:val="top"/>
          </w:tcPr>
          <w:p w14:paraId="389C67CF">
            <w:pPr>
              <w:spacing w:line="400" w:lineRule="exact"/>
              <w:ind w:firstLine="420" w:firstLineChars="200"/>
              <w:rPr>
                <w:rFonts w:ascii="宋体" w:hAnsi="宋体"/>
                <w:color w:val="auto"/>
                <w:szCs w:val="21"/>
                <w:highlight w:val="none"/>
              </w:rPr>
            </w:pPr>
          </w:p>
        </w:tc>
        <w:tc>
          <w:tcPr>
            <w:tcW w:w="5103" w:type="dxa"/>
            <w:noWrap w:val="0"/>
            <w:vAlign w:val="top"/>
          </w:tcPr>
          <w:p w14:paraId="607DBEDA">
            <w:pPr>
              <w:spacing w:line="400" w:lineRule="exact"/>
              <w:ind w:firstLine="420" w:firstLineChars="200"/>
              <w:rPr>
                <w:rFonts w:ascii="宋体" w:hAnsi="宋体"/>
                <w:color w:val="auto"/>
                <w:szCs w:val="21"/>
                <w:highlight w:val="none"/>
              </w:rPr>
            </w:pPr>
          </w:p>
        </w:tc>
        <w:tc>
          <w:tcPr>
            <w:tcW w:w="1560" w:type="dxa"/>
            <w:noWrap w:val="0"/>
            <w:vAlign w:val="top"/>
          </w:tcPr>
          <w:p w14:paraId="02733711">
            <w:pPr>
              <w:spacing w:line="400" w:lineRule="exact"/>
              <w:ind w:firstLine="420" w:firstLineChars="200"/>
              <w:rPr>
                <w:rFonts w:ascii="宋体" w:hAnsi="宋体"/>
                <w:color w:val="auto"/>
                <w:szCs w:val="21"/>
                <w:highlight w:val="none"/>
              </w:rPr>
            </w:pPr>
          </w:p>
        </w:tc>
      </w:tr>
      <w:tr w14:paraId="79A6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A5ECEBF">
            <w:pPr>
              <w:spacing w:line="400" w:lineRule="exact"/>
              <w:ind w:firstLine="420" w:firstLineChars="200"/>
              <w:rPr>
                <w:rFonts w:ascii="宋体" w:hAnsi="宋体"/>
                <w:color w:val="auto"/>
                <w:szCs w:val="21"/>
                <w:highlight w:val="none"/>
              </w:rPr>
            </w:pPr>
          </w:p>
        </w:tc>
        <w:tc>
          <w:tcPr>
            <w:tcW w:w="1984" w:type="dxa"/>
            <w:noWrap w:val="0"/>
            <w:vAlign w:val="top"/>
          </w:tcPr>
          <w:p w14:paraId="4553F5FD">
            <w:pPr>
              <w:spacing w:line="400" w:lineRule="exact"/>
              <w:ind w:firstLine="420" w:firstLineChars="200"/>
              <w:rPr>
                <w:rFonts w:ascii="宋体" w:hAnsi="宋体"/>
                <w:color w:val="auto"/>
                <w:szCs w:val="21"/>
                <w:highlight w:val="none"/>
              </w:rPr>
            </w:pPr>
          </w:p>
        </w:tc>
        <w:tc>
          <w:tcPr>
            <w:tcW w:w="5103" w:type="dxa"/>
            <w:noWrap w:val="0"/>
            <w:vAlign w:val="top"/>
          </w:tcPr>
          <w:p w14:paraId="50199323">
            <w:pPr>
              <w:spacing w:line="400" w:lineRule="exact"/>
              <w:ind w:firstLine="420" w:firstLineChars="200"/>
              <w:rPr>
                <w:rFonts w:ascii="宋体" w:hAnsi="宋体"/>
                <w:color w:val="auto"/>
                <w:szCs w:val="21"/>
                <w:highlight w:val="none"/>
              </w:rPr>
            </w:pPr>
          </w:p>
        </w:tc>
        <w:tc>
          <w:tcPr>
            <w:tcW w:w="1560" w:type="dxa"/>
            <w:noWrap w:val="0"/>
            <w:vAlign w:val="top"/>
          </w:tcPr>
          <w:p w14:paraId="3F197946">
            <w:pPr>
              <w:spacing w:line="400" w:lineRule="exact"/>
              <w:ind w:firstLine="420" w:firstLineChars="200"/>
              <w:rPr>
                <w:rFonts w:ascii="宋体" w:hAnsi="宋体"/>
                <w:color w:val="auto"/>
                <w:szCs w:val="21"/>
                <w:highlight w:val="none"/>
              </w:rPr>
            </w:pPr>
          </w:p>
        </w:tc>
      </w:tr>
      <w:tr w14:paraId="21BC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59F42340">
            <w:pPr>
              <w:spacing w:line="400" w:lineRule="exact"/>
              <w:ind w:firstLine="420" w:firstLineChars="200"/>
              <w:rPr>
                <w:rFonts w:ascii="宋体" w:hAnsi="宋体"/>
                <w:color w:val="auto"/>
                <w:szCs w:val="21"/>
                <w:highlight w:val="none"/>
              </w:rPr>
            </w:pPr>
          </w:p>
        </w:tc>
        <w:tc>
          <w:tcPr>
            <w:tcW w:w="1984" w:type="dxa"/>
            <w:noWrap w:val="0"/>
            <w:vAlign w:val="top"/>
          </w:tcPr>
          <w:p w14:paraId="6080AD6B">
            <w:pPr>
              <w:spacing w:line="400" w:lineRule="exact"/>
              <w:ind w:firstLine="420" w:firstLineChars="200"/>
              <w:rPr>
                <w:rFonts w:ascii="宋体" w:hAnsi="宋体"/>
                <w:color w:val="auto"/>
                <w:szCs w:val="21"/>
                <w:highlight w:val="none"/>
              </w:rPr>
            </w:pPr>
          </w:p>
        </w:tc>
        <w:tc>
          <w:tcPr>
            <w:tcW w:w="5103" w:type="dxa"/>
            <w:noWrap w:val="0"/>
            <w:vAlign w:val="top"/>
          </w:tcPr>
          <w:p w14:paraId="1B2CB991">
            <w:pPr>
              <w:spacing w:line="400" w:lineRule="exact"/>
              <w:ind w:firstLine="420" w:firstLineChars="200"/>
              <w:rPr>
                <w:rFonts w:ascii="宋体" w:hAnsi="宋体"/>
                <w:color w:val="auto"/>
                <w:szCs w:val="21"/>
                <w:highlight w:val="none"/>
              </w:rPr>
            </w:pPr>
          </w:p>
        </w:tc>
        <w:tc>
          <w:tcPr>
            <w:tcW w:w="1560" w:type="dxa"/>
            <w:noWrap w:val="0"/>
            <w:vAlign w:val="top"/>
          </w:tcPr>
          <w:p w14:paraId="70FBFDBE">
            <w:pPr>
              <w:spacing w:line="400" w:lineRule="exact"/>
              <w:ind w:firstLine="420" w:firstLineChars="200"/>
              <w:rPr>
                <w:rFonts w:ascii="宋体" w:hAnsi="宋体"/>
                <w:color w:val="auto"/>
                <w:szCs w:val="21"/>
                <w:highlight w:val="none"/>
              </w:rPr>
            </w:pPr>
          </w:p>
        </w:tc>
      </w:tr>
      <w:tr w14:paraId="5A79A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C4A2B74">
            <w:pPr>
              <w:spacing w:line="400" w:lineRule="exact"/>
              <w:ind w:firstLine="420" w:firstLineChars="200"/>
              <w:rPr>
                <w:rFonts w:ascii="宋体" w:hAnsi="宋体"/>
                <w:color w:val="auto"/>
                <w:szCs w:val="21"/>
                <w:highlight w:val="none"/>
              </w:rPr>
            </w:pPr>
          </w:p>
        </w:tc>
        <w:tc>
          <w:tcPr>
            <w:tcW w:w="1984" w:type="dxa"/>
            <w:noWrap w:val="0"/>
            <w:vAlign w:val="top"/>
          </w:tcPr>
          <w:p w14:paraId="362B68BB">
            <w:pPr>
              <w:spacing w:line="400" w:lineRule="exact"/>
              <w:ind w:firstLine="420" w:firstLineChars="200"/>
              <w:rPr>
                <w:rFonts w:ascii="宋体" w:hAnsi="宋体"/>
                <w:color w:val="auto"/>
                <w:szCs w:val="21"/>
                <w:highlight w:val="none"/>
              </w:rPr>
            </w:pPr>
          </w:p>
        </w:tc>
        <w:tc>
          <w:tcPr>
            <w:tcW w:w="5103" w:type="dxa"/>
            <w:noWrap w:val="0"/>
            <w:vAlign w:val="top"/>
          </w:tcPr>
          <w:p w14:paraId="07EF2105">
            <w:pPr>
              <w:spacing w:line="400" w:lineRule="exact"/>
              <w:ind w:firstLine="420" w:firstLineChars="200"/>
              <w:rPr>
                <w:rFonts w:ascii="宋体" w:hAnsi="宋体"/>
                <w:color w:val="auto"/>
                <w:szCs w:val="21"/>
                <w:highlight w:val="none"/>
              </w:rPr>
            </w:pPr>
          </w:p>
        </w:tc>
        <w:tc>
          <w:tcPr>
            <w:tcW w:w="1560" w:type="dxa"/>
            <w:noWrap w:val="0"/>
            <w:vAlign w:val="top"/>
          </w:tcPr>
          <w:p w14:paraId="1841F8B0">
            <w:pPr>
              <w:spacing w:line="400" w:lineRule="exact"/>
              <w:ind w:firstLine="420" w:firstLineChars="200"/>
              <w:rPr>
                <w:rFonts w:ascii="宋体" w:hAnsi="宋体"/>
                <w:color w:val="auto"/>
                <w:szCs w:val="21"/>
                <w:highlight w:val="none"/>
              </w:rPr>
            </w:pPr>
          </w:p>
        </w:tc>
      </w:tr>
      <w:tr w14:paraId="61EE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8BDFE65">
            <w:pPr>
              <w:spacing w:line="400" w:lineRule="exact"/>
              <w:ind w:firstLine="420" w:firstLineChars="200"/>
              <w:rPr>
                <w:rFonts w:ascii="宋体" w:hAnsi="宋体"/>
                <w:color w:val="auto"/>
                <w:szCs w:val="21"/>
                <w:highlight w:val="none"/>
              </w:rPr>
            </w:pPr>
          </w:p>
        </w:tc>
        <w:tc>
          <w:tcPr>
            <w:tcW w:w="1984" w:type="dxa"/>
            <w:noWrap w:val="0"/>
            <w:vAlign w:val="top"/>
          </w:tcPr>
          <w:p w14:paraId="4F8A5B84">
            <w:pPr>
              <w:spacing w:line="400" w:lineRule="exact"/>
              <w:ind w:firstLine="420" w:firstLineChars="200"/>
              <w:rPr>
                <w:rFonts w:ascii="宋体" w:hAnsi="宋体"/>
                <w:color w:val="auto"/>
                <w:szCs w:val="21"/>
                <w:highlight w:val="none"/>
              </w:rPr>
            </w:pPr>
          </w:p>
        </w:tc>
        <w:tc>
          <w:tcPr>
            <w:tcW w:w="5103" w:type="dxa"/>
            <w:noWrap w:val="0"/>
            <w:vAlign w:val="top"/>
          </w:tcPr>
          <w:p w14:paraId="5B2FED44">
            <w:pPr>
              <w:spacing w:line="400" w:lineRule="exact"/>
              <w:ind w:firstLine="420" w:firstLineChars="200"/>
              <w:rPr>
                <w:rFonts w:ascii="宋体" w:hAnsi="宋体"/>
                <w:color w:val="auto"/>
                <w:szCs w:val="21"/>
                <w:highlight w:val="none"/>
              </w:rPr>
            </w:pPr>
          </w:p>
        </w:tc>
        <w:tc>
          <w:tcPr>
            <w:tcW w:w="1560" w:type="dxa"/>
            <w:noWrap w:val="0"/>
            <w:vAlign w:val="top"/>
          </w:tcPr>
          <w:p w14:paraId="607C3D0E">
            <w:pPr>
              <w:spacing w:line="400" w:lineRule="exact"/>
              <w:ind w:firstLine="420" w:firstLineChars="200"/>
              <w:rPr>
                <w:rFonts w:ascii="宋体" w:hAnsi="宋体"/>
                <w:color w:val="auto"/>
                <w:szCs w:val="21"/>
                <w:highlight w:val="none"/>
              </w:rPr>
            </w:pPr>
          </w:p>
        </w:tc>
      </w:tr>
      <w:tr w14:paraId="55E6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766568B">
            <w:pPr>
              <w:spacing w:line="400" w:lineRule="exact"/>
              <w:ind w:firstLine="420" w:firstLineChars="200"/>
              <w:rPr>
                <w:rFonts w:ascii="宋体" w:hAnsi="宋体"/>
                <w:color w:val="auto"/>
                <w:szCs w:val="21"/>
                <w:highlight w:val="none"/>
              </w:rPr>
            </w:pPr>
          </w:p>
        </w:tc>
        <w:tc>
          <w:tcPr>
            <w:tcW w:w="1984" w:type="dxa"/>
            <w:noWrap w:val="0"/>
            <w:vAlign w:val="top"/>
          </w:tcPr>
          <w:p w14:paraId="742500DA">
            <w:pPr>
              <w:spacing w:line="400" w:lineRule="exact"/>
              <w:ind w:firstLine="420" w:firstLineChars="200"/>
              <w:rPr>
                <w:rFonts w:ascii="宋体" w:hAnsi="宋体"/>
                <w:color w:val="auto"/>
                <w:szCs w:val="21"/>
                <w:highlight w:val="none"/>
              </w:rPr>
            </w:pPr>
          </w:p>
        </w:tc>
        <w:tc>
          <w:tcPr>
            <w:tcW w:w="5103" w:type="dxa"/>
            <w:noWrap w:val="0"/>
            <w:vAlign w:val="top"/>
          </w:tcPr>
          <w:p w14:paraId="1E7212F6">
            <w:pPr>
              <w:spacing w:line="400" w:lineRule="exact"/>
              <w:ind w:firstLine="420" w:firstLineChars="200"/>
              <w:rPr>
                <w:rFonts w:ascii="宋体" w:hAnsi="宋体"/>
                <w:color w:val="auto"/>
                <w:szCs w:val="21"/>
                <w:highlight w:val="none"/>
              </w:rPr>
            </w:pPr>
          </w:p>
        </w:tc>
        <w:tc>
          <w:tcPr>
            <w:tcW w:w="1560" w:type="dxa"/>
            <w:noWrap w:val="0"/>
            <w:vAlign w:val="top"/>
          </w:tcPr>
          <w:p w14:paraId="7FF439A3">
            <w:pPr>
              <w:spacing w:line="400" w:lineRule="exact"/>
              <w:ind w:firstLine="420" w:firstLineChars="200"/>
              <w:rPr>
                <w:rFonts w:ascii="宋体" w:hAnsi="宋体"/>
                <w:color w:val="auto"/>
                <w:szCs w:val="21"/>
                <w:highlight w:val="none"/>
              </w:rPr>
            </w:pPr>
          </w:p>
        </w:tc>
      </w:tr>
      <w:tr w14:paraId="0669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081200C">
            <w:pPr>
              <w:spacing w:line="400" w:lineRule="exact"/>
              <w:ind w:firstLine="420" w:firstLineChars="200"/>
              <w:rPr>
                <w:rFonts w:ascii="宋体" w:hAnsi="宋体"/>
                <w:color w:val="auto"/>
                <w:szCs w:val="21"/>
                <w:highlight w:val="none"/>
              </w:rPr>
            </w:pPr>
          </w:p>
        </w:tc>
        <w:tc>
          <w:tcPr>
            <w:tcW w:w="1984" w:type="dxa"/>
            <w:noWrap w:val="0"/>
            <w:vAlign w:val="top"/>
          </w:tcPr>
          <w:p w14:paraId="6145E42E">
            <w:pPr>
              <w:spacing w:line="400" w:lineRule="exact"/>
              <w:ind w:firstLine="420" w:firstLineChars="200"/>
              <w:rPr>
                <w:rFonts w:ascii="宋体" w:hAnsi="宋体"/>
                <w:color w:val="auto"/>
                <w:szCs w:val="21"/>
                <w:highlight w:val="none"/>
              </w:rPr>
            </w:pPr>
          </w:p>
        </w:tc>
        <w:tc>
          <w:tcPr>
            <w:tcW w:w="5103" w:type="dxa"/>
            <w:noWrap w:val="0"/>
            <w:vAlign w:val="top"/>
          </w:tcPr>
          <w:p w14:paraId="70E87D3E">
            <w:pPr>
              <w:spacing w:line="400" w:lineRule="exact"/>
              <w:ind w:firstLine="420" w:firstLineChars="200"/>
              <w:rPr>
                <w:rFonts w:ascii="宋体" w:hAnsi="宋体"/>
                <w:color w:val="auto"/>
                <w:szCs w:val="21"/>
                <w:highlight w:val="none"/>
              </w:rPr>
            </w:pPr>
          </w:p>
        </w:tc>
        <w:tc>
          <w:tcPr>
            <w:tcW w:w="1560" w:type="dxa"/>
            <w:noWrap w:val="0"/>
            <w:vAlign w:val="top"/>
          </w:tcPr>
          <w:p w14:paraId="366A6C6E">
            <w:pPr>
              <w:spacing w:line="400" w:lineRule="exact"/>
              <w:ind w:firstLine="420" w:firstLineChars="200"/>
              <w:rPr>
                <w:rFonts w:ascii="宋体" w:hAnsi="宋体"/>
                <w:color w:val="auto"/>
                <w:szCs w:val="21"/>
                <w:highlight w:val="none"/>
              </w:rPr>
            </w:pPr>
          </w:p>
        </w:tc>
      </w:tr>
      <w:tr w14:paraId="390A7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2A1267E2">
            <w:pPr>
              <w:spacing w:line="400" w:lineRule="exact"/>
              <w:ind w:firstLine="420" w:firstLineChars="200"/>
              <w:rPr>
                <w:rFonts w:ascii="宋体" w:hAnsi="宋体"/>
                <w:color w:val="auto"/>
                <w:szCs w:val="21"/>
                <w:highlight w:val="none"/>
              </w:rPr>
            </w:pPr>
          </w:p>
        </w:tc>
        <w:tc>
          <w:tcPr>
            <w:tcW w:w="1984" w:type="dxa"/>
            <w:noWrap w:val="0"/>
            <w:vAlign w:val="top"/>
          </w:tcPr>
          <w:p w14:paraId="5FF40965">
            <w:pPr>
              <w:spacing w:line="400" w:lineRule="exact"/>
              <w:ind w:firstLine="420" w:firstLineChars="200"/>
              <w:rPr>
                <w:rFonts w:ascii="宋体" w:hAnsi="宋体"/>
                <w:color w:val="auto"/>
                <w:szCs w:val="21"/>
                <w:highlight w:val="none"/>
              </w:rPr>
            </w:pPr>
          </w:p>
        </w:tc>
        <w:tc>
          <w:tcPr>
            <w:tcW w:w="5103" w:type="dxa"/>
            <w:noWrap w:val="0"/>
            <w:vAlign w:val="top"/>
          </w:tcPr>
          <w:p w14:paraId="0F37A0E9">
            <w:pPr>
              <w:spacing w:line="400" w:lineRule="exact"/>
              <w:ind w:firstLine="420" w:firstLineChars="200"/>
              <w:rPr>
                <w:rFonts w:ascii="宋体" w:hAnsi="宋体"/>
                <w:color w:val="auto"/>
                <w:szCs w:val="21"/>
                <w:highlight w:val="none"/>
              </w:rPr>
            </w:pPr>
          </w:p>
        </w:tc>
        <w:tc>
          <w:tcPr>
            <w:tcW w:w="1560" w:type="dxa"/>
            <w:noWrap w:val="0"/>
            <w:vAlign w:val="top"/>
          </w:tcPr>
          <w:p w14:paraId="7F8155DD">
            <w:pPr>
              <w:spacing w:line="400" w:lineRule="exact"/>
              <w:ind w:firstLine="420" w:firstLineChars="200"/>
              <w:rPr>
                <w:rFonts w:ascii="宋体" w:hAnsi="宋体"/>
                <w:color w:val="auto"/>
                <w:szCs w:val="21"/>
                <w:highlight w:val="none"/>
              </w:rPr>
            </w:pPr>
          </w:p>
        </w:tc>
      </w:tr>
      <w:tr w14:paraId="0854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4E6DA785">
            <w:pPr>
              <w:spacing w:line="400" w:lineRule="exact"/>
              <w:ind w:firstLine="420" w:firstLineChars="200"/>
              <w:rPr>
                <w:rFonts w:ascii="宋体" w:hAnsi="宋体"/>
                <w:color w:val="auto"/>
                <w:szCs w:val="21"/>
                <w:highlight w:val="none"/>
              </w:rPr>
            </w:pPr>
          </w:p>
        </w:tc>
        <w:tc>
          <w:tcPr>
            <w:tcW w:w="1984" w:type="dxa"/>
            <w:noWrap w:val="0"/>
            <w:vAlign w:val="top"/>
          </w:tcPr>
          <w:p w14:paraId="228DDE7B">
            <w:pPr>
              <w:spacing w:line="400" w:lineRule="exact"/>
              <w:ind w:firstLine="420" w:firstLineChars="200"/>
              <w:rPr>
                <w:rFonts w:ascii="宋体" w:hAnsi="宋体"/>
                <w:color w:val="auto"/>
                <w:szCs w:val="21"/>
                <w:highlight w:val="none"/>
              </w:rPr>
            </w:pPr>
          </w:p>
        </w:tc>
        <w:tc>
          <w:tcPr>
            <w:tcW w:w="5103" w:type="dxa"/>
            <w:noWrap w:val="0"/>
            <w:vAlign w:val="top"/>
          </w:tcPr>
          <w:p w14:paraId="32A43D68">
            <w:pPr>
              <w:spacing w:line="400" w:lineRule="exact"/>
              <w:ind w:firstLine="420" w:firstLineChars="200"/>
              <w:rPr>
                <w:rFonts w:ascii="宋体" w:hAnsi="宋体"/>
                <w:color w:val="auto"/>
                <w:szCs w:val="21"/>
                <w:highlight w:val="none"/>
              </w:rPr>
            </w:pPr>
          </w:p>
        </w:tc>
        <w:tc>
          <w:tcPr>
            <w:tcW w:w="1560" w:type="dxa"/>
            <w:noWrap w:val="0"/>
            <w:vAlign w:val="top"/>
          </w:tcPr>
          <w:p w14:paraId="5D65986C">
            <w:pPr>
              <w:spacing w:line="400" w:lineRule="exact"/>
              <w:ind w:firstLine="420" w:firstLineChars="200"/>
              <w:rPr>
                <w:rFonts w:ascii="宋体" w:hAnsi="宋体"/>
                <w:color w:val="auto"/>
                <w:szCs w:val="21"/>
                <w:highlight w:val="none"/>
              </w:rPr>
            </w:pPr>
          </w:p>
        </w:tc>
      </w:tr>
      <w:tr w14:paraId="4986B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6E87B6CA">
            <w:pPr>
              <w:spacing w:line="400" w:lineRule="exact"/>
              <w:ind w:firstLine="420" w:firstLineChars="200"/>
              <w:rPr>
                <w:rFonts w:ascii="宋体" w:hAnsi="宋体"/>
                <w:color w:val="auto"/>
                <w:szCs w:val="21"/>
                <w:highlight w:val="none"/>
              </w:rPr>
            </w:pPr>
          </w:p>
        </w:tc>
        <w:tc>
          <w:tcPr>
            <w:tcW w:w="1984" w:type="dxa"/>
            <w:noWrap w:val="0"/>
            <w:vAlign w:val="top"/>
          </w:tcPr>
          <w:p w14:paraId="0492C71D">
            <w:pPr>
              <w:spacing w:line="400" w:lineRule="exact"/>
              <w:ind w:firstLine="420" w:firstLineChars="200"/>
              <w:rPr>
                <w:rFonts w:ascii="宋体" w:hAnsi="宋体"/>
                <w:color w:val="auto"/>
                <w:szCs w:val="21"/>
                <w:highlight w:val="none"/>
              </w:rPr>
            </w:pPr>
          </w:p>
        </w:tc>
        <w:tc>
          <w:tcPr>
            <w:tcW w:w="5103" w:type="dxa"/>
            <w:noWrap w:val="0"/>
            <w:vAlign w:val="top"/>
          </w:tcPr>
          <w:p w14:paraId="61CF6A7A">
            <w:pPr>
              <w:spacing w:line="400" w:lineRule="exact"/>
              <w:ind w:firstLine="420" w:firstLineChars="200"/>
              <w:rPr>
                <w:rFonts w:ascii="宋体" w:hAnsi="宋体"/>
                <w:color w:val="auto"/>
                <w:szCs w:val="21"/>
                <w:highlight w:val="none"/>
              </w:rPr>
            </w:pPr>
          </w:p>
        </w:tc>
        <w:tc>
          <w:tcPr>
            <w:tcW w:w="1560" w:type="dxa"/>
            <w:noWrap w:val="0"/>
            <w:vAlign w:val="top"/>
          </w:tcPr>
          <w:p w14:paraId="477C3ADC">
            <w:pPr>
              <w:spacing w:line="400" w:lineRule="exact"/>
              <w:ind w:firstLine="420" w:firstLineChars="200"/>
              <w:rPr>
                <w:rFonts w:ascii="宋体" w:hAnsi="宋体"/>
                <w:color w:val="auto"/>
                <w:szCs w:val="21"/>
                <w:highlight w:val="none"/>
              </w:rPr>
            </w:pPr>
          </w:p>
        </w:tc>
      </w:tr>
      <w:tr w14:paraId="5523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0865017">
            <w:pPr>
              <w:spacing w:line="400" w:lineRule="exact"/>
              <w:ind w:firstLine="420" w:firstLineChars="200"/>
              <w:rPr>
                <w:rFonts w:ascii="宋体" w:hAnsi="宋体"/>
                <w:color w:val="auto"/>
                <w:szCs w:val="21"/>
                <w:highlight w:val="none"/>
              </w:rPr>
            </w:pPr>
          </w:p>
        </w:tc>
        <w:tc>
          <w:tcPr>
            <w:tcW w:w="1984" w:type="dxa"/>
            <w:noWrap w:val="0"/>
            <w:vAlign w:val="top"/>
          </w:tcPr>
          <w:p w14:paraId="6C92ED49">
            <w:pPr>
              <w:spacing w:line="400" w:lineRule="exact"/>
              <w:ind w:firstLine="420" w:firstLineChars="200"/>
              <w:rPr>
                <w:rFonts w:ascii="宋体" w:hAnsi="宋体"/>
                <w:color w:val="auto"/>
                <w:szCs w:val="21"/>
                <w:highlight w:val="none"/>
              </w:rPr>
            </w:pPr>
          </w:p>
        </w:tc>
        <w:tc>
          <w:tcPr>
            <w:tcW w:w="5103" w:type="dxa"/>
            <w:noWrap w:val="0"/>
            <w:vAlign w:val="top"/>
          </w:tcPr>
          <w:p w14:paraId="675FB145">
            <w:pPr>
              <w:spacing w:line="400" w:lineRule="exact"/>
              <w:ind w:firstLine="420" w:firstLineChars="200"/>
              <w:rPr>
                <w:rFonts w:ascii="宋体" w:hAnsi="宋体"/>
                <w:color w:val="auto"/>
                <w:szCs w:val="21"/>
                <w:highlight w:val="none"/>
              </w:rPr>
            </w:pPr>
          </w:p>
        </w:tc>
        <w:tc>
          <w:tcPr>
            <w:tcW w:w="1560" w:type="dxa"/>
            <w:noWrap w:val="0"/>
            <w:vAlign w:val="top"/>
          </w:tcPr>
          <w:p w14:paraId="1E6C051A">
            <w:pPr>
              <w:spacing w:line="400" w:lineRule="exact"/>
              <w:ind w:firstLine="420" w:firstLineChars="200"/>
              <w:rPr>
                <w:rFonts w:ascii="宋体" w:hAnsi="宋体"/>
                <w:color w:val="auto"/>
                <w:szCs w:val="21"/>
                <w:highlight w:val="none"/>
              </w:rPr>
            </w:pPr>
          </w:p>
        </w:tc>
      </w:tr>
      <w:tr w14:paraId="15D5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37C8B3E5">
            <w:pPr>
              <w:spacing w:line="400" w:lineRule="exact"/>
              <w:ind w:firstLine="420" w:firstLineChars="200"/>
              <w:rPr>
                <w:rFonts w:ascii="宋体" w:hAnsi="宋体"/>
                <w:color w:val="auto"/>
                <w:szCs w:val="21"/>
                <w:highlight w:val="none"/>
              </w:rPr>
            </w:pPr>
          </w:p>
        </w:tc>
        <w:tc>
          <w:tcPr>
            <w:tcW w:w="1984" w:type="dxa"/>
            <w:noWrap w:val="0"/>
            <w:vAlign w:val="top"/>
          </w:tcPr>
          <w:p w14:paraId="1B0F4903">
            <w:pPr>
              <w:spacing w:line="400" w:lineRule="exact"/>
              <w:ind w:firstLine="420" w:firstLineChars="200"/>
              <w:rPr>
                <w:rFonts w:ascii="宋体" w:hAnsi="宋体"/>
                <w:color w:val="auto"/>
                <w:szCs w:val="21"/>
                <w:highlight w:val="none"/>
              </w:rPr>
            </w:pPr>
          </w:p>
        </w:tc>
        <w:tc>
          <w:tcPr>
            <w:tcW w:w="5103" w:type="dxa"/>
            <w:noWrap w:val="0"/>
            <w:vAlign w:val="top"/>
          </w:tcPr>
          <w:p w14:paraId="62FEF1F5">
            <w:pPr>
              <w:spacing w:line="400" w:lineRule="exact"/>
              <w:ind w:firstLine="420" w:firstLineChars="200"/>
              <w:rPr>
                <w:rFonts w:ascii="宋体" w:hAnsi="宋体"/>
                <w:color w:val="auto"/>
                <w:szCs w:val="21"/>
                <w:highlight w:val="none"/>
              </w:rPr>
            </w:pPr>
          </w:p>
        </w:tc>
        <w:tc>
          <w:tcPr>
            <w:tcW w:w="1560" w:type="dxa"/>
            <w:noWrap w:val="0"/>
            <w:vAlign w:val="top"/>
          </w:tcPr>
          <w:p w14:paraId="356FFC54">
            <w:pPr>
              <w:spacing w:line="400" w:lineRule="exact"/>
              <w:ind w:firstLine="420" w:firstLineChars="200"/>
              <w:rPr>
                <w:rFonts w:ascii="宋体" w:hAnsi="宋体"/>
                <w:color w:val="auto"/>
                <w:szCs w:val="21"/>
                <w:highlight w:val="none"/>
              </w:rPr>
            </w:pPr>
          </w:p>
        </w:tc>
      </w:tr>
      <w:tr w14:paraId="28E8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77B4C887">
            <w:pPr>
              <w:spacing w:line="400" w:lineRule="exact"/>
              <w:ind w:firstLine="420" w:firstLineChars="200"/>
              <w:rPr>
                <w:rFonts w:ascii="宋体" w:hAnsi="宋体"/>
                <w:color w:val="auto"/>
                <w:szCs w:val="21"/>
                <w:highlight w:val="none"/>
              </w:rPr>
            </w:pPr>
          </w:p>
        </w:tc>
        <w:tc>
          <w:tcPr>
            <w:tcW w:w="1984" w:type="dxa"/>
            <w:noWrap w:val="0"/>
            <w:vAlign w:val="top"/>
          </w:tcPr>
          <w:p w14:paraId="551B3040">
            <w:pPr>
              <w:spacing w:line="400" w:lineRule="exact"/>
              <w:ind w:firstLine="420" w:firstLineChars="200"/>
              <w:rPr>
                <w:rFonts w:ascii="宋体" w:hAnsi="宋体"/>
                <w:color w:val="auto"/>
                <w:szCs w:val="21"/>
                <w:highlight w:val="none"/>
              </w:rPr>
            </w:pPr>
          </w:p>
        </w:tc>
        <w:tc>
          <w:tcPr>
            <w:tcW w:w="5103" w:type="dxa"/>
            <w:noWrap w:val="0"/>
            <w:vAlign w:val="top"/>
          </w:tcPr>
          <w:p w14:paraId="6F910597">
            <w:pPr>
              <w:spacing w:line="400" w:lineRule="exact"/>
              <w:ind w:firstLine="420" w:firstLineChars="200"/>
              <w:rPr>
                <w:rFonts w:ascii="宋体" w:hAnsi="宋体"/>
                <w:color w:val="auto"/>
                <w:szCs w:val="21"/>
                <w:highlight w:val="none"/>
              </w:rPr>
            </w:pPr>
          </w:p>
        </w:tc>
        <w:tc>
          <w:tcPr>
            <w:tcW w:w="1560" w:type="dxa"/>
            <w:noWrap w:val="0"/>
            <w:vAlign w:val="top"/>
          </w:tcPr>
          <w:p w14:paraId="0428638B">
            <w:pPr>
              <w:spacing w:line="400" w:lineRule="exact"/>
              <w:ind w:firstLine="420" w:firstLineChars="200"/>
              <w:rPr>
                <w:rFonts w:ascii="宋体" w:hAnsi="宋体"/>
                <w:color w:val="auto"/>
                <w:szCs w:val="21"/>
                <w:highlight w:val="none"/>
              </w:rPr>
            </w:pPr>
          </w:p>
        </w:tc>
      </w:tr>
      <w:tr w14:paraId="1D8D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noWrap w:val="0"/>
            <w:vAlign w:val="top"/>
          </w:tcPr>
          <w:p w14:paraId="12E7BB4C">
            <w:pPr>
              <w:spacing w:line="400" w:lineRule="exact"/>
              <w:ind w:firstLine="420" w:firstLineChars="200"/>
              <w:rPr>
                <w:rFonts w:ascii="宋体" w:hAnsi="宋体"/>
                <w:color w:val="auto"/>
                <w:szCs w:val="21"/>
                <w:highlight w:val="none"/>
              </w:rPr>
            </w:pPr>
          </w:p>
        </w:tc>
        <w:tc>
          <w:tcPr>
            <w:tcW w:w="1984" w:type="dxa"/>
            <w:noWrap w:val="0"/>
            <w:vAlign w:val="top"/>
          </w:tcPr>
          <w:p w14:paraId="6C80F016">
            <w:pPr>
              <w:spacing w:line="400" w:lineRule="exact"/>
              <w:ind w:firstLine="420" w:firstLineChars="200"/>
              <w:rPr>
                <w:rFonts w:ascii="宋体" w:hAnsi="宋体"/>
                <w:color w:val="auto"/>
                <w:szCs w:val="21"/>
                <w:highlight w:val="none"/>
              </w:rPr>
            </w:pPr>
          </w:p>
        </w:tc>
        <w:tc>
          <w:tcPr>
            <w:tcW w:w="5103" w:type="dxa"/>
            <w:noWrap w:val="0"/>
            <w:vAlign w:val="top"/>
          </w:tcPr>
          <w:p w14:paraId="22584F0E">
            <w:pPr>
              <w:spacing w:line="400" w:lineRule="exact"/>
              <w:ind w:firstLine="420" w:firstLineChars="200"/>
              <w:rPr>
                <w:rFonts w:ascii="宋体" w:hAnsi="宋体"/>
                <w:color w:val="auto"/>
                <w:szCs w:val="21"/>
                <w:highlight w:val="none"/>
              </w:rPr>
            </w:pPr>
          </w:p>
        </w:tc>
        <w:tc>
          <w:tcPr>
            <w:tcW w:w="1560" w:type="dxa"/>
            <w:noWrap w:val="0"/>
            <w:vAlign w:val="top"/>
          </w:tcPr>
          <w:p w14:paraId="49122C8B">
            <w:pPr>
              <w:spacing w:line="400" w:lineRule="exact"/>
              <w:ind w:firstLine="420" w:firstLineChars="200"/>
              <w:rPr>
                <w:rFonts w:ascii="宋体" w:hAnsi="宋体"/>
                <w:color w:val="auto"/>
                <w:szCs w:val="21"/>
                <w:highlight w:val="none"/>
              </w:rPr>
            </w:pPr>
          </w:p>
        </w:tc>
      </w:tr>
      <w:tr w14:paraId="4EA7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noWrap w:val="0"/>
            <w:vAlign w:val="top"/>
          </w:tcPr>
          <w:p w14:paraId="4406AF9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小计：</w:t>
            </w:r>
          </w:p>
        </w:tc>
      </w:tr>
    </w:tbl>
    <w:p w14:paraId="4D79D0EB">
      <w:pPr>
        <w:spacing w:line="360" w:lineRule="auto"/>
        <w:ind w:firstLine="420" w:firstLineChars="200"/>
        <w:rPr>
          <w:rFonts w:ascii="宋体" w:hAnsi="宋体"/>
          <w:color w:val="auto"/>
          <w:szCs w:val="21"/>
          <w:highlight w:val="none"/>
        </w:rPr>
      </w:pPr>
    </w:p>
    <w:p w14:paraId="39AEA2D3">
      <w:pPr>
        <w:pStyle w:val="2"/>
        <w:spacing w:line="360" w:lineRule="auto"/>
        <w:rPr>
          <w:rFonts w:ascii="宋体" w:hAnsi="宋体"/>
          <w:color w:val="auto"/>
          <w:szCs w:val="21"/>
          <w:highlight w:val="none"/>
        </w:rPr>
      </w:pPr>
    </w:p>
    <w:p w14:paraId="682148AB">
      <w:pPr>
        <w:spacing w:line="480" w:lineRule="auto"/>
        <w:ind w:firstLine="420" w:firstLineChars="200"/>
        <w:rPr>
          <w:rFonts w:ascii="宋体" w:hAnsi="宋体"/>
          <w:color w:val="auto"/>
          <w:szCs w:val="21"/>
          <w:highlight w:val="none"/>
        </w:rPr>
      </w:pPr>
      <w:r>
        <w:rPr>
          <w:rFonts w:ascii="宋体" w:hAnsi="宋体"/>
          <w:color w:val="auto"/>
          <w:szCs w:val="21"/>
          <w:highlight w:val="none"/>
        </w:rPr>
        <w:br w:type="page"/>
      </w:r>
    </w:p>
    <w:p w14:paraId="7317D5E2">
      <w:pPr>
        <w:spacing w:line="480" w:lineRule="auto"/>
        <w:rPr>
          <w:rFonts w:ascii="宋体" w:hAnsi="宋体"/>
          <w:color w:val="auto"/>
          <w:szCs w:val="21"/>
          <w:highlight w:val="none"/>
        </w:rPr>
      </w:pPr>
      <w:r>
        <w:rPr>
          <w:rFonts w:hint="eastAsia" w:ascii="宋体" w:hAnsi="宋体"/>
          <w:color w:val="auto"/>
          <w:szCs w:val="21"/>
          <w:highlight w:val="none"/>
        </w:rPr>
        <w:t>附件8：廉洁从业协议</w:t>
      </w:r>
    </w:p>
    <w:p w14:paraId="2761D542">
      <w:pPr>
        <w:spacing w:before="156" w:beforeLines="50" w:after="156" w:afterLines="50" w:line="480" w:lineRule="auto"/>
        <w:jc w:val="center"/>
        <w:rPr>
          <w:rFonts w:ascii="宋体" w:hAnsi="宋体"/>
          <w:color w:val="auto"/>
          <w:szCs w:val="21"/>
          <w:highlight w:val="none"/>
        </w:rPr>
      </w:pPr>
      <w:r>
        <w:rPr>
          <w:rFonts w:hint="eastAsia" w:ascii="宋体" w:hAnsi="宋体"/>
          <w:color w:val="auto"/>
          <w:szCs w:val="21"/>
          <w:highlight w:val="none"/>
        </w:rPr>
        <w:t>廉洁从业协议</w:t>
      </w:r>
    </w:p>
    <w:p w14:paraId="4F1C3000">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2A9335E7">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2DE5FE3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07902CF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1. 发包人承包人的权利和义务</w:t>
      </w:r>
    </w:p>
    <w:p w14:paraId="6DE003F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（1）严格遵守党的政策规定和国家有关法律法规及相关部门的有关规定。</w:t>
      </w:r>
    </w:p>
    <w:p w14:paraId="355418B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（2）严格执行 工程的合同文件，自觉按合同办事。</w:t>
      </w:r>
    </w:p>
    <w:p w14:paraId="1409B9C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（3）双方的业务活动坚持公开、公正、诚信、透明的原则（法律认定的商业秘密和合同文件另有规定除外），不得损害国家和集体利益，违反工程建设管理规章制度。</w:t>
      </w:r>
    </w:p>
    <w:p w14:paraId="16B1257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（4）建立健全廉政制度，开展廉政教育，设立廉政告示牌，公布举报电话，监督并认真查处违法违纪行为。</w:t>
      </w:r>
    </w:p>
    <w:p w14:paraId="6F116FD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（5）发现对方在业务活动中有违反廉政规定的行为，有及时提醒对方纠正的权利和义务。</w:t>
      </w:r>
    </w:p>
    <w:p w14:paraId="7B77674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（6）发现对方严重违反协议义务条款的行为，有向其上级有关部门举报、建议给予处理并要求告知处理结果的权利。</w:t>
      </w:r>
    </w:p>
    <w:p w14:paraId="3D6F9CC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发包人的义务</w:t>
      </w:r>
    </w:p>
    <w:p w14:paraId="4B4C7B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（1）发包人及其工作人员不得索要或接受承包人的礼金、有价证券和贵重物品，不得在承包人报销任何应由发包人或发包人工作人员个人支付的费用等。</w:t>
      </w:r>
    </w:p>
    <w:p w14:paraId="640262D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（2）发包人工作人员不得参加承包人安排的超标准宴请和娱乐活动；不得接受承包人提供的通讯工具、交通工具和高档办公用品等。</w:t>
      </w:r>
    </w:p>
    <w:p w14:paraId="17AF41B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（3）发包人及其工作人员不得要求或者接受承包人为其住房装修、婚丧嫁娶活动、配偶子女的工作安排以及出国出境、旅游等提供方便等。</w:t>
      </w:r>
    </w:p>
    <w:p w14:paraId="1A7BFC2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（4）发包人工作人员及其配偶、子女不得从事与发包人工程有关的材料设备供应、工程分包、劳务等经济活动等。</w:t>
      </w:r>
    </w:p>
    <w:p w14:paraId="0354761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（5）发包人及其工作人员不得以任何理由向承包人推荐分包单位或推销材料，不得要求承包人购买合同规定外的材料和设备。</w:t>
      </w:r>
    </w:p>
    <w:p w14:paraId="512F6A7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（6）发包人工作人员要秉公办事，不准营私舞弊，不准利用职权从事各种个人有偿中介活动和安排个人施工队伍。</w:t>
      </w:r>
    </w:p>
    <w:p w14:paraId="7796645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承包人义务</w:t>
      </w:r>
    </w:p>
    <w:p w14:paraId="01F25AE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（1）承包人不得以任何理由向发包人及其工作人员行贿或馈赠礼金、有价证券、贵重礼品。</w:t>
      </w:r>
    </w:p>
    <w:p w14:paraId="75A2B27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（2）承包人不得以任何名义为发包人及其工作人员报销应由发包人单位或个人支付的任何费用。</w:t>
      </w:r>
    </w:p>
    <w:p w14:paraId="255F5C6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（3）承包人不得以任何理由安排发包人工作人员参加超标准宴请及娱乐活动。</w:t>
      </w:r>
    </w:p>
    <w:p w14:paraId="6599AEF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（4）承包人不得为发包人单位和个人购置或提供通讯工具、交通工具和高档办公用品等。</w:t>
      </w:r>
    </w:p>
    <w:p w14:paraId="1F9F41C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违约责任</w:t>
      </w:r>
    </w:p>
    <w:p w14:paraId="52F678C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（1）发包人及其工作人员违反合同第1、2条，按管理权限，依据有关规定给予党纪、政纪或组织处理；涉嫌犯罪的，移交司法机关追究刑事责任；给承包人单位造成经济损失的，应予以赔偿。</w:t>
      </w:r>
    </w:p>
    <w:p w14:paraId="253A77D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（2）承包人及其工作人员违反合同第1、3条，按管理权限，依据有关规定给予党纪、政纪或组织处理；给发包人单位造成经济损失的，应予以赔偿。</w:t>
      </w:r>
    </w:p>
    <w:p w14:paraId="37C8FA2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44AAA8E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协议有效期为甲乙双方签署之日起至该工程项目竣工验收后止。</w:t>
      </w:r>
    </w:p>
    <w:p w14:paraId="700E98A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7.协议作为 工程施工合同的附件，与工程施工合同具有同等的法律效力，经合同双方签署立即生效。</w:t>
      </w:r>
    </w:p>
    <w:p w14:paraId="706B0C1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（以下无正文）</w:t>
      </w:r>
    </w:p>
    <w:p w14:paraId="3F6F3965">
      <w:pPr>
        <w:spacing w:line="360" w:lineRule="auto"/>
        <w:rPr>
          <w:rFonts w:ascii="宋体" w:hAnsi="宋体"/>
          <w:color w:val="auto"/>
          <w:szCs w:val="21"/>
          <w:highlight w:val="none"/>
        </w:rPr>
      </w:pPr>
    </w:p>
    <w:p w14:paraId="5DE159C6">
      <w:pPr>
        <w:pStyle w:val="2"/>
        <w:spacing w:line="360" w:lineRule="auto"/>
        <w:rPr>
          <w:rFonts w:ascii="宋体" w:hAnsi="宋体"/>
          <w:color w:val="auto"/>
          <w:szCs w:val="21"/>
          <w:highlight w:val="none"/>
        </w:rPr>
      </w:pPr>
    </w:p>
    <w:p w14:paraId="5E9AF8CB">
      <w:pPr>
        <w:pStyle w:val="2"/>
        <w:spacing w:line="360" w:lineRule="auto"/>
        <w:rPr>
          <w:rFonts w:ascii="宋体" w:hAnsi="宋体"/>
          <w:color w:val="auto"/>
          <w:szCs w:val="21"/>
          <w:highlight w:val="none"/>
        </w:rPr>
      </w:pPr>
    </w:p>
    <w:p w14:paraId="6939CE04">
      <w:pPr>
        <w:spacing w:line="360" w:lineRule="auto"/>
        <w:rPr>
          <w:rFonts w:ascii="宋体" w:hAnsi="宋体"/>
          <w:color w:val="auto"/>
          <w:szCs w:val="21"/>
          <w:highlight w:val="none"/>
        </w:rPr>
      </w:pPr>
      <w:r>
        <w:rPr>
          <w:rFonts w:hint="eastAsia" w:ascii="宋体" w:hAnsi="宋体"/>
          <w:color w:val="auto"/>
          <w:szCs w:val="21"/>
          <w:highlight w:val="none"/>
        </w:rPr>
        <w:t>甲     方：                         乙     方：</w:t>
      </w:r>
    </w:p>
    <w:p w14:paraId="70947663">
      <w:pPr>
        <w:spacing w:line="360" w:lineRule="auto"/>
        <w:rPr>
          <w:rFonts w:ascii="宋体" w:hAnsi="宋体"/>
          <w:color w:val="auto"/>
          <w:szCs w:val="21"/>
          <w:highlight w:val="none"/>
        </w:rPr>
      </w:pPr>
    </w:p>
    <w:p w14:paraId="3922541C">
      <w:pPr>
        <w:spacing w:line="360" w:lineRule="auto"/>
        <w:rPr>
          <w:rFonts w:ascii="宋体" w:hAnsi="宋体"/>
          <w:color w:val="auto"/>
          <w:szCs w:val="21"/>
          <w:highlight w:val="none"/>
        </w:rPr>
      </w:pPr>
    </w:p>
    <w:p w14:paraId="55F0F428">
      <w:pPr>
        <w:spacing w:line="360" w:lineRule="auto"/>
        <w:rPr>
          <w:rFonts w:ascii="宋体" w:hAnsi="宋体"/>
          <w:color w:val="auto"/>
          <w:szCs w:val="21"/>
          <w:highlight w:val="none"/>
        </w:rPr>
      </w:pPr>
      <w:r>
        <w:rPr>
          <w:rFonts w:hint="eastAsia" w:ascii="宋体" w:hAnsi="宋体"/>
          <w:color w:val="auto"/>
          <w:szCs w:val="21"/>
          <w:highlight w:val="none"/>
        </w:rPr>
        <w:t xml:space="preserve">法定代表人                          法定代表人                      </w:t>
      </w:r>
    </w:p>
    <w:p w14:paraId="780DFA26">
      <w:pPr>
        <w:spacing w:line="360" w:lineRule="auto"/>
        <w:rPr>
          <w:rFonts w:ascii="宋体" w:hAnsi="宋体"/>
          <w:color w:val="auto"/>
          <w:szCs w:val="21"/>
          <w:highlight w:val="none"/>
        </w:rPr>
      </w:pPr>
    </w:p>
    <w:p w14:paraId="2DB3C486">
      <w:pPr>
        <w:spacing w:line="360" w:lineRule="auto"/>
        <w:rPr>
          <w:rFonts w:ascii="宋体" w:hAnsi="宋体"/>
          <w:color w:val="auto"/>
          <w:szCs w:val="21"/>
          <w:highlight w:val="none"/>
        </w:rPr>
      </w:pPr>
    </w:p>
    <w:p w14:paraId="06B8AD80">
      <w:pPr>
        <w:spacing w:line="360" w:lineRule="auto"/>
        <w:rPr>
          <w:rFonts w:ascii="宋体" w:hAnsi="宋体"/>
          <w:color w:val="auto"/>
          <w:szCs w:val="21"/>
          <w:highlight w:val="none"/>
        </w:rPr>
      </w:pPr>
      <w:r>
        <w:rPr>
          <w:rFonts w:hint="eastAsia" w:ascii="宋体" w:hAnsi="宋体"/>
          <w:color w:val="auto"/>
          <w:szCs w:val="21"/>
          <w:highlight w:val="none"/>
        </w:rPr>
        <w:t>或其授权的代理人：                  或授权的代理人：</w:t>
      </w:r>
    </w:p>
    <w:p w14:paraId="1E173943">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附件9：安全管理协议</w:t>
      </w:r>
    </w:p>
    <w:p w14:paraId="0CC60B38">
      <w:pPr>
        <w:spacing w:before="156" w:beforeLines="50" w:after="156" w:afterLines="50" w:line="480" w:lineRule="auto"/>
        <w:jc w:val="center"/>
        <w:rPr>
          <w:rFonts w:ascii="宋体" w:hAnsi="宋体"/>
          <w:color w:val="auto"/>
          <w:szCs w:val="21"/>
          <w:highlight w:val="none"/>
        </w:rPr>
      </w:pPr>
      <w:bookmarkStart w:id="2031" w:name="_Toc448406299"/>
      <w:bookmarkStart w:id="2032" w:name="_Toc247431422"/>
      <w:bookmarkStart w:id="2033" w:name="_Toc435689499"/>
      <w:bookmarkStart w:id="2034" w:name="_Toc239510288"/>
      <w:bookmarkStart w:id="2035" w:name="_Toc435690184"/>
      <w:bookmarkStart w:id="2036" w:name="_Toc336680145"/>
      <w:r>
        <w:rPr>
          <w:rFonts w:hint="eastAsia" w:ascii="宋体" w:hAnsi="宋体"/>
          <w:color w:val="auto"/>
          <w:szCs w:val="21"/>
          <w:highlight w:val="none"/>
        </w:rPr>
        <w:t>安全管理协议</w:t>
      </w:r>
      <w:bookmarkEnd w:id="2031"/>
      <w:bookmarkEnd w:id="2032"/>
      <w:bookmarkEnd w:id="2033"/>
      <w:bookmarkEnd w:id="2034"/>
      <w:bookmarkEnd w:id="2035"/>
      <w:bookmarkEnd w:id="2036"/>
    </w:p>
    <w:p w14:paraId="2CA980BE">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1D529301">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74866B0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为了确保实现</w:t>
      </w:r>
      <w:r>
        <w:rPr>
          <w:rFonts w:hint="eastAsia" w:ascii="宋体" w:hAnsi="宋体"/>
          <w:color w:val="auto"/>
          <w:szCs w:val="21"/>
          <w:highlight w:val="none"/>
          <w:u w:val="single"/>
        </w:rPr>
        <w:t xml:space="preserve">        </w:t>
      </w:r>
      <w:r>
        <w:rPr>
          <w:rFonts w:hint="eastAsia" w:ascii="宋体" w:hAnsi="宋体"/>
          <w:color w:val="auto"/>
          <w:szCs w:val="21"/>
          <w:highlight w:val="none"/>
        </w:rPr>
        <w:t>安全生产目标，进一步明确双方的安全管理责任，加强安全生产管理工作的协调、管理力度，</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（以下简称“发包人”）与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44D37F50">
      <w:pPr>
        <w:spacing w:line="360" w:lineRule="auto"/>
        <w:ind w:firstLine="420" w:firstLineChars="200"/>
        <w:rPr>
          <w:rFonts w:ascii="宋体" w:hAnsi="宋体"/>
          <w:color w:val="auto"/>
          <w:szCs w:val="21"/>
          <w:highlight w:val="none"/>
        </w:rPr>
      </w:pPr>
      <w:bookmarkStart w:id="2037" w:name="_Toc247431423"/>
      <w:bookmarkStart w:id="2038" w:name="_Toc532375700"/>
      <w:bookmarkStart w:id="2039" w:name="_Toc247418263"/>
      <w:bookmarkStart w:id="2040" w:name="_Toc239510289"/>
      <w:r>
        <w:rPr>
          <w:rFonts w:hint="eastAsia" w:ascii="宋体" w:hAnsi="宋体"/>
          <w:color w:val="auto"/>
          <w:szCs w:val="21"/>
          <w:highlight w:val="none"/>
        </w:rPr>
        <w:t>一、协议有效期限</w:t>
      </w:r>
      <w:bookmarkEnd w:id="2037"/>
      <w:bookmarkEnd w:id="2038"/>
      <w:bookmarkEnd w:id="2039"/>
      <w:bookmarkEnd w:id="2040"/>
    </w:p>
    <w:p w14:paraId="611CEE5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本协议中所涉及的安全管理责任自合同签订之日起开始生效，至合同工程全部完工验收且经发包人与承包人签订移交协议生效后之日终止。</w:t>
      </w:r>
    </w:p>
    <w:p w14:paraId="757AF16B">
      <w:pPr>
        <w:spacing w:line="360" w:lineRule="auto"/>
        <w:ind w:firstLine="420" w:firstLineChars="200"/>
        <w:rPr>
          <w:rFonts w:ascii="宋体" w:hAnsi="宋体"/>
          <w:color w:val="auto"/>
          <w:szCs w:val="21"/>
          <w:highlight w:val="none"/>
        </w:rPr>
      </w:pPr>
      <w:bookmarkStart w:id="2041" w:name="_Toc532375701"/>
      <w:bookmarkStart w:id="2042" w:name="_Toc247418264"/>
      <w:bookmarkStart w:id="2043" w:name="_Toc239510290"/>
      <w:bookmarkStart w:id="2044" w:name="_Toc247431424"/>
      <w:r>
        <w:rPr>
          <w:rFonts w:hint="eastAsia" w:ascii="宋体" w:hAnsi="宋体"/>
          <w:color w:val="auto"/>
          <w:szCs w:val="21"/>
          <w:highlight w:val="none"/>
        </w:rPr>
        <w:t>二、责任目标</w:t>
      </w:r>
      <w:bookmarkEnd w:id="2041"/>
      <w:bookmarkEnd w:id="2042"/>
      <w:bookmarkEnd w:id="2043"/>
      <w:bookmarkEnd w:id="2044"/>
    </w:p>
    <w:p w14:paraId="041827B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（一）承包人承诺承担和履行合同和发包人所规定的安全责任，且满足要求。</w:t>
      </w:r>
    </w:p>
    <w:p w14:paraId="0BE04B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（二）承包人的安全控制目标是确保本工程在实施过程中：</w:t>
      </w:r>
    </w:p>
    <w:p w14:paraId="66DA76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1．不发生人身重伤事故；</w:t>
      </w:r>
    </w:p>
    <w:p w14:paraId="6D0B40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2．不发生火灾事故；</w:t>
      </w:r>
    </w:p>
    <w:p w14:paraId="68F2571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3．不发生负有同等及以上事故责任的造成人身重伤的一般交通事故；</w:t>
      </w:r>
    </w:p>
    <w:p w14:paraId="0139D8D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4．不发生集体食物中毒事件（同时5人及以上的食物中毒）；</w:t>
      </w:r>
    </w:p>
    <w:p w14:paraId="6B5208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5．不发生流行性传染病 （无甲型传染病、其他常见传染病未形成多人同时患病）；</w:t>
      </w:r>
    </w:p>
    <w:p w14:paraId="774C9E6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6．不发生重大环境污染事件（生活、工业垃圾及其他污染物造成环境污染和大面积水土流失）；</w:t>
      </w:r>
    </w:p>
    <w:p w14:paraId="36757FB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7．不发生对施工区附近生产、生活造成重大影响的事件（如造成重大设备损坏、重大财产损失、人员伤害等）；</w:t>
      </w:r>
    </w:p>
    <w:p w14:paraId="69C2235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8．不发生治安保卫事件（构成刑事拘留及以上的事件、盗窃直接损失超过1万元人民币的事件）。</w:t>
      </w:r>
    </w:p>
    <w:p w14:paraId="3F097DAF">
      <w:pPr>
        <w:spacing w:line="360" w:lineRule="auto"/>
        <w:ind w:firstLine="420" w:firstLineChars="200"/>
        <w:jc w:val="left"/>
        <w:rPr>
          <w:rFonts w:ascii="宋体" w:hAnsi="宋体"/>
          <w:color w:val="auto"/>
          <w:szCs w:val="21"/>
          <w:highlight w:val="none"/>
        </w:rPr>
      </w:pPr>
      <w:bookmarkStart w:id="2045" w:name="_Toc247431425"/>
      <w:bookmarkStart w:id="2046" w:name="_Toc239510291"/>
      <w:bookmarkStart w:id="2047" w:name="_Toc247418265"/>
      <w:r>
        <w:rPr>
          <w:rFonts w:hint="eastAsia" w:ascii="宋体" w:hAnsi="宋体"/>
          <w:color w:val="auto"/>
          <w:szCs w:val="21"/>
          <w:highlight w:val="none"/>
        </w:rPr>
        <w:t>（三）承包人承诺在施工中控制以下安全事故的发生：</w:t>
      </w:r>
      <w:bookmarkEnd w:id="2045"/>
      <w:bookmarkEnd w:id="2046"/>
      <w:bookmarkEnd w:id="2047"/>
    </w:p>
    <w:p w14:paraId="247B1BE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1．人员轻伤事故。</w:t>
      </w:r>
    </w:p>
    <w:p w14:paraId="3656AEC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2．负有同等及以上事故责任的人身轻伤交通事故。</w:t>
      </w:r>
    </w:p>
    <w:p w14:paraId="798534C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3．其他安全未遂事故和异常事件。</w:t>
      </w:r>
    </w:p>
    <w:p w14:paraId="1C18AEB1">
      <w:pPr>
        <w:spacing w:line="360" w:lineRule="auto"/>
        <w:ind w:firstLine="420" w:firstLineChars="200"/>
        <w:rPr>
          <w:rFonts w:ascii="宋体" w:hAnsi="宋体"/>
          <w:color w:val="auto"/>
          <w:szCs w:val="21"/>
          <w:highlight w:val="none"/>
        </w:rPr>
      </w:pPr>
      <w:bookmarkStart w:id="2048" w:name="_Toc247431426"/>
      <w:bookmarkStart w:id="2049" w:name="_Toc239510292"/>
      <w:bookmarkStart w:id="2050" w:name="_Toc247418266"/>
      <w:bookmarkStart w:id="2051" w:name="_Toc532375702"/>
      <w:r>
        <w:rPr>
          <w:rFonts w:hint="eastAsia" w:ascii="宋体" w:hAnsi="宋体"/>
          <w:color w:val="auto"/>
          <w:szCs w:val="21"/>
          <w:highlight w:val="none"/>
        </w:rPr>
        <w:t>三、安全责任</w:t>
      </w:r>
      <w:bookmarkEnd w:id="2048"/>
      <w:bookmarkEnd w:id="2049"/>
      <w:bookmarkEnd w:id="2050"/>
      <w:bookmarkEnd w:id="2051"/>
    </w:p>
    <w:p w14:paraId="28AEAE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1．承包人负有安全生产的管理责任和直接责任。</w:t>
      </w:r>
    </w:p>
    <w:p w14:paraId="0F46C4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2．承包人的法人或签署合同的公司总经理或受委托的代理人对合同安全负有全面的领导责任。</w:t>
      </w:r>
    </w:p>
    <w:p w14:paraId="212608D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3．承包人项目经理对施工现场的安全工作负有全面的直接领导责任。</w:t>
      </w:r>
    </w:p>
    <w:p w14:paraId="773863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4．承包人保证执行“谁施工、谁负责”的施工安全原则。</w:t>
      </w:r>
    </w:p>
    <w:p w14:paraId="1650B82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5．承包人保证服从发包人对安全工作的统一协调和管理。</w:t>
      </w:r>
    </w:p>
    <w:p w14:paraId="398FC99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6．承包人保证对本工程项目安全生产条件及其管理资源自行投入，保证安全资金的专款专用。</w:t>
      </w:r>
    </w:p>
    <w:p w14:paraId="70E01EC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7．承包人保证建立本工程项目的安全管理体系及安全保证体系（注：项目安全管理大纲/手册、管理性的程序文件等）。</w:t>
      </w:r>
    </w:p>
    <w:p w14:paraId="34B1958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8．承包人保证现场的安全管理专职人员必须持有建设主管部门安全生产培训考核合格证书。</w:t>
      </w:r>
    </w:p>
    <w:p w14:paraId="3E87C05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9．承包人保证为现场所有工作人员（含分包商员工及劳务人员）配备符合国家标准的有承包人和/或其下属分包商标志的个人基本劳动保护用品。</w:t>
      </w:r>
    </w:p>
    <w:p w14:paraId="1104231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10．承包人保证按照国家法律规定为现场所有工作人员（含分包商员工及劳务人员）购买意外伤害保险。</w:t>
      </w:r>
    </w:p>
    <w:p w14:paraId="2177B7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11．承包人保证施工生活营地（包括自建的和租用的营地）满足消防、安全用电、卫生防疫、防暴雨、防雷击等方面的安全要求。</w:t>
      </w:r>
    </w:p>
    <w:p w14:paraId="1204FE2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12．承包人保证对带入现场的设备、工具、材料按照国家法规和标准进行检测、试验，并持有法定部门出具的检验证书。</w:t>
      </w:r>
    </w:p>
    <w:p w14:paraId="05EBC0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13．承包人保证制订施工现场的文明施工措施，保护环境、树木和植被，保持施工现场的良好秩序和整洁的作业环境。</w:t>
      </w:r>
    </w:p>
    <w:p w14:paraId="2BD796F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14．承包人负责在施工过程中与当地政府、周边群众及其他承包商保持良好的沟通和交流。承包人遇到与周边群众发生纠纷时，应负责协调工作，确保工程能够顺利进行。</w:t>
      </w:r>
    </w:p>
    <w:p w14:paraId="6FC35853">
      <w:pPr>
        <w:spacing w:line="360" w:lineRule="auto"/>
        <w:ind w:firstLine="420" w:firstLineChars="200"/>
        <w:rPr>
          <w:rFonts w:ascii="宋体" w:hAnsi="宋体"/>
          <w:color w:val="auto"/>
          <w:szCs w:val="21"/>
          <w:highlight w:val="none"/>
        </w:rPr>
      </w:pPr>
      <w:bookmarkStart w:id="2052" w:name="_Toc247431427"/>
      <w:bookmarkStart w:id="2053" w:name="_Toc239510293"/>
      <w:bookmarkStart w:id="2054" w:name="_Toc532375703"/>
      <w:bookmarkStart w:id="2055" w:name="_Toc247418267"/>
      <w:r>
        <w:rPr>
          <w:rFonts w:hint="eastAsia" w:ascii="宋体" w:hAnsi="宋体"/>
          <w:color w:val="auto"/>
          <w:szCs w:val="21"/>
          <w:highlight w:val="none"/>
        </w:rPr>
        <w:t>四、接口及协调</w:t>
      </w:r>
      <w:bookmarkEnd w:id="2052"/>
      <w:bookmarkEnd w:id="2053"/>
      <w:bookmarkEnd w:id="2054"/>
      <w:bookmarkEnd w:id="2055"/>
    </w:p>
    <w:p w14:paraId="14CEF8C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1．发包人委托监理公司对该工程实施监理，监理公司在安全管理方面代表发包人行使监督检查职能，承包人必须给予配合和支持。</w:t>
      </w:r>
    </w:p>
    <w:p w14:paraId="36F3CB0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2．承包人人员、车辆的出入，带入现场的设备、机具、材料，在现场使用的或直接管理的办公、生活、生产性设施的安全管理须满足发包人现场管理的基本要求。</w:t>
      </w:r>
    </w:p>
    <w:p w14:paraId="7698B7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3．承包人应指定专职安全管理人员与发包人委托的监理公司接口，参与安全协调和管理。安全协调和管理的内容包括职业健康、工业安全、消防安全、卫生防疫、交通安全、环境保护、治安保卫等各方面。</w:t>
      </w:r>
    </w:p>
    <w:p w14:paraId="1E14E5D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707BF9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5．承包人指定的专职安全管理人员应与发包人委托的监理公司建立联系，在业务上接受发包人委托的监理公司的协调和指导。</w:t>
      </w:r>
    </w:p>
    <w:p w14:paraId="76F82A7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6．开工后承包人的专职安全管理人员应按照发包人委托的监理公司的规定，定期报送安全月度快报、季报、年报和各种专项事故报告等。</w:t>
      </w:r>
    </w:p>
    <w:p w14:paraId="3592AAA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7．在工程实体未全部正式移交发包人施工管理部门之前，承包人依旧对施工范围内的安全管理负责。</w:t>
      </w:r>
    </w:p>
    <w:p w14:paraId="7A226ADA">
      <w:pPr>
        <w:spacing w:line="360" w:lineRule="auto"/>
        <w:ind w:firstLine="420" w:firstLineChars="200"/>
        <w:rPr>
          <w:rFonts w:ascii="宋体" w:hAnsi="宋体"/>
          <w:color w:val="auto"/>
          <w:szCs w:val="21"/>
          <w:highlight w:val="none"/>
        </w:rPr>
      </w:pPr>
      <w:bookmarkStart w:id="2056" w:name="_Toc239510294"/>
      <w:bookmarkStart w:id="2057" w:name="_Toc532375704"/>
      <w:bookmarkStart w:id="2058" w:name="_Toc247418268"/>
      <w:bookmarkStart w:id="2059" w:name="_Toc247431428"/>
      <w:r>
        <w:rPr>
          <w:rFonts w:hint="eastAsia" w:ascii="宋体" w:hAnsi="宋体"/>
          <w:color w:val="auto"/>
          <w:szCs w:val="21"/>
          <w:highlight w:val="none"/>
        </w:rPr>
        <w:t>五、安全资质审查</w:t>
      </w:r>
      <w:bookmarkEnd w:id="2056"/>
      <w:bookmarkEnd w:id="2057"/>
      <w:bookmarkEnd w:id="2058"/>
      <w:bookmarkEnd w:id="2059"/>
    </w:p>
    <w:p w14:paraId="098EE92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承包人在项目开工前5个工作天内向发包人委托的监理公司提供以下安全资质供审查和存档：</w:t>
      </w:r>
    </w:p>
    <w:p w14:paraId="5F7005F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1．企业安全生产许可证书复印件。</w:t>
      </w:r>
    </w:p>
    <w:p w14:paraId="479058C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2．企业近三年的施工简历及安全施工业绩证明文件。</w:t>
      </w:r>
    </w:p>
    <w:p w14:paraId="244A78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3．企业主要安全管理人员（包括项目经理、专职安全管理人员）经建设主管部门安全生产知识考核合格证书。</w:t>
      </w:r>
    </w:p>
    <w:p w14:paraId="46532D0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4．特种作业人员资格证书。</w:t>
      </w:r>
    </w:p>
    <w:p w14:paraId="239AE5A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5．项目安全管理机构及其人员配备（承包人必须配有专职的安全员）。</w:t>
      </w:r>
    </w:p>
    <w:p w14:paraId="36AF681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6．适用于项目的安全管理体系及保证体系文件（安全管理大纲及管理程序文件）。</w:t>
      </w:r>
    </w:p>
    <w:p w14:paraId="593ABAB9">
      <w:pPr>
        <w:spacing w:line="360" w:lineRule="auto"/>
        <w:ind w:firstLine="420" w:firstLineChars="200"/>
        <w:rPr>
          <w:rFonts w:ascii="宋体" w:hAnsi="宋体"/>
          <w:color w:val="auto"/>
          <w:szCs w:val="21"/>
          <w:highlight w:val="none"/>
        </w:rPr>
      </w:pPr>
      <w:bookmarkStart w:id="2060" w:name="_Toc247431429"/>
      <w:bookmarkStart w:id="2061" w:name="_Toc247418269"/>
      <w:bookmarkStart w:id="2062" w:name="_Toc239510295"/>
      <w:bookmarkStart w:id="2063" w:name="_Toc532375705"/>
      <w:r>
        <w:rPr>
          <w:rFonts w:hint="eastAsia" w:ascii="宋体" w:hAnsi="宋体"/>
          <w:color w:val="auto"/>
          <w:szCs w:val="21"/>
          <w:highlight w:val="none"/>
        </w:rPr>
        <w:t>六、人员基本素质</w:t>
      </w:r>
      <w:bookmarkEnd w:id="2060"/>
      <w:bookmarkEnd w:id="2061"/>
      <w:bookmarkEnd w:id="2062"/>
      <w:bookmarkEnd w:id="2063"/>
    </w:p>
    <w:p w14:paraId="55BA0AD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承包人提供的人员必须满足下列要求：</w:t>
      </w:r>
    </w:p>
    <w:p w14:paraId="5E1EDE8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46F8AFF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2．无刑事案件牵连。</w:t>
      </w:r>
    </w:p>
    <w:p w14:paraId="6D5091B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3．无吸毒、酗酒、赌博、嫖娼等恶习及违法行为。</w:t>
      </w:r>
    </w:p>
    <w:p w14:paraId="7186B3A0">
      <w:pPr>
        <w:spacing w:line="360" w:lineRule="auto"/>
        <w:ind w:firstLine="420" w:firstLineChars="200"/>
        <w:rPr>
          <w:rFonts w:ascii="宋体" w:hAnsi="宋体"/>
          <w:color w:val="auto"/>
          <w:szCs w:val="21"/>
          <w:highlight w:val="none"/>
        </w:rPr>
      </w:pPr>
      <w:bookmarkStart w:id="2064" w:name="_Toc239510296"/>
      <w:bookmarkStart w:id="2065" w:name="_Toc247418270"/>
      <w:bookmarkStart w:id="2066" w:name="_Toc247431430"/>
      <w:bookmarkStart w:id="2067" w:name="_Toc532375706"/>
      <w:r>
        <w:rPr>
          <w:rFonts w:hint="eastAsia" w:ascii="宋体" w:hAnsi="宋体"/>
          <w:color w:val="auto"/>
          <w:szCs w:val="21"/>
          <w:highlight w:val="none"/>
        </w:rPr>
        <w:t>七、劳动保护</w:t>
      </w:r>
      <w:bookmarkEnd w:id="2064"/>
      <w:bookmarkEnd w:id="2065"/>
      <w:bookmarkEnd w:id="2066"/>
      <w:bookmarkEnd w:id="2067"/>
    </w:p>
    <w:p w14:paraId="31F794D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1．承包人负责为本单位任何用工形式的员工提供个人劳动保护用品（包括工作服、安全帽、安全鞋等）。</w:t>
      </w:r>
    </w:p>
    <w:p w14:paraId="4644E0D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2．承包人负责向特殊工种的员工提供特殊劳动保护，否则不得从事特殊工种作业。</w:t>
      </w:r>
    </w:p>
    <w:p w14:paraId="1E3CE9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3．发包人委托的监理公司有权检查承包人的个人劳动保护用品是否符合国家的相应标准。</w:t>
      </w:r>
    </w:p>
    <w:p w14:paraId="4603580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 承包人在特殊风险场所作业而需要特殊防护用品或安全仪表时，必须在上述防护用品全部到位后才能开工。</w:t>
      </w:r>
    </w:p>
    <w:p w14:paraId="032F108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5．承包人应配备临时安全围栏、警示带、警告标志、防火布等集体防护用品。</w:t>
      </w:r>
    </w:p>
    <w:p w14:paraId="68F0A577">
      <w:pPr>
        <w:spacing w:line="360" w:lineRule="auto"/>
        <w:ind w:firstLine="420" w:firstLineChars="200"/>
        <w:rPr>
          <w:rFonts w:ascii="宋体" w:hAnsi="宋体"/>
          <w:color w:val="auto"/>
          <w:szCs w:val="21"/>
          <w:highlight w:val="none"/>
        </w:rPr>
      </w:pPr>
      <w:bookmarkStart w:id="2068" w:name="_Toc247431431"/>
      <w:bookmarkStart w:id="2069" w:name="_Toc532375707"/>
      <w:bookmarkStart w:id="2070" w:name="_Toc239510297"/>
      <w:bookmarkStart w:id="2071" w:name="_Toc247418271"/>
      <w:r>
        <w:rPr>
          <w:rFonts w:hint="eastAsia" w:ascii="宋体" w:hAnsi="宋体"/>
          <w:color w:val="auto"/>
          <w:szCs w:val="21"/>
          <w:highlight w:val="none"/>
        </w:rPr>
        <w:t>八、施工机具与材料</w:t>
      </w:r>
      <w:bookmarkEnd w:id="2068"/>
      <w:bookmarkEnd w:id="2069"/>
      <w:bookmarkEnd w:id="2070"/>
      <w:bookmarkEnd w:id="2071"/>
    </w:p>
    <w:p w14:paraId="02EADA3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1．承包人对带入现场的施工机械和工器具的安全负责。</w:t>
      </w:r>
    </w:p>
    <w:p w14:paraId="60A8D87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2．对于承包人带入现场的特殊工器具，如起重设备、索具、机动车辆、压缩气瓶等，承包人必须按国家法规和标准进行检测、试验，并持有法定部门出具的检验证书。</w:t>
      </w:r>
    </w:p>
    <w:p w14:paraId="75F87B7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3．对于不属于法定检测的工器具，承包人也必须建立相应的管理、检测制度，这些工器具包括登高工具、脚手架材料、电动工具、安全防护设备及用具等。</w:t>
      </w:r>
    </w:p>
    <w:p w14:paraId="3FB782BF">
      <w:pPr>
        <w:spacing w:line="360" w:lineRule="auto"/>
        <w:ind w:firstLine="420" w:firstLineChars="200"/>
        <w:rPr>
          <w:rFonts w:ascii="宋体" w:hAnsi="宋体"/>
          <w:color w:val="auto"/>
          <w:szCs w:val="21"/>
          <w:highlight w:val="none"/>
        </w:rPr>
      </w:pPr>
      <w:bookmarkStart w:id="2072" w:name="_Toc239510298"/>
      <w:bookmarkStart w:id="2073" w:name="_Toc247431432"/>
      <w:bookmarkStart w:id="2074" w:name="_Toc532375708"/>
      <w:bookmarkStart w:id="2075" w:name="_Toc247418272"/>
      <w:r>
        <w:rPr>
          <w:rFonts w:hint="eastAsia" w:ascii="宋体" w:hAnsi="宋体"/>
          <w:color w:val="auto"/>
          <w:szCs w:val="21"/>
          <w:highlight w:val="none"/>
        </w:rPr>
        <w:t>九、开工前安全条件检查</w:t>
      </w:r>
      <w:bookmarkEnd w:id="2072"/>
      <w:bookmarkEnd w:id="2073"/>
      <w:bookmarkEnd w:id="2074"/>
      <w:bookmarkEnd w:id="2075"/>
    </w:p>
    <w:p w14:paraId="60752D0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5C06E15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6EEEFDB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3．发包人委托的监理公司检查发现的缺陷，承包人应在规定期限内完成整改。对于重大缺陷，发包人委托的监理公司有权要求承包人推迟开工，由此对工期产生的影响或经济损失，由承包人承担。</w:t>
      </w:r>
    </w:p>
    <w:p w14:paraId="7C26D9EC">
      <w:pPr>
        <w:spacing w:line="360" w:lineRule="auto"/>
        <w:ind w:firstLine="420" w:firstLineChars="200"/>
        <w:rPr>
          <w:rFonts w:ascii="宋体" w:hAnsi="宋体"/>
          <w:color w:val="auto"/>
          <w:szCs w:val="21"/>
          <w:highlight w:val="none"/>
        </w:rPr>
      </w:pPr>
      <w:bookmarkStart w:id="2076" w:name="_Toc247431433"/>
      <w:bookmarkStart w:id="2077" w:name="_Toc532375709"/>
      <w:bookmarkStart w:id="2078" w:name="_Toc239510299"/>
      <w:bookmarkStart w:id="2079" w:name="_Toc247418273"/>
      <w:r>
        <w:rPr>
          <w:rFonts w:hint="eastAsia" w:ascii="宋体" w:hAnsi="宋体"/>
          <w:color w:val="auto"/>
          <w:szCs w:val="21"/>
          <w:highlight w:val="none"/>
        </w:rPr>
        <w:t>十、安全监督</w:t>
      </w:r>
      <w:bookmarkEnd w:id="2076"/>
      <w:bookmarkEnd w:id="2077"/>
      <w:bookmarkEnd w:id="2078"/>
      <w:bookmarkEnd w:id="2079"/>
    </w:p>
    <w:p w14:paraId="3D67BA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1．承包人应配备有满足项目安全管理需要的专职安全管理人员。</w:t>
      </w:r>
    </w:p>
    <w:p w14:paraId="0F789AD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2．承包人的专职安全管理人员必须持建设主管部门颁发的安全生产知识考核合格证书。</w:t>
      </w:r>
    </w:p>
    <w:p w14:paraId="4E81CA8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3．承包人的专职安全管理人员在业务上接受发包人委托的监理公司和发包人安全管理部门的协调和指导。</w:t>
      </w:r>
    </w:p>
    <w:p w14:paraId="5400684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4．承包人应建立班前安全交底制度；施工期间坚持开展安全检查和日常安全监督并形成相应的记录。</w:t>
      </w:r>
    </w:p>
    <w:p w14:paraId="40CFE70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5．承包人应在每个作业区任命兼职安全员，赋予兼职安全员相应的授权和义务，并对兼职安全员进行定期考核。</w:t>
      </w:r>
    </w:p>
    <w:p w14:paraId="603E186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6．承包人应接受和配合发包人专业部门及委托的监理公司的监督与安全评价。</w:t>
      </w:r>
    </w:p>
    <w:p w14:paraId="3D403B9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7．发包人和委托的监理公司有权对承包人履行安全管理协议的情况进行监督，并有权对违章行为实行停工和处罚，处罚情况将通知承包人。涉及经济处罚时将直接通知合同管理部门从合同结算中扣除。</w:t>
      </w:r>
    </w:p>
    <w:p w14:paraId="77C3DEAF">
      <w:pPr>
        <w:spacing w:line="360" w:lineRule="auto"/>
        <w:ind w:firstLine="420" w:firstLineChars="200"/>
        <w:rPr>
          <w:rFonts w:ascii="宋体" w:hAnsi="宋体"/>
          <w:color w:val="auto"/>
          <w:szCs w:val="21"/>
          <w:highlight w:val="none"/>
        </w:rPr>
      </w:pPr>
      <w:bookmarkStart w:id="2080" w:name="_Toc247418274"/>
      <w:bookmarkStart w:id="2081" w:name="_Toc247431434"/>
      <w:bookmarkStart w:id="2082" w:name="_Toc239510300"/>
      <w:bookmarkStart w:id="2083" w:name="_Toc532375710"/>
      <w:r>
        <w:rPr>
          <w:rFonts w:hint="eastAsia" w:ascii="宋体" w:hAnsi="宋体"/>
          <w:color w:val="auto"/>
          <w:szCs w:val="21"/>
          <w:highlight w:val="none"/>
        </w:rPr>
        <w:t>十一、安全培训与授权</w:t>
      </w:r>
      <w:bookmarkEnd w:id="2080"/>
      <w:bookmarkEnd w:id="2081"/>
      <w:bookmarkEnd w:id="2082"/>
      <w:bookmarkEnd w:id="2083"/>
    </w:p>
    <w:p w14:paraId="2CF4271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1．承包人所有特殊工种人员必须持证上岗，发包人和发包人委托的监理公司有权对其进行抽查。承包人要建立特殊工种定期培训和检查计划，这些工种包括但不限于：机动车驾驶员、焊工、起重工、电工等。</w:t>
      </w:r>
    </w:p>
    <w:p w14:paraId="57B8596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2．承包人应在特殊工种之外的其他工种中，筛选出高风险工种，并对其开展针对性的专题安全培训。</w:t>
      </w:r>
    </w:p>
    <w:p w14:paraId="57E60D9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3．承包人应组织 “入场培训”和考核。发包人委托的监理公司有权监督培训、考核情况或组织抽查考核。</w:t>
      </w:r>
    </w:p>
    <w:p w14:paraId="029A916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4．承包人应建立安全培训和考核机制，编制培训教材和培训滚动计划。承包人应组织安全考试/考核，建立培训考核记录，发包人委托的监理公司有权查看这些记录。</w:t>
      </w:r>
    </w:p>
    <w:p w14:paraId="48C640F9">
      <w:pPr>
        <w:spacing w:line="360" w:lineRule="auto"/>
        <w:ind w:firstLine="420" w:firstLineChars="200"/>
        <w:rPr>
          <w:rFonts w:ascii="宋体" w:hAnsi="宋体"/>
          <w:color w:val="auto"/>
          <w:szCs w:val="21"/>
          <w:highlight w:val="none"/>
        </w:rPr>
      </w:pPr>
      <w:bookmarkStart w:id="2084" w:name="_Toc239510301"/>
      <w:bookmarkStart w:id="2085" w:name="_Toc532375711"/>
      <w:bookmarkStart w:id="2086" w:name="_Toc247418275"/>
      <w:bookmarkStart w:id="2087" w:name="_Toc247431435"/>
      <w:r>
        <w:rPr>
          <w:rFonts w:hint="eastAsia" w:ascii="宋体" w:hAnsi="宋体"/>
          <w:color w:val="auto"/>
          <w:szCs w:val="21"/>
          <w:highlight w:val="none"/>
        </w:rPr>
        <w:t>十二、职业健康与卫生防疫</w:t>
      </w:r>
      <w:bookmarkEnd w:id="2084"/>
      <w:bookmarkEnd w:id="2085"/>
      <w:bookmarkEnd w:id="2086"/>
      <w:bookmarkEnd w:id="2087"/>
    </w:p>
    <w:p w14:paraId="1BCFA89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1．承包人应有特殊健康检查制度，预防有禁忌症患者从事有关职业，如恐高症患者不得从事高空作业，患有心血管疾病的人员不得从事繁重的体力劳动，特殊工种人员的体检应符合国家的规定。</w:t>
      </w:r>
    </w:p>
    <w:p w14:paraId="705FF62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2．承包人应保证卫生防疫基本设施的投入，以满足医疗、急救的要求，建立外部医疗支持渠道。</w:t>
      </w:r>
    </w:p>
    <w:p w14:paraId="355F5D7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1830C558">
      <w:pPr>
        <w:spacing w:line="360" w:lineRule="auto"/>
        <w:ind w:firstLine="420" w:firstLineChars="200"/>
        <w:rPr>
          <w:rFonts w:ascii="宋体" w:hAnsi="宋体"/>
          <w:color w:val="auto"/>
          <w:szCs w:val="21"/>
          <w:highlight w:val="none"/>
        </w:rPr>
      </w:pPr>
      <w:bookmarkStart w:id="2088" w:name="_Toc247418276"/>
      <w:bookmarkStart w:id="2089" w:name="_Toc239510302"/>
      <w:bookmarkStart w:id="2090" w:name="_Toc532375712"/>
      <w:bookmarkStart w:id="2091" w:name="_Toc247431436"/>
      <w:r>
        <w:rPr>
          <w:rFonts w:hint="eastAsia" w:ascii="宋体" w:hAnsi="宋体"/>
          <w:color w:val="auto"/>
          <w:szCs w:val="21"/>
          <w:highlight w:val="none"/>
        </w:rPr>
        <w:t>十三、文明施工与环保要求</w:t>
      </w:r>
      <w:bookmarkEnd w:id="2088"/>
      <w:bookmarkEnd w:id="2089"/>
      <w:bookmarkEnd w:id="2090"/>
      <w:bookmarkEnd w:id="2091"/>
    </w:p>
    <w:p w14:paraId="5371079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1．承包人需制订施工现场的文明施工措施，保持良好的施工现场秩序。施工现场的物料堆放要摆放整齐，安全标志和宣传标志要清楚醒目，废料、废物要分类收集，安全通道要畅通。</w:t>
      </w:r>
    </w:p>
    <w:p w14:paraId="0D7636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2．承包人作业时应避免建筑材料抛洒、飞扬、流淌；应尽可能降低噪音、震动。</w:t>
      </w:r>
    </w:p>
    <w:p w14:paraId="3FE8D55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3．承包人应根据实际需要，在施工现场布置临时卫生设施（洗手间、卫生间等），施工作业不破坏环境卫生，不污染现场环境。</w:t>
      </w:r>
    </w:p>
    <w:p w14:paraId="5A8CAEC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4．承包人在施工中应充分重视对环境的保护，保护绿色植被，保护古树。施工如需伤害古树，必须报告发包人委托的监理公司，在未得到指令前，禁止擅自伤害古树。</w:t>
      </w:r>
    </w:p>
    <w:p w14:paraId="11F1C47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1FC0EF9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6．承包人在施工中应禁止向环境，排放工业污水、生活污水、废油或其他有害物质。</w:t>
      </w:r>
    </w:p>
    <w:p w14:paraId="4134EFB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6EBAA17C">
      <w:pPr>
        <w:spacing w:line="360" w:lineRule="auto"/>
        <w:ind w:firstLine="420" w:firstLineChars="200"/>
        <w:rPr>
          <w:rFonts w:ascii="宋体" w:hAnsi="宋体"/>
          <w:color w:val="auto"/>
          <w:szCs w:val="21"/>
          <w:highlight w:val="none"/>
        </w:rPr>
      </w:pPr>
      <w:bookmarkStart w:id="2092" w:name="_Toc247418277"/>
      <w:bookmarkStart w:id="2093" w:name="_Toc247431437"/>
      <w:bookmarkStart w:id="2094" w:name="_Toc532375713"/>
      <w:bookmarkStart w:id="2095" w:name="_Toc239510303"/>
      <w:r>
        <w:rPr>
          <w:rFonts w:hint="eastAsia" w:ascii="宋体" w:hAnsi="宋体"/>
          <w:color w:val="auto"/>
          <w:szCs w:val="21"/>
          <w:highlight w:val="none"/>
        </w:rPr>
        <w:t>十四、工程风险管理与事故预防</w:t>
      </w:r>
      <w:bookmarkEnd w:id="2092"/>
      <w:bookmarkEnd w:id="2093"/>
      <w:bookmarkEnd w:id="2094"/>
      <w:bookmarkEnd w:id="2095"/>
    </w:p>
    <w:p w14:paraId="436378BF">
      <w:pPr>
        <w:spacing w:line="360" w:lineRule="auto"/>
        <w:ind w:firstLine="420" w:firstLineChars="200"/>
        <w:jc w:val="left"/>
        <w:rPr>
          <w:rFonts w:ascii="宋体" w:hAnsi="宋体"/>
          <w:color w:val="auto"/>
          <w:szCs w:val="21"/>
          <w:highlight w:val="none"/>
        </w:rPr>
      </w:pPr>
      <w:bookmarkStart w:id="2096" w:name="_Toc247431438"/>
      <w:bookmarkStart w:id="2097" w:name="_Toc247418278"/>
      <w:bookmarkStart w:id="2098" w:name="_Toc239510304"/>
      <w:r>
        <w:rPr>
          <w:rFonts w:hint="eastAsia" w:ascii="宋体" w:hAnsi="宋体"/>
          <w:color w:val="auto"/>
          <w:szCs w:val="21"/>
          <w:highlight w:val="none"/>
        </w:rPr>
        <w:t>（一）基本要求</w:t>
      </w:r>
      <w:bookmarkEnd w:id="2096"/>
      <w:bookmarkEnd w:id="2097"/>
      <w:bookmarkEnd w:id="2098"/>
    </w:p>
    <w:p w14:paraId="33CC5619">
      <w:pPr>
        <w:spacing w:line="360" w:lineRule="auto"/>
        <w:ind w:firstLine="420" w:firstLineChars="200"/>
        <w:jc w:val="left"/>
        <w:rPr>
          <w:rFonts w:ascii="宋体" w:hAnsi="宋体"/>
          <w:color w:val="auto"/>
          <w:szCs w:val="21"/>
          <w:highlight w:val="none"/>
        </w:rPr>
      </w:pPr>
      <w:bookmarkStart w:id="2099" w:name="_Toc532375714"/>
      <w:r>
        <w:rPr>
          <w:rFonts w:hint="eastAsia" w:ascii="宋体" w:hAnsi="宋体"/>
          <w:color w:val="auto"/>
          <w:szCs w:val="21"/>
          <w:highlight w:val="none"/>
        </w:rPr>
        <w:t>1．承包人应对施工过程进行全面、深入的危险源识别和风险分析。在施工安全组织设计中提供危险源及重要危险源清单、作业风险分析报告，该报告应包括（但不限于）如下信息：</w:t>
      </w:r>
      <w:bookmarkEnd w:id="2099"/>
    </w:p>
    <w:p w14:paraId="1BD98D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（1）高风险作业和工种清单：作业名称、类别和数量、主要事故风险。</w:t>
      </w:r>
    </w:p>
    <w:p w14:paraId="1A5F0A9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（2）施工能源和机械的种类、数量和主要事故风险。</w:t>
      </w:r>
    </w:p>
    <w:p w14:paraId="74874F7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（3）施工作业条件的类型和主要事故风险。</w:t>
      </w:r>
    </w:p>
    <w:p w14:paraId="655D3582">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（4）主要工艺过程（或施工活动）的类别及其相关的事故风险。</w:t>
      </w:r>
    </w:p>
    <w:p w14:paraId="7BD0E3E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（5）主要火灾危险（可燃物、点火源）。</w:t>
      </w:r>
    </w:p>
    <w:p w14:paraId="0B8C71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（6）主要自然灾害（洪水、大风、雷暴、暴雨、地质灾害等）。</w:t>
      </w:r>
    </w:p>
    <w:p w14:paraId="0C672CE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（7）主要环境保护事件（有害垃圾、机械的跑冒滴漏、原材料流失、水土流失等）。</w:t>
      </w:r>
    </w:p>
    <w:p w14:paraId="52C75CA3">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（8）其他。</w:t>
      </w:r>
    </w:p>
    <w:p w14:paraId="2221B01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2．承包人应针对识别出的危险源制定有针对性的事故预防措施并确保在施工中得到有效落实。</w:t>
      </w:r>
    </w:p>
    <w:p w14:paraId="24331FF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3．承包人应建立日常施工活动的动态作业风险分析和安全交底制度。该制度应明确规定风险分析的方法、责任和交底的内容、时间及记录。</w:t>
      </w:r>
    </w:p>
    <w:p w14:paraId="0A7576BE">
      <w:pPr>
        <w:spacing w:line="360" w:lineRule="auto"/>
        <w:ind w:firstLine="420" w:firstLineChars="200"/>
        <w:jc w:val="left"/>
        <w:rPr>
          <w:rFonts w:ascii="宋体" w:hAnsi="宋体"/>
          <w:color w:val="auto"/>
          <w:szCs w:val="21"/>
          <w:highlight w:val="none"/>
        </w:rPr>
      </w:pPr>
      <w:bookmarkStart w:id="2100" w:name="_Toc247431439"/>
      <w:bookmarkStart w:id="2101" w:name="_Toc239510305"/>
      <w:bookmarkStart w:id="2102" w:name="_Toc247418279"/>
      <w:r>
        <w:rPr>
          <w:rFonts w:hint="eastAsia" w:ascii="宋体" w:hAnsi="宋体"/>
          <w:color w:val="auto"/>
          <w:szCs w:val="21"/>
          <w:highlight w:val="none"/>
        </w:rPr>
        <w:t>（二）现场作业基本安全条件</w:t>
      </w:r>
      <w:bookmarkEnd w:id="2100"/>
      <w:bookmarkEnd w:id="2101"/>
      <w:bookmarkEnd w:id="2102"/>
    </w:p>
    <w:p w14:paraId="7D425D2D">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5D2B4B05">
      <w:pPr>
        <w:spacing w:line="360" w:lineRule="auto"/>
        <w:ind w:firstLine="420" w:firstLineChars="200"/>
        <w:rPr>
          <w:rFonts w:ascii="宋体" w:hAnsi="宋体"/>
          <w:color w:val="auto"/>
          <w:szCs w:val="21"/>
          <w:highlight w:val="none"/>
        </w:rPr>
      </w:pPr>
      <w:bookmarkStart w:id="2103" w:name="_Toc239510306"/>
      <w:bookmarkStart w:id="2104" w:name="_Toc532375715"/>
      <w:bookmarkStart w:id="2105" w:name="_Toc247418280"/>
      <w:bookmarkStart w:id="2106" w:name="_Toc247431440"/>
      <w:r>
        <w:rPr>
          <w:rFonts w:hint="eastAsia" w:ascii="宋体" w:hAnsi="宋体"/>
          <w:color w:val="auto"/>
          <w:szCs w:val="21"/>
          <w:highlight w:val="none"/>
        </w:rPr>
        <w:t>十五、事故报告与应急救援</w:t>
      </w:r>
      <w:bookmarkEnd w:id="2103"/>
      <w:bookmarkEnd w:id="2104"/>
      <w:bookmarkEnd w:id="2105"/>
      <w:bookmarkEnd w:id="2106"/>
    </w:p>
    <w:p w14:paraId="452379F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1．承包人应制定对于未遂事故及以上级别的安全事件和事故，定期报送安全月度快报、季报、年报和各种专项事故报告等。</w:t>
      </w:r>
    </w:p>
    <w:p w14:paraId="560FE37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2．承包人应建立安全事故统计记录、未遂事故统计记录、违章统计记录，并根据统计情况进行分析，并就分析结果制定相应的预防措施。</w:t>
      </w:r>
    </w:p>
    <w:p w14:paraId="3A3FEEB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3．承包人应建立事故应急救援机制，明确事故处置的基本原则，即现场发生事故时，首先抢救生命，向救援组织报警，并采取措施限制事故扩大。</w:t>
      </w:r>
    </w:p>
    <w:p w14:paraId="3613D6A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4．承包人应建立相应的应急响应组织，以便能迅速处理突发意外。</w:t>
      </w:r>
    </w:p>
    <w:p w14:paraId="00F3AC1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5．承包人应建立专项应急响应预案，包括重大人身伤亡事故的救护预案、火灾响应预案、“四防”预案（防风、防冻、防雷、防暴雨）、重大疫病防护预案、环境污染防护预案、地质灾害防护预案等。</w:t>
      </w:r>
    </w:p>
    <w:p w14:paraId="19BC1B8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6．承包人应对应急预案进行适当演练，保证应急预案的可操作性。</w:t>
      </w:r>
    </w:p>
    <w:p w14:paraId="7618C3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7．在工地的其他施工单位发生重大事故时，承包人应无条件立即配合、支持事故抢险。</w:t>
      </w:r>
    </w:p>
    <w:p w14:paraId="117A0D4F">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8．承包人必须为事故处置支付各项费用，包括受伤者的抚恤、补偿等费用，并按合同要求赔偿对发包人造成的损失。</w:t>
      </w:r>
    </w:p>
    <w:p w14:paraId="227AC591">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9．由于发包人原因而造成的事故，发包人应负责按事故的具体损失情况给予承包人经济赔偿。</w:t>
      </w:r>
    </w:p>
    <w:p w14:paraId="3AFF998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10．涉及承包人员工的伤害事故，承包人除要报告发包人委托的监理公司外，还应负责按照国家、行业和本单位上级公司的要求，上报事故。</w:t>
      </w:r>
    </w:p>
    <w:p w14:paraId="06EAD87D">
      <w:pPr>
        <w:spacing w:line="360" w:lineRule="auto"/>
        <w:ind w:firstLine="420" w:firstLineChars="200"/>
        <w:rPr>
          <w:rFonts w:ascii="宋体" w:hAnsi="宋体"/>
          <w:color w:val="auto"/>
          <w:szCs w:val="21"/>
          <w:highlight w:val="none"/>
        </w:rPr>
      </w:pPr>
      <w:bookmarkStart w:id="2107" w:name="_Toc247418281"/>
      <w:bookmarkStart w:id="2108" w:name="_Toc239510307"/>
      <w:bookmarkStart w:id="2109" w:name="_Toc532375716"/>
      <w:bookmarkStart w:id="2110" w:name="_Toc247431441"/>
      <w:r>
        <w:rPr>
          <w:rFonts w:hint="eastAsia" w:ascii="宋体" w:hAnsi="宋体"/>
          <w:color w:val="auto"/>
          <w:szCs w:val="21"/>
          <w:highlight w:val="none"/>
        </w:rPr>
        <w:t>十六、安全业绩考核</w:t>
      </w:r>
      <w:bookmarkEnd w:id="2107"/>
      <w:bookmarkEnd w:id="2108"/>
      <w:bookmarkEnd w:id="2109"/>
      <w:bookmarkEnd w:id="2110"/>
    </w:p>
    <w:p w14:paraId="5A1652D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4889B2BA">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80BA4CB">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事件类型</w:t>
            </w:r>
          </w:p>
        </w:tc>
        <w:tc>
          <w:tcPr>
            <w:tcW w:w="3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8EA987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违约金额</w:t>
            </w:r>
          </w:p>
        </w:tc>
      </w:tr>
      <w:tr w14:paraId="49F15FBB">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BB655D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较大事故</w:t>
            </w:r>
          </w:p>
        </w:tc>
        <w:tc>
          <w:tcPr>
            <w:tcW w:w="3765" w:type="dxa"/>
            <w:tcBorders>
              <w:top w:val="single" w:color="auto" w:sz="8" w:space="0"/>
              <w:left w:val="nil"/>
              <w:bottom w:val="single" w:color="auto" w:sz="8" w:space="0"/>
              <w:right w:val="single" w:color="auto" w:sz="8" w:space="0"/>
            </w:tcBorders>
            <w:noWrap w:val="0"/>
            <w:vAlign w:val="center"/>
          </w:tcPr>
          <w:p w14:paraId="0054B26B">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签约合同价</w:t>
            </w:r>
            <w:r>
              <w:rPr>
                <w:rFonts w:hint="eastAsia" w:ascii="宋体" w:hAnsi="宋体"/>
                <w:color w:val="auto"/>
                <w:szCs w:val="21"/>
                <w:highlight w:val="none"/>
              </w:rPr>
              <w:t>的0.5‰</w:t>
            </w:r>
          </w:p>
        </w:tc>
      </w:tr>
      <w:tr w14:paraId="7AABC518">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5DF163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重大事故</w:t>
            </w:r>
          </w:p>
        </w:tc>
        <w:tc>
          <w:tcPr>
            <w:tcW w:w="3765" w:type="dxa"/>
            <w:tcBorders>
              <w:top w:val="single" w:color="auto" w:sz="8" w:space="0"/>
              <w:left w:val="nil"/>
              <w:bottom w:val="single" w:color="auto" w:sz="8" w:space="0"/>
              <w:right w:val="single" w:color="auto" w:sz="8" w:space="0"/>
            </w:tcBorders>
            <w:noWrap w:val="0"/>
            <w:vAlign w:val="center"/>
          </w:tcPr>
          <w:p w14:paraId="3CFDE1F9">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签约合同价的2‰</w:t>
            </w:r>
          </w:p>
        </w:tc>
      </w:tr>
      <w:tr w14:paraId="0EF2CD98">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6004B7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特别重大事故</w:t>
            </w:r>
          </w:p>
        </w:tc>
        <w:tc>
          <w:tcPr>
            <w:tcW w:w="3765" w:type="dxa"/>
            <w:tcBorders>
              <w:top w:val="single" w:color="auto" w:sz="8" w:space="0"/>
              <w:left w:val="nil"/>
              <w:bottom w:val="single" w:color="auto" w:sz="8" w:space="0"/>
              <w:right w:val="single" w:color="auto" w:sz="8" w:space="0"/>
            </w:tcBorders>
            <w:noWrap w:val="0"/>
            <w:vAlign w:val="center"/>
          </w:tcPr>
          <w:p w14:paraId="0A9ED9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签约合同价的4‰</w:t>
            </w:r>
          </w:p>
        </w:tc>
      </w:tr>
    </w:tbl>
    <w:p w14:paraId="381B8917">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（1）较大事故，是指造成3人以上10人以下死亡，或者10人以上50人以下重伤，或者1000万元以上5000万元以下直接经济损失的事故；</w:t>
      </w:r>
    </w:p>
    <w:p w14:paraId="453BF5E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（2）重大事故，是指造成10人以上30人以下死亡，或者50人以上100人以下重伤，或者5000万元以上1亿元以下直接经济损失的事故；</w:t>
      </w:r>
    </w:p>
    <w:p w14:paraId="66ED5E1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（3）特别重大事故，是指造成30人以上死亡，或者100人以上重伤（包括急性工业中毒，下同），或者1亿元以上直接经济损失的事故；</w:t>
      </w:r>
    </w:p>
    <w:p w14:paraId="2D5A28E0">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（4）所称的“以上”包括本数，所称的“以下”不包括本数。</w:t>
      </w:r>
    </w:p>
    <w:p w14:paraId="54D3E8FD">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（5）如整个施工过程未发生以上安全事故，则给予承包人建安费总额的1‰的安全奖励。</w:t>
      </w:r>
    </w:p>
    <w:p w14:paraId="361305CE">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793F7CC3">
      <w:pPr>
        <w:spacing w:line="276" w:lineRule="auto"/>
        <w:ind w:firstLine="420" w:firstLineChars="200"/>
        <w:rPr>
          <w:rFonts w:ascii="宋体" w:hAnsi="宋体"/>
          <w:color w:val="auto"/>
          <w:szCs w:val="21"/>
          <w:highlight w:val="none"/>
        </w:rPr>
      </w:pPr>
      <w:bookmarkStart w:id="2111" w:name="_Toc239510308"/>
      <w:bookmarkStart w:id="2112" w:name="_Toc532375717"/>
      <w:bookmarkStart w:id="2113" w:name="_Toc247418282"/>
      <w:bookmarkStart w:id="2114" w:name="_Toc247431442"/>
      <w:r>
        <w:rPr>
          <w:rFonts w:hint="eastAsia" w:ascii="宋体" w:hAnsi="宋体"/>
          <w:color w:val="auto"/>
          <w:szCs w:val="21"/>
          <w:highlight w:val="none"/>
        </w:rPr>
        <w:t>十七、协议条款的修订</w:t>
      </w:r>
      <w:bookmarkEnd w:id="2111"/>
      <w:bookmarkEnd w:id="2112"/>
      <w:bookmarkEnd w:id="2113"/>
      <w:bookmarkEnd w:id="2114"/>
    </w:p>
    <w:p w14:paraId="5DAE10A6">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在项目实施过程中，经双方友好协商，本协议的有关条款也可做出相应的修改。</w:t>
      </w:r>
    </w:p>
    <w:p w14:paraId="253581AE">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本工程安全管理协议，由发包人、承包人双方在施工承包合同签订后7天内共同签署，作为施工合同附件。</w:t>
      </w:r>
    </w:p>
    <w:p w14:paraId="231E0BCA">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  包  人（公章）：</w:t>
      </w:r>
      <w:r>
        <w:rPr>
          <w:rFonts w:hint="eastAsia" w:ascii="宋体" w:hAnsi="宋体" w:cs="宋体"/>
          <w:color w:val="auto"/>
          <w:szCs w:val="21"/>
          <w:highlight w:val="none"/>
          <w:u w:val="single"/>
        </w:rPr>
        <w:t xml:space="preserve">                       </w:t>
      </w:r>
    </w:p>
    <w:p w14:paraId="6FAE387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1F252580">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或其委托代理人（签字）：</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2FC20D22">
      <w:pPr>
        <w:spacing w:line="360" w:lineRule="auto"/>
        <w:ind w:firstLine="420" w:firstLineChars="200"/>
        <w:jc w:val="left"/>
        <w:rPr>
          <w:rFonts w:ascii="宋体" w:hAnsi="宋体"/>
          <w:color w:val="auto"/>
          <w:szCs w:val="21"/>
          <w:highlight w:val="none"/>
        </w:rPr>
      </w:pPr>
    </w:p>
    <w:p w14:paraId="789CBCB9">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承  包  人（公章）：</w:t>
      </w:r>
      <w:r>
        <w:rPr>
          <w:rFonts w:hint="eastAsia" w:ascii="宋体" w:hAnsi="宋体" w:cs="宋体"/>
          <w:color w:val="auto"/>
          <w:szCs w:val="21"/>
          <w:highlight w:val="none"/>
          <w:u w:val="single"/>
        </w:rPr>
        <w:t xml:space="preserve">                       </w:t>
      </w:r>
    </w:p>
    <w:p w14:paraId="4DAA3608">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s="宋体"/>
          <w:color w:val="auto"/>
          <w:szCs w:val="21"/>
          <w:highlight w:val="none"/>
          <w:u w:val="single"/>
        </w:rPr>
        <w:t xml:space="preserve">                       </w:t>
      </w:r>
    </w:p>
    <w:p w14:paraId="6E8BACB5">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或其委托代理人（签字）：</w:t>
      </w:r>
      <w:r>
        <w:rPr>
          <w:rFonts w:hint="eastAsia" w:ascii="宋体" w:hAnsi="宋体" w:cs="宋体"/>
          <w:color w:val="auto"/>
          <w:szCs w:val="21"/>
          <w:highlight w:val="none"/>
          <w:u w:val="single"/>
        </w:rPr>
        <w:t xml:space="preserve">                   </w:t>
      </w:r>
    </w:p>
    <w:p w14:paraId="60177011">
      <w:pPr>
        <w:snapToGrid w:val="0"/>
        <w:spacing w:line="360" w:lineRule="auto"/>
        <w:jc w:val="left"/>
        <w:rPr>
          <w:rFonts w:ascii="宋体" w:hAnsi="宋体"/>
          <w:color w:val="auto"/>
          <w:kern w:val="0"/>
          <w:szCs w:val="21"/>
          <w:highlight w:val="none"/>
        </w:rPr>
      </w:pPr>
      <w:r>
        <w:rPr>
          <w:rFonts w:hint="eastAsia" w:ascii="宋体" w:hAnsi="宋体"/>
          <w:color w:val="auto"/>
          <w:szCs w:val="21"/>
          <w:highlight w:val="none"/>
        </w:rPr>
        <w:br w:type="page"/>
      </w:r>
    </w:p>
    <w:bookmarkEnd w:id="622"/>
    <w:p w14:paraId="6C5DFB9C">
      <w:pPr>
        <w:pStyle w:val="3"/>
        <w:spacing w:before="0" w:after="0" w:line="360" w:lineRule="auto"/>
        <w:jc w:val="center"/>
        <w:rPr>
          <w:rFonts w:ascii="宋体" w:hAnsi="宋体"/>
          <w:color w:val="auto"/>
          <w:highlight w:val="none"/>
        </w:rPr>
      </w:pPr>
      <w:bookmarkStart w:id="2115" w:name="_Toc13425"/>
      <w:bookmarkStart w:id="2116" w:name="_Toc16194"/>
      <w:bookmarkStart w:id="2117" w:name="_Toc287620797"/>
      <w:bookmarkStart w:id="2118" w:name="_Toc287607855"/>
      <w:bookmarkStart w:id="2119" w:name="_Toc534185822"/>
      <w:bookmarkStart w:id="2120" w:name="_Toc430530513"/>
      <w:bookmarkStart w:id="2121" w:name="_Toc509218843"/>
      <w:r>
        <w:rPr>
          <w:rFonts w:hint="eastAsia" w:ascii="宋体" w:hAnsi="宋体"/>
          <w:color w:val="auto"/>
          <w:highlight w:val="none"/>
        </w:rPr>
        <w:t>第五章  工程量清单</w:t>
      </w:r>
      <w:bookmarkEnd w:id="2115"/>
      <w:bookmarkEnd w:id="2116"/>
      <w:bookmarkEnd w:id="2117"/>
      <w:bookmarkEnd w:id="2118"/>
      <w:bookmarkEnd w:id="2119"/>
      <w:bookmarkEnd w:id="2120"/>
      <w:bookmarkEnd w:id="2121"/>
      <w:bookmarkStart w:id="2122" w:name="招标文件05章工程量清单01"/>
      <w:bookmarkEnd w:id="2122"/>
      <w:bookmarkStart w:id="2123" w:name="_Toc224103477"/>
      <w:bookmarkStart w:id="2124" w:name="_Toc277082638"/>
      <w:bookmarkStart w:id="2125" w:name="_Toc430530514"/>
      <w:bookmarkStart w:id="2126" w:name="_Toc287607856"/>
      <w:bookmarkStart w:id="2127" w:name="_Toc287620798"/>
    </w:p>
    <w:bookmarkEnd w:id="2123"/>
    <w:bookmarkEnd w:id="2124"/>
    <w:bookmarkEnd w:id="2125"/>
    <w:bookmarkEnd w:id="2126"/>
    <w:bookmarkEnd w:id="2127"/>
    <w:p w14:paraId="64C7347F">
      <w:pPr>
        <w:snapToGrid w:val="0"/>
        <w:spacing w:line="360" w:lineRule="auto"/>
        <w:jc w:val="center"/>
        <w:rPr>
          <w:rFonts w:hint="eastAsia" w:ascii="宋体" w:hAnsi="宋体"/>
          <w:color w:val="auto"/>
          <w:sz w:val="24"/>
          <w:highlight w:val="none"/>
        </w:rPr>
      </w:pPr>
    </w:p>
    <w:p w14:paraId="7402E433">
      <w:pPr>
        <w:ind w:right="561"/>
        <w:rPr>
          <w:rFonts w:ascii="宋体" w:hAnsi="宋体"/>
          <w:color w:val="auto"/>
          <w:szCs w:val="21"/>
          <w:highlight w:val="none"/>
        </w:rPr>
      </w:pPr>
      <w:r>
        <w:rPr>
          <w:rFonts w:hint="eastAsia" w:ascii="宋体" w:hAnsi="宋体"/>
          <w:snapToGrid w:val="0"/>
          <w:kern w:val="0"/>
          <w:szCs w:val="21"/>
          <w:lang w:eastAsia="zh-CN"/>
        </w:rPr>
        <w:t>重庆源锦工程咨询有限公司处获取。</w:t>
      </w:r>
      <w:r>
        <w:rPr>
          <w:rFonts w:ascii="宋体" w:hAnsi="宋体"/>
          <w:color w:val="auto"/>
          <w:sz w:val="24"/>
          <w:highlight w:val="none"/>
        </w:rPr>
        <w:br w:type="page"/>
      </w:r>
    </w:p>
    <w:p w14:paraId="08FDB26B">
      <w:pPr>
        <w:pStyle w:val="3"/>
        <w:spacing w:before="0" w:after="0" w:line="360" w:lineRule="auto"/>
        <w:jc w:val="center"/>
        <w:rPr>
          <w:rFonts w:ascii="宋体" w:hAnsi="宋体"/>
          <w:color w:val="auto"/>
          <w:sz w:val="52"/>
          <w:szCs w:val="52"/>
          <w:highlight w:val="none"/>
        </w:rPr>
      </w:pPr>
      <w:bookmarkStart w:id="2128" w:name="_Toc3482"/>
      <w:bookmarkStart w:id="2129" w:name="_Toc534185823"/>
      <w:bookmarkStart w:id="2130" w:name="_Toc13474"/>
      <w:bookmarkStart w:id="2131" w:name="_Toc509218844"/>
      <w:r>
        <w:rPr>
          <w:rFonts w:ascii="宋体" w:hAnsi="宋体"/>
          <w:color w:val="auto"/>
          <w:sz w:val="52"/>
          <w:szCs w:val="52"/>
          <w:highlight w:val="none"/>
        </w:rPr>
        <w:t>第 二 卷</w:t>
      </w:r>
      <w:bookmarkEnd w:id="2128"/>
      <w:bookmarkEnd w:id="2129"/>
      <w:bookmarkEnd w:id="2130"/>
      <w:bookmarkEnd w:id="2131"/>
    </w:p>
    <w:p w14:paraId="64D47F18">
      <w:pPr>
        <w:spacing w:line="360" w:lineRule="auto"/>
        <w:rPr>
          <w:rFonts w:ascii="宋体" w:hAnsi="宋体"/>
          <w:color w:val="auto"/>
          <w:szCs w:val="20"/>
          <w:highlight w:val="none"/>
        </w:rPr>
      </w:pPr>
      <w:r>
        <w:rPr>
          <w:rFonts w:ascii="宋体" w:hAnsi="宋体"/>
          <w:color w:val="auto"/>
          <w:szCs w:val="20"/>
          <w:highlight w:val="none"/>
        </w:rPr>
        <w:br w:type="page"/>
      </w:r>
    </w:p>
    <w:p w14:paraId="36555DE3">
      <w:pPr>
        <w:pStyle w:val="3"/>
        <w:spacing w:line="360" w:lineRule="auto"/>
        <w:jc w:val="center"/>
        <w:rPr>
          <w:rFonts w:ascii="宋体" w:hAnsi="宋体"/>
          <w:color w:val="auto"/>
          <w:highlight w:val="none"/>
        </w:rPr>
      </w:pPr>
      <w:bookmarkStart w:id="2132" w:name="招标文件06章图纸"/>
      <w:bookmarkEnd w:id="2132"/>
      <w:bookmarkStart w:id="2133" w:name="_Toc22154"/>
      <w:bookmarkStart w:id="2134" w:name="_Toc430530519"/>
      <w:bookmarkStart w:id="2135" w:name="_Toc534185825"/>
      <w:bookmarkStart w:id="2136" w:name="_Toc287607861"/>
      <w:bookmarkStart w:id="2137" w:name="_Toc287620803"/>
      <w:bookmarkStart w:id="2138" w:name="_Toc12878"/>
      <w:bookmarkStart w:id="2139" w:name="_Toc509218846"/>
      <w:r>
        <w:rPr>
          <w:rFonts w:hint="eastAsia" w:ascii="宋体" w:hAnsi="宋体"/>
          <w:color w:val="auto"/>
          <w:highlight w:val="none"/>
        </w:rPr>
        <w:t>第六章  图纸</w:t>
      </w:r>
      <w:bookmarkEnd w:id="2133"/>
      <w:bookmarkEnd w:id="2134"/>
      <w:bookmarkEnd w:id="2135"/>
      <w:bookmarkEnd w:id="2136"/>
      <w:bookmarkEnd w:id="2137"/>
      <w:bookmarkEnd w:id="2138"/>
      <w:bookmarkEnd w:id="2139"/>
    </w:p>
    <w:p w14:paraId="4D356A65">
      <w:pPr>
        <w:spacing w:line="360" w:lineRule="auto"/>
        <w:rPr>
          <w:rFonts w:hint="eastAsia" w:ascii="宋体" w:hAnsi="宋体"/>
          <w:snapToGrid w:val="0"/>
          <w:kern w:val="0"/>
          <w:szCs w:val="21"/>
          <w:lang w:eastAsia="zh-CN"/>
        </w:rPr>
      </w:pPr>
      <w:bookmarkStart w:id="2140" w:name="招标文件06章图纸01"/>
      <w:bookmarkEnd w:id="2140"/>
      <w:bookmarkStart w:id="2141" w:name="_Toc287620804"/>
      <w:bookmarkStart w:id="2142" w:name="_Toc430530520"/>
      <w:r>
        <w:rPr>
          <w:rFonts w:hint="eastAsia" w:ascii="宋体" w:hAnsi="宋体"/>
          <w:snapToGrid w:val="0"/>
          <w:kern w:val="0"/>
          <w:szCs w:val="21"/>
          <w:lang w:eastAsia="zh-CN"/>
        </w:rPr>
        <w:t>重庆源锦工程咨询有限公司处获取。</w:t>
      </w:r>
    </w:p>
    <w:bookmarkEnd w:id="2141"/>
    <w:bookmarkEnd w:id="2142"/>
    <w:p w14:paraId="6768AA8C">
      <w:pPr>
        <w:spacing w:line="360" w:lineRule="auto"/>
        <w:rPr>
          <w:rFonts w:ascii="宋体" w:hAnsi="宋体"/>
          <w:color w:val="auto"/>
          <w:highlight w:val="none"/>
        </w:rPr>
      </w:pPr>
      <w:r>
        <w:rPr>
          <w:rFonts w:ascii="宋体" w:hAnsi="宋体"/>
          <w:color w:val="auto"/>
          <w:szCs w:val="20"/>
          <w:highlight w:val="none"/>
        </w:rPr>
        <w:br w:type="page"/>
      </w:r>
    </w:p>
    <w:p w14:paraId="55CFFA03">
      <w:pPr>
        <w:pStyle w:val="3"/>
        <w:spacing w:before="0" w:after="0" w:line="360" w:lineRule="auto"/>
        <w:jc w:val="center"/>
        <w:rPr>
          <w:rFonts w:hint="eastAsia" w:ascii="宋体" w:hAnsi="宋体"/>
          <w:color w:val="auto"/>
          <w:sz w:val="52"/>
          <w:szCs w:val="52"/>
          <w:highlight w:val="none"/>
        </w:rPr>
      </w:pPr>
      <w:bookmarkStart w:id="2143" w:name="_Toc10839"/>
      <w:bookmarkStart w:id="2144" w:name="_Toc8804"/>
      <w:r>
        <w:rPr>
          <w:rFonts w:hint="eastAsia" w:ascii="宋体" w:hAnsi="宋体"/>
          <w:color w:val="auto"/>
          <w:sz w:val="52"/>
          <w:szCs w:val="52"/>
          <w:highlight w:val="none"/>
        </w:rPr>
        <w:t>第 三 卷</w:t>
      </w:r>
      <w:bookmarkEnd w:id="2143"/>
      <w:bookmarkEnd w:id="2144"/>
      <w:bookmarkStart w:id="2145" w:name="_Toc509218847"/>
      <w:bookmarkStart w:id="2146" w:name="_Toc536797121"/>
      <w:bookmarkStart w:id="2147" w:name="_Toc13211206"/>
      <w:bookmarkStart w:id="2148" w:name="_Toc536628344"/>
      <w:bookmarkStart w:id="2149" w:name="_Toc13211764"/>
      <w:bookmarkStart w:id="2150" w:name="_Toc534185826"/>
      <w:bookmarkStart w:id="2151" w:name="_Toc536796850"/>
      <w:bookmarkStart w:id="2152" w:name="_Toc536621880"/>
      <w:bookmarkStart w:id="2153" w:name="_Toc536797390"/>
      <w:bookmarkStart w:id="2154" w:name="_Toc536797255"/>
      <w:bookmarkStart w:id="2155" w:name="_Toc536619968"/>
      <w:bookmarkStart w:id="2156" w:name="_Toc536796986"/>
      <w:bookmarkStart w:id="2157" w:name="_Toc536620100"/>
      <w:bookmarkStart w:id="2158" w:name="_Toc13210772"/>
    </w:p>
    <w:bookmarkEnd w:id="2145"/>
    <w:p w14:paraId="15832B8C">
      <w:pPr>
        <w:rPr>
          <w:color w:val="auto"/>
          <w:highlight w:val="none"/>
        </w:rPr>
      </w:pPr>
      <w:r>
        <w:rPr>
          <w:color w:val="auto"/>
          <w:highlight w:val="none"/>
        </w:rPr>
        <w:br w:type="page"/>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41308E85">
      <w:pPr>
        <w:pStyle w:val="3"/>
        <w:spacing w:line="360" w:lineRule="auto"/>
        <w:jc w:val="center"/>
        <w:rPr>
          <w:rFonts w:ascii="宋体" w:hAnsi="宋体"/>
          <w:color w:val="auto"/>
          <w:highlight w:val="none"/>
        </w:rPr>
      </w:pPr>
      <w:bookmarkStart w:id="2159" w:name="招标文件07章技术标准和要求"/>
      <w:bookmarkEnd w:id="2159"/>
      <w:bookmarkStart w:id="2160" w:name="_Toc17170"/>
      <w:bookmarkStart w:id="2161" w:name="_Toc27578"/>
      <w:r>
        <w:rPr>
          <w:rFonts w:ascii="宋体" w:hAnsi="宋体"/>
          <w:color w:val="auto"/>
          <w:highlight w:val="none"/>
        </w:rPr>
        <w:t>第七章</w:t>
      </w:r>
      <w:r>
        <w:rPr>
          <w:rFonts w:hint="eastAsia" w:ascii="宋体" w:hAnsi="宋体"/>
          <w:color w:val="auto"/>
          <w:highlight w:val="none"/>
        </w:rPr>
        <w:t xml:space="preserve">  </w:t>
      </w:r>
      <w:r>
        <w:rPr>
          <w:rFonts w:ascii="宋体" w:hAnsi="宋体"/>
          <w:color w:val="auto"/>
          <w:highlight w:val="none"/>
        </w:rPr>
        <w:t>技术标准和要求</w:t>
      </w:r>
      <w:bookmarkEnd w:id="2160"/>
      <w:bookmarkEnd w:id="2161"/>
      <w:bookmarkStart w:id="2162" w:name="招标文件07章技术标准和要求01"/>
      <w:bookmarkEnd w:id="2162"/>
      <w:bookmarkStart w:id="2163" w:name="_Toc430530524"/>
      <w:bookmarkStart w:id="2164" w:name="_Toc287620808"/>
    </w:p>
    <w:bookmarkEnd w:id="2163"/>
    <w:bookmarkEnd w:id="2164"/>
    <w:p w14:paraId="552C7392">
      <w:pPr>
        <w:spacing w:line="360" w:lineRule="auto"/>
        <w:jc w:val="center"/>
        <w:rPr>
          <w:rFonts w:ascii="宋体" w:hAnsi="宋体"/>
          <w:color w:val="auto"/>
          <w:szCs w:val="21"/>
          <w:highlight w:val="none"/>
        </w:rPr>
      </w:pPr>
      <w:r>
        <w:rPr>
          <w:rFonts w:hint="eastAsia" w:ascii="宋体" w:hAnsi="宋体"/>
          <w:szCs w:val="20"/>
          <w:lang w:val="en-US" w:eastAsia="zh-CN"/>
        </w:rPr>
        <w:t>符合施工图及强制性质量标准和要求，符合国家、重庆市的相关标准和要求</w:t>
      </w:r>
      <w:r>
        <w:rPr>
          <w:rFonts w:hint="eastAsia" w:ascii="宋体" w:hAnsi="宋体"/>
          <w:color w:val="auto"/>
          <w:szCs w:val="21"/>
          <w:highlight w:val="none"/>
        </w:rPr>
        <w:t>。</w:t>
      </w:r>
    </w:p>
    <w:p w14:paraId="2EBA8001">
      <w:pPr>
        <w:spacing w:line="360" w:lineRule="auto"/>
        <w:rPr>
          <w:rFonts w:ascii="宋体" w:hAnsi="宋体"/>
          <w:color w:val="auto"/>
          <w:highlight w:val="none"/>
        </w:rPr>
      </w:pPr>
      <w:r>
        <w:rPr>
          <w:rFonts w:ascii="宋体" w:hAnsi="宋体"/>
          <w:color w:val="auto"/>
          <w:highlight w:val="none"/>
        </w:rPr>
        <w:br w:type="page"/>
      </w:r>
    </w:p>
    <w:p w14:paraId="63FDA049">
      <w:pPr>
        <w:pStyle w:val="3"/>
        <w:spacing w:before="0" w:after="0" w:line="360" w:lineRule="auto"/>
        <w:jc w:val="center"/>
        <w:rPr>
          <w:rFonts w:hint="eastAsia" w:ascii="宋体" w:hAnsi="宋体"/>
          <w:color w:val="auto"/>
          <w:sz w:val="52"/>
          <w:szCs w:val="52"/>
          <w:highlight w:val="none"/>
        </w:rPr>
      </w:pPr>
      <w:bookmarkStart w:id="2165" w:name="_Toc534185827"/>
      <w:bookmarkStart w:id="2166" w:name="_Toc18822"/>
      <w:bookmarkStart w:id="2167" w:name="_Toc22345"/>
      <w:bookmarkStart w:id="2168" w:name="_Toc509218849"/>
      <w:r>
        <w:rPr>
          <w:rFonts w:ascii="宋体" w:hAnsi="宋体"/>
          <w:color w:val="auto"/>
          <w:sz w:val="52"/>
          <w:szCs w:val="52"/>
          <w:highlight w:val="none"/>
        </w:rPr>
        <w:t>第 四 卷</w:t>
      </w:r>
      <w:bookmarkEnd w:id="2165"/>
      <w:bookmarkEnd w:id="2166"/>
      <w:bookmarkEnd w:id="2167"/>
      <w:bookmarkEnd w:id="2168"/>
      <w:bookmarkStart w:id="2169" w:name="_Toc536797124"/>
      <w:bookmarkStart w:id="2170" w:name="_Toc534185828"/>
      <w:bookmarkStart w:id="2171" w:name="_Toc536628347"/>
      <w:bookmarkStart w:id="2172" w:name="_Toc509218850"/>
      <w:bookmarkStart w:id="2173" w:name="_Toc13211209"/>
      <w:bookmarkStart w:id="2174" w:name="_Toc536620102"/>
      <w:bookmarkStart w:id="2175" w:name="_Toc536619970"/>
      <w:bookmarkStart w:id="2176" w:name="_Toc13210775"/>
      <w:bookmarkStart w:id="2177" w:name="_Toc536796989"/>
      <w:bookmarkStart w:id="2178" w:name="_Toc536796853"/>
      <w:bookmarkStart w:id="2179" w:name="_Toc536621883"/>
      <w:bookmarkStart w:id="2180" w:name="_Toc13211767"/>
      <w:bookmarkStart w:id="2181" w:name="_Toc536797258"/>
      <w:bookmarkStart w:id="2182" w:name="_Toc536797393"/>
    </w:p>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14:paraId="0398A889">
      <w:pPr>
        <w:rPr>
          <w:rFonts w:hint="eastAsia"/>
          <w:color w:val="auto"/>
          <w:highlight w:val="none"/>
        </w:rPr>
      </w:pPr>
      <w:r>
        <w:rPr>
          <w:color w:val="auto"/>
          <w:highlight w:val="none"/>
        </w:rPr>
        <w:br w:type="page"/>
      </w:r>
      <w:bookmarkStart w:id="2183" w:name="招标文件08章投标文件格式"/>
      <w:bookmarkEnd w:id="2183"/>
      <w:bookmarkStart w:id="2184" w:name="_Toc287620812"/>
      <w:bookmarkStart w:id="2185" w:name="_Toc287607865"/>
    </w:p>
    <w:p w14:paraId="65328274">
      <w:pPr>
        <w:pStyle w:val="3"/>
        <w:spacing w:line="360" w:lineRule="auto"/>
        <w:jc w:val="center"/>
        <w:rPr>
          <w:rFonts w:ascii="宋体" w:hAnsi="宋体"/>
          <w:color w:val="auto"/>
          <w:highlight w:val="none"/>
        </w:rPr>
      </w:pPr>
      <w:bookmarkStart w:id="2186" w:name="_Toc509218852"/>
      <w:bookmarkStart w:id="2187" w:name="_Toc430530528"/>
      <w:bookmarkStart w:id="2188" w:name="_Toc16611"/>
      <w:bookmarkStart w:id="2189" w:name="_Toc534185829"/>
      <w:bookmarkStart w:id="2190" w:name="_Toc23843"/>
      <w:r>
        <w:rPr>
          <w:rFonts w:hint="eastAsia" w:ascii="宋体" w:hAnsi="宋体"/>
          <w:color w:val="auto"/>
          <w:highlight w:val="none"/>
        </w:rPr>
        <w:t>第八章  投标文件格式</w:t>
      </w:r>
      <w:bookmarkEnd w:id="2184"/>
      <w:bookmarkEnd w:id="2185"/>
      <w:bookmarkEnd w:id="2186"/>
      <w:bookmarkEnd w:id="2187"/>
      <w:bookmarkEnd w:id="2188"/>
      <w:bookmarkEnd w:id="2189"/>
      <w:bookmarkEnd w:id="2190"/>
    </w:p>
    <w:p w14:paraId="1BEC33E3">
      <w:pPr>
        <w:spacing w:line="360" w:lineRule="auto"/>
        <w:rPr>
          <w:rFonts w:ascii="宋体" w:hAnsi="宋体"/>
          <w:color w:val="auto"/>
          <w:sz w:val="32"/>
          <w:szCs w:val="32"/>
          <w:highlight w:val="none"/>
        </w:rPr>
      </w:pPr>
    </w:p>
    <w:p w14:paraId="3D9E2F49">
      <w:pPr>
        <w:spacing w:line="360" w:lineRule="auto"/>
        <w:jc w:val="center"/>
        <w:rPr>
          <w:rFonts w:ascii="宋体" w:hAnsi="宋体"/>
          <w:color w:val="auto"/>
          <w:sz w:val="36"/>
          <w:szCs w:val="36"/>
          <w:highlight w:val="none"/>
        </w:rPr>
      </w:pPr>
      <w:r>
        <w:rPr>
          <w:rFonts w:ascii="宋体" w:hAnsi="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111" name="矩形 118"/>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35D0EC81"/>
                        </w:txbxContent>
                      </wps:txbx>
                      <wps:bodyPr rot="0" vert="horz" wrap="square" lIns="91440" tIns="45720" rIns="91440" bIns="45720" anchor="t" anchorCtr="0" upright="1">
                        <a:noAutofit/>
                      </wps:bodyPr>
                    </wps:wsp>
                  </a:graphicData>
                </a:graphic>
              </wp:anchor>
            </w:drawing>
          </mc:Choice>
          <mc:Fallback>
            <w:pict>
              <v:rect id="矩形 118" o:spid="_x0000_s1026" o:spt="1" style="position:absolute;left:0pt;margin-left:186.25pt;margin-top:666.6pt;height:54.6pt;width:63.6pt;z-index:251660288;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fvl6p9oAAAANAQAADwAAAAAAAAABACAAAAAiAAAAZHJzL2Rvd25yZXYueG1sUEsBAhQAFAAAAAgA&#10;h07iQIKA2l4jAgAAQgQAAA4AAAAAAAAAAQAgAAAAKQEAAGRycy9lMm9Eb2MueG1sUEsFBgAAAAAG&#10;AAYAWQEAAL4FAAAAAA==&#10;">
                <v:fill on="t" focussize="0,0"/>
                <v:stroke on="f"/>
                <v:imagedata o:title=""/>
                <o:lock v:ext="edit" aspectratio="f"/>
                <v:textbox>
                  <w:txbxContent>
                    <w:p w14:paraId="35D0EC81"/>
                  </w:txbxContent>
                </v:textbox>
              </v:rect>
            </w:pict>
          </mc:Fallback>
        </mc:AlternateContent>
      </w:r>
      <w:r>
        <w:rPr>
          <w:rFonts w:ascii="宋体" w:hAnsi="宋体"/>
          <w:color w:val="auto"/>
          <w:szCs w:val="20"/>
          <w:highlight w:val="none"/>
        </w:rPr>
        <w:br w:type="page"/>
      </w:r>
      <w:bookmarkStart w:id="2191" w:name="_Toc224103493"/>
      <w:r>
        <w:rPr>
          <w:rFonts w:hint="eastAsia" w:ascii="宋体" w:hAnsi="宋体"/>
          <w:color w:val="auto"/>
          <w:sz w:val="36"/>
          <w:szCs w:val="36"/>
          <w:highlight w:val="none"/>
        </w:rPr>
        <w:t>目  录</w:t>
      </w:r>
      <w:bookmarkEnd w:id="2191"/>
    </w:p>
    <w:p w14:paraId="16EDF26D">
      <w:pPr>
        <w:spacing w:line="360" w:lineRule="auto"/>
        <w:rPr>
          <w:rFonts w:ascii="宋体" w:hAnsi="宋体"/>
          <w:b/>
          <w:color w:val="auto"/>
          <w:highlight w:val="none"/>
        </w:rPr>
      </w:pPr>
      <w:r>
        <w:rPr>
          <w:rFonts w:hint="eastAsia" w:ascii="宋体" w:hAnsi="宋体"/>
          <w:b/>
          <w:color w:val="auto"/>
          <w:highlight w:val="none"/>
          <w:lang w:eastAsia="zh-CN"/>
        </w:rPr>
        <w:t>一</w:t>
      </w:r>
      <w:r>
        <w:rPr>
          <w:rFonts w:ascii="宋体" w:hAnsi="宋体"/>
          <w:b/>
          <w:color w:val="auto"/>
          <w:highlight w:val="none"/>
        </w:rPr>
        <w:t>、投标函部分</w:t>
      </w:r>
    </w:p>
    <w:p w14:paraId="23BE91EA">
      <w:pPr>
        <w:spacing w:line="360" w:lineRule="auto"/>
        <w:ind w:firstLine="420" w:firstLineChars="200"/>
        <w:rPr>
          <w:rFonts w:ascii="宋体" w:hAnsi="宋体"/>
          <w:color w:val="auto"/>
          <w:highlight w:val="none"/>
        </w:rPr>
      </w:pPr>
      <w:r>
        <w:rPr>
          <w:rFonts w:ascii="宋体" w:hAnsi="宋体"/>
          <w:color w:val="auto"/>
          <w:highlight w:val="none"/>
        </w:rPr>
        <w:t>（一）投标函</w:t>
      </w:r>
    </w:p>
    <w:p w14:paraId="1DE00A3E">
      <w:pPr>
        <w:spacing w:line="360" w:lineRule="auto"/>
        <w:ind w:firstLine="420" w:firstLineChars="200"/>
        <w:rPr>
          <w:rFonts w:ascii="宋体" w:hAnsi="宋体"/>
          <w:color w:val="auto"/>
          <w:highlight w:val="none"/>
        </w:rPr>
      </w:pPr>
      <w:r>
        <w:rPr>
          <w:rFonts w:ascii="宋体" w:hAnsi="宋体"/>
          <w:color w:val="auto"/>
          <w:highlight w:val="none"/>
        </w:rPr>
        <w:t>（二）投标函附录</w:t>
      </w:r>
    </w:p>
    <w:p w14:paraId="6A36E5BF">
      <w:pPr>
        <w:spacing w:line="360" w:lineRule="auto"/>
        <w:ind w:firstLine="420" w:firstLineChars="200"/>
        <w:rPr>
          <w:rFonts w:hint="eastAsia" w:ascii="宋体" w:hAnsi="宋体"/>
          <w:color w:val="auto"/>
          <w:highlight w:val="none"/>
        </w:rPr>
      </w:pPr>
      <w:r>
        <w:rPr>
          <w:rFonts w:ascii="宋体" w:hAnsi="宋体"/>
          <w:color w:val="auto"/>
          <w:highlight w:val="none"/>
        </w:rPr>
        <w:t>（三）</w:t>
      </w:r>
      <w:r>
        <w:rPr>
          <w:rFonts w:hint="eastAsia" w:ascii="宋体" w:hAnsi="宋体"/>
          <w:color w:val="auto"/>
          <w:highlight w:val="none"/>
        </w:rPr>
        <w:t>法定代表人身份证明或附有法定代表人身份证明的授权委托书</w:t>
      </w:r>
    </w:p>
    <w:p w14:paraId="1F3DE0D3">
      <w:pPr>
        <w:spacing w:line="360" w:lineRule="auto"/>
        <w:rPr>
          <w:rFonts w:ascii="宋体" w:hAnsi="宋体"/>
          <w:b/>
          <w:color w:val="auto"/>
          <w:highlight w:val="none"/>
        </w:rPr>
      </w:pPr>
      <w:r>
        <w:rPr>
          <w:rFonts w:hint="eastAsia" w:ascii="宋体" w:hAnsi="宋体"/>
          <w:b/>
          <w:color w:val="auto"/>
          <w:highlight w:val="none"/>
          <w:lang w:eastAsia="zh-CN"/>
        </w:rPr>
        <w:t>二</w:t>
      </w:r>
      <w:r>
        <w:rPr>
          <w:rFonts w:ascii="宋体" w:hAnsi="宋体"/>
          <w:b/>
          <w:color w:val="auto"/>
          <w:highlight w:val="none"/>
        </w:rPr>
        <w:t>、</w:t>
      </w:r>
      <w:r>
        <w:rPr>
          <w:rFonts w:hint="eastAsia" w:ascii="宋体" w:hAnsi="宋体"/>
          <w:b/>
          <w:color w:val="auto"/>
          <w:highlight w:val="none"/>
        </w:rPr>
        <w:t>经济</w:t>
      </w:r>
      <w:r>
        <w:rPr>
          <w:rFonts w:ascii="宋体" w:hAnsi="宋体"/>
          <w:b/>
          <w:color w:val="auto"/>
          <w:highlight w:val="none"/>
        </w:rPr>
        <w:t>部分</w:t>
      </w:r>
    </w:p>
    <w:p w14:paraId="156941FF">
      <w:pPr>
        <w:spacing w:line="360" w:lineRule="auto"/>
        <w:ind w:firstLine="420" w:firstLineChars="200"/>
        <w:rPr>
          <w:rFonts w:ascii="宋体" w:hAnsi="宋体"/>
          <w:color w:val="auto"/>
          <w:highlight w:val="none"/>
        </w:rPr>
      </w:pPr>
      <w:r>
        <w:rPr>
          <w:rFonts w:ascii="宋体" w:hAnsi="宋体"/>
          <w:color w:val="auto"/>
          <w:highlight w:val="none"/>
        </w:rPr>
        <w:t>已标价工程量清单</w:t>
      </w:r>
    </w:p>
    <w:p w14:paraId="570B97D1">
      <w:pPr>
        <w:spacing w:line="360" w:lineRule="auto"/>
        <w:rPr>
          <w:rFonts w:ascii="宋体" w:hAnsi="宋体"/>
          <w:b/>
          <w:color w:val="auto"/>
          <w:highlight w:val="none"/>
        </w:rPr>
      </w:pPr>
      <w:r>
        <w:rPr>
          <w:rFonts w:hint="eastAsia" w:ascii="宋体" w:hAnsi="宋体"/>
          <w:b/>
          <w:color w:val="auto"/>
          <w:highlight w:val="none"/>
          <w:lang w:eastAsia="zh-CN"/>
        </w:rPr>
        <w:t>三</w:t>
      </w:r>
      <w:r>
        <w:rPr>
          <w:rFonts w:ascii="宋体" w:hAnsi="宋体"/>
          <w:b/>
          <w:color w:val="auto"/>
          <w:highlight w:val="none"/>
        </w:rPr>
        <w:t>、</w:t>
      </w:r>
      <w:r>
        <w:rPr>
          <w:rFonts w:hint="eastAsia" w:ascii="宋体" w:hAnsi="宋体"/>
          <w:b/>
          <w:color w:val="auto"/>
          <w:highlight w:val="none"/>
        </w:rPr>
        <w:t>资格审查部分</w:t>
      </w:r>
    </w:p>
    <w:p w14:paraId="58E108F6">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法定代表人身份证明或附有法定代表人身份证明的授权委托书</w:t>
      </w:r>
    </w:p>
    <w:p w14:paraId="1F77D3AE">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eastAsia="zh-CN"/>
        </w:rPr>
        <w:t>二</w:t>
      </w:r>
      <w:r>
        <w:rPr>
          <w:rFonts w:ascii="宋体" w:hAnsi="宋体"/>
          <w:color w:val="auto"/>
          <w:highlight w:val="none"/>
        </w:rPr>
        <w:t>）投标人基本情况表</w:t>
      </w:r>
    </w:p>
    <w:p w14:paraId="678EF1F9">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eastAsia="zh-CN"/>
        </w:rPr>
        <w:t>三</w:t>
      </w:r>
      <w:r>
        <w:rPr>
          <w:rFonts w:ascii="宋体" w:hAnsi="宋体"/>
          <w:color w:val="auto"/>
          <w:highlight w:val="none"/>
        </w:rPr>
        <w:t>）项目管理机构</w:t>
      </w:r>
    </w:p>
    <w:p w14:paraId="66A3D274">
      <w:pPr>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lang w:eastAsia="zh-CN"/>
        </w:rPr>
        <w:t>四</w:t>
      </w:r>
      <w:r>
        <w:rPr>
          <w:rFonts w:ascii="宋体" w:hAnsi="宋体"/>
          <w:color w:val="auto"/>
          <w:highlight w:val="none"/>
        </w:rPr>
        <w:t>）</w:t>
      </w:r>
      <w:r>
        <w:rPr>
          <w:rFonts w:hint="eastAsia" w:ascii="宋体" w:hAnsi="宋体"/>
          <w:color w:val="auto"/>
          <w:highlight w:val="none"/>
        </w:rPr>
        <w:t>承诺</w:t>
      </w:r>
    </w:p>
    <w:p w14:paraId="4F8F9A7F">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eastAsia="zh-CN"/>
        </w:rPr>
        <w:t>五</w:t>
      </w:r>
      <w:r>
        <w:rPr>
          <w:rFonts w:ascii="宋体" w:hAnsi="宋体"/>
          <w:color w:val="auto"/>
          <w:highlight w:val="none"/>
        </w:rPr>
        <w:t>）其他资料</w:t>
      </w:r>
    </w:p>
    <w:p w14:paraId="1000C354">
      <w:pPr>
        <w:autoSpaceDE w:val="0"/>
        <w:autoSpaceDN w:val="0"/>
        <w:adjustRightInd w:val="0"/>
        <w:spacing w:line="276" w:lineRule="auto"/>
        <w:ind w:right="-23"/>
        <w:jc w:val="left"/>
        <w:rPr>
          <w:rFonts w:ascii="宋体" w:hAnsi="宋体"/>
          <w:b/>
          <w:color w:val="auto"/>
          <w:kern w:val="0"/>
          <w:sz w:val="24"/>
          <w:highlight w:val="none"/>
        </w:rPr>
      </w:pPr>
      <w:r>
        <w:rPr>
          <w:rFonts w:ascii="宋体" w:hAnsi="宋体"/>
          <w:b/>
          <w:color w:val="auto"/>
          <w:kern w:val="0"/>
          <w:sz w:val="24"/>
          <w:highlight w:val="none"/>
        </w:rPr>
        <w:br w:type="page"/>
      </w:r>
      <w:bookmarkStart w:id="2192" w:name="_Toc287607866"/>
      <w:bookmarkStart w:id="2193" w:name="_Toc430530529"/>
      <w:bookmarkStart w:id="2194" w:name="_Toc287620813"/>
      <w:bookmarkStart w:id="2195" w:name="_Toc224103494"/>
      <w:bookmarkStart w:id="2196" w:name="_Toc277082642"/>
    </w:p>
    <w:p w14:paraId="1101D39E">
      <w:pPr>
        <w:pStyle w:val="4"/>
        <w:spacing w:line="360" w:lineRule="auto"/>
        <w:jc w:val="center"/>
        <w:rPr>
          <w:rFonts w:ascii="宋体" w:hAnsi="宋体"/>
          <w:b w:val="0"/>
          <w:bCs w:val="0"/>
          <w:color w:val="auto"/>
          <w:sz w:val="44"/>
          <w:szCs w:val="44"/>
          <w:highlight w:val="none"/>
        </w:rPr>
      </w:pPr>
      <w:bookmarkStart w:id="2197" w:name="_Toc19476"/>
      <w:bookmarkStart w:id="2198" w:name="_Toc3310"/>
      <w:r>
        <w:rPr>
          <w:rFonts w:hint="eastAsia" w:ascii="宋体" w:hAnsi="宋体"/>
          <w:b w:val="0"/>
          <w:bCs w:val="0"/>
          <w:color w:val="auto"/>
          <w:sz w:val="44"/>
          <w:szCs w:val="44"/>
          <w:highlight w:val="none"/>
          <w:lang w:eastAsia="zh-CN"/>
        </w:rPr>
        <w:t>一</w:t>
      </w:r>
      <w:r>
        <w:rPr>
          <w:rFonts w:hint="eastAsia" w:ascii="宋体" w:hAnsi="宋体"/>
          <w:b w:val="0"/>
          <w:bCs w:val="0"/>
          <w:color w:val="auto"/>
          <w:sz w:val="44"/>
          <w:szCs w:val="44"/>
          <w:highlight w:val="none"/>
        </w:rPr>
        <w:t>、投标函部分</w:t>
      </w:r>
      <w:bookmarkEnd w:id="2192"/>
      <w:bookmarkEnd w:id="2193"/>
      <w:bookmarkEnd w:id="2194"/>
      <w:bookmarkEnd w:id="2195"/>
      <w:bookmarkEnd w:id="2196"/>
      <w:bookmarkEnd w:id="2197"/>
      <w:bookmarkEnd w:id="2198"/>
    </w:p>
    <w:p w14:paraId="77D5ECF5">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4C26C2B4">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783C5CE9">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34CB410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82BA53E">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41BC7B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38414AC">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EBB5CB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2A742ED">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6903F5D0">
      <w:pPr>
        <w:autoSpaceDE w:val="0"/>
        <w:autoSpaceDN w:val="0"/>
        <w:adjustRightInd w:val="0"/>
        <w:snapToGrid w:val="0"/>
        <w:spacing w:line="360" w:lineRule="auto"/>
        <w:jc w:val="left"/>
        <w:rPr>
          <w:rFonts w:ascii="宋体" w:hAnsi="宋体"/>
          <w:color w:val="auto"/>
          <w:kern w:val="0"/>
          <w:sz w:val="16"/>
          <w:szCs w:val="16"/>
          <w:highlight w:val="none"/>
        </w:rPr>
      </w:pPr>
    </w:p>
    <w:p w14:paraId="36028196">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4C1528DF">
      <w:pPr>
        <w:autoSpaceDE w:val="0"/>
        <w:autoSpaceDN w:val="0"/>
        <w:adjustRightInd w:val="0"/>
        <w:snapToGrid w:val="0"/>
        <w:spacing w:line="360" w:lineRule="auto"/>
        <w:jc w:val="left"/>
        <w:rPr>
          <w:rFonts w:ascii="宋体" w:hAnsi="宋体"/>
          <w:b/>
          <w:color w:val="auto"/>
          <w:kern w:val="0"/>
          <w:sz w:val="20"/>
          <w:szCs w:val="20"/>
          <w:highlight w:val="none"/>
        </w:rPr>
      </w:pPr>
    </w:p>
    <w:p w14:paraId="7372DB96">
      <w:pPr>
        <w:autoSpaceDE w:val="0"/>
        <w:autoSpaceDN w:val="0"/>
        <w:adjustRightInd w:val="0"/>
        <w:snapToGrid w:val="0"/>
        <w:spacing w:line="360" w:lineRule="auto"/>
        <w:jc w:val="left"/>
        <w:rPr>
          <w:rFonts w:ascii="宋体" w:hAnsi="宋体"/>
          <w:b/>
          <w:color w:val="auto"/>
          <w:kern w:val="0"/>
          <w:sz w:val="20"/>
          <w:szCs w:val="20"/>
          <w:highlight w:val="none"/>
        </w:rPr>
      </w:pPr>
    </w:p>
    <w:p w14:paraId="77094221">
      <w:pPr>
        <w:autoSpaceDE w:val="0"/>
        <w:autoSpaceDN w:val="0"/>
        <w:adjustRightInd w:val="0"/>
        <w:snapToGrid w:val="0"/>
        <w:spacing w:line="360" w:lineRule="auto"/>
        <w:jc w:val="left"/>
        <w:rPr>
          <w:rFonts w:ascii="宋体" w:hAnsi="宋体"/>
          <w:b/>
          <w:color w:val="auto"/>
          <w:kern w:val="0"/>
          <w:sz w:val="20"/>
          <w:szCs w:val="20"/>
          <w:highlight w:val="none"/>
        </w:rPr>
      </w:pPr>
    </w:p>
    <w:p w14:paraId="40D96E47">
      <w:pPr>
        <w:autoSpaceDE w:val="0"/>
        <w:autoSpaceDN w:val="0"/>
        <w:adjustRightInd w:val="0"/>
        <w:snapToGrid w:val="0"/>
        <w:spacing w:line="360" w:lineRule="auto"/>
        <w:jc w:val="left"/>
        <w:rPr>
          <w:rFonts w:ascii="宋体" w:hAnsi="宋体"/>
          <w:b/>
          <w:color w:val="auto"/>
          <w:kern w:val="0"/>
          <w:sz w:val="20"/>
          <w:szCs w:val="20"/>
          <w:highlight w:val="none"/>
        </w:rPr>
      </w:pPr>
    </w:p>
    <w:p w14:paraId="2B90DB4B">
      <w:pPr>
        <w:autoSpaceDE w:val="0"/>
        <w:autoSpaceDN w:val="0"/>
        <w:adjustRightInd w:val="0"/>
        <w:snapToGrid w:val="0"/>
        <w:spacing w:line="360" w:lineRule="auto"/>
        <w:jc w:val="left"/>
        <w:rPr>
          <w:rFonts w:ascii="宋体" w:hAnsi="宋体"/>
          <w:b/>
          <w:color w:val="auto"/>
          <w:kern w:val="0"/>
          <w:sz w:val="20"/>
          <w:szCs w:val="20"/>
          <w:highlight w:val="none"/>
        </w:rPr>
      </w:pPr>
    </w:p>
    <w:p w14:paraId="392B9947">
      <w:pPr>
        <w:autoSpaceDE w:val="0"/>
        <w:autoSpaceDN w:val="0"/>
        <w:adjustRightInd w:val="0"/>
        <w:snapToGrid w:val="0"/>
        <w:spacing w:line="360" w:lineRule="auto"/>
        <w:jc w:val="left"/>
        <w:rPr>
          <w:rFonts w:ascii="宋体" w:hAnsi="宋体"/>
          <w:b/>
          <w:color w:val="auto"/>
          <w:kern w:val="0"/>
          <w:sz w:val="20"/>
          <w:szCs w:val="20"/>
          <w:highlight w:val="none"/>
        </w:rPr>
      </w:pPr>
    </w:p>
    <w:p w14:paraId="1B729864">
      <w:pPr>
        <w:autoSpaceDE w:val="0"/>
        <w:autoSpaceDN w:val="0"/>
        <w:adjustRightInd w:val="0"/>
        <w:snapToGrid w:val="0"/>
        <w:spacing w:line="360" w:lineRule="auto"/>
        <w:jc w:val="left"/>
        <w:rPr>
          <w:rFonts w:ascii="宋体" w:hAnsi="宋体"/>
          <w:b/>
          <w:color w:val="auto"/>
          <w:kern w:val="0"/>
          <w:sz w:val="20"/>
          <w:szCs w:val="20"/>
          <w:highlight w:val="none"/>
        </w:rPr>
      </w:pPr>
    </w:p>
    <w:p w14:paraId="7997D3D0">
      <w:pPr>
        <w:autoSpaceDE w:val="0"/>
        <w:autoSpaceDN w:val="0"/>
        <w:adjustRightInd w:val="0"/>
        <w:snapToGrid w:val="0"/>
        <w:spacing w:line="360" w:lineRule="auto"/>
        <w:jc w:val="left"/>
        <w:rPr>
          <w:rFonts w:ascii="宋体" w:hAnsi="宋体"/>
          <w:b/>
          <w:color w:val="auto"/>
          <w:kern w:val="0"/>
          <w:sz w:val="20"/>
          <w:szCs w:val="20"/>
          <w:highlight w:val="none"/>
        </w:rPr>
      </w:pPr>
    </w:p>
    <w:p w14:paraId="600E8646">
      <w:pPr>
        <w:autoSpaceDE w:val="0"/>
        <w:autoSpaceDN w:val="0"/>
        <w:adjustRightInd w:val="0"/>
        <w:snapToGrid w:val="0"/>
        <w:spacing w:line="360" w:lineRule="auto"/>
        <w:jc w:val="left"/>
        <w:rPr>
          <w:rFonts w:ascii="宋体" w:hAnsi="宋体"/>
          <w:b/>
          <w:color w:val="auto"/>
          <w:kern w:val="0"/>
          <w:sz w:val="20"/>
          <w:szCs w:val="20"/>
          <w:highlight w:val="none"/>
        </w:rPr>
      </w:pPr>
    </w:p>
    <w:p w14:paraId="506E120A">
      <w:pPr>
        <w:autoSpaceDE w:val="0"/>
        <w:autoSpaceDN w:val="0"/>
        <w:adjustRightInd w:val="0"/>
        <w:snapToGrid w:val="0"/>
        <w:spacing w:line="360" w:lineRule="auto"/>
        <w:jc w:val="left"/>
        <w:rPr>
          <w:rFonts w:ascii="宋体" w:hAnsi="宋体"/>
          <w:b/>
          <w:color w:val="auto"/>
          <w:kern w:val="0"/>
          <w:sz w:val="20"/>
          <w:szCs w:val="20"/>
          <w:highlight w:val="none"/>
        </w:rPr>
      </w:pPr>
    </w:p>
    <w:p w14:paraId="6B39D56F">
      <w:pPr>
        <w:autoSpaceDE w:val="0"/>
        <w:autoSpaceDN w:val="0"/>
        <w:adjustRightInd w:val="0"/>
        <w:snapToGrid w:val="0"/>
        <w:spacing w:line="360" w:lineRule="auto"/>
        <w:jc w:val="left"/>
        <w:rPr>
          <w:rFonts w:ascii="宋体" w:hAnsi="宋体"/>
          <w:b/>
          <w:color w:val="auto"/>
          <w:kern w:val="0"/>
          <w:sz w:val="20"/>
          <w:szCs w:val="20"/>
          <w:highlight w:val="none"/>
        </w:rPr>
      </w:pPr>
    </w:p>
    <w:p w14:paraId="6357B222">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0ED96DDF">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1D151B72">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kern w:val="0"/>
          <w:sz w:val="24"/>
          <w:szCs w:val="21"/>
          <w:highlight w:val="none"/>
        </w:rPr>
        <w:br w:type="page"/>
      </w:r>
    </w:p>
    <w:p w14:paraId="2BDDAC69">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060E1F8E">
      <w:pPr>
        <w:autoSpaceDE w:val="0"/>
        <w:autoSpaceDN w:val="0"/>
        <w:adjustRightInd w:val="0"/>
        <w:snapToGrid w:val="0"/>
        <w:spacing w:line="360" w:lineRule="auto"/>
        <w:jc w:val="left"/>
        <w:rPr>
          <w:rFonts w:ascii="宋体" w:hAnsi="宋体"/>
          <w:color w:val="auto"/>
          <w:kern w:val="0"/>
          <w:sz w:val="24"/>
          <w:szCs w:val="21"/>
          <w:highlight w:val="none"/>
        </w:rPr>
      </w:pPr>
    </w:p>
    <w:p w14:paraId="0B40694E">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14:paraId="07AED4FB">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14:paraId="5F87E60D">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w:t>
      </w:r>
      <w:r>
        <w:rPr>
          <w:rFonts w:hint="eastAsia" w:ascii="宋体" w:hAnsi="宋体"/>
          <w:color w:val="auto"/>
          <w:kern w:val="0"/>
          <w:sz w:val="24"/>
          <w:highlight w:val="none"/>
        </w:rPr>
        <w:t>法定代表人身份证明或附有法定代表人身份证明的授权委托书</w:t>
      </w:r>
    </w:p>
    <w:p w14:paraId="4EB82ACB">
      <w:pPr>
        <w:autoSpaceDE w:val="0"/>
        <w:autoSpaceDN w:val="0"/>
        <w:adjustRightInd w:val="0"/>
        <w:snapToGrid w:val="0"/>
        <w:spacing w:line="360" w:lineRule="auto"/>
        <w:jc w:val="left"/>
        <w:rPr>
          <w:rFonts w:ascii="宋体" w:hAnsi="宋体"/>
          <w:color w:val="auto"/>
          <w:w w:val="99"/>
          <w:kern w:val="0"/>
          <w:sz w:val="28"/>
          <w:szCs w:val="28"/>
          <w:highlight w:val="none"/>
        </w:rPr>
      </w:pPr>
    </w:p>
    <w:p w14:paraId="3B1BF3AE">
      <w:pPr>
        <w:pStyle w:val="5"/>
        <w:jc w:val="center"/>
        <w:rPr>
          <w:rFonts w:ascii="宋体" w:hAnsi="宋体"/>
          <w:b w:val="0"/>
          <w:color w:val="auto"/>
          <w:highlight w:val="none"/>
        </w:rPr>
      </w:pPr>
      <w:bookmarkStart w:id="2199" w:name="_Toc224103495"/>
      <w:bookmarkStart w:id="2200" w:name="_Toc534185831"/>
      <w:bookmarkStart w:id="2201" w:name="_Toc277082643"/>
      <w:bookmarkStart w:id="2202" w:name="_Toc509218854"/>
      <w:bookmarkStart w:id="2203" w:name="_Toc287607867"/>
      <w:bookmarkStart w:id="2204" w:name="_Toc287620814"/>
      <w:bookmarkStart w:id="2205" w:name="_Toc430530530"/>
      <w:r>
        <w:rPr>
          <w:rFonts w:ascii="宋体" w:hAnsi="宋体"/>
          <w:color w:val="auto"/>
          <w:highlight w:val="none"/>
        </w:rPr>
        <w:br w:type="page"/>
      </w:r>
      <w:bookmarkStart w:id="2206" w:name="_Toc9523"/>
      <w:bookmarkStart w:id="2207" w:name="_Toc26071"/>
      <w:r>
        <w:rPr>
          <w:rFonts w:hint="eastAsia"/>
          <w:color w:val="auto"/>
          <w:highlight w:val="none"/>
        </w:rPr>
        <w:t>（一）投标函</w:t>
      </w:r>
      <w:bookmarkEnd w:id="2199"/>
      <w:bookmarkEnd w:id="2200"/>
      <w:bookmarkEnd w:id="2201"/>
      <w:bookmarkEnd w:id="2202"/>
      <w:bookmarkEnd w:id="2203"/>
      <w:bookmarkEnd w:id="2204"/>
      <w:bookmarkEnd w:id="2205"/>
      <w:bookmarkEnd w:id="2206"/>
      <w:bookmarkEnd w:id="2207"/>
    </w:p>
    <w:p w14:paraId="1800DF2D">
      <w:pPr>
        <w:tabs>
          <w:tab w:val="left" w:pos="2640"/>
        </w:tabs>
        <w:autoSpaceDE w:val="0"/>
        <w:autoSpaceDN w:val="0"/>
        <w:adjustRightInd w:val="0"/>
        <w:spacing w:line="400" w:lineRule="exact"/>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w:t>
      </w:r>
      <w:r>
        <w:rPr>
          <w:rFonts w:hint="eastAsia" w:ascii="宋体" w:hAnsi="宋体"/>
          <w:snapToGrid w:val="0"/>
          <w:color w:val="auto"/>
          <w:kern w:val="0"/>
          <w:szCs w:val="21"/>
          <w:highlight w:val="none"/>
          <w:u w:val="single"/>
          <w:lang w:eastAsia="zh-CN"/>
        </w:rPr>
        <w:t>比选</w:t>
      </w:r>
      <w:r>
        <w:rPr>
          <w:rFonts w:ascii="宋体" w:hAnsi="宋体"/>
          <w:snapToGrid w:val="0"/>
          <w:color w:val="auto"/>
          <w:kern w:val="0"/>
          <w:szCs w:val="21"/>
          <w:highlight w:val="none"/>
          <w:u w:val="single"/>
        </w:rPr>
        <w:t>人名称）</w:t>
      </w:r>
      <w:r>
        <w:rPr>
          <w:rFonts w:ascii="宋体" w:hAnsi="宋体"/>
          <w:snapToGrid w:val="0"/>
          <w:color w:val="auto"/>
          <w:kern w:val="0"/>
          <w:szCs w:val="21"/>
          <w:highlight w:val="none"/>
        </w:rPr>
        <w:t>：</w:t>
      </w:r>
    </w:p>
    <w:p w14:paraId="2713B8BB">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我方已仔细研究了</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文件的全部内容，愿意以人民币（大写）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）的投标总报价进行报价，其中</w:t>
      </w:r>
      <w:r>
        <w:rPr>
          <w:rFonts w:ascii="宋体" w:hAnsi="宋体"/>
          <w:snapToGrid w:val="0"/>
          <w:color w:val="auto"/>
          <w:kern w:val="0"/>
          <w:highlight w:val="none"/>
        </w:rPr>
        <w:t>安全文明施工费暂定金额为人民币</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元</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rPr>
        <w:t>缺陷责任期</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按合同约定实施和完成承包工程，修补工程中的任何缺陷，工程质量达到</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 xml:space="preserve"> 。</w:t>
      </w:r>
    </w:p>
    <w:p w14:paraId="37918C83">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我方承诺在投标有效期内不修改、撤销投标文件。</w:t>
      </w:r>
    </w:p>
    <w:p w14:paraId="1EB469D6">
      <w:pPr>
        <w:tabs>
          <w:tab w:val="left" w:pos="2730"/>
          <w:tab w:val="left" w:pos="7980"/>
        </w:tabs>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）。投标保证金</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与投标</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一致，在此期间，若我方违反招投标有关法律、法规及本</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文件的相关规定，投标保证金的受益人为</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人。</w:t>
      </w:r>
    </w:p>
    <w:p w14:paraId="26A1D882">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14:paraId="7C0E72AF">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14:paraId="67B372C2">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14:paraId="6A1B1859">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文件规定向你方递交履约担保。</w:t>
      </w:r>
    </w:p>
    <w:p w14:paraId="77735B28">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（4）我方承诺在合同约定的期限内完成并移交全部合同工程。</w:t>
      </w:r>
    </w:p>
    <w:p w14:paraId="234A0FD5">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项规定的任何一种情形。同时我方承诺接受</w:t>
      </w:r>
      <w:r>
        <w:rPr>
          <w:rFonts w:hint="eastAsia" w:ascii="宋体" w:hAnsi="宋体"/>
          <w:snapToGrid w:val="0"/>
          <w:color w:val="auto"/>
          <w:kern w:val="0"/>
          <w:szCs w:val="21"/>
          <w:highlight w:val="none"/>
          <w:lang w:eastAsia="zh-CN"/>
        </w:rPr>
        <w:t>比选</w:t>
      </w:r>
      <w:r>
        <w:rPr>
          <w:rFonts w:ascii="宋体" w:hAnsi="宋体"/>
          <w:snapToGrid w:val="0"/>
          <w:color w:val="auto"/>
          <w:kern w:val="0"/>
          <w:szCs w:val="21"/>
          <w:highlight w:val="none"/>
        </w:rPr>
        <w:t>文件及附件、澄清及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14:paraId="6C22AD99">
      <w:pPr>
        <w:tabs>
          <w:tab w:val="left" w:pos="5985"/>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（其他补充说明）</w:t>
      </w:r>
      <w:r>
        <w:rPr>
          <w:rFonts w:ascii="宋体" w:hAnsi="宋体"/>
          <w:snapToGrid w:val="0"/>
          <w:color w:val="auto"/>
          <w:kern w:val="0"/>
          <w:szCs w:val="21"/>
          <w:highlight w:val="none"/>
        </w:rPr>
        <w:t>。</w:t>
      </w:r>
    </w:p>
    <w:p w14:paraId="1B249229">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46F83945">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p>
    <w:p w14:paraId="6AE65426">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DCFF04D">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6DE1E6A3">
      <w:pPr>
        <w:tabs>
          <w:tab w:val="left" w:pos="8300"/>
        </w:tabs>
        <w:autoSpaceDE w:val="0"/>
        <w:autoSpaceDN w:val="0"/>
        <w:adjustRightInd w:val="0"/>
        <w:spacing w:line="400" w:lineRule="exact"/>
        <w:ind w:firstLine="420" w:firstLineChars="200"/>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FC08823">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EA9DF18">
      <w:pPr>
        <w:tabs>
          <w:tab w:val="left" w:pos="8300"/>
        </w:tabs>
        <w:autoSpaceDE w:val="0"/>
        <w:autoSpaceDN w:val="0"/>
        <w:adjustRightInd w:val="0"/>
        <w:spacing w:line="400" w:lineRule="exact"/>
        <w:ind w:firstLine="420" w:firstLineChars="200"/>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62217954">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highlight w:val="none"/>
        </w:rPr>
      </w:pPr>
    </w:p>
    <w:p w14:paraId="58541BFD">
      <w:pPr>
        <w:tabs>
          <w:tab w:val="left" w:pos="8300"/>
        </w:tabs>
        <w:autoSpaceDE w:val="0"/>
        <w:autoSpaceDN w:val="0"/>
        <w:adjustRightInd w:val="0"/>
        <w:spacing w:line="400" w:lineRule="exact"/>
        <w:ind w:firstLine="420" w:firstLineChars="200"/>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5228F9DD">
      <w:pPr>
        <w:tabs>
          <w:tab w:val="left" w:pos="8300"/>
        </w:tabs>
        <w:autoSpaceDE w:val="0"/>
        <w:autoSpaceDN w:val="0"/>
        <w:adjustRightInd w:val="0"/>
        <w:spacing w:line="400" w:lineRule="exact"/>
        <w:ind w:firstLine="420" w:firstLineChars="200"/>
        <w:jc w:val="right"/>
        <w:rPr>
          <w:rFonts w:hint="eastAsia" w:ascii="宋体" w:hAnsi="宋体"/>
          <w:color w:val="auto"/>
          <w:kern w:val="0"/>
          <w:szCs w:val="21"/>
          <w:highlight w:val="none"/>
        </w:rPr>
      </w:pPr>
    </w:p>
    <w:p w14:paraId="0AE20241">
      <w:pPr>
        <w:tabs>
          <w:tab w:val="left" w:pos="8300"/>
        </w:tabs>
        <w:autoSpaceDE w:val="0"/>
        <w:autoSpaceDN w:val="0"/>
        <w:adjustRightInd w:val="0"/>
        <w:spacing w:line="40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注：联合体投标的，应在本投标函第6条中列明联合体全体成员的单位全称；要求加盖单位法人章的地方由联合体牵头人加盖单位法人印章即可。</w:t>
      </w:r>
    </w:p>
    <w:p w14:paraId="026908F6">
      <w:pPr>
        <w:tabs>
          <w:tab w:val="left" w:pos="8300"/>
        </w:tabs>
        <w:autoSpaceDE w:val="0"/>
        <w:autoSpaceDN w:val="0"/>
        <w:adjustRightInd w:val="0"/>
        <w:spacing w:line="400" w:lineRule="exact"/>
        <w:ind w:firstLine="400" w:firstLineChars="200"/>
        <w:jc w:val="right"/>
        <w:rPr>
          <w:rFonts w:ascii="宋体" w:hAnsi="宋体"/>
          <w:snapToGrid w:val="0"/>
          <w:color w:val="auto"/>
          <w:kern w:val="0"/>
          <w:sz w:val="20"/>
          <w:szCs w:val="20"/>
          <w:highlight w:val="none"/>
        </w:rPr>
      </w:pPr>
    </w:p>
    <w:p w14:paraId="14332B8D">
      <w:pPr>
        <w:pStyle w:val="5"/>
        <w:jc w:val="center"/>
        <w:rPr>
          <w:rFonts w:ascii="宋体" w:hAnsi="宋体"/>
          <w:snapToGrid w:val="0"/>
          <w:color w:val="auto"/>
          <w:kern w:val="0"/>
          <w:szCs w:val="21"/>
          <w:highlight w:val="none"/>
        </w:rPr>
      </w:pPr>
      <w:bookmarkStart w:id="2208" w:name="_Toc277082644"/>
      <w:bookmarkStart w:id="2209" w:name="_Toc224103496"/>
      <w:bookmarkStart w:id="2210" w:name="_Toc287620815"/>
      <w:bookmarkStart w:id="2211" w:name="_Toc430530531"/>
      <w:bookmarkStart w:id="2212" w:name="_Toc287607868"/>
      <w:r>
        <w:rPr>
          <w:rFonts w:ascii="宋体" w:hAnsi="宋体"/>
          <w:color w:val="auto"/>
          <w:sz w:val="28"/>
          <w:highlight w:val="none"/>
        </w:rPr>
        <w:br w:type="page"/>
      </w:r>
      <w:bookmarkStart w:id="2213" w:name="_Toc25190"/>
      <w:bookmarkStart w:id="2214" w:name="_Toc509218855"/>
      <w:bookmarkStart w:id="2215" w:name="_Toc534185832"/>
      <w:bookmarkStart w:id="2216" w:name="_Toc30967"/>
      <w:r>
        <w:rPr>
          <w:color w:val="auto"/>
          <w:highlight w:val="none"/>
        </w:rPr>
        <w:t>（二）投标函附录</w:t>
      </w:r>
      <w:bookmarkEnd w:id="2208"/>
      <w:bookmarkEnd w:id="2209"/>
      <w:bookmarkEnd w:id="2210"/>
      <w:bookmarkEnd w:id="2211"/>
      <w:bookmarkEnd w:id="2212"/>
      <w:bookmarkEnd w:id="2213"/>
      <w:bookmarkEnd w:id="2214"/>
      <w:bookmarkEnd w:id="2215"/>
      <w:bookmarkEnd w:id="2216"/>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3BA14E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108893F7">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582" w:type="dxa"/>
            <w:noWrap w:val="0"/>
            <w:vAlign w:val="center"/>
          </w:tcPr>
          <w:p w14:paraId="741739B9">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条款名称</w:t>
            </w:r>
          </w:p>
        </w:tc>
        <w:tc>
          <w:tcPr>
            <w:tcW w:w="2388" w:type="dxa"/>
            <w:noWrap w:val="0"/>
            <w:vAlign w:val="center"/>
          </w:tcPr>
          <w:p w14:paraId="7D23190F">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合同条款号</w:t>
            </w:r>
          </w:p>
        </w:tc>
        <w:tc>
          <w:tcPr>
            <w:tcW w:w="2987" w:type="dxa"/>
            <w:noWrap w:val="0"/>
            <w:vAlign w:val="center"/>
          </w:tcPr>
          <w:p w14:paraId="202AD554">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约定内容</w:t>
            </w:r>
          </w:p>
        </w:tc>
        <w:tc>
          <w:tcPr>
            <w:tcW w:w="792" w:type="dxa"/>
            <w:noWrap w:val="0"/>
            <w:vAlign w:val="center"/>
          </w:tcPr>
          <w:p w14:paraId="1FC47295">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r>
      <w:tr w14:paraId="6FD416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67C88D7B">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w:t>
            </w:r>
          </w:p>
        </w:tc>
        <w:tc>
          <w:tcPr>
            <w:tcW w:w="2582" w:type="dxa"/>
            <w:noWrap w:val="0"/>
            <w:vAlign w:val="center"/>
          </w:tcPr>
          <w:p w14:paraId="4F7F91FA">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2388" w:type="dxa"/>
            <w:noWrap w:val="0"/>
            <w:vAlign w:val="center"/>
          </w:tcPr>
          <w:p w14:paraId="47EC0801">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1.1.2.8</w:t>
            </w:r>
          </w:p>
        </w:tc>
        <w:tc>
          <w:tcPr>
            <w:tcW w:w="2987" w:type="dxa"/>
            <w:noWrap w:val="0"/>
            <w:vAlign w:val="center"/>
          </w:tcPr>
          <w:p w14:paraId="2044A972">
            <w:pPr>
              <w:tabs>
                <w:tab w:val="left" w:pos="2190"/>
              </w:tabs>
              <w:autoSpaceDE w:val="0"/>
              <w:autoSpaceDN w:val="0"/>
              <w:adjustRightInd w:val="0"/>
              <w:ind w:firstLine="630" w:firstLineChars="30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姓名：</w:t>
            </w:r>
            <w:r>
              <w:rPr>
                <w:rFonts w:hint="eastAsia" w:ascii="宋体" w:hAnsi="宋体"/>
                <w:snapToGrid w:val="0"/>
                <w:color w:val="auto"/>
                <w:kern w:val="0"/>
                <w:szCs w:val="21"/>
                <w:highlight w:val="none"/>
                <w:u w:val="single"/>
              </w:rPr>
              <w:t xml:space="preserve">        </w:t>
            </w:r>
          </w:p>
        </w:tc>
        <w:tc>
          <w:tcPr>
            <w:tcW w:w="792" w:type="dxa"/>
            <w:noWrap w:val="0"/>
            <w:vAlign w:val="center"/>
          </w:tcPr>
          <w:p w14:paraId="1B0BC96E">
            <w:pPr>
              <w:autoSpaceDE w:val="0"/>
              <w:autoSpaceDN w:val="0"/>
              <w:adjustRightInd w:val="0"/>
              <w:jc w:val="center"/>
              <w:rPr>
                <w:rFonts w:ascii="宋体" w:hAnsi="宋体"/>
                <w:snapToGrid w:val="0"/>
                <w:color w:val="auto"/>
                <w:kern w:val="0"/>
                <w:szCs w:val="21"/>
                <w:highlight w:val="none"/>
              </w:rPr>
            </w:pPr>
          </w:p>
        </w:tc>
      </w:tr>
      <w:tr w14:paraId="45F96B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39588A8F">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2</w:t>
            </w:r>
          </w:p>
        </w:tc>
        <w:tc>
          <w:tcPr>
            <w:tcW w:w="2582" w:type="dxa"/>
            <w:noWrap w:val="0"/>
            <w:vAlign w:val="center"/>
          </w:tcPr>
          <w:p w14:paraId="742E45E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2388" w:type="dxa"/>
            <w:noWrap w:val="0"/>
            <w:vAlign w:val="center"/>
          </w:tcPr>
          <w:p w14:paraId="4F4F74F2">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1.1.4.3</w:t>
            </w:r>
          </w:p>
        </w:tc>
        <w:tc>
          <w:tcPr>
            <w:tcW w:w="2987" w:type="dxa"/>
            <w:noWrap w:val="0"/>
            <w:vAlign w:val="center"/>
          </w:tcPr>
          <w:p w14:paraId="722C822B">
            <w:pPr>
              <w:tabs>
                <w:tab w:val="left" w:pos="1560"/>
              </w:tabs>
              <w:autoSpaceDE w:val="0"/>
              <w:autoSpaceDN w:val="0"/>
              <w:adjustRightInd w:val="0"/>
              <w:ind w:firstLine="630" w:firstLineChars="300"/>
              <w:rPr>
                <w:rFonts w:hint="eastAsia" w:ascii="宋体" w:hAnsi="宋体"/>
                <w:snapToGrid w:val="0"/>
                <w:color w:val="auto"/>
                <w:kern w:val="0"/>
                <w:szCs w:val="21"/>
                <w:highlight w:val="none"/>
              </w:rPr>
            </w:pPr>
            <w:r>
              <w:rPr>
                <w:rFonts w:ascii="宋体" w:hAnsi="宋体"/>
                <w:snapToGrid w:val="0"/>
                <w:color w:val="auto"/>
                <w:kern w:val="0"/>
                <w:szCs w:val="21"/>
                <w:highlight w:val="none"/>
              </w:rPr>
              <w:t>天数：</w:t>
            </w:r>
            <w:r>
              <w:rPr>
                <w:rFonts w:hint="eastAsia" w:ascii="宋体" w:hAnsi="宋体"/>
                <w:snapToGrid w:val="0"/>
                <w:color w:val="auto"/>
                <w:kern w:val="0"/>
                <w:szCs w:val="21"/>
                <w:highlight w:val="none"/>
                <w:u w:val="single"/>
              </w:rPr>
              <w:t xml:space="preserve">        </w:t>
            </w:r>
          </w:p>
        </w:tc>
        <w:tc>
          <w:tcPr>
            <w:tcW w:w="792" w:type="dxa"/>
            <w:noWrap w:val="0"/>
            <w:vAlign w:val="center"/>
          </w:tcPr>
          <w:p w14:paraId="5116A033">
            <w:pPr>
              <w:autoSpaceDE w:val="0"/>
              <w:autoSpaceDN w:val="0"/>
              <w:adjustRightInd w:val="0"/>
              <w:jc w:val="center"/>
              <w:rPr>
                <w:rFonts w:ascii="宋体" w:hAnsi="宋体"/>
                <w:snapToGrid w:val="0"/>
                <w:color w:val="auto"/>
                <w:kern w:val="0"/>
                <w:szCs w:val="21"/>
                <w:highlight w:val="none"/>
              </w:rPr>
            </w:pPr>
          </w:p>
        </w:tc>
      </w:tr>
      <w:tr w14:paraId="1DA6E4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52550AE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w:t>
            </w:r>
          </w:p>
        </w:tc>
        <w:tc>
          <w:tcPr>
            <w:tcW w:w="2582" w:type="dxa"/>
            <w:noWrap w:val="0"/>
            <w:vAlign w:val="center"/>
          </w:tcPr>
          <w:p w14:paraId="666D958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缺陷责任期</w:t>
            </w:r>
          </w:p>
        </w:tc>
        <w:tc>
          <w:tcPr>
            <w:tcW w:w="2388" w:type="dxa"/>
            <w:noWrap w:val="0"/>
            <w:vAlign w:val="center"/>
          </w:tcPr>
          <w:p w14:paraId="57ED9265">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1.1.4.4</w:t>
            </w:r>
          </w:p>
        </w:tc>
        <w:tc>
          <w:tcPr>
            <w:tcW w:w="2987" w:type="dxa"/>
            <w:noWrap w:val="0"/>
            <w:vAlign w:val="center"/>
          </w:tcPr>
          <w:p w14:paraId="3B99FB1B">
            <w:pPr>
              <w:autoSpaceDE w:val="0"/>
              <w:autoSpaceDN w:val="0"/>
              <w:adjustRightInd w:val="0"/>
              <w:jc w:val="center"/>
              <w:rPr>
                <w:rFonts w:ascii="宋体" w:hAnsi="宋体"/>
                <w:snapToGrid w:val="0"/>
                <w:color w:val="auto"/>
                <w:kern w:val="0"/>
                <w:szCs w:val="21"/>
                <w:highlight w:val="none"/>
              </w:rPr>
            </w:pPr>
          </w:p>
        </w:tc>
        <w:tc>
          <w:tcPr>
            <w:tcW w:w="792" w:type="dxa"/>
            <w:noWrap w:val="0"/>
            <w:vAlign w:val="center"/>
          </w:tcPr>
          <w:p w14:paraId="232379F6">
            <w:pPr>
              <w:autoSpaceDE w:val="0"/>
              <w:autoSpaceDN w:val="0"/>
              <w:adjustRightInd w:val="0"/>
              <w:jc w:val="center"/>
              <w:rPr>
                <w:rFonts w:ascii="宋体" w:hAnsi="宋体"/>
                <w:snapToGrid w:val="0"/>
                <w:color w:val="auto"/>
                <w:kern w:val="0"/>
                <w:szCs w:val="21"/>
                <w:highlight w:val="none"/>
              </w:rPr>
            </w:pPr>
          </w:p>
        </w:tc>
      </w:tr>
      <w:tr w14:paraId="300D56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2E7973C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4</w:t>
            </w:r>
          </w:p>
        </w:tc>
        <w:tc>
          <w:tcPr>
            <w:tcW w:w="2582" w:type="dxa"/>
            <w:noWrap w:val="0"/>
            <w:vAlign w:val="center"/>
          </w:tcPr>
          <w:p w14:paraId="2C08DD5C">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分包</w:t>
            </w:r>
          </w:p>
        </w:tc>
        <w:tc>
          <w:tcPr>
            <w:tcW w:w="2388" w:type="dxa"/>
            <w:noWrap w:val="0"/>
            <w:vAlign w:val="center"/>
          </w:tcPr>
          <w:p w14:paraId="4BBDE6D4">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3.5</w:t>
            </w:r>
          </w:p>
        </w:tc>
        <w:tc>
          <w:tcPr>
            <w:tcW w:w="2987" w:type="dxa"/>
            <w:noWrap w:val="0"/>
            <w:vAlign w:val="center"/>
          </w:tcPr>
          <w:p w14:paraId="6D029352">
            <w:pPr>
              <w:autoSpaceDE w:val="0"/>
              <w:autoSpaceDN w:val="0"/>
              <w:adjustRightInd w:val="0"/>
              <w:jc w:val="center"/>
              <w:rPr>
                <w:rFonts w:ascii="宋体" w:hAnsi="宋体"/>
                <w:snapToGrid w:val="0"/>
                <w:color w:val="auto"/>
                <w:kern w:val="0"/>
                <w:szCs w:val="21"/>
                <w:highlight w:val="none"/>
              </w:rPr>
            </w:pPr>
          </w:p>
        </w:tc>
        <w:tc>
          <w:tcPr>
            <w:tcW w:w="792" w:type="dxa"/>
            <w:noWrap w:val="0"/>
            <w:vAlign w:val="center"/>
          </w:tcPr>
          <w:p w14:paraId="546AEC0A">
            <w:pPr>
              <w:autoSpaceDE w:val="0"/>
              <w:autoSpaceDN w:val="0"/>
              <w:adjustRightInd w:val="0"/>
              <w:jc w:val="center"/>
              <w:rPr>
                <w:rFonts w:ascii="宋体" w:hAnsi="宋体"/>
                <w:snapToGrid w:val="0"/>
                <w:color w:val="auto"/>
                <w:kern w:val="0"/>
                <w:szCs w:val="21"/>
                <w:highlight w:val="none"/>
              </w:rPr>
            </w:pPr>
          </w:p>
        </w:tc>
      </w:tr>
      <w:tr w14:paraId="4E8E6A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78554A73">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7B2A7714">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707E954D">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2123A0C6">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00339036">
            <w:pPr>
              <w:autoSpaceDE w:val="0"/>
              <w:autoSpaceDN w:val="0"/>
              <w:adjustRightInd w:val="0"/>
              <w:jc w:val="center"/>
              <w:rPr>
                <w:rFonts w:ascii="宋体" w:hAnsi="宋体"/>
                <w:snapToGrid w:val="0"/>
                <w:color w:val="auto"/>
                <w:kern w:val="0"/>
                <w:szCs w:val="21"/>
                <w:highlight w:val="none"/>
              </w:rPr>
            </w:pPr>
          </w:p>
        </w:tc>
      </w:tr>
      <w:tr w14:paraId="6DF480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noWrap w:val="0"/>
            <w:vAlign w:val="center"/>
          </w:tcPr>
          <w:p w14:paraId="6CF594B2">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noWrap w:val="0"/>
            <w:vAlign w:val="center"/>
          </w:tcPr>
          <w:p w14:paraId="55689B68">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noWrap w:val="0"/>
            <w:vAlign w:val="center"/>
          </w:tcPr>
          <w:p w14:paraId="452E62E8">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noWrap w:val="0"/>
            <w:vAlign w:val="center"/>
          </w:tcPr>
          <w:p w14:paraId="2D07C6F7">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noWrap w:val="0"/>
            <w:vAlign w:val="center"/>
          </w:tcPr>
          <w:p w14:paraId="50AEE2CB">
            <w:pPr>
              <w:autoSpaceDE w:val="0"/>
              <w:autoSpaceDN w:val="0"/>
              <w:adjustRightInd w:val="0"/>
              <w:jc w:val="center"/>
              <w:rPr>
                <w:rFonts w:ascii="宋体" w:hAnsi="宋体"/>
                <w:snapToGrid w:val="0"/>
                <w:color w:val="auto"/>
                <w:kern w:val="0"/>
                <w:szCs w:val="21"/>
                <w:highlight w:val="none"/>
              </w:rPr>
            </w:pPr>
          </w:p>
        </w:tc>
      </w:tr>
    </w:tbl>
    <w:p w14:paraId="49B318C4">
      <w:pPr>
        <w:spacing w:line="360" w:lineRule="auto"/>
        <w:rPr>
          <w:rFonts w:ascii="宋体" w:hAnsi="宋体"/>
          <w:snapToGrid w:val="0"/>
          <w:color w:val="auto"/>
          <w:w w:val="99"/>
          <w:highlight w:val="none"/>
        </w:rPr>
      </w:pPr>
    </w:p>
    <w:p w14:paraId="07824F97">
      <w:pPr>
        <w:spacing w:line="360" w:lineRule="auto"/>
        <w:rPr>
          <w:rFonts w:ascii="宋体" w:hAnsi="宋体"/>
          <w:snapToGrid w:val="0"/>
          <w:color w:val="auto"/>
          <w:highlight w:val="none"/>
        </w:rPr>
      </w:pPr>
    </w:p>
    <w:p w14:paraId="021D63B0">
      <w:pPr>
        <w:tabs>
          <w:tab w:val="left" w:pos="7140"/>
          <w:tab w:val="left" w:pos="7560"/>
          <w:tab w:val="left" w:pos="8300"/>
        </w:tabs>
        <w:autoSpaceDE w:val="0"/>
        <w:autoSpaceDN w:val="0"/>
        <w:adjustRightInd w:val="0"/>
        <w:spacing w:line="360" w:lineRule="auto"/>
        <w:ind w:right="210" w:firstLine="2396" w:firstLineChars="1141"/>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58630340">
      <w:pPr>
        <w:tabs>
          <w:tab w:val="left" w:pos="7140"/>
          <w:tab w:val="left" w:pos="7560"/>
          <w:tab w:val="left" w:pos="8300"/>
        </w:tabs>
        <w:autoSpaceDE w:val="0"/>
        <w:autoSpaceDN w:val="0"/>
        <w:adjustRightInd w:val="0"/>
        <w:spacing w:line="360" w:lineRule="auto"/>
        <w:ind w:right="210" w:firstLine="1984" w:firstLineChars="945"/>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 xml:space="preserve">   </w:t>
      </w:r>
    </w:p>
    <w:p w14:paraId="2AD4CD17">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（签字或盖章） </w:t>
      </w:r>
    </w:p>
    <w:p w14:paraId="2925D2CE">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highlight w:val="none"/>
        </w:rPr>
      </w:pPr>
    </w:p>
    <w:p w14:paraId="284969B4">
      <w:pPr>
        <w:pStyle w:val="5"/>
        <w:jc w:val="center"/>
        <w:rPr>
          <w:rFonts w:ascii="宋体" w:hAnsi="宋体"/>
          <w:b w:val="0"/>
          <w:snapToGrid w:val="0"/>
          <w:color w:val="auto"/>
          <w:kern w:val="0"/>
          <w:sz w:val="30"/>
          <w:szCs w:val="30"/>
          <w:highlight w:val="none"/>
        </w:rPr>
      </w:pPr>
      <w:r>
        <w:rPr>
          <w:rFonts w:ascii="宋体" w:hAnsi="宋体"/>
          <w:snapToGrid w:val="0"/>
          <w:color w:val="auto"/>
          <w:highlight w:val="none"/>
        </w:rPr>
        <w:br w:type="page"/>
      </w:r>
      <w:bookmarkStart w:id="2217" w:name="_Toc430530532"/>
      <w:bookmarkStart w:id="2218" w:name="_Toc287607869"/>
      <w:bookmarkStart w:id="2219" w:name="_Toc26425"/>
      <w:bookmarkStart w:id="2220" w:name="_Toc8650"/>
      <w:bookmarkStart w:id="2221" w:name="_Toc224103497"/>
      <w:bookmarkStart w:id="2222" w:name="_Toc277082645"/>
      <w:bookmarkStart w:id="2223" w:name="_Toc287620816"/>
      <w:r>
        <w:rPr>
          <w:color w:val="auto"/>
          <w:sz w:val="30"/>
          <w:szCs w:val="30"/>
          <w:highlight w:val="none"/>
        </w:rPr>
        <w:t>（三）</w:t>
      </w:r>
      <w:r>
        <w:rPr>
          <w:rFonts w:hint="eastAsia"/>
          <w:color w:val="auto"/>
          <w:sz w:val="30"/>
          <w:szCs w:val="30"/>
          <w:highlight w:val="none"/>
        </w:rPr>
        <w:t>法定代表人身份证明或附有法定代表人身份证明的授权委托书</w:t>
      </w:r>
      <w:bookmarkEnd w:id="2217"/>
      <w:bookmarkEnd w:id="2218"/>
      <w:bookmarkEnd w:id="2219"/>
      <w:bookmarkEnd w:id="2220"/>
      <w:bookmarkEnd w:id="2221"/>
      <w:bookmarkEnd w:id="2222"/>
      <w:bookmarkEnd w:id="2223"/>
    </w:p>
    <w:p w14:paraId="2F22F6AF">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30291313">
      <w:pPr>
        <w:spacing w:line="480" w:lineRule="auto"/>
        <w:jc w:val="center"/>
        <w:rPr>
          <w:rFonts w:ascii="宋体" w:hAnsi="宋体"/>
          <w:color w:val="auto"/>
          <w:highlight w:val="none"/>
        </w:rPr>
      </w:pPr>
    </w:p>
    <w:p w14:paraId="40C25C5E">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DC04E6D">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4E77210">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5D5A2CB">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2619D796">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0D8B30A4">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0B4310C4">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4A063100">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4A68B99D">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附：法定代表人身份证明复印件（双面）</w:t>
      </w:r>
    </w:p>
    <w:p w14:paraId="046B5C77">
      <w:pPr>
        <w:pStyle w:val="2"/>
        <w:spacing w:after="0" w:line="360" w:lineRule="auto"/>
        <w:rPr>
          <w:rFonts w:hint="eastAsia" w:ascii="宋体" w:hAnsi="宋体"/>
          <w:color w:val="auto"/>
          <w:szCs w:val="21"/>
          <w:highlight w:val="none"/>
        </w:rPr>
      </w:pPr>
    </w:p>
    <w:p w14:paraId="5679769B">
      <w:pPr>
        <w:pStyle w:val="2"/>
        <w:spacing w:after="0" w:line="360" w:lineRule="auto"/>
        <w:rPr>
          <w:rFonts w:hint="eastAsia" w:ascii="宋体" w:hAnsi="宋体"/>
          <w:color w:val="auto"/>
          <w:szCs w:val="21"/>
          <w:highlight w:val="none"/>
        </w:rPr>
      </w:pPr>
    </w:p>
    <w:p w14:paraId="5B6C6F0A">
      <w:pPr>
        <w:pStyle w:val="2"/>
        <w:spacing w:after="0" w:line="360" w:lineRule="auto"/>
        <w:rPr>
          <w:rFonts w:hint="eastAsia" w:ascii="宋体" w:hAnsi="宋体"/>
          <w:color w:val="auto"/>
          <w:szCs w:val="21"/>
          <w:highlight w:val="none"/>
        </w:rPr>
      </w:pPr>
    </w:p>
    <w:p w14:paraId="052E3B29">
      <w:pPr>
        <w:pStyle w:val="2"/>
        <w:spacing w:after="0" w:line="360" w:lineRule="auto"/>
        <w:rPr>
          <w:rFonts w:hint="eastAsia" w:ascii="宋体" w:hAnsi="宋体"/>
          <w:color w:val="auto"/>
          <w:szCs w:val="21"/>
          <w:highlight w:val="none"/>
        </w:rPr>
      </w:pPr>
    </w:p>
    <w:p w14:paraId="01FFFA97">
      <w:pPr>
        <w:pStyle w:val="2"/>
        <w:spacing w:after="0" w:line="360" w:lineRule="auto"/>
        <w:rPr>
          <w:rFonts w:ascii="宋体" w:hAnsi="宋体"/>
          <w:color w:val="auto"/>
          <w:szCs w:val="21"/>
          <w:highlight w:val="none"/>
        </w:rPr>
      </w:pPr>
    </w:p>
    <w:p w14:paraId="54BFC2CE">
      <w:pPr>
        <w:pStyle w:val="2"/>
        <w:spacing w:after="0" w:line="360" w:lineRule="auto"/>
        <w:rPr>
          <w:rFonts w:ascii="宋体" w:hAnsi="宋体"/>
          <w:color w:val="auto"/>
          <w:szCs w:val="21"/>
          <w:highlight w:val="none"/>
        </w:rPr>
      </w:pPr>
    </w:p>
    <w:p w14:paraId="257BF9B9">
      <w:pPr>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0A4B88AC">
      <w:pPr>
        <w:autoSpaceDE w:val="0"/>
        <w:autoSpaceDN w:val="0"/>
        <w:adjustRightInd w:val="0"/>
        <w:snapToGrid w:val="0"/>
        <w:spacing w:line="480" w:lineRule="auto"/>
        <w:jc w:val="left"/>
        <w:rPr>
          <w:rFonts w:ascii="宋体" w:hAnsi="宋体"/>
          <w:color w:val="auto"/>
          <w:kern w:val="0"/>
          <w:sz w:val="20"/>
          <w:szCs w:val="20"/>
          <w:highlight w:val="none"/>
        </w:rPr>
      </w:pPr>
    </w:p>
    <w:p w14:paraId="2A68BABB">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1B6853CC">
      <w:pPr>
        <w:autoSpaceDE w:val="0"/>
        <w:autoSpaceDN w:val="0"/>
        <w:adjustRightInd w:val="0"/>
        <w:snapToGrid w:val="0"/>
        <w:spacing w:line="360" w:lineRule="auto"/>
        <w:jc w:val="left"/>
        <w:rPr>
          <w:rFonts w:ascii="宋体" w:hAnsi="宋体"/>
          <w:color w:val="auto"/>
          <w:kern w:val="0"/>
          <w:highlight w:val="none"/>
        </w:rPr>
      </w:pPr>
    </w:p>
    <w:p w14:paraId="6718C43F">
      <w:pPr>
        <w:autoSpaceDE w:val="0"/>
        <w:autoSpaceDN w:val="0"/>
        <w:adjustRightInd w:val="0"/>
        <w:snapToGrid w:val="0"/>
        <w:spacing w:line="360" w:lineRule="auto"/>
        <w:jc w:val="left"/>
        <w:rPr>
          <w:rFonts w:ascii="宋体" w:hAnsi="宋体"/>
          <w:color w:val="auto"/>
          <w:kern w:val="0"/>
          <w:highlight w:val="none"/>
        </w:rPr>
      </w:pPr>
    </w:p>
    <w:p w14:paraId="63D7F1CD">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14:paraId="605277F7">
      <w:pPr>
        <w:autoSpaceDE w:val="0"/>
        <w:autoSpaceDN w:val="0"/>
        <w:adjustRightInd w:val="0"/>
        <w:snapToGrid w:val="0"/>
        <w:spacing w:line="360" w:lineRule="auto"/>
        <w:jc w:val="left"/>
        <w:rPr>
          <w:rFonts w:ascii="宋体" w:hAnsi="宋体"/>
          <w:color w:val="auto"/>
          <w:kern w:val="0"/>
          <w:highlight w:val="none"/>
        </w:rPr>
      </w:pPr>
    </w:p>
    <w:p w14:paraId="07CB0527">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0"/>
          <w:szCs w:val="20"/>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453A6374">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721FEDC8">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22ACF734">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729D3BB6">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44A98D75">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066B6C23">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50F03D65">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69E6E43A">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50A9B606">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03C9FA73">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490AEF6F">
      <w:pPr>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14:paraId="697C6B48">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附：法定代表人和委托代理人身份证明复印件（双面）</w:t>
      </w:r>
    </w:p>
    <w:p w14:paraId="41BA8893">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0047C90">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0BC21B15">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A6D3B0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6A21313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B71838D">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4E01F452">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A57E151">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p>
    <w:p w14:paraId="403359B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2891FD2E">
      <w:pPr>
        <w:tabs>
          <w:tab w:val="left" w:pos="4005"/>
          <w:tab w:val="left" w:pos="4100"/>
          <w:tab w:val="left" w:pos="504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377D2BA8">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2、法定代表人身份证明及授权委托书原件装入投标文件一并递交。另外须准备一份授权委托书原件在开标现场出具。</w:t>
      </w:r>
    </w:p>
    <w:p w14:paraId="4D303D6A">
      <w:pPr>
        <w:spacing w:line="360" w:lineRule="auto"/>
        <w:ind w:firstLine="420" w:firstLineChars="200"/>
        <w:jc w:val="left"/>
        <w:rPr>
          <w:rFonts w:hint="eastAsia" w:ascii="宋体" w:hAnsi="宋体" w:cs="MingLiUfalt"/>
          <w:kern w:val="0"/>
          <w:sz w:val="28"/>
          <w:szCs w:val="28"/>
        </w:rPr>
      </w:pPr>
      <w:r>
        <w:rPr>
          <w:rFonts w:hint="eastAsia" w:ascii="宋体" w:hAnsi="宋体"/>
          <w:color w:val="auto"/>
          <w:kern w:val="0"/>
          <w:szCs w:val="21"/>
          <w:highlight w:val="none"/>
        </w:rPr>
        <w:t>3.</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bookmarkStart w:id="2224" w:name="_Toc224103500"/>
      <w:bookmarkStart w:id="2225" w:name="_Toc287607872"/>
      <w:bookmarkStart w:id="2226" w:name="_Toc430530534"/>
      <w:bookmarkStart w:id="2227" w:name="_Toc23891"/>
      <w:bookmarkStart w:id="2228" w:name="_Toc287620819"/>
    </w:p>
    <w:p w14:paraId="66CBBFAA">
      <w:pPr>
        <w:pStyle w:val="4"/>
        <w:spacing w:line="360" w:lineRule="auto"/>
        <w:jc w:val="center"/>
        <w:rPr>
          <w:rFonts w:ascii="宋体" w:hAnsi="宋体"/>
          <w:b w:val="0"/>
          <w:bCs w:val="0"/>
          <w:color w:val="auto"/>
          <w:sz w:val="44"/>
          <w:szCs w:val="44"/>
          <w:highlight w:val="none"/>
        </w:rPr>
      </w:pPr>
      <w:bookmarkStart w:id="2229" w:name="_Toc30760"/>
      <w:r>
        <w:rPr>
          <w:rFonts w:hint="eastAsia" w:ascii="宋体" w:hAnsi="宋体"/>
          <w:b w:val="0"/>
          <w:bCs w:val="0"/>
          <w:color w:val="auto"/>
          <w:sz w:val="44"/>
          <w:szCs w:val="44"/>
          <w:highlight w:val="none"/>
          <w:lang w:eastAsia="zh-CN"/>
        </w:rPr>
        <w:t>二</w:t>
      </w:r>
      <w:r>
        <w:rPr>
          <w:rFonts w:hint="eastAsia" w:ascii="宋体" w:hAnsi="宋体"/>
          <w:b w:val="0"/>
          <w:bCs w:val="0"/>
          <w:color w:val="auto"/>
          <w:sz w:val="44"/>
          <w:szCs w:val="44"/>
          <w:highlight w:val="none"/>
        </w:rPr>
        <w:t>、经济部分</w:t>
      </w:r>
      <w:bookmarkEnd w:id="2224"/>
      <w:bookmarkEnd w:id="2225"/>
      <w:bookmarkEnd w:id="2226"/>
      <w:bookmarkEnd w:id="2227"/>
      <w:bookmarkEnd w:id="2228"/>
      <w:bookmarkEnd w:id="2229"/>
    </w:p>
    <w:p w14:paraId="7F17C512">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820FD1E">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14:paraId="7D0B2C97">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7AC5464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C12D320">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0D1C05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7DEDB2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AF07853">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30928129">
      <w:pPr>
        <w:autoSpaceDE w:val="0"/>
        <w:autoSpaceDN w:val="0"/>
        <w:adjustRightInd w:val="0"/>
        <w:snapToGrid w:val="0"/>
        <w:spacing w:line="360" w:lineRule="auto"/>
        <w:jc w:val="left"/>
        <w:rPr>
          <w:rFonts w:ascii="宋体" w:hAnsi="宋体"/>
          <w:color w:val="auto"/>
          <w:kern w:val="0"/>
          <w:sz w:val="16"/>
          <w:szCs w:val="16"/>
          <w:highlight w:val="none"/>
        </w:rPr>
      </w:pPr>
    </w:p>
    <w:p w14:paraId="56D66358">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经济部分</w:t>
      </w:r>
    </w:p>
    <w:p w14:paraId="3959BD18">
      <w:pPr>
        <w:autoSpaceDE w:val="0"/>
        <w:autoSpaceDN w:val="0"/>
        <w:adjustRightInd w:val="0"/>
        <w:snapToGrid w:val="0"/>
        <w:spacing w:line="360" w:lineRule="auto"/>
        <w:jc w:val="left"/>
        <w:rPr>
          <w:rFonts w:ascii="宋体" w:hAnsi="宋体"/>
          <w:b/>
          <w:color w:val="auto"/>
          <w:kern w:val="0"/>
          <w:sz w:val="20"/>
          <w:szCs w:val="20"/>
          <w:highlight w:val="none"/>
        </w:rPr>
      </w:pPr>
    </w:p>
    <w:p w14:paraId="65B5CBF0">
      <w:pPr>
        <w:autoSpaceDE w:val="0"/>
        <w:autoSpaceDN w:val="0"/>
        <w:adjustRightInd w:val="0"/>
        <w:snapToGrid w:val="0"/>
        <w:spacing w:line="360" w:lineRule="auto"/>
        <w:jc w:val="left"/>
        <w:rPr>
          <w:rFonts w:ascii="宋体" w:hAnsi="宋体"/>
          <w:b/>
          <w:color w:val="auto"/>
          <w:kern w:val="0"/>
          <w:sz w:val="20"/>
          <w:szCs w:val="20"/>
          <w:highlight w:val="none"/>
        </w:rPr>
      </w:pPr>
    </w:p>
    <w:p w14:paraId="2A328BA9">
      <w:pPr>
        <w:autoSpaceDE w:val="0"/>
        <w:autoSpaceDN w:val="0"/>
        <w:adjustRightInd w:val="0"/>
        <w:snapToGrid w:val="0"/>
        <w:spacing w:line="360" w:lineRule="auto"/>
        <w:jc w:val="left"/>
        <w:rPr>
          <w:rFonts w:ascii="宋体" w:hAnsi="宋体"/>
          <w:b/>
          <w:color w:val="auto"/>
          <w:kern w:val="0"/>
          <w:sz w:val="20"/>
          <w:szCs w:val="20"/>
          <w:highlight w:val="none"/>
        </w:rPr>
      </w:pPr>
    </w:p>
    <w:p w14:paraId="5421F7FF">
      <w:pPr>
        <w:autoSpaceDE w:val="0"/>
        <w:autoSpaceDN w:val="0"/>
        <w:adjustRightInd w:val="0"/>
        <w:snapToGrid w:val="0"/>
        <w:spacing w:line="360" w:lineRule="auto"/>
        <w:jc w:val="left"/>
        <w:rPr>
          <w:rFonts w:ascii="宋体" w:hAnsi="宋体"/>
          <w:b/>
          <w:color w:val="auto"/>
          <w:kern w:val="0"/>
          <w:sz w:val="20"/>
          <w:szCs w:val="20"/>
          <w:highlight w:val="none"/>
        </w:rPr>
      </w:pPr>
    </w:p>
    <w:p w14:paraId="33E11CB1">
      <w:pPr>
        <w:autoSpaceDE w:val="0"/>
        <w:autoSpaceDN w:val="0"/>
        <w:adjustRightInd w:val="0"/>
        <w:snapToGrid w:val="0"/>
        <w:spacing w:line="360" w:lineRule="auto"/>
        <w:jc w:val="left"/>
        <w:rPr>
          <w:rFonts w:ascii="宋体" w:hAnsi="宋体"/>
          <w:b/>
          <w:color w:val="auto"/>
          <w:kern w:val="0"/>
          <w:sz w:val="20"/>
          <w:szCs w:val="20"/>
          <w:highlight w:val="none"/>
        </w:rPr>
      </w:pPr>
    </w:p>
    <w:p w14:paraId="3E94219F">
      <w:pPr>
        <w:autoSpaceDE w:val="0"/>
        <w:autoSpaceDN w:val="0"/>
        <w:adjustRightInd w:val="0"/>
        <w:snapToGrid w:val="0"/>
        <w:spacing w:line="360" w:lineRule="auto"/>
        <w:jc w:val="left"/>
        <w:rPr>
          <w:rFonts w:ascii="宋体" w:hAnsi="宋体"/>
          <w:b/>
          <w:color w:val="auto"/>
          <w:kern w:val="0"/>
          <w:sz w:val="20"/>
          <w:szCs w:val="20"/>
          <w:highlight w:val="none"/>
        </w:rPr>
      </w:pPr>
    </w:p>
    <w:p w14:paraId="5ED375B8">
      <w:pPr>
        <w:autoSpaceDE w:val="0"/>
        <w:autoSpaceDN w:val="0"/>
        <w:adjustRightInd w:val="0"/>
        <w:snapToGrid w:val="0"/>
        <w:spacing w:line="360" w:lineRule="auto"/>
        <w:jc w:val="left"/>
        <w:rPr>
          <w:rFonts w:ascii="宋体" w:hAnsi="宋体"/>
          <w:b/>
          <w:color w:val="auto"/>
          <w:kern w:val="0"/>
          <w:sz w:val="20"/>
          <w:szCs w:val="20"/>
          <w:highlight w:val="none"/>
        </w:rPr>
      </w:pPr>
    </w:p>
    <w:p w14:paraId="04951E20">
      <w:pPr>
        <w:autoSpaceDE w:val="0"/>
        <w:autoSpaceDN w:val="0"/>
        <w:adjustRightInd w:val="0"/>
        <w:snapToGrid w:val="0"/>
        <w:spacing w:line="360" w:lineRule="auto"/>
        <w:jc w:val="left"/>
        <w:rPr>
          <w:rFonts w:ascii="宋体" w:hAnsi="宋体"/>
          <w:b/>
          <w:color w:val="auto"/>
          <w:kern w:val="0"/>
          <w:sz w:val="20"/>
          <w:szCs w:val="20"/>
          <w:highlight w:val="none"/>
        </w:rPr>
      </w:pPr>
    </w:p>
    <w:p w14:paraId="5C9FE2C4">
      <w:pPr>
        <w:autoSpaceDE w:val="0"/>
        <w:autoSpaceDN w:val="0"/>
        <w:adjustRightInd w:val="0"/>
        <w:snapToGrid w:val="0"/>
        <w:spacing w:line="360" w:lineRule="auto"/>
        <w:jc w:val="left"/>
        <w:rPr>
          <w:rFonts w:ascii="宋体" w:hAnsi="宋体"/>
          <w:b/>
          <w:color w:val="auto"/>
          <w:kern w:val="0"/>
          <w:sz w:val="20"/>
          <w:szCs w:val="20"/>
          <w:highlight w:val="none"/>
        </w:rPr>
      </w:pPr>
    </w:p>
    <w:p w14:paraId="09E9E72A">
      <w:pPr>
        <w:autoSpaceDE w:val="0"/>
        <w:autoSpaceDN w:val="0"/>
        <w:adjustRightInd w:val="0"/>
        <w:snapToGrid w:val="0"/>
        <w:spacing w:line="360" w:lineRule="auto"/>
        <w:jc w:val="left"/>
        <w:rPr>
          <w:rFonts w:ascii="宋体" w:hAnsi="宋体"/>
          <w:b/>
          <w:color w:val="auto"/>
          <w:kern w:val="0"/>
          <w:sz w:val="20"/>
          <w:szCs w:val="20"/>
          <w:highlight w:val="none"/>
        </w:rPr>
      </w:pPr>
    </w:p>
    <w:p w14:paraId="51C18036">
      <w:pPr>
        <w:autoSpaceDE w:val="0"/>
        <w:autoSpaceDN w:val="0"/>
        <w:adjustRightInd w:val="0"/>
        <w:snapToGrid w:val="0"/>
        <w:spacing w:line="360" w:lineRule="auto"/>
        <w:jc w:val="left"/>
        <w:rPr>
          <w:rFonts w:ascii="宋体" w:hAnsi="宋体"/>
          <w:b/>
          <w:color w:val="auto"/>
          <w:kern w:val="0"/>
          <w:sz w:val="20"/>
          <w:szCs w:val="20"/>
          <w:highlight w:val="none"/>
        </w:rPr>
      </w:pPr>
    </w:p>
    <w:p w14:paraId="47A1823C">
      <w:pPr>
        <w:autoSpaceDE w:val="0"/>
        <w:autoSpaceDN w:val="0"/>
        <w:adjustRightInd w:val="0"/>
        <w:snapToGrid w:val="0"/>
        <w:spacing w:line="360" w:lineRule="auto"/>
        <w:jc w:val="left"/>
        <w:rPr>
          <w:rFonts w:ascii="宋体" w:hAnsi="宋体"/>
          <w:b/>
          <w:color w:val="auto"/>
          <w:kern w:val="0"/>
          <w:sz w:val="20"/>
          <w:szCs w:val="20"/>
          <w:highlight w:val="none"/>
        </w:rPr>
      </w:pPr>
    </w:p>
    <w:p w14:paraId="0D7FCF7C">
      <w:pPr>
        <w:autoSpaceDE w:val="0"/>
        <w:autoSpaceDN w:val="0"/>
        <w:adjustRightInd w:val="0"/>
        <w:snapToGrid w:val="0"/>
        <w:spacing w:line="360" w:lineRule="auto"/>
        <w:jc w:val="left"/>
        <w:rPr>
          <w:rFonts w:ascii="宋体" w:hAnsi="宋体"/>
          <w:b/>
          <w:color w:val="auto"/>
          <w:kern w:val="0"/>
          <w:sz w:val="20"/>
          <w:szCs w:val="20"/>
          <w:highlight w:val="none"/>
        </w:rPr>
      </w:pPr>
    </w:p>
    <w:p w14:paraId="062EB6AE">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48A0BD25">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4FA172DA">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2DE124B5">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4889F3FC">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50ABE346">
      <w:pPr>
        <w:autoSpaceDE w:val="0"/>
        <w:autoSpaceDN w:val="0"/>
        <w:adjustRightInd w:val="0"/>
        <w:snapToGrid w:val="0"/>
        <w:spacing w:line="360" w:lineRule="auto"/>
        <w:jc w:val="left"/>
        <w:rPr>
          <w:rFonts w:ascii="宋体" w:hAnsi="宋体"/>
          <w:color w:val="auto"/>
          <w:kern w:val="0"/>
          <w:szCs w:val="21"/>
          <w:highlight w:val="none"/>
        </w:rPr>
      </w:pPr>
    </w:p>
    <w:p w14:paraId="75280178">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1FF0F815">
      <w:pPr>
        <w:autoSpaceDE w:val="0"/>
        <w:autoSpaceDN w:val="0"/>
        <w:adjustRightInd w:val="0"/>
        <w:snapToGrid w:val="0"/>
        <w:spacing w:line="360" w:lineRule="auto"/>
        <w:jc w:val="left"/>
        <w:rPr>
          <w:rFonts w:ascii="宋体" w:hAnsi="宋体"/>
          <w:color w:val="auto"/>
          <w:w w:val="99"/>
          <w:kern w:val="0"/>
          <w:sz w:val="28"/>
          <w:szCs w:val="28"/>
          <w:highlight w:val="none"/>
        </w:rPr>
      </w:pPr>
    </w:p>
    <w:p w14:paraId="1637F753">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highlight w:val="none"/>
        </w:rPr>
        <w:br w:type="page"/>
      </w:r>
      <w:bookmarkStart w:id="2230" w:name="_Toc287607873"/>
      <w:bookmarkStart w:id="2231" w:name="_Toc277082648"/>
      <w:bookmarkStart w:id="2232" w:name="_Toc287620820"/>
      <w:bookmarkStart w:id="2233" w:name="_Toc430530535"/>
      <w:bookmarkStart w:id="2234" w:name="_Toc224103501"/>
    </w:p>
    <w:p w14:paraId="47109527">
      <w:pPr>
        <w:pStyle w:val="5"/>
        <w:jc w:val="center"/>
        <w:rPr>
          <w:color w:val="auto"/>
          <w:highlight w:val="none"/>
        </w:rPr>
      </w:pPr>
      <w:bookmarkStart w:id="2235" w:name="_Toc10516"/>
      <w:bookmarkStart w:id="2236" w:name="_Toc28475"/>
      <w:r>
        <w:rPr>
          <w:rFonts w:hint="eastAsia"/>
          <w:color w:val="auto"/>
          <w:highlight w:val="none"/>
        </w:rPr>
        <w:t>（一）已标价工程量清单</w:t>
      </w:r>
      <w:bookmarkEnd w:id="2230"/>
      <w:bookmarkEnd w:id="2231"/>
      <w:bookmarkEnd w:id="2232"/>
      <w:bookmarkEnd w:id="2233"/>
      <w:bookmarkEnd w:id="2234"/>
      <w:bookmarkEnd w:id="2235"/>
      <w:bookmarkEnd w:id="2236"/>
    </w:p>
    <w:p w14:paraId="3B76B886">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D054ECA">
      <w:pPr>
        <w:autoSpaceDE w:val="0"/>
        <w:autoSpaceDN w:val="0"/>
        <w:adjustRightInd w:val="0"/>
        <w:snapToGrid w:val="0"/>
        <w:spacing w:line="360" w:lineRule="auto"/>
        <w:jc w:val="left"/>
        <w:rPr>
          <w:rFonts w:hint="eastAsia" w:ascii="宋体" w:hAnsi="宋体"/>
          <w:color w:val="auto"/>
          <w:sz w:val="36"/>
          <w:szCs w:val="36"/>
          <w:highlight w:val="none"/>
        </w:rPr>
      </w:pPr>
      <w:bookmarkStart w:id="2237" w:name="_Toc224103502"/>
      <w:bookmarkStart w:id="2238" w:name="_Toc287607874"/>
      <w:bookmarkStart w:id="2239" w:name="_Toc287620821"/>
      <w:bookmarkStart w:id="2240" w:name="_Toc430530536"/>
      <w:r>
        <w:rPr>
          <w:rFonts w:ascii="宋体" w:hAnsi="宋体"/>
          <w:color w:val="auto"/>
          <w:highlight w:val="none"/>
        </w:rPr>
        <w:br w:type="page"/>
      </w:r>
      <w:bookmarkEnd w:id="2237"/>
      <w:bookmarkEnd w:id="2238"/>
      <w:bookmarkEnd w:id="2239"/>
      <w:bookmarkEnd w:id="2240"/>
    </w:p>
    <w:p w14:paraId="0D5A8A44">
      <w:pPr>
        <w:pStyle w:val="4"/>
        <w:spacing w:line="360" w:lineRule="auto"/>
        <w:jc w:val="center"/>
        <w:rPr>
          <w:rFonts w:ascii="宋体" w:hAnsi="宋体"/>
          <w:b w:val="0"/>
          <w:bCs w:val="0"/>
          <w:color w:val="auto"/>
          <w:sz w:val="44"/>
          <w:szCs w:val="44"/>
          <w:highlight w:val="none"/>
        </w:rPr>
      </w:pPr>
      <w:bookmarkStart w:id="2241" w:name="_Toc277082656"/>
      <w:bookmarkStart w:id="2242" w:name="_Toc287620829"/>
      <w:bookmarkStart w:id="2243" w:name="_Toc224103510"/>
      <w:bookmarkStart w:id="2244" w:name="_Toc287607882"/>
      <w:bookmarkStart w:id="2245" w:name="_Toc430530545"/>
      <w:bookmarkStart w:id="2246" w:name="_Toc27141"/>
      <w:bookmarkStart w:id="2247" w:name="_Toc25943"/>
      <w:r>
        <w:rPr>
          <w:rFonts w:hint="eastAsia" w:ascii="宋体" w:hAnsi="宋体"/>
          <w:b w:val="0"/>
          <w:bCs w:val="0"/>
          <w:color w:val="auto"/>
          <w:sz w:val="44"/>
          <w:szCs w:val="44"/>
          <w:highlight w:val="none"/>
          <w:lang w:eastAsia="zh-CN"/>
        </w:rPr>
        <w:t>三</w:t>
      </w:r>
      <w:r>
        <w:rPr>
          <w:rFonts w:hint="eastAsia" w:ascii="宋体" w:hAnsi="宋体"/>
          <w:b w:val="0"/>
          <w:bCs w:val="0"/>
          <w:color w:val="auto"/>
          <w:sz w:val="44"/>
          <w:szCs w:val="44"/>
          <w:highlight w:val="none"/>
        </w:rPr>
        <w:t>、</w:t>
      </w:r>
      <w:bookmarkEnd w:id="2241"/>
      <w:bookmarkEnd w:id="2242"/>
      <w:bookmarkEnd w:id="2243"/>
      <w:bookmarkEnd w:id="2244"/>
      <w:bookmarkEnd w:id="2245"/>
      <w:r>
        <w:rPr>
          <w:rFonts w:hint="eastAsia" w:ascii="宋体" w:hAnsi="宋体"/>
          <w:b w:val="0"/>
          <w:bCs w:val="0"/>
          <w:color w:val="auto"/>
          <w:sz w:val="44"/>
          <w:szCs w:val="44"/>
          <w:highlight w:val="none"/>
        </w:rPr>
        <w:t>资格审查部分</w:t>
      </w:r>
      <w:bookmarkEnd w:id="2246"/>
      <w:bookmarkEnd w:id="2247"/>
    </w:p>
    <w:p w14:paraId="38BAE075">
      <w:pPr>
        <w:spacing w:line="360" w:lineRule="auto"/>
        <w:rPr>
          <w:rFonts w:ascii="宋体" w:hAnsi="宋体"/>
          <w:color w:val="auto"/>
          <w:sz w:val="32"/>
          <w:szCs w:val="32"/>
          <w:highlight w:val="none"/>
        </w:rPr>
      </w:pPr>
    </w:p>
    <w:p w14:paraId="5FE43FBE">
      <w:pPr>
        <w:spacing w:line="360" w:lineRule="auto"/>
        <w:rPr>
          <w:rFonts w:ascii="宋体" w:hAnsi="宋体"/>
          <w:color w:val="auto"/>
          <w:sz w:val="32"/>
          <w:szCs w:val="32"/>
          <w:highlight w:val="none"/>
        </w:rPr>
      </w:pPr>
      <w:r>
        <w:rPr>
          <w:rFonts w:ascii="宋体" w:hAnsi="宋体"/>
          <w:color w:val="auto"/>
          <w:sz w:val="32"/>
          <w:szCs w:val="32"/>
          <w:highlight w:val="none"/>
        </w:rPr>
        <w:br w:type="page"/>
      </w:r>
    </w:p>
    <w:p w14:paraId="634083C7">
      <w:pPr>
        <w:spacing w:line="360" w:lineRule="auto"/>
        <w:jc w:val="center"/>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5435B024">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1C42E698">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3E8C617A">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41F2CF31">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5B3D4E20">
      <w:pPr>
        <w:autoSpaceDE w:val="0"/>
        <w:autoSpaceDN w:val="0"/>
        <w:adjustRightInd w:val="0"/>
        <w:snapToGrid w:val="0"/>
        <w:spacing w:line="360" w:lineRule="auto"/>
        <w:jc w:val="left"/>
        <w:rPr>
          <w:rFonts w:ascii="宋体" w:hAnsi="宋体"/>
          <w:color w:val="auto"/>
          <w:kern w:val="0"/>
          <w:sz w:val="16"/>
          <w:szCs w:val="16"/>
          <w:highlight w:val="none"/>
        </w:rPr>
      </w:pPr>
    </w:p>
    <w:p w14:paraId="490AD0FE">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6C33298E">
      <w:pPr>
        <w:autoSpaceDE w:val="0"/>
        <w:autoSpaceDN w:val="0"/>
        <w:adjustRightInd w:val="0"/>
        <w:snapToGrid w:val="0"/>
        <w:spacing w:line="360" w:lineRule="auto"/>
        <w:jc w:val="left"/>
        <w:rPr>
          <w:rFonts w:ascii="宋体" w:hAnsi="宋体" w:cs="MingLiU"/>
          <w:color w:val="auto"/>
          <w:kern w:val="0"/>
          <w:sz w:val="20"/>
          <w:szCs w:val="20"/>
          <w:highlight w:val="none"/>
        </w:rPr>
      </w:pPr>
    </w:p>
    <w:p w14:paraId="1AAC65BD">
      <w:pPr>
        <w:adjustRightInd w:val="0"/>
        <w:snapToGrid w:val="0"/>
        <w:spacing w:line="264" w:lineRule="auto"/>
        <w:rPr>
          <w:rFonts w:ascii="宋体" w:hAnsi="宋体"/>
          <w:color w:val="auto"/>
          <w:szCs w:val="21"/>
          <w:highlight w:val="none"/>
        </w:rPr>
      </w:pPr>
    </w:p>
    <w:p w14:paraId="12BFACCB">
      <w:pPr>
        <w:autoSpaceDE w:val="0"/>
        <w:autoSpaceDN w:val="0"/>
        <w:adjustRightInd w:val="0"/>
        <w:snapToGrid w:val="0"/>
        <w:spacing w:line="360" w:lineRule="auto"/>
        <w:jc w:val="left"/>
        <w:rPr>
          <w:rFonts w:ascii="宋体" w:hAnsi="宋体" w:cs="MingLiU"/>
          <w:color w:val="auto"/>
          <w:kern w:val="0"/>
          <w:sz w:val="20"/>
          <w:szCs w:val="20"/>
          <w:highlight w:val="none"/>
        </w:rPr>
      </w:pPr>
    </w:p>
    <w:p w14:paraId="56818B16">
      <w:pPr>
        <w:autoSpaceDE w:val="0"/>
        <w:autoSpaceDN w:val="0"/>
        <w:adjustRightInd w:val="0"/>
        <w:snapToGrid w:val="0"/>
        <w:spacing w:line="360" w:lineRule="auto"/>
        <w:jc w:val="left"/>
        <w:rPr>
          <w:rFonts w:ascii="宋体" w:hAnsi="宋体" w:cs="MingLiU"/>
          <w:color w:val="auto"/>
          <w:kern w:val="0"/>
          <w:sz w:val="20"/>
          <w:szCs w:val="20"/>
          <w:highlight w:val="none"/>
        </w:rPr>
      </w:pPr>
    </w:p>
    <w:p w14:paraId="3D13EE54">
      <w:pPr>
        <w:autoSpaceDE w:val="0"/>
        <w:autoSpaceDN w:val="0"/>
        <w:adjustRightInd w:val="0"/>
        <w:snapToGrid w:val="0"/>
        <w:spacing w:line="360" w:lineRule="auto"/>
        <w:jc w:val="left"/>
        <w:rPr>
          <w:rFonts w:ascii="宋体" w:hAnsi="宋体" w:cs="MingLiU"/>
          <w:color w:val="auto"/>
          <w:kern w:val="0"/>
          <w:sz w:val="20"/>
          <w:szCs w:val="20"/>
          <w:highlight w:val="none"/>
        </w:rPr>
      </w:pPr>
    </w:p>
    <w:p w14:paraId="1AB390F3">
      <w:pPr>
        <w:autoSpaceDE w:val="0"/>
        <w:autoSpaceDN w:val="0"/>
        <w:adjustRightInd w:val="0"/>
        <w:snapToGrid w:val="0"/>
        <w:spacing w:line="360" w:lineRule="auto"/>
        <w:jc w:val="left"/>
        <w:rPr>
          <w:rFonts w:ascii="宋体" w:hAnsi="宋体" w:cs="MingLiU"/>
          <w:color w:val="auto"/>
          <w:kern w:val="0"/>
          <w:sz w:val="20"/>
          <w:szCs w:val="20"/>
          <w:highlight w:val="none"/>
        </w:rPr>
      </w:pPr>
    </w:p>
    <w:p w14:paraId="00A2B045">
      <w:pPr>
        <w:autoSpaceDE w:val="0"/>
        <w:autoSpaceDN w:val="0"/>
        <w:adjustRightInd w:val="0"/>
        <w:snapToGrid w:val="0"/>
        <w:spacing w:line="360" w:lineRule="auto"/>
        <w:jc w:val="left"/>
        <w:rPr>
          <w:rFonts w:ascii="宋体" w:hAnsi="宋体" w:cs="MingLiU"/>
          <w:color w:val="auto"/>
          <w:kern w:val="0"/>
          <w:sz w:val="20"/>
          <w:szCs w:val="20"/>
          <w:highlight w:val="none"/>
        </w:rPr>
      </w:pPr>
    </w:p>
    <w:p w14:paraId="1863FAB0">
      <w:pPr>
        <w:autoSpaceDE w:val="0"/>
        <w:autoSpaceDN w:val="0"/>
        <w:adjustRightInd w:val="0"/>
        <w:snapToGrid w:val="0"/>
        <w:spacing w:line="360" w:lineRule="auto"/>
        <w:jc w:val="left"/>
        <w:rPr>
          <w:rFonts w:ascii="宋体" w:hAnsi="宋体" w:cs="MingLiU"/>
          <w:color w:val="auto"/>
          <w:kern w:val="0"/>
          <w:sz w:val="20"/>
          <w:szCs w:val="20"/>
          <w:highlight w:val="none"/>
        </w:rPr>
      </w:pPr>
    </w:p>
    <w:p w14:paraId="3C1F6BF1">
      <w:pPr>
        <w:autoSpaceDE w:val="0"/>
        <w:autoSpaceDN w:val="0"/>
        <w:adjustRightInd w:val="0"/>
        <w:snapToGrid w:val="0"/>
        <w:spacing w:line="360" w:lineRule="auto"/>
        <w:jc w:val="left"/>
        <w:rPr>
          <w:rFonts w:ascii="宋体" w:hAnsi="宋体" w:cs="MingLiU"/>
          <w:color w:val="auto"/>
          <w:kern w:val="0"/>
          <w:sz w:val="20"/>
          <w:szCs w:val="20"/>
          <w:highlight w:val="none"/>
        </w:rPr>
      </w:pPr>
    </w:p>
    <w:p w14:paraId="13770D40">
      <w:pPr>
        <w:autoSpaceDE w:val="0"/>
        <w:autoSpaceDN w:val="0"/>
        <w:adjustRightInd w:val="0"/>
        <w:snapToGrid w:val="0"/>
        <w:spacing w:line="360" w:lineRule="auto"/>
        <w:jc w:val="left"/>
        <w:rPr>
          <w:rFonts w:ascii="宋体" w:hAnsi="宋体" w:cs="MingLiU"/>
          <w:color w:val="auto"/>
          <w:kern w:val="0"/>
          <w:sz w:val="20"/>
          <w:szCs w:val="20"/>
          <w:highlight w:val="none"/>
        </w:rPr>
      </w:pPr>
    </w:p>
    <w:p w14:paraId="544F2AF6">
      <w:pPr>
        <w:autoSpaceDE w:val="0"/>
        <w:autoSpaceDN w:val="0"/>
        <w:adjustRightInd w:val="0"/>
        <w:snapToGrid w:val="0"/>
        <w:spacing w:line="360" w:lineRule="auto"/>
        <w:jc w:val="left"/>
        <w:rPr>
          <w:rFonts w:ascii="宋体" w:hAnsi="宋体" w:cs="MingLiU"/>
          <w:color w:val="auto"/>
          <w:kern w:val="0"/>
          <w:sz w:val="20"/>
          <w:szCs w:val="20"/>
          <w:highlight w:val="none"/>
        </w:rPr>
      </w:pPr>
    </w:p>
    <w:p w14:paraId="1A85EF27">
      <w:pPr>
        <w:autoSpaceDE w:val="0"/>
        <w:autoSpaceDN w:val="0"/>
        <w:adjustRightInd w:val="0"/>
        <w:snapToGrid w:val="0"/>
        <w:spacing w:line="360" w:lineRule="auto"/>
        <w:jc w:val="left"/>
        <w:rPr>
          <w:rFonts w:ascii="宋体" w:hAnsi="宋体" w:cs="MingLiU"/>
          <w:color w:val="auto"/>
          <w:kern w:val="0"/>
          <w:sz w:val="20"/>
          <w:szCs w:val="20"/>
          <w:highlight w:val="none"/>
        </w:rPr>
      </w:pPr>
    </w:p>
    <w:p w14:paraId="406D4DC8">
      <w:pPr>
        <w:autoSpaceDE w:val="0"/>
        <w:autoSpaceDN w:val="0"/>
        <w:adjustRightInd w:val="0"/>
        <w:snapToGrid w:val="0"/>
        <w:spacing w:line="360" w:lineRule="auto"/>
        <w:jc w:val="left"/>
        <w:rPr>
          <w:rFonts w:ascii="宋体" w:hAnsi="宋体" w:cs="MingLiU"/>
          <w:color w:val="auto"/>
          <w:kern w:val="0"/>
          <w:sz w:val="20"/>
          <w:szCs w:val="20"/>
          <w:highlight w:val="none"/>
        </w:rPr>
      </w:pPr>
    </w:p>
    <w:p w14:paraId="198C3BEE">
      <w:pPr>
        <w:autoSpaceDE w:val="0"/>
        <w:autoSpaceDN w:val="0"/>
        <w:adjustRightInd w:val="0"/>
        <w:snapToGrid w:val="0"/>
        <w:spacing w:line="360" w:lineRule="auto"/>
        <w:jc w:val="left"/>
        <w:rPr>
          <w:rFonts w:ascii="宋体" w:hAnsi="宋体" w:cs="MingLiU"/>
          <w:color w:val="auto"/>
          <w:kern w:val="0"/>
          <w:sz w:val="20"/>
          <w:szCs w:val="20"/>
          <w:highlight w:val="none"/>
        </w:rPr>
      </w:pPr>
    </w:p>
    <w:p w14:paraId="1D907272">
      <w:pPr>
        <w:autoSpaceDE w:val="0"/>
        <w:autoSpaceDN w:val="0"/>
        <w:adjustRightInd w:val="0"/>
        <w:snapToGrid w:val="0"/>
        <w:spacing w:line="360" w:lineRule="auto"/>
        <w:jc w:val="left"/>
        <w:rPr>
          <w:rFonts w:ascii="宋体" w:hAnsi="宋体" w:cs="MingLiU"/>
          <w:color w:val="auto"/>
          <w:kern w:val="0"/>
          <w:sz w:val="20"/>
          <w:szCs w:val="20"/>
          <w:highlight w:val="none"/>
        </w:rPr>
      </w:pPr>
    </w:p>
    <w:p w14:paraId="0A8C2046">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3801CC1F">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128729A8">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27B65393">
      <w:pPr>
        <w:autoSpaceDE w:val="0"/>
        <w:autoSpaceDN w:val="0"/>
        <w:adjustRightInd w:val="0"/>
        <w:snapToGrid w:val="0"/>
        <w:jc w:val="center"/>
        <w:rPr>
          <w:rFonts w:hint="eastAsia" w:ascii="宋体" w:hAnsi="宋体"/>
          <w:color w:val="auto"/>
          <w:kern w:val="0"/>
          <w:sz w:val="36"/>
          <w:szCs w:val="36"/>
          <w:highlight w:val="none"/>
        </w:rPr>
      </w:pPr>
    </w:p>
    <w:p w14:paraId="2E206995">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071AB3BF">
      <w:pPr>
        <w:spacing w:line="360" w:lineRule="auto"/>
        <w:jc w:val="center"/>
        <w:rPr>
          <w:rFonts w:ascii="宋体" w:hAnsi="宋体"/>
          <w:b/>
          <w:color w:val="auto"/>
          <w:kern w:val="0"/>
          <w:sz w:val="32"/>
          <w:szCs w:val="32"/>
          <w:highlight w:val="none"/>
        </w:rPr>
      </w:pPr>
    </w:p>
    <w:p w14:paraId="086E693C">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法定代表人身份证明或附有法定代表人身份证明的授权委托书</w:t>
      </w:r>
    </w:p>
    <w:p w14:paraId="5D644BC4">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eastAsia="zh-CN"/>
        </w:rPr>
        <w:t>二</w:t>
      </w:r>
      <w:r>
        <w:rPr>
          <w:rFonts w:ascii="宋体" w:hAnsi="宋体"/>
          <w:color w:val="auto"/>
          <w:szCs w:val="21"/>
          <w:highlight w:val="none"/>
        </w:rPr>
        <w:t>）投标人基本情况表</w:t>
      </w:r>
    </w:p>
    <w:p w14:paraId="533A9C96">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eastAsia="zh-CN"/>
        </w:rPr>
        <w:t>三</w:t>
      </w:r>
      <w:r>
        <w:rPr>
          <w:rFonts w:ascii="宋体" w:hAnsi="宋体"/>
          <w:color w:val="auto"/>
          <w:szCs w:val="21"/>
          <w:highlight w:val="none"/>
        </w:rPr>
        <w:t>）项目管理机构</w:t>
      </w:r>
    </w:p>
    <w:p w14:paraId="0427AF6A">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eastAsia="zh-CN"/>
        </w:rPr>
        <w:t>四</w:t>
      </w:r>
      <w:r>
        <w:rPr>
          <w:rFonts w:ascii="宋体" w:hAnsi="宋体"/>
          <w:color w:val="auto"/>
          <w:szCs w:val="21"/>
          <w:highlight w:val="none"/>
        </w:rPr>
        <w:t>）</w:t>
      </w:r>
      <w:r>
        <w:rPr>
          <w:rFonts w:hint="eastAsia" w:ascii="宋体" w:hAnsi="宋体"/>
          <w:color w:val="auto"/>
          <w:szCs w:val="21"/>
          <w:highlight w:val="none"/>
        </w:rPr>
        <w:t>承诺</w:t>
      </w:r>
    </w:p>
    <w:p w14:paraId="671E8FE6">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eastAsia="zh-CN"/>
        </w:rPr>
        <w:t>五</w:t>
      </w:r>
      <w:r>
        <w:rPr>
          <w:rFonts w:ascii="宋体" w:hAnsi="宋体"/>
          <w:color w:val="auto"/>
          <w:szCs w:val="21"/>
          <w:highlight w:val="none"/>
        </w:rPr>
        <w:t>）其他资料</w:t>
      </w:r>
    </w:p>
    <w:p w14:paraId="25C256BD">
      <w:pPr>
        <w:spacing w:line="360" w:lineRule="auto"/>
        <w:jc w:val="center"/>
        <w:rPr>
          <w:rFonts w:ascii="宋体" w:hAnsi="宋体"/>
          <w:b/>
          <w:color w:val="auto"/>
          <w:kern w:val="0"/>
          <w:sz w:val="32"/>
          <w:szCs w:val="32"/>
          <w:highlight w:val="none"/>
        </w:rPr>
      </w:pPr>
    </w:p>
    <w:p w14:paraId="3B284E35">
      <w:pPr>
        <w:spacing w:line="360" w:lineRule="auto"/>
        <w:jc w:val="center"/>
        <w:rPr>
          <w:rFonts w:ascii="宋体" w:hAnsi="宋体"/>
          <w:b/>
          <w:color w:val="auto"/>
          <w:kern w:val="0"/>
          <w:sz w:val="32"/>
          <w:szCs w:val="32"/>
          <w:highlight w:val="none"/>
        </w:rPr>
      </w:pPr>
    </w:p>
    <w:p w14:paraId="151C9D65">
      <w:pPr>
        <w:pStyle w:val="5"/>
        <w:jc w:val="center"/>
        <w:rPr>
          <w:rFonts w:ascii="宋体" w:hAnsi="宋体"/>
          <w:snapToGrid w:val="0"/>
          <w:color w:val="auto"/>
          <w:kern w:val="0"/>
          <w:sz w:val="30"/>
          <w:szCs w:val="30"/>
          <w:highlight w:val="none"/>
        </w:rPr>
      </w:pPr>
      <w:r>
        <w:rPr>
          <w:rFonts w:ascii="宋体" w:hAnsi="宋体"/>
          <w:color w:val="auto"/>
          <w:highlight w:val="none"/>
        </w:rPr>
        <w:br w:type="page"/>
      </w:r>
      <w:bookmarkStart w:id="2248" w:name="_Toc5356"/>
      <w:bookmarkStart w:id="2249" w:name="_Toc5633"/>
      <w:bookmarkStart w:id="2250" w:name="_Toc277082657"/>
      <w:bookmarkStart w:id="2251" w:name="_Toc430530546"/>
      <w:bookmarkStart w:id="2252" w:name="_Toc287607883"/>
      <w:bookmarkStart w:id="2253" w:name="_Toc224103511"/>
      <w:bookmarkStart w:id="2254" w:name="_Toc287620830"/>
      <w:r>
        <w:rPr>
          <w:color w:val="auto"/>
          <w:sz w:val="30"/>
          <w:szCs w:val="30"/>
          <w:highlight w:val="none"/>
        </w:rPr>
        <w:t>（一）</w:t>
      </w:r>
      <w:r>
        <w:rPr>
          <w:rFonts w:hint="eastAsia"/>
          <w:color w:val="auto"/>
          <w:sz w:val="30"/>
          <w:szCs w:val="30"/>
          <w:highlight w:val="none"/>
        </w:rPr>
        <w:t>法定代表人身份证明或附有法定代表人身份证明的授权委托书</w:t>
      </w:r>
      <w:bookmarkEnd w:id="2248"/>
      <w:bookmarkEnd w:id="2249"/>
    </w:p>
    <w:p w14:paraId="034C78A3">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0FB836D6">
      <w:pPr>
        <w:spacing w:line="480" w:lineRule="auto"/>
        <w:jc w:val="center"/>
        <w:rPr>
          <w:rFonts w:ascii="宋体" w:hAnsi="宋体"/>
          <w:color w:val="auto"/>
          <w:highlight w:val="none"/>
        </w:rPr>
      </w:pPr>
    </w:p>
    <w:p w14:paraId="78F033E6">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31CF2A8B">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BEED354">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9BC00C1">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086C9562">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426825AF">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36974976">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1515F492">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00CF64E1">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附：法定代表人身份证明复印件（双面）</w:t>
      </w:r>
    </w:p>
    <w:p w14:paraId="5D04BCFA">
      <w:pPr>
        <w:autoSpaceDE w:val="0"/>
        <w:autoSpaceDN w:val="0"/>
        <w:adjustRightInd w:val="0"/>
        <w:snapToGrid w:val="0"/>
        <w:spacing w:line="360" w:lineRule="auto"/>
        <w:jc w:val="left"/>
        <w:rPr>
          <w:rFonts w:hint="eastAsia" w:ascii="宋体" w:hAnsi="宋体"/>
          <w:color w:val="auto"/>
          <w:szCs w:val="21"/>
          <w:highlight w:val="none"/>
        </w:rPr>
      </w:pPr>
    </w:p>
    <w:p w14:paraId="5BC4D5CB">
      <w:pPr>
        <w:pStyle w:val="2"/>
        <w:spacing w:after="0" w:line="360" w:lineRule="auto"/>
        <w:rPr>
          <w:rFonts w:hint="eastAsia" w:ascii="宋体" w:hAnsi="宋体"/>
          <w:color w:val="auto"/>
          <w:szCs w:val="21"/>
          <w:highlight w:val="none"/>
        </w:rPr>
      </w:pPr>
    </w:p>
    <w:p w14:paraId="0EE3F06C">
      <w:pPr>
        <w:pStyle w:val="2"/>
        <w:spacing w:after="0" w:line="360" w:lineRule="auto"/>
        <w:rPr>
          <w:rFonts w:hint="eastAsia" w:ascii="宋体" w:hAnsi="宋体"/>
          <w:color w:val="auto"/>
          <w:szCs w:val="21"/>
          <w:highlight w:val="none"/>
        </w:rPr>
      </w:pPr>
    </w:p>
    <w:p w14:paraId="19EA9F9C">
      <w:pPr>
        <w:pStyle w:val="2"/>
        <w:spacing w:after="0" w:line="360" w:lineRule="auto"/>
        <w:rPr>
          <w:rFonts w:hint="eastAsia" w:ascii="宋体" w:hAnsi="宋体"/>
          <w:color w:val="auto"/>
          <w:szCs w:val="21"/>
          <w:highlight w:val="none"/>
        </w:rPr>
      </w:pPr>
    </w:p>
    <w:p w14:paraId="3924840E">
      <w:pPr>
        <w:pStyle w:val="2"/>
        <w:spacing w:after="0" w:line="360" w:lineRule="auto"/>
        <w:rPr>
          <w:rFonts w:hint="eastAsia" w:ascii="宋体" w:hAnsi="宋体"/>
          <w:color w:val="auto"/>
          <w:szCs w:val="21"/>
          <w:highlight w:val="none"/>
        </w:rPr>
      </w:pPr>
    </w:p>
    <w:p w14:paraId="7D6B4E80">
      <w:pPr>
        <w:pStyle w:val="2"/>
        <w:spacing w:after="0" w:line="360" w:lineRule="auto"/>
        <w:rPr>
          <w:rFonts w:ascii="宋体" w:hAnsi="宋体"/>
          <w:color w:val="auto"/>
          <w:szCs w:val="21"/>
          <w:highlight w:val="none"/>
        </w:rPr>
      </w:pPr>
    </w:p>
    <w:p w14:paraId="1D00C86A">
      <w:pPr>
        <w:autoSpaceDE w:val="0"/>
        <w:autoSpaceDN w:val="0"/>
        <w:adjustRightInd w:val="0"/>
        <w:snapToGrid w:val="0"/>
        <w:spacing w:line="480" w:lineRule="auto"/>
        <w:ind w:firstLine="810" w:firstLineChars="386"/>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60B24D2D">
      <w:pPr>
        <w:autoSpaceDE w:val="0"/>
        <w:autoSpaceDN w:val="0"/>
        <w:adjustRightInd w:val="0"/>
        <w:snapToGrid w:val="0"/>
        <w:spacing w:line="480" w:lineRule="auto"/>
        <w:jc w:val="left"/>
        <w:rPr>
          <w:rFonts w:ascii="宋体" w:hAnsi="宋体"/>
          <w:color w:val="auto"/>
          <w:kern w:val="0"/>
          <w:sz w:val="20"/>
          <w:szCs w:val="20"/>
          <w:highlight w:val="none"/>
        </w:rPr>
      </w:pPr>
    </w:p>
    <w:p w14:paraId="0A3E3CDC">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49E9229D">
      <w:pPr>
        <w:autoSpaceDE w:val="0"/>
        <w:autoSpaceDN w:val="0"/>
        <w:adjustRightInd w:val="0"/>
        <w:snapToGrid w:val="0"/>
        <w:spacing w:line="360" w:lineRule="auto"/>
        <w:jc w:val="left"/>
        <w:rPr>
          <w:rFonts w:ascii="宋体" w:hAnsi="宋体"/>
          <w:color w:val="auto"/>
          <w:kern w:val="0"/>
          <w:highlight w:val="none"/>
        </w:rPr>
      </w:pPr>
    </w:p>
    <w:p w14:paraId="534D1551">
      <w:pPr>
        <w:autoSpaceDE w:val="0"/>
        <w:autoSpaceDN w:val="0"/>
        <w:adjustRightInd w:val="0"/>
        <w:snapToGrid w:val="0"/>
        <w:spacing w:line="360" w:lineRule="auto"/>
        <w:jc w:val="left"/>
        <w:rPr>
          <w:rFonts w:ascii="宋体" w:hAnsi="宋体"/>
          <w:color w:val="auto"/>
          <w:kern w:val="0"/>
          <w:highlight w:val="none"/>
        </w:rPr>
      </w:pPr>
    </w:p>
    <w:p w14:paraId="6D747FD0">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color w:val="auto"/>
          <w:highlight w:val="none"/>
        </w:rPr>
        <w:t>注：法定代表人身份证明需按上述格式填写完整，不可缺少内容。在此基础上增加内容的不影响其有效性</w:t>
      </w:r>
      <w:bookmarkEnd w:id="2250"/>
      <w:bookmarkEnd w:id="2251"/>
      <w:bookmarkEnd w:id="2252"/>
      <w:bookmarkEnd w:id="2253"/>
      <w:bookmarkEnd w:id="2254"/>
      <w:r>
        <w:rPr>
          <w:rFonts w:hint="eastAsia" w:ascii="宋体" w:hAnsi="宋体"/>
          <w:color w:val="auto"/>
          <w:kern w:val="0"/>
          <w:szCs w:val="21"/>
          <w:highlight w:val="none"/>
        </w:rPr>
        <w:t>。</w:t>
      </w:r>
    </w:p>
    <w:p w14:paraId="46989C9C">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0"/>
          <w:szCs w:val="20"/>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4573554C">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14:paraId="2BC74221">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5446115C">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r>
        <w:rPr>
          <w:rFonts w:ascii="宋体" w:hAnsi="宋体"/>
          <w:color w:val="auto"/>
          <w:kern w:val="0"/>
          <w:szCs w:val="21"/>
          <w:highlight w:val="none"/>
        </w:rPr>
        <w:t>代理人无转委托权。</w:t>
      </w:r>
    </w:p>
    <w:p w14:paraId="2342E80F">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color w:val="auto"/>
          <w:kern w:val="0"/>
          <w:szCs w:val="21"/>
          <w:highlight w:val="none"/>
        </w:rPr>
      </w:pPr>
    </w:p>
    <w:p w14:paraId="6FF1DD6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45BDDAA9">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4A0175E4">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02465E6D">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14C24014">
      <w:pPr>
        <w:tabs>
          <w:tab w:val="left" w:pos="6825"/>
        </w:tabs>
        <w:autoSpaceDE w:val="0"/>
        <w:autoSpaceDN w:val="0"/>
        <w:adjustRightInd w:val="0"/>
        <w:snapToGrid w:val="0"/>
        <w:spacing w:line="480" w:lineRule="auto"/>
        <w:ind w:firstLine="420" w:firstLineChars="200"/>
        <w:jc w:val="left"/>
        <w:rPr>
          <w:rFonts w:hint="eastAsia"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64018B20">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5F725AB0">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14:paraId="6FC827F3">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附：法定代表人和委托代理人身份证明复印件（双面）</w:t>
      </w:r>
    </w:p>
    <w:p w14:paraId="11DA3A3B">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C02C7B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262EC2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088D782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307C2AC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EA6276F">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p>
    <w:p w14:paraId="098A4C08">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46299ED7">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kern w:val="0"/>
          <w:szCs w:val="21"/>
          <w:highlight w:val="none"/>
        </w:rPr>
      </w:pPr>
    </w:p>
    <w:p w14:paraId="4858E17C">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1CA5EE08">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2、法定代表人身份证明及授权委托书原件装入投标文件一并递交。另外须准备一份授权委托书原件在开标现场出具。</w:t>
      </w:r>
    </w:p>
    <w:p w14:paraId="5AD3B2C0">
      <w:pPr>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3.</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3C410743">
      <w:pPr>
        <w:pStyle w:val="5"/>
        <w:spacing w:before="0" w:after="0" w:line="240" w:lineRule="auto"/>
        <w:jc w:val="center"/>
        <w:rPr>
          <w:rFonts w:ascii="宋体" w:hAnsi="宋体"/>
          <w:color w:val="auto"/>
          <w:highlight w:val="none"/>
        </w:rPr>
      </w:pPr>
      <w:bookmarkStart w:id="2255" w:name="_Toc9407"/>
      <w:bookmarkStart w:id="2256" w:name="_Toc287607887"/>
      <w:bookmarkStart w:id="2257" w:name="_Toc277082659"/>
      <w:r>
        <w:rPr>
          <w:rFonts w:hint="eastAsia" w:ascii="宋体" w:hAnsi="宋体"/>
          <w:b w:val="0"/>
          <w:bCs w:val="0"/>
          <w:color w:val="auto"/>
          <w:highlight w:val="none"/>
        </w:rPr>
        <w:t>（</w:t>
      </w:r>
      <w:r>
        <w:rPr>
          <w:rFonts w:hint="eastAsia" w:ascii="宋体" w:hAnsi="宋体"/>
          <w:b w:val="0"/>
          <w:bCs w:val="0"/>
          <w:color w:val="auto"/>
          <w:highlight w:val="none"/>
          <w:lang w:eastAsia="zh-CN"/>
        </w:rPr>
        <w:t>二</w:t>
      </w:r>
      <w:r>
        <w:rPr>
          <w:rFonts w:hint="eastAsia" w:ascii="宋体" w:hAnsi="宋体"/>
          <w:b w:val="0"/>
          <w:bCs w:val="0"/>
          <w:color w:val="auto"/>
          <w:highlight w:val="none"/>
        </w:rPr>
        <w:t>）投标人基本情况表</w:t>
      </w:r>
      <w:bookmarkEnd w:id="2255"/>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54E862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C6695C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投标人名称</w:t>
            </w:r>
          </w:p>
        </w:tc>
        <w:tc>
          <w:tcPr>
            <w:tcW w:w="7607" w:type="dxa"/>
            <w:gridSpan w:val="9"/>
            <w:noWrap w:val="0"/>
            <w:vAlign w:val="center"/>
          </w:tcPr>
          <w:p w14:paraId="51384299">
            <w:pPr>
              <w:autoSpaceDE w:val="0"/>
              <w:autoSpaceDN w:val="0"/>
              <w:adjustRightInd w:val="0"/>
              <w:snapToGrid w:val="0"/>
              <w:jc w:val="center"/>
              <w:rPr>
                <w:rFonts w:ascii="宋体" w:hAnsi="宋体"/>
                <w:color w:val="auto"/>
                <w:kern w:val="0"/>
                <w:szCs w:val="21"/>
                <w:highlight w:val="none"/>
              </w:rPr>
            </w:pPr>
          </w:p>
        </w:tc>
      </w:tr>
      <w:tr w14:paraId="2618A8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737D75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注册地址</w:t>
            </w:r>
          </w:p>
        </w:tc>
        <w:tc>
          <w:tcPr>
            <w:tcW w:w="3450" w:type="dxa"/>
            <w:gridSpan w:val="5"/>
            <w:noWrap w:val="0"/>
            <w:vAlign w:val="center"/>
          </w:tcPr>
          <w:p w14:paraId="1A05A42C">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5F82C3B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邮政编码</w:t>
            </w:r>
          </w:p>
        </w:tc>
        <w:tc>
          <w:tcPr>
            <w:tcW w:w="2765" w:type="dxa"/>
            <w:gridSpan w:val="3"/>
            <w:noWrap w:val="0"/>
            <w:vAlign w:val="center"/>
          </w:tcPr>
          <w:p w14:paraId="0A68EFDA">
            <w:pPr>
              <w:autoSpaceDE w:val="0"/>
              <w:autoSpaceDN w:val="0"/>
              <w:adjustRightInd w:val="0"/>
              <w:snapToGrid w:val="0"/>
              <w:jc w:val="center"/>
              <w:rPr>
                <w:rFonts w:ascii="宋体" w:hAnsi="宋体"/>
                <w:color w:val="auto"/>
                <w:kern w:val="0"/>
                <w:szCs w:val="21"/>
                <w:highlight w:val="none"/>
              </w:rPr>
            </w:pPr>
          </w:p>
        </w:tc>
      </w:tr>
      <w:tr w14:paraId="108F87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noWrap w:val="0"/>
            <w:vAlign w:val="center"/>
          </w:tcPr>
          <w:p w14:paraId="5332304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联系方式</w:t>
            </w:r>
          </w:p>
        </w:tc>
        <w:tc>
          <w:tcPr>
            <w:tcW w:w="967" w:type="dxa"/>
            <w:noWrap w:val="0"/>
            <w:vAlign w:val="center"/>
          </w:tcPr>
          <w:p w14:paraId="2D92A9A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联系人</w:t>
            </w:r>
          </w:p>
        </w:tc>
        <w:tc>
          <w:tcPr>
            <w:tcW w:w="2483" w:type="dxa"/>
            <w:gridSpan w:val="4"/>
            <w:noWrap w:val="0"/>
            <w:vAlign w:val="center"/>
          </w:tcPr>
          <w:p w14:paraId="1B4B885B">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6F202BF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电话</w:t>
            </w:r>
          </w:p>
        </w:tc>
        <w:tc>
          <w:tcPr>
            <w:tcW w:w="2765" w:type="dxa"/>
            <w:gridSpan w:val="3"/>
            <w:noWrap w:val="0"/>
            <w:vAlign w:val="center"/>
          </w:tcPr>
          <w:p w14:paraId="4A14DB35">
            <w:pPr>
              <w:autoSpaceDE w:val="0"/>
              <w:autoSpaceDN w:val="0"/>
              <w:adjustRightInd w:val="0"/>
              <w:snapToGrid w:val="0"/>
              <w:jc w:val="center"/>
              <w:rPr>
                <w:rFonts w:ascii="宋体" w:hAnsi="宋体"/>
                <w:color w:val="auto"/>
                <w:kern w:val="0"/>
                <w:szCs w:val="21"/>
                <w:highlight w:val="none"/>
              </w:rPr>
            </w:pPr>
          </w:p>
        </w:tc>
      </w:tr>
      <w:tr w14:paraId="672D0E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noWrap w:val="0"/>
            <w:vAlign w:val="center"/>
          </w:tcPr>
          <w:p w14:paraId="2E5C41EC">
            <w:pPr>
              <w:autoSpaceDE w:val="0"/>
              <w:autoSpaceDN w:val="0"/>
              <w:adjustRightInd w:val="0"/>
              <w:snapToGrid w:val="0"/>
              <w:jc w:val="center"/>
              <w:rPr>
                <w:rFonts w:ascii="宋体" w:hAnsi="宋体"/>
                <w:color w:val="auto"/>
                <w:kern w:val="0"/>
                <w:szCs w:val="21"/>
                <w:highlight w:val="none"/>
              </w:rPr>
            </w:pPr>
          </w:p>
        </w:tc>
        <w:tc>
          <w:tcPr>
            <w:tcW w:w="967" w:type="dxa"/>
            <w:noWrap w:val="0"/>
            <w:vAlign w:val="center"/>
          </w:tcPr>
          <w:p w14:paraId="4DB2A1BE">
            <w:pPr>
              <w:tabs>
                <w:tab w:val="left" w:pos="5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传  真</w:t>
            </w:r>
          </w:p>
        </w:tc>
        <w:tc>
          <w:tcPr>
            <w:tcW w:w="2483" w:type="dxa"/>
            <w:gridSpan w:val="4"/>
            <w:noWrap w:val="0"/>
            <w:vAlign w:val="center"/>
          </w:tcPr>
          <w:p w14:paraId="5A84B836">
            <w:pPr>
              <w:autoSpaceDE w:val="0"/>
              <w:autoSpaceDN w:val="0"/>
              <w:adjustRightInd w:val="0"/>
              <w:snapToGrid w:val="0"/>
              <w:jc w:val="center"/>
              <w:rPr>
                <w:rFonts w:ascii="宋体" w:hAnsi="宋体"/>
                <w:color w:val="auto"/>
                <w:kern w:val="0"/>
                <w:szCs w:val="21"/>
                <w:highlight w:val="none"/>
              </w:rPr>
            </w:pPr>
          </w:p>
        </w:tc>
        <w:tc>
          <w:tcPr>
            <w:tcW w:w="1392" w:type="dxa"/>
            <w:noWrap w:val="0"/>
            <w:vAlign w:val="center"/>
          </w:tcPr>
          <w:p w14:paraId="7D5B0A6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网址</w:t>
            </w:r>
          </w:p>
        </w:tc>
        <w:tc>
          <w:tcPr>
            <w:tcW w:w="2765" w:type="dxa"/>
            <w:gridSpan w:val="3"/>
            <w:noWrap w:val="0"/>
            <w:vAlign w:val="center"/>
          </w:tcPr>
          <w:p w14:paraId="1A0699F0">
            <w:pPr>
              <w:autoSpaceDE w:val="0"/>
              <w:autoSpaceDN w:val="0"/>
              <w:adjustRightInd w:val="0"/>
              <w:snapToGrid w:val="0"/>
              <w:jc w:val="center"/>
              <w:rPr>
                <w:rFonts w:ascii="宋体" w:hAnsi="宋体"/>
                <w:color w:val="auto"/>
                <w:kern w:val="0"/>
                <w:szCs w:val="21"/>
                <w:highlight w:val="none"/>
              </w:rPr>
            </w:pPr>
          </w:p>
        </w:tc>
      </w:tr>
      <w:tr w14:paraId="0306B1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7F5526C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组织结构</w:t>
            </w:r>
          </w:p>
        </w:tc>
        <w:tc>
          <w:tcPr>
            <w:tcW w:w="7607" w:type="dxa"/>
            <w:gridSpan w:val="9"/>
            <w:noWrap w:val="0"/>
            <w:vAlign w:val="center"/>
          </w:tcPr>
          <w:p w14:paraId="494C25C9">
            <w:pPr>
              <w:autoSpaceDE w:val="0"/>
              <w:autoSpaceDN w:val="0"/>
              <w:adjustRightInd w:val="0"/>
              <w:snapToGrid w:val="0"/>
              <w:jc w:val="center"/>
              <w:rPr>
                <w:rFonts w:ascii="宋体" w:hAnsi="宋体"/>
                <w:color w:val="auto"/>
                <w:kern w:val="0"/>
                <w:szCs w:val="21"/>
                <w:highlight w:val="none"/>
              </w:rPr>
            </w:pPr>
          </w:p>
        </w:tc>
      </w:tr>
      <w:tr w14:paraId="40D7BD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177AE9D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法定代表人</w:t>
            </w:r>
          </w:p>
        </w:tc>
        <w:tc>
          <w:tcPr>
            <w:tcW w:w="967" w:type="dxa"/>
            <w:noWrap w:val="0"/>
            <w:vAlign w:val="center"/>
          </w:tcPr>
          <w:p w14:paraId="7A53A12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4B85EA6E">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7F79B79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59D8E993">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0D242A1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056D3961">
            <w:pPr>
              <w:autoSpaceDE w:val="0"/>
              <w:autoSpaceDN w:val="0"/>
              <w:adjustRightInd w:val="0"/>
              <w:snapToGrid w:val="0"/>
              <w:jc w:val="center"/>
              <w:rPr>
                <w:rFonts w:ascii="宋体" w:hAnsi="宋体"/>
                <w:color w:val="auto"/>
                <w:kern w:val="0"/>
                <w:szCs w:val="21"/>
                <w:highlight w:val="none"/>
              </w:rPr>
            </w:pPr>
          </w:p>
        </w:tc>
      </w:tr>
      <w:tr w14:paraId="20254F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6AED1F0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技术负责人</w:t>
            </w:r>
          </w:p>
        </w:tc>
        <w:tc>
          <w:tcPr>
            <w:tcW w:w="967" w:type="dxa"/>
            <w:noWrap w:val="0"/>
            <w:vAlign w:val="center"/>
          </w:tcPr>
          <w:p w14:paraId="2C6F7EA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noWrap w:val="0"/>
            <w:vAlign w:val="center"/>
          </w:tcPr>
          <w:p w14:paraId="04278F4C">
            <w:pPr>
              <w:autoSpaceDE w:val="0"/>
              <w:autoSpaceDN w:val="0"/>
              <w:adjustRightInd w:val="0"/>
              <w:snapToGrid w:val="0"/>
              <w:jc w:val="center"/>
              <w:rPr>
                <w:rFonts w:ascii="宋体" w:hAnsi="宋体"/>
                <w:color w:val="auto"/>
                <w:kern w:val="0"/>
                <w:szCs w:val="21"/>
                <w:highlight w:val="none"/>
              </w:rPr>
            </w:pPr>
          </w:p>
        </w:tc>
        <w:tc>
          <w:tcPr>
            <w:tcW w:w="1356" w:type="dxa"/>
            <w:gridSpan w:val="2"/>
            <w:noWrap w:val="0"/>
            <w:vAlign w:val="center"/>
          </w:tcPr>
          <w:p w14:paraId="0A45F43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noWrap w:val="0"/>
            <w:vAlign w:val="center"/>
          </w:tcPr>
          <w:p w14:paraId="275CA936">
            <w:pPr>
              <w:autoSpaceDE w:val="0"/>
              <w:autoSpaceDN w:val="0"/>
              <w:adjustRightInd w:val="0"/>
              <w:snapToGrid w:val="0"/>
              <w:jc w:val="center"/>
              <w:rPr>
                <w:rFonts w:ascii="宋体" w:hAnsi="宋体"/>
                <w:color w:val="auto"/>
                <w:kern w:val="0"/>
                <w:szCs w:val="21"/>
                <w:highlight w:val="none"/>
              </w:rPr>
            </w:pPr>
          </w:p>
        </w:tc>
        <w:tc>
          <w:tcPr>
            <w:tcW w:w="925" w:type="dxa"/>
            <w:noWrap w:val="0"/>
            <w:vAlign w:val="center"/>
          </w:tcPr>
          <w:p w14:paraId="0CA422B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noWrap w:val="0"/>
            <w:vAlign w:val="center"/>
          </w:tcPr>
          <w:p w14:paraId="1A2874CD">
            <w:pPr>
              <w:autoSpaceDE w:val="0"/>
              <w:autoSpaceDN w:val="0"/>
              <w:adjustRightInd w:val="0"/>
              <w:snapToGrid w:val="0"/>
              <w:jc w:val="center"/>
              <w:rPr>
                <w:rFonts w:ascii="宋体" w:hAnsi="宋体"/>
                <w:color w:val="auto"/>
                <w:kern w:val="0"/>
                <w:szCs w:val="21"/>
                <w:highlight w:val="none"/>
              </w:rPr>
            </w:pPr>
          </w:p>
        </w:tc>
      </w:tr>
      <w:tr w14:paraId="036638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4E3158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成立时间</w:t>
            </w:r>
          </w:p>
        </w:tc>
        <w:tc>
          <w:tcPr>
            <w:tcW w:w="1991" w:type="dxa"/>
            <w:gridSpan w:val="2"/>
            <w:noWrap w:val="0"/>
            <w:vAlign w:val="center"/>
          </w:tcPr>
          <w:p w14:paraId="39CA6039">
            <w:pPr>
              <w:autoSpaceDE w:val="0"/>
              <w:autoSpaceDN w:val="0"/>
              <w:adjustRightInd w:val="0"/>
              <w:snapToGrid w:val="0"/>
              <w:jc w:val="center"/>
              <w:rPr>
                <w:rFonts w:ascii="宋体" w:hAnsi="宋体"/>
                <w:color w:val="auto"/>
                <w:kern w:val="0"/>
                <w:szCs w:val="21"/>
                <w:highlight w:val="none"/>
              </w:rPr>
            </w:pPr>
          </w:p>
        </w:tc>
        <w:tc>
          <w:tcPr>
            <w:tcW w:w="5616" w:type="dxa"/>
            <w:gridSpan w:val="7"/>
            <w:noWrap w:val="0"/>
            <w:vAlign w:val="center"/>
          </w:tcPr>
          <w:p w14:paraId="17DB930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员工总人数：</w:t>
            </w:r>
          </w:p>
        </w:tc>
      </w:tr>
      <w:tr w14:paraId="362097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7CEBA38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企业资质等级</w:t>
            </w:r>
          </w:p>
        </w:tc>
        <w:tc>
          <w:tcPr>
            <w:tcW w:w="1991" w:type="dxa"/>
            <w:gridSpan w:val="2"/>
            <w:noWrap w:val="0"/>
            <w:vAlign w:val="center"/>
          </w:tcPr>
          <w:p w14:paraId="01755E78">
            <w:pPr>
              <w:autoSpaceDE w:val="0"/>
              <w:autoSpaceDN w:val="0"/>
              <w:adjustRightInd w:val="0"/>
              <w:snapToGrid w:val="0"/>
              <w:jc w:val="center"/>
              <w:rPr>
                <w:rFonts w:ascii="宋体" w:hAnsi="宋体"/>
                <w:color w:val="auto"/>
                <w:kern w:val="0"/>
                <w:szCs w:val="21"/>
                <w:highlight w:val="none"/>
              </w:rPr>
            </w:pPr>
          </w:p>
        </w:tc>
        <w:tc>
          <w:tcPr>
            <w:tcW w:w="904" w:type="dxa"/>
            <w:vMerge w:val="restart"/>
            <w:noWrap w:val="0"/>
            <w:vAlign w:val="center"/>
          </w:tcPr>
          <w:p w14:paraId="7DC3969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其中</w:t>
            </w:r>
          </w:p>
        </w:tc>
        <w:tc>
          <w:tcPr>
            <w:tcW w:w="2476" w:type="dxa"/>
            <w:gridSpan w:val="4"/>
            <w:noWrap w:val="0"/>
            <w:vAlign w:val="center"/>
          </w:tcPr>
          <w:p w14:paraId="7995284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项目经理</w:t>
            </w:r>
          </w:p>
        </w:tc>
        <w:tc>
          <w:tcPr>
            <w:tcW w:w="2236" w:type="dxa"/>
            <w:gridSpan w:val="2"/>
            <w:noWrap w:val="0"/>
            <w:vAlign w:val="center"/>
          </w:tcPr>
          <w:p w14:paraId="10D8200E">
            <w:pPr>
              <w:autoSpaceDE w:val="0"/>
              <w:autoSpaceDN w:val="0"/>
              <w:adjustRightInd w:val="0"/>
              <w:snapToGrid w:val="0"/>
              <w:jc w:val="center"/>
              <w:rPr>
                <w:rFonts w:ascii="宋体" w:hAnsi="宋体"/>
                <w:color w:val="auto"/>
                <w:kern w:val="0"/>
                <w:szCs w:val="21"/>
                <w:highlight w:val="none"/>
              </w:rPr>
            </w:pPr>
          </w:p>
        </w:tc>
      </w:tr>
      <w:tr w14:paraId="352B20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F037D5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营业执照号</w:t>
            </w:r>
          </w:p>
        </w:tc>
        <w:tc>
          <w:tcPr>
            <w:tcW w:w="1991" w:type="dxa"/>
            <w:gridSpan w:val="2"/>
            <w:noWrap w:val="0"/>
            <w:vAlign w:val="center"/>
          </w:tcPr>
          <w:p w14:paraId="408B4668">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279A788F">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7E2E749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高级职称人员</w:t>
            </w:r>
          </w:p>
        </w:tc>
        <w:tc>
          <w:tcPr>
            <w:tcW w:w="2236" w:type="dxa"/>
            <w:gridSpan w:val="2"/>
            <w:noWrap w:val="0"/>
            <w:vAlign w:val="center"/>
          </w:tcPr>
          <w:p w14:paraId="68341A3C">
            <w:pPr>
              <w:autoSpaceDE w:val="0"/>
              <w:autoSpaceDN w:val="0"/>
              <w:adjustRightInd w:val="0"/>
              <w:snapToGrid w:val="0"/>
              <w:jc w:val="center"/>
              <w:rPr>
                <w:rFonts w:ascii="宋体" w:hAnsi="宋体"/>
                <w:color w:val="auto"/>
                <w:kern w:val="0"/>
                <w:szCs w:val="21"/>
                <w:highlight w:val="none"/>
              </w:rPr>
            </w:pPr>
          </w:p>
        </w:tc>
      </w:tr>
      <w:tr w14:paraId="6507A5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E92D22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注册资金</w:t>
            </w:r>
          </w:p>
        </w:tc>
        <w:tc>
          <w:tcPr>
            <w:tcW w:w="1991" w:type="dxa"/>
            <w:gridSpan w:val="2"/>
            <w:noWrap w:val="0"/>
            <w:vAlign w:val="center"/>
          </w:tcPr>
          <w:p w14:paraId="5819056A">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0531199D">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63735F1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中级职称人员</w:t>
            </w:r>
          </w:p>
        </w:tc>
        <w:tc>
          <w:tcPr>
            <w:tcW w:w="2236" w:type="dxa"/>
            <w:gridSpan w:val="2"/>
            <w:noWrap w:val="0"/>
            <w:vAlign w:val="center"/>
          </w:tcPr>
          <w:p w14:paraId="7FF6A247">
            <w:pPr>
              <w:autoSpaceDE w:val="0"/>
              <w:autoSpaceDN w:val="0"/>
              <w:adjustRightInd w:val="0"/>
              <w:snapToGrid w:val="0"/>
              <w:jc w:val="center"/>
              <w:rPr>
                <w:rFonts w:ascii="宋体" w:hAnsi="宋体"/>
                <w:color w:val="auto"/>
                <w:kern w:val="0"/>
                <w:szCs w:val="21"/>
                <w:highlight w:val="none"/>
              </w:rPr>
            </w:pPr>
          </w:p>
        </w:tc>
      </w:tr>
      <w:tr w14:paraId="7804D0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F874CA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开户银行</w:t>
            </w:r>
          </w:p>
        </w:tc>
        <w:tc>
          <w:tcPr>
            <w:tcW w:w="1991" w:type="dxa"/>
            <w:gridSpan w:val="2"/>
            <w:noWrap w:val="0"/>
            <w:vAlign w:val="center"/>
          </w:tcPr>
          <w:p w14:paraId="0E5F9BFA">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72F9B98C">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240C0D0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初级职称人员</w:t>
            </w:r>
          </w:p>
        </w:tc>
        <w:tc>
          <w:tcPr>
            <w:tcW w:w="2236" w:type="dxa"/>
            <w:gridSpan w:val="2"/>
            <w:noWrap w:val="0"/>
            <w:vAlign w:val="center"/>
          </w:tcPr>
          <w:p w14:paraId="1E730E34">
            <w:pPr>
              <w:autoSpaceDE w:val="0"/>
              <w:autoSpaceDN w:val="0"/>
              <w:adjustRightInd w:val="0"/>
              <w:snapToGrid w:val="0"/>
              <w:jc w:val="center"/>
              <w:rPr>
                <w:rFonts w:ascii="宋体" w:hAnsi="宋体"/>
                <w:color w:val="auto"/>
                <w:kern w:val="0"/>
                <w:szCs w:val="21"/>
                <w:highlight w:val="none"/>
              </w:rPr>
            </w:pPr>
          </w:p>
        </w:tc>
      </w:tr>
      <w:tr w14:paraId="00DD57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1C607F55">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noWrap w:val="0"/>
            <w:vAlign w:val="center"/>
          </w:tcPr>
          <w:p w14:paraId="0BB2ED36">
            <w:pPr>
              <w:autoSpaceDE w:val="0"/>
              <w:autoSpaceDN w:val="0"/>
              <w:adjustRightInd w:val="0"/>
              <w:snapToGrid w:val="0"/>
              <w:jc w:val="center"/>
              <w:rPr>
                <w:rFonts w:ascii="宋体" w:hAnsi="宋体"/>
                <w:color w:val="auto"/>
                <w:kern w:val="0"/>
                <w:szCs w:val="21"/>
                <w:highlight w:val="none"/>
              </w:rPr>
            </w:pPr>
          </w:p>
        </w:tc>
        <w:tc>
          <w:tcPr>
            <w:tcW w:w="904" w:type="dxa"/>
            <w:vMerge w:val="continue"/>
            <w:noWrap w:val="0"/>
            <w:vAlign w:val="center"/>
          </w:tcPr>
          <w:p w14:paraId="016DE05C">
            <w:pPr>
              <w:autoSpaceDE w:val="0"/>
              <w:autoSpaceDN w:val="0"/>
              <w:adjustRightInd w:val="0"/>
              <w:snapToGrid w:val="0"/>
              <w:jc w:val="center"/>
              <w:rPr>
                <w:rFonts w:ascii="宋体" w:hAnsi="宋体"/>
                <w:color w:val="auto"/>
                <w:kern w:val="0"/>
                <w:szCs w:val="21"/>
                <w:highlight w:val="none"/>
              </w:rPr>
            </w:pPr>
          </w:p>
        </w:tc>
        <w:tc>
          <w:tcPr>
            <w:tcW w:w="2476" w:type="dxa"/>
            <w:gridSpan w:val="4"/>
            <w:noWrap w:val="0"/>
            <w:vAlign w:val="center"/>
          </w:tcPr>
          <w:p w14:paraId="29C103C2">
            <w:pPr>
              <w:tabs>
                <w:tab w:val="left" w:pos="12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w:t>
            </w:r>
            <w:r>
              <w:rPr>
                <w:rFonts w:ascii="宋体" w:hAnsi="宋体"/>
                <w:color w:val="auto"/>
                <w:kern w:val="0"/>
                <w:szCs w:val="21"/>
                <w:highlight w:val="none"/>
              </w:rPr>
              <w:tab/>
            </w:r>
            <w:r>
              <w:rPr>
                <w:rFonts w:hint="eastAsia" w:ascii="宋体" w:hAnsi="宋体" w:cs="MingLiU"/>
                <w:color w:val="auto"/>
                <w:kern w:val="0"/>
                <w:szCs w:val="21"/>
                <w:highlight w:val="none"/>
              </w:rPr>
              <w:t>工</w:t>
            </w:r>
          </w:p>
        </w:tc>
        <w:tc>
          <w:tcPr>
            <w:tcW w:w="2236" w:type="dxa"/>
            <w:gridSpan w:val="2"/>
            <w:noWrap w:val="0"/>
            <w:vAlign w:val="center"/>
          </w:tcPr>
          <w:p w14:paraId="79A1B9ED">
            <w:pPr>
              <w:autoSpaceDE w:val="0"/>
              <w:autoSpaceDN w:val="0"/>
              <w:adjustRightInd w:val="0"/>
              <w:snapToGrid w:val="0"/>
              <w:jc w:val="center"/>
              <w:rPr>
                <w:rFonts w:ascii="宋体" w:hAnsi="宋体"/>
                <w:color w:val="auto"/>
                <w:kern w:val="0"/>
                <w:szCs w:val="21"/>
                <w:highlight w:val="none"/>
              </w:rPr>
            </w:pPr>
          </w:p>
        </w:tc>
      </w:tr>
      <w:tr w14:paraId="34DCE3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564977E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经营范围</w:t>
            </w:r>
          </w:p>
        </w:tc>
        <w:tc>
          <w:tcPr>
            <w:tcW w:w="7607" w:type="dxa"/>
            <w:gridSpan w:val="9"/>
            <w:noWrap w:val="0"/>
            <w:vAlign w:val="center"/>
          </w:tcPr>
          <w:p w14:paraId="0BE6A4C4">
            <w:pPr>
              <w:autoSpaceDE w:val="0"/>
              <w:autoSpaceDN w:val="0"/>
              <w:adjustRightInd w:val="0"/>
              <w:snapToGrid w:val="0"/>
              <w:jc w:val="center"/>
              <w:rPr>
                <w:rFonts w:ascii="宋体" w:hAnsi="宋体"/>
                <w:color w:val="auto"/>
                <w:kern w:val="0"/>
                <w:szCs w:val="21"/>
                <w:highlight w:val="none"/>
              </w:rPr>
            </w:pPr>
          </w:p>
        </w:tc>
      </w:tr>
      <w:tr w14:paraId="359C5C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14:paraId="343A1C8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c>
          <w:tcPr>
            <w:tcW w:w="7607" w:type="dxa"/>
            <w:gridSpan w:val="9"/>
            <w:noWrap w:val="0"/>
            <w:vAlign w:val="center"/>
          </w:tcPr>
          <w:p w14:paraId="27149AFB">
            <w:pPr>
              <w:autoSpaceDE w:val="0"/>
              <w:autoSpaceDN w:val="0"/>
              <w:adjustRightInd w:val="0"/>
              <w:snapToGrid w:val="0"/>
              <w:jc w:val="center"/>
              <w:rPr>
                <w:rFonts w:ascii="宋体" w:hAnsi="宋体"/>
                <w:color w:val="auto"/>
                <w:kern w:val="0"/>
                <w:szCs w:val="21"/>
                <w:highlight w:val="none"/>
              </w:rPr>
            </w:pPr>
          </w:p>
        </w:tc>
      </w:tr>
    </w:tbl>
    <w:p w14:paraId="7E388370">
      <w:pPr>
        <w:spacing w:line="360" w:lineRule="auto"/>
        <w:jc w:val="center"/>
        <w:rPr>
          <w:rFonts w:ascii="宋体" w:hAnsi="宋体"/>
          <w:color w:val="auto"/>
          <w:szCs w:val="21"/>
          <w:highlight w:val="none"/>
        </w:rPr>
      </w:pPr>
    </w:p>
    <w:p w14:paraId="1F20702C">
      <w:pPr>
        <w:pStyle w:val="5"/>
        <w:spacing w:before="0" w:after="0" w:line="240" w:lineRule="auto"/>
        <w:jc w:val="center"/>
        <w:rPr>
          <w:rFonts w:ascii="宋体" w:hAnsi="宋体"/>
          <w:b w:val="0"/>
          <w:bCs w:val="0"/>
          <w:color w:val="auto"/>
          <w:highlight w:val="none"/>
        </w:rPr>
      </w:pPr>
      <w:r>
        <w:rPr>
          <w:rFonts w:ascii="宋体" w:hAnsi="宋体"/>
          <w:color w:val="auto"/>
          <w:szCs w:val="21"/>
          <w:highlight w:val="none"/>
        </w:rPr>
        <w:br w:type="page"/>
      </w:r>
      <w:bookmarkStart w:id="2258" w:name="_Toc509218863"/>
      <w:bookmarkStart w:id="2259" w:name="_Toc30335"/>
      <w:bookmarkStart w:id="2260" w:name="_Toc534185840"/>
      <w:r>
        <w:rPr>
          <w:rFonts w:hint="eastAsia" w:ascii="宋体" w:hAnsi="宋体"/>
          <w:b w:val="0"/>
          <w:bCs w:val="0"/>
          <w:color w:val="auto"/>
          <w:highlight w:val="none"/>
        </w:rPr>
        <w:t>（</w:t>
      </w:r>
      <w:r>
        <w:rPr>
          <w:rFonts w:hint="eastAsia" w:ascii="宋体" w:hAnsi="宋体"/>
          <w:b w:val="0"/>
          <w:bCs w:val="0"/>
          <w:color w:val="auto"/>
          <w:highlight w:val="none"/>
          <w:lang w:eastAsia="zh-CN"/>
        </w:rPr>
        <w:t>三</w:t>
      </w:r>
      <w:r>
        <w:rPr>
          <w:rFonts w:hint="eastAsia" w:ascii="宋体" w:hAnsi="宋体"/>
          <w:b w:val="0"/>
          <w:bCs w:val="0"/>
          <w:color w:val="auto"/>
          <w:highlight w:val="none"/>
        </w:rPr>
        <w:t>）项目管理机构</w:t>
      </w:r>
      <w:bookmarkEnd w:id="2258"/>
      <w:bookmarkEnd w:id="2259"/>
      <w:bookmarkEnd w:id="2260"/>
    </w:p>
    <w:p w14:paraId="52C7D32E">
      <w:pPr>
        <w:spacing w:line="360" w:lineRule="auto"/>
        <w:rPr>
          <w:rFonts w:ascii="宋体" w:hAnsi="宋体"/>
          <w:color w:val="auto"/>
          <w:highlight w:val="none"/>
        </w:rPr>
      </w:pPr>
    </w:p>
    <w:p w14:paraId="6F3B18FC">
      <w:pPr>
        <w:autoSpaceDE w:val="0"/>
        <w:autoSpaceDN w:val="0"/>
        <w:adjustRightInd w:val="0"/>
        <w:snapToGrid w:val="0"/>
        <w:spacing w:line="360" w:lineRule="auto"/>
        <w:jc w:val="center"/>
        <w:rPr>
          <w:rFonts w:ascii="宋体" w:hAnsi="宋体" w:cs="MingLiU"/>
          <w:color w:val="auto"/>
          <w:kern w:val="0"/>
          <w:sz w:val="28"/>
          <w:szCs w:val="28"/>
          <w:highlight w:val="none"/>
        </w:rPr>
      </w:pPr>
      <w:r>
        <w:rPr>
          <w:rFonts w:hint="eastAsia" w:ascii="宋体" w:hAnsi="宋体" w:cs="MingLiU"/>
          <w:color w:val="auto"/>
          <w:kern w:val="0"/>
          <w:sz w:val="28"/>
          <w:szCs w:val="28"/>
          <w:highlight w:val="none"/>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5BF44D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noWrap w:val="0"/>
            <w:vAlign w:val="center"/>
          </w:tcPr>
          <w:p w14:paraId="62D4522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职务</w:t>
            </w:r>
          </w:p>
        </w:tc>
        <w:tc>
          <w:tcPr>
            <w:tcW w:w="734" w:type="dxa"/>
            <w:vMerge w:val="restart"/>
            <w:noWrap w:val="0"/>
            <w:vAlign w:val="center"/>
          </w:tcPr>
          <w:p w14:paraId="78BC1A7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姓名</w:t>
            </w:r>
          </w:p>
        </w:tc>
        <w:tc>
          <w:tcPr>
            <w:tcW w:w="776" w:type="dxa"/>
            <w:vMerge w:val="restart"/>
            <w:noWrap w:val="0"/>
            <w:vAlign w:val="center"/>
          </w:tcPr>
          <w:p w14:paraId="29E8D7E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职称</w:t>
            </w:r>
          </w:p>
        </w:tc>
        <w:tc>
          <w:tcPr>
            <w:tcW w:w="6220" w:type="dxa"/>
            <w:gridSpan w:val="5"/>
            <w:noWrap w:val="0"/>
            <w:vAlign w:val="center"/>
          </w:tcPr>
          <w:p w14:paraId="6E93AF5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执业或职业资格证明</w:t>
            </w:r>
          </w:p>
        </w:tc>
        <w:tc>
          <w:tcPr>
            <w:tcW w:w="896" w:type="dxa"/>
            <w:noWrap w:val="0"/>
            <w:vAlign w:val="center"/>
          </w:tcPr>
          <w:p w14:paraId="06EC812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r>
      <w:tr w14:paraId="6D2B9C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noWrap w:val="0"/>
            <w:vAlign w:val="top"/>
          </w:tcPr>
          <w:p w14:paraId="1D2B15D5">
            <w:pPr>
              <w:autoSpaceDE w:val="0"/>
              <w:autoSpaceDN w:val="0"/>
              <w:adjustRightInd w:val="0"/>
              <w:snapToGrid w:val="0"/>
              <w:jc w:val="left"/>
              <w:rPr>
                <w:rFonts w:ascii="宋体" w:hAnsi="宋体"/>
                <w:color w:val="auto"/>
                <w:kern w:val="0"/>
                <w:szCs w:val="21"/>
                <w:highlight w:val="none"/>
              </w:rPr>
            </w:pPr>
          </w:p>
        </w:tc>
        <w:tc>
          <w:tcPr>
            <w:tcW w:w="734" w:type="dxa"/>
            <w:vMerge w:val="continue"/>
            <w:noWrap w:val="0"/>
            <w:vAlign w:val="top"/>
          </w:tcPr>
          <w:p w14:paraId="03F4FF21">
            <w:pPr>
              <w:autoSpaceDE w:val="0"/>
              <w:autoSpaceDN w:val="0"/>
              <w:adjustRightInd w:val="0"/>
              <w:snapToGrid w:val="0"/>
              <w:jc w:val="left"/>
              <w:rPr>
                <w:rFonts w:ascii="宋体" w:hAnsi="宋体"/>
                <w:color w:val="auto"/>
                <w:kern w:val="0"/>
                <w:szCs w:val="21"/>
                <w:highlight w:val="none"/>
              </w:rPr>
            </w:pPr>
          </w:p>
        </w:tc>
        <w:tc>
          <w:tcPr>
            <w:tcW w:w="776" w:type="dxa"/>
            <w:vMerge w:val="continue"/>
            <w:noWrap w:val="0"/>
            <w:vAlign w:val="top"/>
          </w:tcPr>
          <w:p w14:paraId="2C3FB64B">
            <w:pPr>
              <w:autoSpaceDE w:val="0"/>
              <w:autoSpaceDN w:val="0"/>
              <w:adjustRightInd w:val="0"/>
              <w:snapToGrid w:val="0"/>
              <w:jc w:val="left"/>
              <w:rPr>
                <w:rFonts w:ascii="宋体" w:hAnsi="宋体"/>
                <w:color w:val="auto"/>
                <w:kern w:val="0"/>
                <w:szCs w:val="21"/>
                <w:highlight w:val="none"/>
              </w:rPr>
            </w:pPr>
          </w:p>
        </w:tc>
        <w:tc>
          <w:tcPr>
            <w:tcW w:w="1167" w:type="dxa"/>
            <w:noWrap w:val="0"/>
            <w:vAlign w:val="center"/>
          </w:tcPr>
          <w:p w14:paraId="257EFDD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证书名称</w:t>
            </w:r>
          </w:p>
        </w:tc>
        <w:tc>
          <w:tcPr>
            <w:tcW w:w="776" w:type="dxa"/>
            <w:noWrap w:val="0"/>
            <w:vAlign w:val="center"/>
          </w:tcPr>
          <w:p w14:paraId="1CB998A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级别</w:t>
            </w:r>
          </w:p>
        </w:tc>
        <w:tc>
          <w:tcPr>
            <w:tcW w:w="778" w:type="dxa"/>
            <w:noWrap w:val="0"/>
            <w:vAlign w:val="center"/>
          </w:tcPr>
          <w:p w14:paraId="73D3BE6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证号</w:t>
            </w:r>
          </w:p>
        </w:tc>
        <w:tc>
          <w:tcPr>
            <w:tcW w:w="776" w:type="dxa"/>
            <w:noWrap w:val="0"/>
            <w:vAlign w:val="center"/>
          </w:tcPr>
          <w:p w14:paraId="70DD2F7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专业</w:t>
            </w:r>
          </w:p>
        </w:tc>
        <w:tc>
          <w:tcPr>
            <w:tcW w:w="2723" w:type="dxa"/>
            <w:noWrap w:val="0"/>
            <w:vAlign w:val="center"/>
          </w:tcPr>
          <w:p w14:paraId="2C7670A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养老保险</w:t>
            </w:r>
          </w:p>
        </w:tc>
        <w:tc>
          <w:tcPr>
            <w:tcW w:w="896" w:type="dxa"/>
            <w:noWrap w:val="0"/>
            <w:vAlign w:val="top"/>
          </w:tcPr>
          <w:p w14:paraId="59B41DED">
            <w:pPr>
              <w:autoSpaceDE w:val="0"/>
              <w:autoSpaceDN w:val="0"/>
              <w:adjustRightInd w:val="0"/>
              <w:snapToGrid w:val="0"/>
              <w:jc w:val="left"/>
              <w:rPr>
                <w:rFonts w:ascii="宋体" w:hAnsi="宋体"/>
                <w:color w:val="auto"/>
                <w:kern w:val="0"/>
                <w:szCs w:val="21"/>
                <w:highlight w:val="none"/>
              </w:rPr>
            </w:pPr>
          </w:p>
        </w:tc>
      </w:tr>
      <w:tr w14:paraId="5F2A55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center"/>
          </w:tcPr>
          <w:p w14:paraId="783A2C12">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项目经理</w:t>
            </w:r>
          </w:p>
        </w:tc>
        <w:tc>
          <w:tcPr>
            <w:tcW w:w="734" w:type="dxa"/>
            <w:noWrap w:val="0"/>
            <w:vAlign w:val="top"/>
          </w:tcPr>
          <w:p w14:paraId="11FBD8B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9EF8FF7">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2D9BA9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3363705">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DEC3A0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3FC70F9">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7CA576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D84FBDC">
            <w:pPr>
              <w:autoSpaceDE w:val="0"/>
              <w:autoSpaceDN w:val="0"/>
              <w:adjustRightInd w:val="0"/>
              <w:snapToGrid w:val="0"/>
              <w:jc w:val="left"/>
              <w:rPr>
                <w:rFonts w:ascii="宋体" w:hAnsi="宋体"/>
                <w:color w:val="auto"/>
                <w:kern w:val="0"/>
                <w:szCs w:val="21"/>
                <w:highlight w:val="none"/>
              </w:rPr>
            </w:pPr>
          </w:p>
        </w:tc>
      </w:tr>
      <w:tr w14:paraId="0FAB8A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noWrap w:val="0"/>
            <w:vAlign w:val="center"/>
          </w:tcPr>
          <w:p w14:paraId="74D17EF4">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项目技术负责人</w:t>
            </w:r>
          </w:p>
        </w:tc>
        <w:tc>
          <w:tcPr>
            <w:tcW w:w="734" w:type="dxa"/>
            <w:noWrap w:val="0"/>
            <w:vAlign w:val="top"/>
          </w:tcPr>
          <w:p w14:paraId="6552173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9B20B60">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EAA27B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E597845">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8D6919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3EAC0B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29AFD9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4C2675E">
            <w:pPr>
              <w:autoSpaceDE w:val="0"/>
              <w:autoSpaceDN w:val="0"/>
              <w:adjustRightInd w:val="0"/>
              <w:snapToGrid w:val="0"/>
              <w:jc w:val="left"/>
              <w:rPr>
                <w:rFonts w:ascii="宋体" w:hAnsi="宋体"/>
                <w:color w:val="auto"/>
                <w:kern w:val="0"/>
                <w:szCs w:val="21"/>
                <w:highlight w:val="none"/>
              </w:rPr>
            </w:pPr>
          </w:p>
        </w:tc>
      </w:tr>
      <w:tr w14:paraId="1915C4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7E2DF2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A038C0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32C746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694CCAA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24803B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1FDFDB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180811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FDF35F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3DD4366">
            <w:pPr>
              <w:autoSpaceDE w:val="0"/>
              <w:autoSpaceDN w:val="0"/>
              <w:adjustRightInd w:val="0"/>
              <w:snapToGrid w:val="0"/>
              <w:jc w:val="left"/>
              <w:rPr>
                <w:rFonts w:ascii="宋体" w:hAnsi="宋体"/>
                <w:color w:val="auto"/>
                <w:kern w:val="0"/>
                <w:szCs w:val="21"/>
                <w:highlight w:val="none"/>
              </w:rPr>
            </w:pPr>
          </w:p>
        </w:tc>
      </w:tr>
      <w:tr w14:paraId="52E0FB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9DEDAC3">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1DEE5A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064BFDB">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6F3989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8DB93E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4536D11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34A4D1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B447F2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AD7D614">
            <w:pPr>
              <w:autoSpaceDE w:val="0"/>
              <w:autoSpaceDN w:val="0"/>
              <w:adjustRightInd w:val="0"/>
              <w:snapToGrid w:val="0"/>
              <w:jc w:val="left"/>
              <w:rPr>
                <w:rFonts w:ascii="宋体" w:hAnsi="宋体"/>
                <w:color w:val="auto"/>
                <w:kern w:val="0"/>
                <w:szCs w:val="21"/>
                <w:highlight w:val="none"/>
              </w:rPr>
            </w:pPr>
          </w:p>
        </w:tc>
      </w:tr>
      <w:tr w14:paraId="42584D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719D7598">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D39F7D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4800D6E">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D305A3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090EBE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93B6D0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193934F">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6F2462E9">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04A18318">
            <w:pPr>
              <w:autoSpaceDE w:val="0"/>
              <w:autoSpaceDN w:val="0"/>
              <w:adjustRightInd w:val="0"/>
              <w:snapToGrid w:val="0"/>
              <w:jc w:val="left"/>
              <w:rPr>
                <w:rFonts w:ascii="宋体" w:hAnsi="宋体"/>
                <w:color w:val="auto"/>
                <w:kern w:val="0"/>
                <w:szCs w:val="21"/>
                <w:highlight w:val="none"/>
              </w:rPr>
            </w:pPr>
          </w:p>
        </w:tc>
      </w:tr>
      <w:tr w14:paraId="0F4C56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02A4DE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F78ABC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8BFC848">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098BDF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9D7E14F">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794371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96CB2C4">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7C0E67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B840EE8">
            <w:pPr>
              <w:autoSpaceDE w:val="0"/>
              <w:autoSpaceDN w:val="0"/>
              <w:adjustRightInd w:val="0"/>
              <w:snapToGrid w:val="0"/>
              <w:jc w:val="left"/>
              <w:rPr>
                <w:rFonts w:ascii="宋体" w:hAnsi="宋体"/>
                <w:color w:val="auto"/>
                <w:kern w:val="0"/>
                <w:szCs w:val="21"/>
                <w:highlight w:val="none"/>
              </w:rPr>
            </w:pPr>
          </w:p>
        </w:tc>
      </w:tr>
      <w:tr w14:paraId="717E62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209124F3">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786575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7CFFE56">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C03A7A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9F35820">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4F5E87C">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99C7BBE">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42C20B2B">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B51A4B5">
            <w:pPr>
              <w:autoSpaceDE w:val="0"/>
              <w:autoSpaceDN w:val="0"/>
              <w:adjustRightInd w:val="0"/>
              <w:snapToGrid w:val="0"/>
              <w:jc w:val="left"/>
              <w:rPr>
                <w:rFonts w:ascii="宋体" w:hAnsi="宋体"/>
                <w:color w:val="auto"/>
                <w:kern w:val="0"/>
                <w:szCs w:val="21"/>
                <w:highlight w:val="none"/>
              </w:rPr>
            </w:pPr>
          </w:p>
        </w:tc>
      </w:tr>
      <w:tr w14:paraId="47D913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100D232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2059F2E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764B702">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1F2BE0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2E8215D">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AF4D09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9A92BB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07F9C32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F9672E6">
            <w:pPr>
              <w:autoSpaceDE w:val="0"/>
              <w:autoSpaceDN w:val="0"/>
              <w:adjustRightInd w:val="0"/>
              <w:snapToGrid w:val="0"/>
              <w:jc w:val="left"/>
              <w:rPr>
                <w:rFonts w:ascii="宋体" w:hAnsi="宋体"/>
                <w:color w:val="auto"/>
                <w:kern w:val="0"/>
                <w:szCs w:val="21"/>
                <w:highlight w:val="none"/>
              </w:rPr>
            </w:pPr>
          </w:p>
        </w:tc>
      </w:tr>
      <w:tr w14:paraId="08C49F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2F17F8F">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518EBD02">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0065A28C">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86E7D38">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2ACC04A">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2D68272E">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9F4AF06">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57880A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C371DD1">
            <w:pPr>
              <w:autoSpaceDE w:val="0"/>
              <w:autoSpaceDN w:val="0"/>
              <w:adjustRightInd w:val="0"/>
              <w:snapToGrid w:val="0"/>
              <w:jc w:val="left"/>
              <w:rPr>
                <w:rFonts w:ascii="宋体" w:hAnsi="宋体"/>
                <w:color w:val="auto"/>
                <w:kern w:val="0"/>
                <w:szCs w:val="21"/>
                <w:highlight w:val="none"/>
              </w:rPr>
            </w:pPr>
          </w:p>
        </w:tc>
      </w:tr>
      <w:tr w14:paraId="1182F7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F930DB8">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6A301CC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E763371">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A5983F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BA4796C">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6CE239B">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227009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D1F8801">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4897A7DE">
            <w:pPr>
              <w:autoSpaceDE w:val="0"/>
              <w:autoSpaceDN w:val="0"/>
              <w:adjustRightInd w:val="0"/>
              <w:snapToGrid w:val="0"/>
              <w:jc w:val="left"/>
              <w:rPr>
                <w:rFonts w:ascii="宋体" w:hAnsi="宋体"/>
                <w:color w:val="auto"/>
                <w:kern w:val="0"/>
                <w:szCs w:val="21"/>
                <w:highlight w:val="none"/>
              </w:rPr>
            </w:pPr>
          </w:p>
        </w:tc>
      </w:tr>
      <w:tr w14:paraId="41D2A3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6070D5BD">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46230D7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C0E978D">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66EB32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E60E280">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2A2EF9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8AEA747">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D26F4DE">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468A0DC">
            <w:pPr>
              <w:autoSpaceDE w:val="0"/>
              <w:autoSpaceDN w:val="0"/>
              <w:adjustRightInd w:val="0"/>
              <w:snapToGrid w:val="0"/>
              <w:jc w:val="left"/>
              <w:rPr>
                <w:rFonts w:ascii="宋体" w:hAnsi="宋体"/>
                <w:color w:val="auto"/>
                <w:kern w:val="0"/>
                <w:szCs w:val="21"/>
                <w:highlight w:val="none"/>
              </w:rPr>
            </w:pPr>
          </w:p>
        </w:tc>
      </w:tr>
      <w:tr w14:paraId="073BCB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42AC3216">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27172C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C9C4FF0">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4D083B64">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FD39AE6">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5FFDFBC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B23788F">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3DAD470A">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28708FBA">
            <w:pPr>
              <w:autoSpaceDE w:val="0"/>
              <w:autoSpaceDN w:val="0"/>
              <w:adjustRightInd w:val="0"/>
              <w:snapToGrid w:val="0"/>
              <w:jc w:val="left"/>
              <w:rPr>
                <w:rFonts w:ascii="宋体" w:hAnsi="宋体"/>
                <w:color w:val="auto"/>
                <w:kern w:val="0"/>
                <w:szCs w:val="21"/>
                <w:highlight w:val="none"/>
              </w:rPr>
            </w:pPr>
          </w:p>
        </w:tc>
      </w:tr>
      <w:tr w14:paraId="7E679A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D3A88D0">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15FACAD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2E7F723">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1CFC356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10A1DC83">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78BCA58A">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7784C0D">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AB2C826">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E2306F0">
            <w:pPr>
              <w:autoSpaceDE w:val="0"/>
              <w:autoSpaceDN w:val="0"/>
              <w:adjustRightInd w:val="0"/>
              <w:snapToGrid w:val="0"/>
              <w:jc w:val="left"/>
              <w:rPr>
                <w:rFonts w:ascii="宋体" w:hAnsi="宋体"/>
                <w:color w:val="auto"/>
                <w:kern w:val="0"/>
                <w:szCs w:val="21"/>
                <w:highlight w:val="none"/>
              </w:rPr>
            </w:pPr>
          </w:p>
        </w:tc>
      </w:tr>
      <w:tr w14:paraId="354C94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B4C95EC">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78DA487">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9BA31E1">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C69B87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53AA8C2">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49CC799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1EBCDEC">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9EA22ED">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67D8A4E">
            <w:pPr>
              <w:autoSpaceDE w:val="0"/>
              <w:autoSpaceDN w:val="0"/>
              <w:adjustRightInd w:val="0"/>
              <w:snapToGrid w:val="0"/>
              <w:jc w:val="left"/>
              <w:rPr>
                <w:rFonts w:ascii="宋体" w:hAnsi="宋体"/>
                <w:color w:val="auto"/>
                <w:kern w:val="0"/>
                <w:szCs w:val="21"/>
                <w:highlight w:val="none"/>
              </w:rPr>
            </w:pPr>
          </w:p>
        </w:tc>
      </w:tr>
      <w:tr w14:paraId="5822FD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0242A98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15CD793">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7F6B6F0">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282DB20">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6014A654">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14AEF97D">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08A8B3A">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2B55C4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D800387">
            <w:pPr>
              <w:autoSpaceDE w:val="0"/>
              <w:autoSpaceDN w:val="0"/>
              <w:adjustRightInd w:val="0"/>
              <w:snapToGrid w:val="0"/>
              <w:jc w:val="left"/>
              <w:rPr>
                <w:rFonts w:ascii="宋体" w:hAnsi="宋体"/>
                <w:color w:val="auto"/>
                <w:kern w:val="0"/>
                <w:szCs w:val="21"/>
                <w:highlight w:val="none"/>
              </w:rPr>
            </w:pPr>
          </w:p>
        </w:tc>
      </w:tr>
      <w:tr w14:paraId="7F3F47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363D8AB6">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AFA284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5AC0354">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3AC16F75">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D733BA2">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062EF921">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4F11BF88">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20993733">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6C9775A1">
            <w:pPr>
              <w:autoSpaceDE w:val="0"/>
              <w:autoSpaceDN w:val="0"/>
              <w:adjustRightInd w:val="0"/>
              <w:snapToGrid w:val="0"/>
              <w:jc w:val="left"/>
              <w:rPr>
                <w:rFonts w:ascii="宋体" w:hAnsi="宋体"/>
                <w:color w:val="auto"/>
                <w:kern w:val="0"/>
                <w:szCs w:val="21"/>
                <w:highlight w:val="none"/>
              </w:rPr>
            </w:pPr>
          </w:p>
        </w:tc>
      </w:tr>
      <w:tr w14:paraId="1DA150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5BA6BAA">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7E847786">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6231713">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261D33A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0A73A77">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3C1A661F">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7B138AE1">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152CAD6F">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3B0CD537">
            <w:pPr>
              <w:autoSpaceDE w:val="0"/>
              <w:autoSpaceDN w:val="0"/>
              <w:adjustRightInd w:val="0"/>
              <w:snapToGrid w:val="0"/>
              <w:jc w:val="left"/>
              <w:rPr>
                <w:rFonts w:ascii="宋体" w:hAnsi="宋体"/>
                <w:color w:val="auto"/>
                <w:kern w:val="0"/>
                <w:szCs w:val="21"/>
                <w:highlight w:val="none"/>
              </w:rPr>
            </w:pPr>
          </w:p>
        </w:tc>
      </w:tr>
      <w:tr w14:paraId="515266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noWrap w:val="0"/>
            <w:vAlign w:val="top"/>
          </w:tcPr>
          <w:p w14:paraId="5AE9D634">
            <w:pPr>
              <w:autoSpaceDE w:val="0"/>
              <w:autoSpaceDN w:val="0"/>
              <w:adjustRightInd w:val="0"/>
              <w:snapToGrid w:val="0"/>
              <w:jc w:val="left"/>
              <w:rPr>
                <w:rFonts w:ascii="宋体" w:hAnsi="宋体"/>
                <w:color w:val="auto"/>
                <w:kern w:val="0"/>
                <w:szCs w:val="21"/>
                <w:highlight w:val="none"/>
              </w:rPr>
            </w:pPr>
          </w:p>
        </w:tc>
        <w:tc>
          <w:tcPr>
            <w:tcW w:w="734" w:type="dxa"/>
            <w:noWrap w:val="0"/>
            <w:vAlign w:val="top"/>
          </w:tcPr>
          <w:p w14:paraId="0B08AB0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3C70399E">
            <w:pPr>
              <w:autoSpaceDE w:val="0"/>
              <w:autoSpaceDN w:val="0"/>
              <w:adjustRightInd w:val="0"/>
              <w:snapToGrid w:val="0"/>
              <w:jc w:val="left"/>
              <w:rPr>
                <w:rFonts w:ascii="宋体" w:hAnsi="宋体"/>
                <w:color w:val="auto"/>
                <w:kern w:val="0"/>
                <w:szCs w:val="21"/>
                <w:highlight w:val="none"/>
              </w:rPr>
            </w:pPr>
          </w:p>
        </w:tc>
        <w:tc>
          <w:tcPr>
            <w:tcW w:w="1167" w:type="dxa"/>
            <w:noWrap w:val="0"/>
            <w:vAlign w:val="top"/>
          </w:tcPr>
          <w:p w14:paraId="7510EAD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50611A48">
            <w:pPr>
              <w:autoSpaceDE w:val="0"/>
              <w:autoSpaceDN w:val="0"/>
              <w:adjustRightInd w:val="0"/>
              <w:snapToGrid w:val="0"/>
              <w:jc w:val="left"/>
              <w:rPr>
                <w:rFonts w:ascii="宋体" w:hAnsi="宋体"/>
                <w:color w:val="auto"/>
                <w:kern w:val="0"/>
                <w:szCs w:val="21"/>
                <w:highlight w:val="none"/>
              </w:rPr>
            </w:pPr>
          </w:p>
        </w:tc>
        <w:tc>
          <w:tcPr>
            <w:tcW w:w="778" w:type="dxa"/>
            <w:noWrap w:val="0"/>
            <w:vAlign w:val="top"/>
          </w:tcPr>
          <w:p w14:paraId="64280EF9">
            <w:pPr>
              <w:autoSpaceDE w:val="0"/>
              <w:autoSpaceDN w:val="0"/>
              <w:adjustRightInd w:val="0"/>
              <w:snapToGrid w:val="0"/>
              <w:jc w:val="left"/>
              <w:rPr>
                <w:rFonts w:ascii="宋体" w:hAnsi="宋体"/>
                <w:color w:val="auto"/>
                <w:kern w:val="0"/>
                <w:szCs w:val="21"/>
                <w:highlight w:val="none"/>
              </w:rPr>
            </w:pPr>
          </w:p>
        </w:tc>
        <w:tc>
          <w:tcPr>
            <w:tcW w:w="776" w:type="dxa"/>
            <w:noWrap w:val="0"/>
            <w:vAlign w:val="top"/>
          </w:tcPr>
          <w:p w14:paraId="2AAE8CA0">
            <w:pPr>
              <w:autoSpaceDE w:val="0"/>
              <w:autoSpaceDN w:val="0"/>
              <w:adjustRightInd w:val="0"/>
              <w:snapToGrid w:val="0"/>
              <w:jc w:val="left"/>
              <w:rPr>
                <w:rFonts w:ascii="宋体" w:hAnsi="宋体"/>
                <w:color w:val="auto"/>
                <w:kern w:val="0"/>
                <w:szCs w:val="21"/>
                <w:highlight w:val="none"/>
              </w:rPr>
            </w:pPr>
          </w:p>
        </w:tc>
        <w:tc>
          <w:tcPr>
            <w:tcW w:w="2723" w:type="dxa"/>
            <w:noWrap w:val="0"/>
            <w:vAlign w:val="top"/>
          </w:tcPr>
          <w:p w14:paraId="5AFDCD0C">
            <w:pPr>
              <w:autoSpaceDE w:val="0"/>
              <w:autoSpaceDN w:val="0"/>
              <w:adjustRightInd w:val="0"/>
              <w:snapToGrid w:val="0"/>
              <w:jc w:val="left"/>
              <w:rPr>
                <w:rFonts w:ascii="宋体" w:hAnsi="宋体"/>
                <w:color w:val="auto"/>
                <w:kern w:val="0"/>
                <w:szCs w:val="21"/>
                <w:highlight w:val="none"/>
              </w:rPr>
            </w:pPr>
          </w:p>
        </w:tc>
        <w:tc>
          <w:tcPr>
            <w:tcW w:w="896" w:type="dxa"/>
            <w:noWrap w:val="0"/>
            <w:vAlign w:val="top"/>
          </w:tcPr>
          <w:p w14:paraId="116E09E5">
            <w:pPr>
              <w:autoSpaceDE w:val="0"/>
              <w:autoSpaceDN w:val="0"/>
              <w:adjustRightInd w:val="0"/>
              <w:snapToGrid w:val="0"/>
              <w:jc w:val="left"/>
              <w:rPr>
                <w:rFonts w:ascii="宋体" w:hAnsi="宋体"/>
                <w:color w:val="auto"/>
                <w:kern w:val="0"/>
                <w:szCs w:val="21"/>
                <w:highlight w:val="none"/>
              </w:rPr>
            </w:pPr>
          </w:p>
        </w:tc>
      </w:tr>
    </w:tbl>
    <w:p w14:paraId="719F9F72">
      <w:pPr>
        <w:spacing w:line="20" w:lineRule="exact"/>
        <w:jc w:val="center"/>
        <w:rPr>
          <w:rFonts w:ascii="宋体" w:hAnsi="宋体"/>
          <w:color w:val="auto"/>
          <w:szCs w:val="21"/>
          <w:highlight w:val="none"/>
        </w:rPr>
      </w:pPr>
    </w:p>
    <w:p w14:paraId="34C5AB58">
      <w:pPr>
        <w:spacing w:line="360" w:lineRule="auto"/>
        <w:ind w:firstLine="420" w:firstLineChars="200"/>
        <w:jc w:val="center"/>
        <w:rPr>
          <w:rFonts w:ascii="宋体" w:hAnsi="宋体"/>
          <w:color w:val="auto"/>
          <w:sz w:val="32"/>
          <w:szCs w:val="32"/>
          <w:highlight w:val="none"/>
        </w:rPr>
      </w:pPr>
      <w:r>
        <w:rPr>
          <w:rFonts w:hint="eastAsia" w:ascii="宋体" w:hAnsi="宋体"/>
          <w:color w:val="auto"/>
          <w:szCs w:val="21"/>
          <w:highlight w:val="none"/>
        </w:rPr>
        <w:t>备注：本表仅填项目经理、项目技术负责人相关信息</w:t>
      </w:r>
      <w:r>
        <w:rPr>
          <w:rFonts w:ascii="宋体" w:hAnsi="宋体"/>
          <w:color w:val="auto"/>
          <w:sz w:val="32"/>
          <w:szCs w:val="32"/>
          <w:highlight w:val="none"/>
        </w:rPr>
        <w:br w:type="page"/>
      </w:r>
      <w:r>
        <w:rPr>
          <w:rFonts w:hint="eastAsia" w:ascii="宋体" w:hAnsi="宋体"/>
          <w:color w:val="auto"/>
          <w:sz w:val="32"/>
          <w:szCs w:val="32"/>
          <w:highlight w:val="none"/>
        </w:rPr>
        <w:t>项目经理及项目技术负责人简历表</w:t>
      </w:r>
      <w:bookmarkEnd w:id="2256"/>
      <w:bookmarkEnd w:id="2257"/>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369F67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7C3407CA">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姓名</w:t>
            </w:r>
          </w:p>
        </w:tc>
        <w:tc>
          <w:tcPr>
            <w:tcW w:w="1190" w:type="dxa"/>
            <w:gridSpan w:val="2"/>
            <w:noWrap w:val="0"/>
            <w:vAlign w:val="center"/>
          </w:tcPr>
          <w:p w14:paraId="2980E9D5">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093D898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年龄</w:t>
            </w:r>
          </w:p>
        </w:tc>
        <w:tc>
          <w:tcPr>
            <w:tcW w:w="1175" w:type="dxa"/>
            <w:noWrap w:val="0"/>
            <w:vAlign w:val="center"/>
          </w:tcPr>
          <w:p w14:paraId="65B57351">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609421F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学历</w:t>
            </w:r>
          </w:p>
        </w:tc>
        <w:tc>
          <w:tcPr>
            <w:tcW w:w="2528" w:type="dxa"/>
            <w:noWrap w:val="0"/>
            <w:vAlign w:val="center"/>
          </w:tcPr>
          <w:p w14:paraId="5A00C10B">
            <w:pPr>
              <w:autoSpaceDE w:val="0"/>
              <w:autoSpaceDN w:val="0"/>
              <w:adjustRightInd w:val="0"/>
              <w:snapToGrid w:val="0"/>
              <w:jc w:val="center"/>
              <w:rPr>
                <w:rFonts w:ascii="宋体" w:hAnsi="宋体"/>
                <w:color w:val="auto"/>
                <w:kern w:val="0"/>
                <w:szCs w:val="21"/>
                <w:highlight w:val="none"/>
              </w:rPr>
            </w:pPr>
          </w:p>
        </w:tc>
      </w:tr>
      <w:tr w14:paraId="6F1642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3E90CC75">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职称</w:t>
            </w:r>
          </w:p>
        </w:tc>
        <w:tc>
          <w:tcPr>
            <w:tcW w:w="1190" w:type="dxa"/>
            <w:gridSpan w:val="2"/>
            <w:noWrap w:val="0"/>
            <w:vAlign w:val="center"/>
          </w:tcPr>
          <w:p w14:paraId="7887F6A0">
            <w:pPr>
              <w:autoSpaceDE w:val="0"/>
              <w:autoSpaceDN w:val="0"/>
              <w:adjustRightInd w:val="0"/>
              <w:snapToGrid w:val="0"/>
              <w:jc w:val="center"/>
              <w:rPr>
                <w:rFonts w:ascii="宋体" w:hAnsi="宋体"/>
                <w:color w:val="auto"/>
                <w:kern w:val="0"/>
                <w:szCs w:val="21"/>
                <w:highlight w:val="none"/>
              </w:rPr>
            </w:pPr>
          </w:p>
        </w:tc>
        <w:tc>
          <w:tcPr>
            <w:tcW w:w="1020" w:type="dxa"/>
            <w:noWrap w:val="0"/>
            <w:vAlign w:val="center"/>
          </w:tcPr>
          <w:p w14:paraId="219AB41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职务</w:t>
            </w:r>
          </w:p>
        </w:tc>
        <w:tc>
          <w:tcPr>
            <w:tcW w:w="1175" w:type="dxa"/>
            <w:noWrap w:val="0"/>
            <w:vAlign w:val="center"/>
          </w:tcPr>
          <w:p w14:paraId="7BCBD2FA">
            <w:pPr>
              <w:autoSpaceDE w:val="0"/>
              <w:autoSpaceDN w:val="0"/>
              <w:adjustRightInd w:val="0"/>
              <w:snapToGrid w:val="0"/>
              <w:jc w:val="center"/>
              <w:rPr>
                <w:rFonts w:ascii="宋体" w:hAnsi="宋体"/>
                <w:color w:val="auto"/>
                <w:kern w:val="0"/>
                <w:szCs w:val="21"/>
                <w:highlight w:val="none"/>
              </w:rPr>
            </w:pPr>
          </w:p>
        </w:tc>
        <w:tc>
          <w:tcPr>
            <w:tcW w:w="2346" w:type="dxa"/>
            <w:gridSpan w:val="3"/>
            <w:noWrap w:val="0"/>
            <w:vAlign w:val="center"/>
          </w:tcPr>
          <w:p w14:paraId="18D7BEF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拟在本合同任职</w:t>
            </w:r>
          </w:p>
        </w:tc>
        <w:tc>
          <w:tcPr>
            <w:tcW w:w="2528" w:type="dxa"/>
            <w:noWrap w:val="0"/>
            <w:vAlign w:val="center"/>
          </w:tcPr>
          <w:p w14:paraId="35DF8C5A">
            <w:pPr>
              <w:autoSpaceDE w:val="0"/>
              <w:autoSpaceDN w:val="0"/>
              <w:adjustRightInd w:val="0"/>
              <w:snapToGrid w:val="0"/>
              <w:jc w:val="center"/>
              <w:rPr>
                <w:rFonts w:ascii="宋体" w:hAnsi="宋体"/>
                <w:color w:val="auto"/>
                <w:kern w:val="0"/>
                <w:szCs w:val="21"/>
                <w:highlight w:val="none"/>
              </w:rPr>
            </w:pPr>
          </w:p>
        </w:tc>
      </w:tr>
      <w:tr w14:paraId="7B7C49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14:paraId="028055D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毕业学校</w:t>
            </w:r>
          </w:p>
        </w:tc>
        <w:tc>
          <w:tcPr>
            <w:tcW w:w="8259" w:type="dxa"/>
            <w:gridSpan w:val="8"/>
            <w:noWrap w:val="0"/>
            <w:vAlign w:val="center"/>
          </w:tcPr>
          <w:p w14:paraId="55F684C3">
            <w:pPr>
              <w:tabs>
                <w:tab w:val="left" w:pos="2820"/>
                <w:tab w:val="left" w:pos="408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w:t>
            </w:r>
            <w:r>
              <w:rPr>
                <w:rFonts w:ascii="宋体" w:hAnsi="宋体"/>
                <w:color w:val="auto"/>
                <w:spacing w:val="-1"/>
                <w:kern w:val="0"/>
                <w:szCs w:val="21"/>
                <w:highlight w:val="none"/>
              </w:rPr>
              <w:t>毕</w:t>
            </w:r>
            <w:r>
              <w:rPr>
                <w:rFonts w:ascii="宋体" w:hAnsi="宋体"/>
                <w:color w:val="auto"/>
                <w:kern w:val="0"/>
                <w:szCs w:val="21"/>
                <w:highlight w:val="none"/>
              </w:rPr>
              <w:t>业于</w:t>
            </w:r>
            <w:r>
              <w:rPr>
                <w:rFonts w:ascii="宋体" w:hAnsi="宋体"/>
                <w:color w:val="auto"/>
                <w:kern w:val="0"/>
                <w:szCs w:val="21"/>
                <w:highlight w:val="none"/>
              </w:rPr>
              <w:tab/>
            </w:r>
            <w:r>
              <w:rPr>
                <w:rFonts w:ascii="宋体" w:hAnsi="宋体"/>
                <w:color w:val="auto"/>
                <w:kern w:val="0"/>
                <w:szCs w:val="21"/>
                <w:highlight w:val="none"/>
              </w:rPr>
              <w:t>学校</w:t>
            </w:r>
            <w:r>
              <w:rPr>
                <w:rFonts w:ascii="宋体" w:hAnsi="宋体"/>
                <w:color w:val="auto"/>
                <w:kern w:val="0"/>
                <w:szCs w:val="21"/>
                <w:highlight w:val="none"/>
              </w:rPr>
              <w:tab/>
            </w:r>
            <w:r>
              <w:rPr>
                <w:rFonts w:ascii="宋体" w:hAnsi="宋体"/>
                <w:color w:val="auto"/>
                <w:kern w:val="0"/>
                <w:szCs w:val="21"/>
                <w:highlight w:val="none"/>
              </w:rPr>
              <w:t>专业</w:t>
            </w:r>
          </w:p>
        </w:tc>
      </w:tr>
      <w:tr w14:paraId="4124B5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noWrap w:val="0"/>
            <w:vAlign w:val="center"/>
          </w:tcPr>
          <w:p w14:paraId="6B698F8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主要工作经历</w:t>
            </w:r>
          </w:p>
        </w:tc>
      </w:tr>
      <w:tr w14:paraId="4E98C0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3C1F65F">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时间</w:t>
            </w:r>
          </w:p>
        </w:tc>
        <w:tc>
          <w:tcPr>
            <w:tcW w:w="3768" w:type="dxa"/>
            <w:gridSpan w:val="4"/>
            <w:noWrap w:val="0"/>
            <w:vAlign w:val="center"/>
          </w:tcPr>
          <w:p w14:paraId="4E2961F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参加过的类似项目</w:t>
            </w:r>
          </w:p>
        </w:tc>
        <w:tc>
          <w:tcPr>
            <w:tcW w:w="1388" w:type="dxa"/>
            <w:noWrap w:val="0"/>
            <w:vAlign w:val="center"/>
          </w:tcPr>
          <w:p w14:paraId="3867DFE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担任职务</w:t>
            </w:r>
          </w:p>
        </w:tc>
        <w:tc>
          <w:tcPr>
            <w:tcW w:w="2706" w:type="dxa"/>
            <w:gridSpan w:val="2"/>
            <w:noWrap w:val="0"/>
            <w:vAlign w:val="center"/>
          </w:tcPr>
          <w:p w14:paraId="0853816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发包人及联系电话</w:t>
            </w:r>
          </w:p>
        </w:tc>
      </w:tr>
      <w:tr w14:paraId="5B6B67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22135349">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722425BB">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02647F7E">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83EFBA2">
            <w:pPr>
              <w:autoSpaceDE w:val="0"/>
              <w:autoSpaceDN w:val="0"/>
              <w:adjustRightInd w:val="0"/>
              <w:snapToGrid w:val="0"/>
              <w:jc w:val="center"/>
              <w:rPr>
                <w:rFonts w:ascii="宋体" w:hAnsi="宋体"/>
                <w:color w:val="auto"/>
                <w:kern w:val="0"/>
                <w:szCs w:val="21"/>
                <w:highlight w:val="none"/>
              </w:rPr>
            </w:pPr>
          </w:p>
        </w:tc>
      </w:tr>
      <w:tr w14:paraId="0DC599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4777BC1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1F9443EA">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941D539">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01A15AB">
            <w:pPr>
              <w:autoSpaceDE w:val="0"/>
              <w:autoSpaceDN w:val="0"/>
              <w:adjustRightInd w:val="0"/>
              <w:snapToGrid w:val="0"/>
              <w:jc w:val="center"/>
              <w:rPr>
                <w:rFonts w:ascii="宋体" w:hAnsi="宋体"/>
                <w:color w:val="auto"/>
                <w:kern w:val="0"/>
                <w:szCs w:val="21"/>
                <w:highlight w:val="none"/>
              </w:rPr>
            </w:pPr>
          </w:p>
        </w:tc>
      </w:tr>
      <w:tr w14:paraId="40A4B6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173FE9D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E43DA3B">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3974802">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D2BD1EA">
            <w:pPr>
              <w:autoSpaceDE w:val="0"/>
              <w:autoSpaceDN w:val="0"/>
              <w:adjustRightInd w:val="0"/>
              <w:snapToGrid w:val="0"/>
              <w:jc w:val="center"/>
              <w:rPr>
                <w:rFonts w:ascii="宋体" w:hAnsi="宋体"/>
                <w:color w:val="auto"/>
                <w:kern w:val="0"/>
                <w:szCs w:val="21"/>
                <w:highlight w:val="none"/>
              </w:rPr>
            </w:pPr>
          </w:p>
        </w:tc>
      </w:tr>
      <w:tr w14:paraId="30D8A2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73D976F">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24D9D374">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76141BCD">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EF58696">
            <w:pPr>
              <w:autoSpaceDE w:val="0"/>
              <w:autoSpaceDN w:val="0"/>
              <w:adjustRightInd w:val="0"/>
              <w:snapToGrid w:val="0"/>
              <w:jc w:val="center"/>
              <w:rPr>
                <w:rFonts w:ascii="宋体" w:hAnsi="宋体"/>
                <w:color w:val="auto"/>
                <w:kern w:val="0"/>
                <w:szCs w:val="21"/>
                <w:highlight w:val="none"/>
              </w:rPr>
            </w:pPr>
          </w:p>
        </w:tc>
      </w:tr>
      <w:tr w14:paraId="483830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5E259F9">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28A4278E">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8134513">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BF87C80">
            <w:pPr>
              <w:autoSpaceDE w:val="0"/>
              <w:autoSpaceDN w:val="0"/>
              <w:adjustRightInd w:val="0"/>
              <w:snapToGrid w:val="0"/>
              <w:jc w:val="center"/>
              <w:rPr>
                <w:rFonts w:ascii="宋体" w:hAnsi="宋体"/>
                <w:color w:val="auto"/>
                <w:kern w:val="0"/>
                <w:szCs w:val="21"/>
                <w:highlight w:val="none"/>
              </w:rPr>
            </w:pPr>
          </w:p>
        </w:tc>
      </w:tr>
      <w:tr w14:paraId="6FFE0B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2F22B1CD">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1CE19FB4">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0CE91F3E">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0111F620">
            <w:pPr>
              <w:autoSpaceDE w:val="0"/>
              <w:autoSpaceDN w:val="0"/>
              <w:adjustRightInd w:val="0"/>
              <w:snapToGrid w:val="0"/>
              <w:jc w:val="center"/>
              <w:rPr>
                <w:rFonts w:ascii="宋体" w:hAnsi="宋体"/>
                <w:color w:val="auto"/>
                <w:kern w:val="0"/>
                <w:szCs w:val="21"/>
                <w:highlight w:val="none"/>
              </w:rPr>
            </w:pPr>
          </w:p>
        </w:tc>
      </w:tr>
      <w:tr w14:paraId="33E931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D559019">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3EA2521">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5CCDFB51">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E34BEC9">
            <w:pPr>
              <w:autoSpaceDE w:val="0"/>
              <w:autoSpaceDN w:val="0"/>
              <w:adjustRightInd w:val="0"/>
              <w:snapToGrid w:val="0"/>
              <w:jc w:val="center"/>
              <w:rPr>
                <w:rFonts w:ascii="宋体" w:hAnsi="宋体"/>
                <w:color w:val="auto"/>
                <w:kern w:val="0"/>
                <w:szCs w:val="21"/>
                <w:highlight w:val="none"/>
              </w:rPr>
            </w:pPr>
          </w:p>
        </w:tc>
      </w:tr>
      <w:tr w14:paraId="200230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7AEB7A35">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3BC78629">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4712DCD">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D18C73F">
            <w:pPr>
              <w:autoSpaceDE w:val="0"/>
              <w:autoSpaceDN w:val="0"/>
              <w:adjustRightInd w:val="0"/>
              <w:snapToGrid w:val="0"/>
              <w:jc w:val="center"/>
              <w:rPr>
                <w:rFonts w:ascii="宋体" w:hAnsi="宋体"/>
                <w:color w:val="auto"/>
                <w:kern w:val="0"/>
                <w:szCs w:val="21"/>
                <w:highlight w:val="none"/>
              </w:rPr>
            </w:pPr>
          </w:p>
        </w:tc>
      </w:tr>
      <w:tr w14:paraId="1B404E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3F29A656">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0D059083">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B349BF6">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451FEDF7">
            <w:pPr>
              <w:autoSpaceDE w:val="0"/>
              <w:autoSpaceDN w:val="0"/>
              <w:adjustRightInd w:val="0"/>
              <w:snapToGrid w:val="0"/>
              <w:jc w:val="center"/>
              <w:rPr>
                <w:rFonts w:ascii="宋体" w:hAnsi="宋体"/>
                <w:color w:val="auto"/>
                <w:kern w:val="0"/>
                <w:szCs w:val="21"/>
                <w:highlight w:val="none"/>
              </w:rPr>
            </w:pPr>
          </w:p>
        </w:tc>
      </w:tr>
      <w:tr w14:paraId="71F846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DB647FC">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06FE7C2">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492EE51">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3178CB8A">
            <w:pPr>
              <w:autoSpaceDE w:val="0"/>
              <w:autoSpaceDN w:val="0"/>
              <w:adjustRightInd w:val="0"/>
              <w:snapToGrid w:val="0"/>
              <w:jc w:val="center"/>
              <w:rPr>
                <w:rFonts w:ascii="宋体" w:hAnsi="宋体"/>
                <w:color w:val="auto"/>
                <w:kern w:val="0"/>
                <w:szCs w:val="21"/>
                <w:highlight w:val="none"/>
              </w:rPr>
            </w:pPr>
          </w:p>
        </w:tc>
      </w:tr>
      <w:tr w14:paraId="233E86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13E5B4EF">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4945886">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1CC754C7">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11EFB7DD">
            <w:pPr>
              <w:autoSpaceDE w:val="0"/>
              <w:autoSpaceDN w:val="0"/>
              <w:adjustRightInd w:val="0"/>
              <w:snapToGrid w:val="0"/>
              <w:jc w:val="center"/>
              <w:rPr>
                <w:rFonts w:ascii="宋体" w:hAnsi="宋体"/>
                <w:color w:val="auto"/>
                <w:kern w:val="0"/>
                <w:szCs w:val="21"/>
                <w:highlight w:val="none"/>
              </w:rPr>
            </w:pPr>
          </w:p>
        </w:tc>
      </w:tr>
      <w:tr w14:paraId="53AFD2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5923E764">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53BF60A0">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46427DFB">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70397910">
            <w:pPr>
              <w:autoSpaceDE w:val="0"/>
              <w:autoSpaceDN w:val="0"/>
              <w:adjustRightInd w:val="0"/>
              <w:snapToGrid w:val="0"/>
              <w:jc w:val="center"/>
              <w:rPr>
                <w:rFonts w:ascii="宋体" w:hAnsi="宋体"/>
                <w:color w:val="auto"/>
                <w:kern w:val="0"/>
                <w:szCs w:val="21"/>
                <w:highlight w:val="none"/>
              </w:rPr>
            </w:pPr>
          </w:p>
        </w:tc>
      </w:tr>
      <w:tr w14:paraId="29E3CB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14:paraId="62D55DBA">
            <w:pPr>
              <w:autoSpaceDE w:val="0"/>
              <w:autoSpaceDN w:val="0"/>
              <w:adjustRightInd w:val="0"/>
              <w:snapToGrid w:val="0"/>
              <w:jc w:val="center"/>
              <w:rPr>
                <w:rFonts w:ascii="宋体" w:hAnsi="宋体"/>
                <w:color w:val="auto"/>
                <w:kern w:val="0"/>
                <w:szCs w:val="21"/>
                <w:highlight w:val="none"/>
              </w:rPr>
            </w:pPr>
          </w:p>
        </w:tc>
        <w:tc>
          <w:tcPr>
            <w:tcW w:w="3768" w:type="dxa"/>
            <w:gridSpan w:val="4"/>
            <w:noWrap w:val="0"/>
            <w:vAlign w:val="center"/>
          </w:tcPr>
          <w:p w14:paraId="43900636">
            <w:pPr>
              <w:autoSpaceDE w:val="0"/>
              <w:autoSpaceDN w:val="0"/>
              <w:adjustRightInd w:val="0"/>
              <w:snapToGrid w:val="0"/>
              <w:jc w:val="center"/>
              <w:rPr>
                <w:rFonts w:ascii="宋体" w:hAnsi="宋体"/>
                <w:color w:val="auto"/>
                <w:kern w:val="0"/>
                <w:szCs w:val="21"/>
                <w:highlight w:val="none"/>
              </w:rPr>
            </w:pPr>
          </w:p>
        </w:tc>
        <w:tc>
          <w:tcPr>
            <w:tcW w:w="1388" w:type="dxa"/>
            <w:noWrap w:val="0"/>
            <w:vAlign w:val="center"/>
          </w:tcPr>
          <w:p w14:paraId="6925C710">
            <w:pPr>
              <w:autoSpaceDE w:val="0"/>
              <w:autoSpaceDN w:val="0"/>
              <w:adjustRightInd w:val="0"/>
              <w:snapToGrid w:val="0"/>
              <w:jc w:val="center"/>
              <w:rPr>
                <w:rFonts w:ascii="宋体" w:hAnsi="宋体"/>
                <w:color w:val="auto"/>
                <w:kern w:val="0"/>
                <w:szCs w:val="21"/>
                <w:highlight w:val="none"/>
              </w:rPr>
            </w:pPr>
          </w:p>
        </w:tc>
        <w:tc>
          <w:tcPr>
            <w:tcW w:w="2706" w:type="dxa"/>
            <w:gridSpan w:val="2"/>
            <w:noWrap w:val="0"/>
            <w:vAlign w:val="center"/>
          </w:tcPr>
          <w:p w14:paraId="21B79D90">
            <w:pPr>
              <w:autoSpaceDE w:val="0"/>
              <w:autoSpaceDN w:val="0"/>
              <w:adjustRightInd w:val="0"/>
              <w:snapToGrid w:val="0"/>
              <w:jc w:val="center"/>
              <w:rPr>
                <w:rFonts w:ascii="宋体" w:hAnsi="宋体"/>
                <w:color w:val="auto"/>
                <w:kern w:val="0"/>
                <w:szCs w:val="21"/>
                <w:highlight w:val="none"/>
              </w:rPr>
            </w:pPr>
          </w:p>
        </w:tc>
      </w:tr>
    </w:tbl>
    <w:p w14:paraId="0266809F">
      <w:pPr>
        <w:spacing w:line="360" w:lineRule="auto"/>
        <w:rPr>
          <w:rFonts w:ascii="宋体" w:hAnsi="宋体"/>
          <w:color w:val="auto"/>
          <w:highlight w:val="none"/>
        </w:rPr>
      </w:pPr>
      <w:bookmarkStart w:id="2261" w:name="_Toc224103515"/>
    </w:p>
    <w:bookmarkEnd w:id="2261"/>
    <w:p w14:paraId="2F890555">
      <w:pPr>
        <w:pStyle w:val="5"/>
        <w:spacing w:before="0" w:line="360" w:lineRule="auto"/>
        <w:jc w:val="center"/>
        <w:rPr>
          <w:rFonts w:hint="eastAsia" w:ascii="宋体" w:hAnsi="宋体"/>
          <w:b w:val="0"/>
          <w:color w:val="auto"/>
          <w:highlight w:val="none"/>
        </w:rPr>
      </w:pPr>
      <w:bookmarkStart w:id="2262" w:name="_Toc287620839"/>
      <w:bookmarkStart w:id="2263" w:name="_Toc224103520"/>
      <w:bookmarkStart w:id="2264" w:name="_Toc277082663"/>
      <w:bookmarkStart w:id="2265" w:name="_Toc430530552"/>
      <w:bookmarkStart w:id="2266" w:name="_Toc287607893"/>
      <w:bookmarkStart w:id="2267" w:name="_Toc9926"/>
      <w:bookmarkStart w:id="2268" w:name="_Toc509218866"/>
      <w:bookmarkStart w:id="2269" w:name="_Toc534185843"/>
      <w:r>
        <w:rPr>
          <w:rFonts w:ascii="宋体" w:hAnsi="宋体"/>
          <w:b w:val="0"/>
          <w:color w:val="auto"/>
          <w:highlight w:val="none"/>
        </w:rPr>
        <w:t>（</w:t>
      </w:r>
      <w:r>
        <w:rPr>
          <w:rFonts w:hint="eastAsia" w:ascii="宋体" w:hAnsi="宋体"/>
          <w:b w:val="0"/>
          <w:color w:val="auto"/>
          <w:highlight w:val="none"/>
          <w:lang w:eastAsia="zh-CN"/>
        </w:rPr>
        <w:t>四</w:t>
      </w:r>
      <w:r>
        <w:rPr>
          <w:rFonts w:ascii="宋体" w:hAnsi="宋体"/>
          <w:b w:val="0"/>
          <w:color w:val="auto"/>
          <w:highlight w:val="none"/>
        </w:rPr>
        <w:t>）</w:t>
      </w:r>
      <w:bookmarkEnd w:id="2262"/>
      <w:bookmarkEnd w:id="2263"/>
      <w:bookmarkEnd w:id="2264"/>
      <w:bookmarkEnd w:id="2265"/>
      <w:bookmarkEnd w:id="2266"/>
      <w:r>
        <w:rPr>
          <w:rFonts w:hint="eastAsia" w:ascii="宋体" w:hAnsi="宋体"/>
          <w:b w:val="0"/>
          <w:color w:val="auto"/>
          <w:highlight w:val="none"/>
        </w:rPr>
        <w:t>承诺</w:t>
      </w:r>
      <w:bookmarkEnd w:id="2267"/>
    </w:p>
    <w:p w14:paraId="7F9988C5">
      <w:pPr>
        <w:snapToGrid w:val="0"/>
        <w:spacing w:line="400" w:lineRule="exact"/>
        <w:rPr>
          <w:rFonts w:hint="eastAsia" w:ascii="宋体" w:hAnsi="宋体"/>
          <w:color w:val="auto"/>
          <w:szCs w:val="21"/>
          <w:highlight w:val="none"/>
          <w:u w:val="single"/>
        </w:rPr>
      </w:pP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比选</w:t>
      </w:r>
      <w:r>
        <w:rPr>
          <w:rFonts w:hint="eastAsia" w:ascii="宋体" w:hAnsi="宋体"/>
          <w:color w:val="auto"/>
          <w:szCs w:val="21"/>
          <w:highlight w:val="none"/>
          <w:u w:val="single"/>
        </w:rPr>
        <w:t>人名称）</w:t>
      </w:r>
      <w:r>
        <w:rPr>
          <w:rFonts w:hint="eastAsia" w:ascii="宋体" w:hAnsi="宋体"/>
          <w:color w:val="auto"/>
          <w:szCs w:val="21"/>
          <w:highlight w:val="none"/>
        </w:rPr>
        <w:t>：</w:t>
      </w:r>
    </w:p>
    <w:p w14:paraId="5158D66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188958C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1、我公司投标截止日投标资格情况不存在下列情形之一：</w:t>
      </w:r>
    </w:p>
    <w:p w14:paraId="45691B2A">
      <w:pPr>
        <w:snapToGri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（1）被人民法院在“信用中国”网站（www.creditchina.gov.cn）列入失信被执行人名单且在被执行期内；</w:t>
      </w:r>
    </w:p>
    <w:p w14:paraId="40C129E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（2）被列入《重庆市工程建设领域</w:t>
      </w:r>
      <w:r>
        <w:rPr>
          <w:rFonts w:hint="eastAsia" w:ascii="宋体" w:hAnsi="宋体"/>
          <w:color w:val="auto"/>
          <w:szCs w:val="21"/>
          <w:highlight w:val="none"/>
          <w:lang w:eastAsia="zh-CN"/>
        </w:rPr>
        <w:t>比选</w:t>
      </w:r>
      <w:r>
        <w:rPr>
          <w:rFonts w:hint="eastAsia" w:ascii="宋体" w:hAnsi="宋体"/>
          <w:color w:val="auto"/>
          <w:szCs w:val="21"/>
          <w:highlight w:val="none"/>
        </w:rPr>
        <w:t>投标信用管理暂行办法》规定的重点关注名单且记分达到12分且在记分有效期内；</w:t>
      </w:r>
    </w:p>
    <w:p w14:paraId="76FBC42E">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（3）被列入《重庆市工程建设领域</w:t>
      </w:r>
      <w:r>
        <w:rPr>
          <w:rFonts w:hint="eastAsia" w:ascii="宋体" w:hAnsi="宋体"/>
          <w:color w:val="auto"/>
          <w:szCs w:val="21"/>
          <w:highlight w:val="none"/>
          <w:lang w:eastAsia="zh-CN"/>
        </w:rPr>
        <w:t>比选</w:t>
      </w:r>
      <w:r>
        <w:rPr>
          <w:rFonts w:hint="eastAsia" w:ascii="宋体" w:hAnsi="宋体"/>
          <w:color w:val="auto"/>
          <w:szCs w:val="21"/>
          <w:highlight w:val="none"/>
        </w:rPr>
        <w:t>投标信用管理暂行办法》规定的黑名单且在记分有效期内；</w:t>
      </w:r>
    </w:p>
    <w:p w14:paraId="74C77521">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2A8E1C62">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（5）被重庆市住房和城乡建设主管部门暂停在渝承揽新业务且在暂停期内。</w:t>
      </w:r>
    </w:p>
    <w:p w14:paraId="670DA6E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我公司拟派的项目经理中标后只能在本项目任职，签订合同时拟派的项目经理必须与投标文件中的项目经理一致，并满足办理施工许可手续的相关要求。不能按承诺到岗履约的，按合同相关条款处罚并上报行政主管部门，给</w:t>
      </w:r>
      <w:r>
        <w:rPr>
          <w:rFonts w:hint="eastAsia" w:ascii="宋体" w:hAnsi="宋体"/>
          <w:color w:val="auto"/>
          <w:szCs w:val="21"/>
          <w:highlight w:val="none"/>
          <w:lang w:eastAsia="zh-CN"/>
        </w:rPr>
        <w:t>比选</w:t>
      </w:r>
      <w:r>
        <w:rPr>
          <w:rFonts w:hint="eastAsia" w:ascii="宋体" w:hAnsi="宋体"/>
          <w:color w:val="auto"/>
          <w:szCs w:val="21"/>
          <w:highlight w:val="none"/>
        </w:rPr>
        <w:t>人造成损失的，我公司依法承担违约赔偿责任。</w:t>
      </w:r>
    </w:p>
    <w:p w14:paraId="631A48A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我公司拟派的项目经理未被我市住房和城乡建设主管部门暂停在渝承揽新业务，若被暂停且参加投标的投标将被否决；已取得中标候选人资格或中标资格的，</w:t>
      </w:r>
      <w:r>
        <w:rPr>
          <w:rFonts w:hint="eastAsia" w:ascii="宋体" w:hAnsi="宋体"/>
          <w:color w:val="auto"/>
          <w:szCs w:val="21"/>
          <w:highlight w:val="none"/>
          <w:lang w:eastAsia="zh-CN"/>
        </w:rPr>
        <w:t>比选</w:t>
      </w:r>
      <w:r>
        <w:rPr>
          <w:rFonts w:hint="eastAsia" w:ascii="宋体" w:hAnsi="宋体"/>
          <w:color w:val="auto"/>
          <w:szCs w:val="21"/>
          <w:highlight w:val="none"/>
        </w:rPr>
        <w:t>人有权取消其中标候选人资格或中标资格；给</w:t>
      </w:r>
      <w:r>
        <w:rPr>
          <w:rFonts w:hint="eastAsia" w:ascii="宋体" w:hAnsi="宋体"/>
          <w:color w:val="auto"/>
          <w:szCs w:val="21"/>
          <w:highlight w:val="none"/>
          <w:lang w:eastAsia="zh-CN"/>
        </w:rPr>
        <w:t>比选</w:t>
      </w:r>
      <w:r>
        <w:rPr>
          <w:rFonts w:hint="eastAsia" w:ascii="宋体" w:hAnsi="宋体"/>
          <w:color w:val="auto"/>
          <w:szCs w:val="21"/>
          <w:highlight w:val="none"/>
        </w:rPr>
        <w:t>人造成损失的，我公司依法承担违约赔偿责任。</w:t>
      </w:r>
    </w:p>
    <w:p w14:paraId="6A490B85">
      <w:pPr>
        <w:numPr>
          <w:ilvl w:val="0"/>
          <w:numId w:val="4"/>
        </w:num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color w:val="auto"/>
          <w:szCs w:val="21"/>
          <w:highlight w:val="none"/>
          <w:lang w:eastAsia="zh-CN"/>
        </w:rPr>
        <w:t>比选</w:t>
      </w:r>
      <w:r>
        <w:rPr>
          <w:rFonts w:hint="eastAsia" w:ascii="宋体" w:hAnsi="宋体"/>
          <w:color w:val="auto"/>
          <w:szCs w:val="21"/>
          <w:highlight w:val="none"/>
        </w:rPr>
        <w:t>人。相关岗位管理人员应持有建设行政主管部门要求的岗位证书，并提供我公司为其缴纳的养老保险证明材料。中标后不能满足该要求的，取消我公司中标资格，给</w:t>
      </w:r>
      <w:r>
        <w:rPr>
          <w:rFonts w:hint="eastAsia" w:ascii="宋体" w:hAnsi="宋体"/>
          <w:color w:val="auto"/>
          <w:szCs w:val="21"/>
          <w:highlight w:val="none"/>
          <w:lang w:eastAsia="zh-CN"/>
        </w:rPr>
        <w:t>比选</w:t>
      </w:r>
      <w:r>
        <w:rPr>
          <w:rFonts w:hint="eastAsia" w:ascii="宋体" w:hAnsi="宋体"/>
          <w:color w:val="auto"/>
          <w:szCs w:val="21"/>
          <w:highlight w:val="none"/>
        </w:rPr>
        <w:t>人造成损失的，我公司依法承担违约赔偿责任。</w:t>
      </w:r>
    </w:p>
    <w:p w14:paraId="0C435ACF">
      <w:pPr>
        <w:numPr>
          <w:ilvl w:val="0"/>
          <w:numId w:val="4"/>
        </w:num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我公司承诺：已标价工程量清单符合第五章“工程量清单”给出的范围及数量，</w:t>
      </w:r>
      <w:r>
        <w:rPr>
          <w:rFonts w:hint="eastAsia" w:ascii="宋体" w:hAnsi="宋体"/>
          <w:color w:val="auto"/>
          <w:szCs w:val="21"/>
          <w:highlight w:val="none"/>
          <w:lang w:eastAsia="zh-CN"/>
        </w:rPr>
        <w:t>比选</w:t>
      </w:r>
      <w:r>
        <w:rPr>
          <w:rFonts w:hint="eastAsia" w:ascii="宋体" w:hAnsi="宋体"/>
          <w:color w:val="auto"/>
          <w:szCs w:val="21"/>
          <w:highlight w:val="none"/>
        </w:rPr>
        <w:t>文件中规定工程量清单不允许修改的内容不得修改，每项工程量清单综合单价报价不得高于对应工程量清单综合单价最高限价。你公司可在合同签订前对我公司已标价工程量清单进行清标。若发现我公司的工程量清单综合单价报价超过</w:t>
      </w:r>
      <w:r>
        <w:rPr>
          <w:rFonts w:hint="eastAsia" w:ascii="宋体" w:hAnsi="宋体"/>
          <w:color w:val="auto"/>
          <w:szCs w:val="21"/>
          <w:highlight w:val="none"/>
          <w:lang w:eastAsia="zh-CN"/>
        </w:rPr>
        <w:t>比选</w:t>
      </w:r>
      <w:r>
        <w:rPr>
          <w:rFonts w:hint="eastAsia" w:ascii="宋体" w:hAnsi="宋体"/>
          <w:color w:val="auto"/>
          <w:szCs w:val="21"/>
          <w:highlight w:val="none"/>
        </w:rPr>
        <w:t>时给出的工程量清单综合单价最高限价的，在工程结算时你公司以发出的工程量清单综合单价最高限价为基础，按照我公司的中标总报价与本工程的总价最高限价的下浮比例进行同比例下调，我公司无条件接受，否则按我公司违约处理。</w:t>
      </w:r>
    </w:p>
    <w:p w14:paraId="655B2EEE">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5、我公司在资格审查部分中提供的相关证明材料真实有效，不存在弄虚作假情形。</w:t>
      </w:r>
      <w:r>
        <w:rPr>
          <w:rFonts w:hint="eastAsia" w:ascii="宋体" w:hAnsi="宋体"/>
          <w:color w:val="auto"/>
          <w:szCs w:val="21"/>
          <w:highlight w:val="none"/>
          <w:lang w:eastAsia="zh-CN"/>
        </w:rPr>
        <w:t>比选</w:t>
      </w:r>
      <w:r>
        <w:rPr>
          <w:rFonts w:hint="eastAsia" w:ascii="宋体" w:hAnsi="宋体"/>
          <w:color w:val="auto"/>
          <w:szCs w:val="21"/>
          <w:highlight w:val="none"/>
        </w:rPr>
        <w:t>人在合同签订前均有权对我司提供的资料（如业绩截图信息等相关证明材料）进行核实，若发现弄虚作假，取消中标资格，并按相关法律法规报</w:t>
      </w:r>
      <w:r>
        <w:rPr>
          <w:rFonts w:hint="eastAsia" w:ascii="宋体" w:hAnsi="宋体"/>
          <w:color w:val="auto"/>
          <w:szCs w:val="21"/>
          <w:highlight w:val="none"/>
          <w:lang w:eastAsia="zh-CN"/>
        </w:rPr>
        <w:t>比选</w:t>
      </w:r>
      <w:r>
        <w:rPr>
          <w:rFonts w:hint="eastAsia" w:ascii="宋体" w:hAnsi="宋体"/>
          <w:color w:val="auto"/>
          <w:szCs w:val="21"/>
          <w:highlight w:val="none"/>
        </w:rPr>
        <w:t>投标监督部门处理，投标保证金不予退还，我司自愿承担因此造成的相关责任并赔偿相应损失。</w:t>
      </w:r>
    </w:p>
    <w:p w14:paraId="74F0E24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6、我公司的投标文件符合第四章 合同条款及格式规定，投标文件中没有</w:t>
      </w:r>
      <w:r>
        <w:rPr>
          <w:rFonts w:hint="eastAsia" w:ascii="宋体" w:hAnsi="宋体"/>
          <w:color w:val="auto"/>
          <w:szCs w:val="21"/>
          <w:highlight w:val="none"/>
          <w:lang w:eastAsia="zh-CN"/>
        </w:rPr>
        <w:t>比选</w:t>
      </w:r>
      <w:r>
        <w:rPr>
          <w:rFonts w:hint="eastAsia" w:ascii="宋体" w:hAnsi="宋体"/>
          <w:color w:val="auto"/>
          <w:szCs w:val="21"/>
          <w:highlight w:val="none"/>
        </w:rPr>
        <w:t>人不能接受的条件。</w:t>
      </w:r>
    </w:p>
    <w:p w14:paraId="3128BFD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7、我公司的投标文件符合第七章 技术标准和要求（如有）。</w:t>
      </w:r>
    </w:p>
    <w:p w14:paraId="47B7066B">
      <w:pPr>
        <w:tabs>
          <w:tab w:val="left" w:pos="4200"/>
          <w:tab w:val="left" w:pos="4620"/>
        </w:tabs>
        <w:autoSpaceDE w:val="0"/>
        <w:autoSpaceDN w:val="0"/>
        <w:adjustRightInd w:val="0"/>
        <w:snapToGrid w:val="0"/>
        <w:spacing w:line="360" w:lineRule="auto"/>
        <w:jc w:val="left"/>
        <w:rPr>
          <w:rFonts w:ascii="宋体" w:hAnsi="宋体"/>
          <w:color w:val="auto"/>
          <w:kern w:val="0"/>
          <w:szCs w:val="21"/>
          <w:highlight w:val="none"/>
        </w:rPr>
      </w:pPr>
    </w:p>
    <w:bookmarkEnd w:id="2268"/>
    <w:bookmarkEnd w:id="2269"/>
    <w:p w14:paraId="78729ECC">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10B014DE">
      <w:pPr>
        <w:tabs>
          <w:tab w:val="left" w:pos="6300"/>
        </w:tabs>
        <w:autoSpaceDE w:val="0"/>
        <w:autoSpaceDN w:val="0"/>
        <w:adjustRightInd w:val="0"/>
        <w:snapToGrid w:val="0"/>
        <w:spacing w:line="360" w:lineRule="auto"/>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0C42D5FB">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p>
    <w:p w14:paraId="41DD6E7E">
      <w:pPr>
        <w:tabs>
          <w:tab w:val="left" w:pos="6300"/>
        </w:tabs>
        <w:autoSpaceDE w:val="0"/>
        <w:autoSpaceDN w:val="0"/>
        <w:adjustRightInd w:val="0"/>
        <w:snapToGrid w:val="0"/>
        <w:ind w:firstLine="420" w:firstLineChars="200"/>
        <w:jc w:val="right"/>
        <w:rPr>
          <w:rFonts w:hint="eastAsia" w:ascii="宋体" w:hAnsi="宋体"/>
          <w:b/>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日</w:t>
      </w:r>
    </w:p>
    <w:p w14:paraId="758EA52D">
      <w:pPr>
        <w:rPr>
          <w:rFonts w:hint="eastAsia"/>
          <w:color w:val="auto"/>
          <w:highlight w:val="none"/>
        </w:rPr>
      </w:pPr>
      <w:r>
        <w:rPr>
          <w:color w:val="auto"/>
          <w:highlight w:val="none"/>
        </w:rPr>
        <w:br w:type="page"/>
      </w:r>
    </w:p>
    <w:p w14:paraId="2F656374">
      <w:pPr>
        <w:pStyle w:val="5"/>
        <w:spacing w:before="0" w:line="360" w:lineRule="auto"/>
        <w:jc w:val="center"/>
        <w:rPr>
          <w:rFonts w:hint="eastAsia" w:ascii="宋体" w:hAnsi="宋体"/>
          <w:b w:val="0"/>
          <w:color w:val="auto"/>
          <w:highlight w:val="none"/>
        </w:rPr>
      </w:pPr>
      <w:bookmarkStart w:id="2270" w:name="_Toc27084"/>
      <w:r>
        <w:rPr>
          <w:rFonts w:hint="eastAsia" w:ascii="宋体" w:hAnsi="宋体"/>
          <w:b w:val="0"/>
          <w:color w:val="auto"/>
          <w:highlight w:val="none"/>
        </w:rPr>
        <w:t>（</w:t>
      </w:r>
      <w:r>
        <w:rPr>
          <w:rFonts w:hint="eastAsia" w:ascii="宋体" w:hAnsi="宋体"/>
          <w:b w:val="0"/>
          <w:color w:val="auto"/>
          <w:highlight w:val="none"/>
          <w:lang w:eastAsia="zh-CN"/>
        </w:rPr>
        <w:t>五</w:t>
      </w:r>
      <w:r>
        <w:rPr>
          <w:rFonts w:hint="eastAsia" w:ascii="宋体" w:hAnsi="宋体"/>
          <w:b w:val="0"/>
          <w:color w:val="auto"/>
          <w:highlight w:val="none"/>
        </w:rPr>
        <w:t>）其他资料</w:t>
      </w:r>
      <w:bookmarkEnd w:id="2270"/>
    </w:p>
    <w:p w14:paraId="3B899C66">
      <w:pPr>
        <w:rPr>
          <w:color w:val="auto"/>
          <w:highlight w:val="none"/>
        </w:rPr>
      </w:pPr>
    </w:p>
    <w:bookmarkEnd w:id="614"/>
    <w:bookmarkEnd w:id="615"/>
    <w:bookmarkEnd w:id="616"/>
    <w:p w14:paraId="4DB2C5FD">
      <w:pPr>
        <w:spacing w:line="360" w:lineRule="auto"/>
        <w:ind w:firstLine="420" w:firstLineChars="200"/>
        <w:rPr>
          <w:rFonts w:hint="default" w:ascii="Times New Roman" w:hAnsi="Times New Roman" w:cs="Times New Roman"/>
          <w:color w:val="auto"/>
          <w:highlight w:val="none"/>
          <w:lang w:val="en-US" w:eastAsia="zh-CN"/>
        </w:rPr>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书宋简体">
    <w:altName w:val="微软雅黑"/>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方正仿宋简体">
    <w:altName w:val="微软雅黑"/>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Wingdings 2">
    <w:altName w:val="Wingdings"/>
    <w:panose1 w:val="05020102010507070707"/>
    <w:charset w:val="00"/>
    <w:family w:val="auto"/>
    <w:pitch w:val="default"/>
    <w:sig w:usb0="00000000" w:usb1="00000000" w:usb2="00000000" w:usb3="00000000" w:csb0="80000000" w:csb1="00000000"/>
  </w:font>
  <w:font w:name="Microsoft Sans Serif">
    <w:panose1 w:val="020B0604020202020204"/>
    <w:charset w:val="00"/>
    <w:family w:val="swiss"/>
    <w:pitch w:val="default"/>
    <w:sig w:usb0="E5002EFF" w:usb1="C000605B" w:usb2="00000029" w:usb3="00000000" w:csb0="200101FF" w:csb1="20280000"/>
  </w:font>
  <w:font w:name="MingLiUfalt">
    <w:altName w:val="MingLiU-ExtB"/>
    <w:panose1 w:val="00000000000000000000"/>
    <w:charset w:val="88"/>
    <w:family w:val="modern"/>
    <w:pitch w:val="default"/>
    <w:sig w:usb0="00000000" w:usb1="00000000" w:usb2="00000010" w:usb3="00000000" w:csb0="00100000" w:csb1="00000000"/>
  </w:font>
  <w:font w:name="Kingsoft Symbol">
    <w:panose1 w:val="0500010001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C6C96">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A1C2F">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14:paraId="4E298D23">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CD91">
    <w:pPr>
      <w:pStyle w:val="29"/>
      <w:jc w:val="center"/>
    </w:pPr>
    <w:r>
      <w:t xml:space="preserve">- </w:t>
    </w:r>
    <w:r>
      <w:fldChar w:fldCharType="begin"/>
    </w:r>
    <w:r>
      <w:instrText xml:space="preserve"> PAGE </w:instrText>
    </w:r>
    <w:r>
      <w:fldChar w:fldCharType="separate"/>
    </w:r>
    <w:r>
      <w:t>243</w:t>
    </w:r>
    <w:r>
      <w:fldChar w:fldCharType="end"/>
    </w: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FD5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7341A8BF">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0FF1FD94">
      <w:pPr>
        <w:pStyle w:val="34"/>
        <w:ind w:firstLine="360" w:firstLineChars="200"/>
        <w:rPr>
          <w:rFonts w:ascii="Times New Roman" w:hAnsi="Times New Roman" w:cs="Times New Roman"/>
          <w:lang w:eastAsia="zh-CN"/>
        </w:rPr>
      </w:pPr>
      <w:r>
        <w:rPr>
          <w:rStyle w:val="55"/>
        </w:rPr>
        <w:footnoteRef/>
      </w:r>
      <w:r>
        <w:rPr>
          <w:rFonts w:ascii="Times New Roman" w:hAnsi="Times New Roman" w:cs="Times New Roman"/>
          <w:lang w:eastAsia="zh-CN"/>
        </w:rPr>
        <w:t>“</w:t>
      </w:r>
      <w:r>
        <w:rPr>
          <w:rFonts w:ascii="Times New Roman" w:cs="Times New Roman"/>
          <w:lang w:eastAsia="zh-CN"/>
        </w:rPr>
        <w:t>总价</w:t>
      </w:r>
      <w:r>
        <w:rPr>
          <w:rFonts w:ascii="Times New Roman" w:hAnsi="Times New Roman" w:cs="Times New Roman"/>
          <w:lang w:eastAsia="zh-CN"/>
        </w:rPr>
        <w:t>”</w:t>
      </w:r>
      <w:r>
        <w:rPr>
          <w:rFonts w:ascii="Times New Roman" w:cs="Times New Roman"/>
          <w:lang w:eastAsia="zh-CN"/>
        </w:rPr>
        <w:t>是指</w:t>
      </w:r>
      <w:r>
        <w:rPr>
          <w:rFonts w:ascii="Times New Roman" w:hAnsi="Times New Roman" w:cs="Times New Roman"/>
          <w:lang w:eastAsia="zh-CN"/>
        </w:rPr>
        <w:t>在工程量清单中以“项”或“总额”为计量单位、以总价计价的子目，一般用于不能按照约定的工程量计算规则确定数量的子目。总价子目一般按照分期、完成合同价的百分比或完成进度计划的形象进度节点等方式予以分解支付。总价子目的计量方法由发包人在专用合同条款12.3.1中明</w:t>
      </w:r>
      <w:r>
        <w:rPr>
          <w:rFonts w:ascii="Times New Roman" w:cs="Times New Roman"/>
          <w:lang w:eastAsia="zh-CN"/>
        </w:rPr>
        <w:t>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90EED">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F5959"/>
    <w:multiLevelType w:val="singleLevel"/>
    <w:tmpl w:val="802F5959"/>
    <w:lvl w:ilvl="0" w:tentative="0">
      <w:start w:val="1"/>
      <w:numFmt w:val="decimal"/>
      <w:suff w:val="space"/>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385A1603"/>
    <w:multiLevelType w:val="multilevel"/>
    <w:tmpl w:val="385A1603"/>
    <w:lvl w:ilvl="0" w:tentative="0">
      <w:start w:val="1"/>
      <w:numFmt w:val="decimal"/>
      <w:lvlText w:val="%1、"/>
      <w:lvlJc w:val="left"/>
      <w:pPr>
        <w:ind w:left="772" w:hanging="360"/>
      </w:pPr>
      <w:rPr>
        <w:rFonts w:hint="default"/>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3">
    <w:nsid w:val="5F471D00"/>
    <w:multiLevelType w:val="singleLevel"/>
    <w:tmpl w:val="5F471D00"/>
    <w:lvl w:ilvl="0" w:tentative="0">
      <w:start w:val="3"/>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mMDdkNWUwYzJkNzdiNmIwOTRjZGZlOTQ0NGEwN2YifQ=="/>
  </w:docVars>
  <w:rsids>
    <w:rsidRoot w:val="00172A27"/>
    <w:rsid w:val="00001B1E"/>
    <w:rsid w:val="000027C8"/>
    <w:rsid w:val="00003A3F"/>
    <w:rsid w:val="00005E79"/>
    <w:rsid w:val="000067A3"/>
    <w:rsid w:val="000133A8"/>
    <w:rsid w:val="00014DF1"/>
    <w:rsid w:val="00015C9C"/>
    <w:rsid w:val="0001647D"/>
    <w:rsid w:val="0001650A"/>
    <w:rsid w:val="00017B09"/>
    <w:rsid w:val="00017D2A"/>
    <w:rsid w:val="00017F2D"/>
    <w:rsid w:val="00021228"/>
    <w:rsid w:val="000215EB"/>
    <w:rsid w:val="00022747"/>
    <w:rsid w:val="00022F4C"/>
    <w:rsid w:val="00023B7F"/>
    <w:rsid w:val="00024492"/>
    <w:rsid w:val="0002592F"/>
    <w:rsid w:val="00025DD0"/>
    <w:rsid w:val="00025FB1"/>
    <w:rsid w:val="000301A4"/>
    <w:rsid w:val="00030255"/>
    <w:rsid w:val="000316FE"/>
    <w:rsid w:val="00032255"/>
    <w:rsid w:val="0003238E"/>
    <w:rsid w:val="0003256A"/>
    <w:rsid w:val="00033076"/>
    <w:rsid w:val="00033847"/>
    <w:rsid w:val="000347EB"/>
    <w:rsid w:val="00034B81"/>
    <w:rsid w:val="00035320"/>
    <w:rsid w:val="0003558C"/>
    <w:rsid w:val="00035863"/>
    <w:rsid w:val="000358D8"/>
    <w:rsid w:val="00035E2F"/>
    <w:rsid w:val="000365B0"/>
    <w:rsid w:val="0003673D"/>
    <w:rsid w:val="00037549"/>
    <w:rsid w:val="00037672"/>
    <w:rsid w:val="00040CBD"/>
    <w:rsid w:val="000415C5"/>
    <w:rsid w:val="000418B4"/>
    <w:rsid w:val="000426A8"/>
    <w:rsid w:val="000426EA"/>
    <w:rsid w:val="000434B1"/>
    <w:rsid w:val="000437CD"/>
    <w:rsid w:val="00046EAC"/>
    <w:rsid w:val="000479E7"/>
    <w:rsid w:val="00050329"/>
    <w:rsid w:val="00050A2B"/>
    <w:rsid w:val="00050F21"/>
    <w:rsid w:val="00053B37"/>
    <w:rsid w:val="00054784"/>
    <w:rsid w:val="00054C30"/>
    <w:rsid w:val="00054D78"/>
    <w:rsid w:val="00054F64"/>
    <w:rsid w:val="0005572F"/>
    <w:rsid w:val="0005605E"/>
    <w:rsid w:val="00057103"/>
    <w:rsid w:val="000574B5"/>
    <w:rsid w:val="000578DC"/>
    <w:rsid w:val="00057D13"/>
    <w:rsid w:val="00061927"/>
    <w:rsid w:val="00061B42"/>
    <w:rsid w:val="00062D58"/>
    <w:rsid w:val="00063C01"/>
    <w:rsid w:val="000640B5"/>
    <w:rsid w:val="000654D9"/>
    <w:rsid w:val="00065C93"/>
    <w:rsid w:val="00065F0A"/>
    <w:rsid w:val="000677BF"/>
    <w:rsid w:val="00067E50"/>
    <w:rsid w:val="000703E1"/>
    <w:rsid w:val="00070444"/>
    <w:rsid w:val="00070DB4"/>
    <w:rsid w:val="00070F01"/>
    <w:rsid w:val="00072C40"/>
    <w:rsid w:val="0007377C"/>
    <w:rsid w:val="00074445"/>
    <w:rsid w:val="00074926"/>
    <w:rsid w:val="000753AE"/>
    <w:rsid w:val="0007662F"/>
    <w:rsid w:val="00076C46"/>
    <w:rsid w:val="00077788"/>
    <w:rsid w:val="000777DB"/>
    <w:rsid w:val="000819E5"/>
    <w:rsid w:val="00081E58"/>
    <w:rsid w:val="00084056"/>
    <w:rsid w:val="00084085"/>
    <w:rsid w:val="000843AE"/>
    <w:rsid w:val="00084AD3"/>
    <w:rsid w:val="00085720"/>
    <w:rsid w:val="00086C0A"/>
    <w:rsid w:val="00086F23"/>
    <w:rsid w:val="00090828"/>
    <w:rsid w:val="0009092D"/>
    <w:rsid w:val="00090FD7"/>
    <w:rsid w:val="000925AC"/>
    <w:rsid w:val="000927A3"/>
    <w:rsid w:val="00092F8F"/>
    <w:rsid w:val="00093409"/>
    <w:rsid w:val="0009358F"/>
    <w:rsid w:val="00093B07"/>
    <w:rsid w:val="00095189"/>
    <w:rsid w:val="0009559A"/>
    <w:rsid w:val="00095DEF"/>
    <w:rsid w:val="0009606E"/>
    <w:rsid w:val="000967E2"/>
    <w:rsid w:val="00097C86"/>
    <w:rsid w:val="000A0398"/>
    <w:rsid w:val="000A0D3C"/>
    <w:rsid w:val="000A2AF4"/>
    <w:rsid w:val="000A2CA5"/>
    <w:rsid w:val="000A41FD"/>
    <w:rsid w:val="000A4A55"/>
    <w:rsid w:val="000A569B"/>
    <w:rsid w:val="000A6BF5"/>
    <w:rsid w:val="000A7403"/>
    <w:rsid w:val="000B0F51"/>
    <w:rsid w:val="000B1596"/>
    <w:rsid w:val="000B1B81"/>
    <w:rsid w:val="000B1DE8"/>
    <w:rsid w:val="000B283B"/>
    <w:rsid w:val="000B3303"/>
    <w:rsid w:val="000B489F"/>
    <w:rsid w:val="000B4C5B"/>
    <w:rsid w:val="000B5039"/>
    <w:rsid w:val="000B55BE"/>
    <w:rsid w:val="000B5C3A"/>
    <w:rsid w:val="000B5E88"/>
    <w:rsid w:val="000B6648"/>
    <w:rsid w:val="000B786B"/>
    <w:rsid w:val="000C00B2"/>
    <w:rsid w:val="000C079C"/>
    <w:rsid w:val="000C0EE5"/>
    <w:rsid w:val="000C1370"/>
    <w:rsid w:val="000C13A1"/>
    <w:rsid w:val="000C30AC"/>
    <w:rsid w:val="000C3285"/>
    <w:rsid w:val="000C463E"/>
    <w:rsid w:val="000C5AA2"/>
    <w:rsid w:val="000C5C93"/>
    <w:rsid w:val="000C6282"/>
    <w:rsid w:val="000D1F8D"/>
    <w:rsid w:val="000D21F1"/>
    <w:rsid w:val="000D252E"/>
    <w:rsid w:val="000D3548"/>
    <w:rsid w:val="000D3551"/>
    <w:rsid w:val="000D42D0"/>
    <w:rsid w:val="000D5211"/>
    <w:rsid w:val="000D65FC"/>
    <w:rsid w:val="000D6B45"/>
    <w:rsid w:val="000D6FB3"/>
    <w:rsid w:val="000D7254"/>
    <w:rsid w:val="000D753D"/>
    <w:rsid w:val="000D76E1"/>
    <w:rsid w:val="000D7823"/>
    <w:rsid w:val="000E0DB3"/>
    <w:rsid w:val="000E10A5"/>
    <w:rsid w:val="000E1A63"/>
    <w:rsid w:val="000E2122"/>
    <w:rsid w:val="000E413E"/>
    <w:rsid w:val="000E4C3D"/>
    <w:rsid w:val="000E6849"/>
    <w:rsid w:val="000E72B9"/>
    <w:rsid w:val="000F05AB"/>
    <w:rsid w:val="000F091D"/>
    <w:rsid w:val="000F1B68"/>
    <w:rsid w:val="000F1BD2"/>
    <w:rsid w:val="000F2179"/>
    <w:rsid w:val="000F278B"/>
    <w:rsid w:val="000F2955"/>
    <w:rsid w:val="000F40C0"/>
    <w:rsid w:val="000F45C8"/>
    <w:rsid w:val="000F4BBE"/>
    <w:rsid w:val="000F50C6"/>
    <w:rsid w:val="000F51EA"/>
    <w:rsid w:val="000F5AD4"/>
    <w:rsid w:val="000F7CF5"/>
    <w:rsid w:val="00100471"/>
    <w:rsid w:val="00101E5F"/>
    <w:rsid w:val="001025D9"/>
    <w:rsid w:val="00105F22"/>
    <w:rsid w:val="001062D4"/>
    <w:rsid w:val="001066B1"/>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2046B"/>
    <w:rsid w:val="001209B5"/>
    <w:rsid w:val="001214C7"/>
    <w:rsid w:val="00121F6B"/>
    <w:rsid w:val="00121FD0"/>
    <w:rsid w:val="00122362"/>
    <w:rsid w:val="0012259E"/>
    <w:rsid w:val="00122D4D"/>
    <w:rsid w:val="0012481C"/>
    <w:rsid w:val="001303A1"/>
    <w:rsid w:val="00131C48"/>
    <w:rsid w:val="00131D1B"/>
    <w:rsid w:val="001330BB"/>
    <w:rsid w:val="00134327"/>
    <w:rsid w:val="001347A9"/>
    <w:rsid w:val="00135872"/>
    <w:rsid w:val="00136D1E"/>
    <w:rsid w:val="00136E6E"/>
    <w:rsid w:val="00137F99"/>
    <w:rsid w:val="00140FF4"/>
    <w:rsid w:val="001440F2"/>
    <w:rsid w:val="001455A1"/>
    <w:rsid w:val="00145AE6"/>
    <w:rsid w:val="00145F46"/>
    <w:rsid w:val="001460D9"/>
    <w:rsid w:val="001466BF"/>
    <w:rsid w:val="00146C44"/>
    <w:rsid w:val="00147FD9"/>
    <w:rsid w:val="00150025"/>
    <w:rsid w:val="00150696"/>
    <w:rsid w:val="00150964"/>
    <w:rsid w:val="001509E3"/>
    <w:rsid w:val="00150A27"/>
    <w:rsid w:val="00150F2A"/>
    <w:rsid w:val="00152078"/>
    <w:rsid w:val="001534E6"/>
    <w:rsid w:val="00153F38"/>
    <w:rsid w:val="0015532E"/>
    <w:rsid w:val="0015596B"/>
    <w:rsid w:val="00155D1F"/>
    <w:rsid w:val="0016132F"/>
    <w:rsid w:val="0016174D"/>
    <w:rsid w:val="00162B36"/>
    <w:rsid w:val="0016317C"/>
    <w:rsid w:val="00164DCB"/>
    <w:rsid w:val="00165642"/>
    <w:rsid w:val="00165B64"/>
    <w:rsid w:val="00165D82"/>
    <w:rsid w:val="00166F24"/>
    <w:rsid w:val="00167BBE"/>
    <w:rsid w:val="001721A5"/>
    <w:rsid w:val="0017293A"/>
    <w:rsid w:val="00172DEA"/>
    <w:rsid w:val="00172F37"/>
    <w:rsid w:val="00173A7B"/>
    <w:rsid w:val="00174134"/>
    <w:rsid w:val="00176A64"/>
    <w:rsid w:val="00176B11"/>
    <w:rsid w:val="00176C6C"/>
    <w:rsid w:val="00177E29"/>
    <w:rsid w:val="00177F8E"/>
    <w:rsid w:val="001806AD"/>
    <w:rsid w:val="001818BD"/>
    <w:rsid w:val="00182F9F"/>
    <w:rsid w:val="00184528"/>
    <w:rsid w:val="00184AF6"/>
    <w:rsid w:val="001862DC"/>
    <w:rsid w:val="00186401"/>
    <w:rsid w:val="00186442"/>
    <w:rsid w:val="001866A1"/>
    <w:rsid w:val="00192735"/>
    <w:rsid w:val="00193696"/>
    <w:rsid w:val="001947FB"/>
    <w:rsid w:val="001953C5"/>
    <w:rsid w:val="00195720"/>
    <w:rsid w:val="00196CDD"/>
    <w:rsid w:val="001975C9"/>
    <w:rsid w:val="001A05FF"/>
    <w:rsid w:val="001A189F"/>
    <w:rsid w:val="001A1CD8"/>
    <w:rsid w:val="001A293D"/>
    <w:rsid w:val="001A2A77"/>
    <w:rsid w:val="001A3908"/>
    <w:rsid w:val="001A5133"/>
    <w:rsid w:val="001A77C4"/>
    <w:rsid w:val="001A7BE0"/>
    <w:rsid w:val="001B15C6"/>
    <w:rsid w:val="001B17D1"/>
    <w:rsid w:val="001B229E"/>
    <w:rsid w:val="001B2B2F"/>
    <w:rsid w:val="001B2DEF"/>
    <w:rsid w:val="001B3B8F"/>
    <w:rsid w:val="001B412E"/>
    <w:rsid w:val="001B48E0"/>
    <w:rsid w:val="001B4A7A"/>
    <w:rsid w:val="001B4D7D"/>
    <w:rsid w:val="001B5125"/>
    <w:rsid w:val="001B5B97"/>
    <w:rsid w:val="001B6AA4"/>
    <w:rsid w:val="001C023F"/>
    <w:rsid w:val="001C02D5"/>
    <w:rsid w:val="001C0B84"/>
    <w:rsid w:val="001C1E56"/>
    <w:rsid w:val="001C2CF6"/>
    <w:rsid w:val="001C4064"/>
    <w:rsid w:val="001C49F4"/>
    <w:rsid w:val="001C71D7"/>
    <w:rsid w:val="001D0E02"/>
    <w:rsid w:val="001D0F66"/>
    <w:rsid w:val="001D125F"/>
    <w:rsid w:val="001D16DA"/>
    <w:rsid w:val="001D17FB"/>
    <w:rsid w:val="001D2271"/>
    <w:rsid w:val="001D251C"/>
    <w:rsid w:val="001D3B3D"/>
    <w:rsid w:val="001D42FF"/>
    <w:rsid w:val="001D4381"/>
    <w:rsid w:val="001D47CF"/>
    <w:rsid w:val="001D4A3E"/>
    <w:rsid w:val="001D6225"/>
    <w:rsid w:val="001D6439"/>
    <w:rsid w:val="001D67FA"/>
    <w:rsid w:val="001D6D8C"/>
    <w:rsid w:val="001E054D"/>
    <w:rsid w:val="001E1308"/>
    <w:rsid w:val="001E1520"/>
    <w:rsid w:val="001E19DD"/>
    <w:rsid w:val="001E19F9"/>
    <w:rsid w:val="001E2C16"/>
    <w:rsid w:val="001E3AAF"/>
    <w:rsid w:val="001E3D84"/>
    <w:rsid w:val="001E4F0E"/>
    <w:rsid w:val="001E594C"/>
    <w:rsid w:val="001E5E16"/>
    <w:rsid w:val="001E6BFA"/>
    <w:rsid w:val="001F07E9"/>
    <w:rsid w:val="001F0D0C"/>
    <w:rsid w:val="001F234F"/>
    <w:rsid w:val="001F24B9"/>
    <w:rsid w:val="001F31AC"/>
    <w:rsid w:val="001F3815"/>
    <w:rsid w:val="001F3DB0"/>
    <w:rsid w:val="001F3E77"/>
    <w:rsid w:val="001F57A7"/>
    <w:rsid w:val="001F5A67"/>
    <w:rsid w:val="001F5B59"/>
    <w:rsid w:val="00200192"/>
    <w:rsid w:val="00200EBF"/>
    <w:rsid w:val="00204D75"/>
    <w:rsid w:val="002050D7"/>
    <w:rsid w:val="002051B0"/>
    <w:rsid w:val="00205413"/>
    <w:rsid w:val="0020686F"/>
    <w:rsid w:val="002076AA"/>
    <w:rsid w:val="0021027A"/>
    <w:rsid w:val="00212A14"/>
    <w:rsid w:val="00214D88"/>
    <w:rsid w:val="00215906"/>
    <w:rsid w:val="00215A2A"/>
    <w:rsid w:val="002166F9"/>
    <w:rsid w:val="002168E9"/>
    <w:rsid w:val="0021733C"/>
    <w:rsid w:val="00217891"/>
    <w:rsid w:val="002207FA"/>
    <w:rsid w:val="00221627"/>
    <w:rsid w:val="00221E51"/>
    <w:rsid w:val="00221F8E"/>
    <w:rsid w:val="00221FE1"/>
    <w:rsid w:val="002220C5"/>
    <w:rsid w:val="00222689"/>
    <w:rsid w:val="00223852"/>
    <w:rsid w:val="002245B9"/>
    <w:rsid w:val="00225099"/>
    <w:rsid w:val="002250CA"/>
    <w:rsid w:val="0022607A"/>
    <w:rsid w:val="00226152"/>
    <w:rsid w:val="002264D0"/>
    <w:rsid w:val="002270BE"/>
    <w:rsid w:val="002329B7"/>
    <w:rsid w:val="00232AD2"/>
    <w:rsid w:val="0023462F"/>
    <w:rsid w:val="00235CED"/>
    <w:rsid w:val="002369E6"/>
    <w:rsid w:val="00237DCC"/>
    <w:rsid w:val="00237DD3"/>
    <w:rsid w:val="00237F17"/>
    <w:rsid w:val="0024052C"/>
    <w:rsid w:val="002410BB"/>
    <w:rsid w:val="0024122A"/>
    <w:rsid w:val="00241889"/>
    <w:rsid w:val="00243253"/>
    <w:rsid w:val="002432CD"/>
    <w:rsid w:val="00246803"/>
    <w:rsid w:val="002476F0"/>
    <w:rsid w:val="00247DA6"/>
    <w:rsid w:val="00251F81"/>
    <w:rsid w:val="00251FD7"/>
    <w:rsid w:val="002526AC"/>
    <w:rsid w:val="00252997"/>
    <w:rsid w:val="00253DE9"/>
    <w:rsid w:val="002555DD"/>
    <w:rsid w:val="002555E1"/>
    <w:rsid w:val="00255C94"/>
    <w:rsid w:val="00257031"/>
    <w:rsid w:val="00257EFE"/>
    <w:rsid w:val="002603C8"/>
    <w:rsid w:val="0026138C"/>
    <w:rsid w:val="00262012"/>
    <w:rsid w:val="0026466E"/>
    <w:rsid w:val="00264D7B"/>
    <w:rsid w:val="00264DF5"/>
    <w:rsid w:val="00264EBF"/>
    <w:rsid w:val="002656F0"/>
    <w:rsid w:val="00265D30"/>
    <w:rsid w:val="00265D64"/>
    <w:rsid w:val="00265DD9"/>
    <w:rsid w:val="002667EA"/>
    <w:rsid w:val="00266C56"/>
    <w:rsid w:val="00267A99"/>
    <w:rsid w:val="002702C1"/>
    <w:rsid w:val="0027264B"/>
    <w:rsid w:val="002736CE"/>
    <w:rsid w:val="00273F7A"/>
    <w:rsid w:val="002742E2"/>
    <w:rsid w:val="00274CFD"/>
    <w:rsid w:val="00274ED6"/>
    <w:rsid w:val="002752C6"/>
    <w:rsid w:val="0027586B"/>
    <w:rsid w:val="00276BC6"/>
    <w:rsid w:val="00276C59"/>
    <w:rsid w:val="00276F21"/>
    <w:rsid w:val="0027711A"/>
    <w:rsid w:val="0027792D"/>
    <w:rsid w:val="00281357"/>
    <w:rsid w:val="002830A8"/>
    <w:rsid w:val="00283515"/>
    <w:rsid w:val="00283721"/>
    <w:rsid w:val="00283BAD"/>
    <w:rsid w:val="0028466A"/>
    <w:rsid w:val="002846E8"/>
    <w:rsid w:val="00284F98"/>
    <w:rsid w:val="00285507"/>
    <w:rsid w:val="0028561D"/>
    <w:rsid w:val="00285FF7"/>
    <w:rsid w:val="002860F1"/>
    <w:rsid w:val="002907E7"/>
    <w:rsid w:val="00291148"/>
    <w:rsid w:val="00292278"/>
    <w:rsid w:val="00295263"/>
    <w:rsid w:val="00295974"/>
    <w:rsid w:val="0029631A"/>
    <w:rsid w:val="00297BEE"/>
    <w:rsid w:val="002A0448"/>
    <w:rsid w:val="002A05DC"/>
    <w:rsid w:val="002A0F20"/>
    <w:rsid w:val="002A274B"/>
    <w:rsid w:val="002A3274"/>
    <w:rsid w:val="002A32D9"/>
    <w:rsid w:val="002A59B9"/>
    <w:rsid w:val="002B13CB"/>
    <w:rsid w:val="002B1854"/>
    <w:rsid w:val="002B1A51"/>
    <w:rsid w:val="002B1A7F"/>
    <w:rsid w:val="002B2AE1"/>
    <w:rsid w:val="002B3159"/>
    <w:rsid w:val="002B3A8F"/>
    <w:rsid w:val="002B3E1F"/>
    <w:rsid w:val="002B4646"/>
    <w:rsid w:val="002B5324"/>
    <w:rsid w:val="002B5C91"/>
    <w:rsid w:val="002B5F4B"/>
    <w:rsid w:val="002B6603"/>
    <w:rsid w:val="002B6F5F"/>
    <w:rsid w:val="002C0828"/>
    <w:rsid w:val="002C124B"/>
    <w:rsid w:val="002C1A0B"/>
    <w:rsid w:val="002C264C"/>
    <w:rsid w:val="002C33AF"/>
    <w:rsid w:val="002C3B75"/>
    <w:rsid w:val="002C47E9"/>
    <w:rsid w:val="002C4E26"/>
    <w:rsid w:val="002C4E6C"/>
    <w:rsid w:val="002C54BF"/>
    <w:rsid w:val="002C5519"/>
    <w:rsid w:val="002C59CD"/>
    <w:rsid w:val="002C67E5"/>
    <w:rsid w:val="002C6F5D"/>
    <w:rsid w:val="002D0639"/>
    <w:rsid w:val="002D08F4"/>
    <w:rsid w:val="002D097F"/>
    <w:rsid w:val="002D0D0C"/>
    <w:rsid w:val="002D1172"/>
    <w:rsid w:val="002D1258"/>
    <w:rsid w:val="002D13E8"/>
    <w:rsid w:val="002D223F"/>
    <w:rsid w:val="002D2807"/>
    <w:rsid w:val="002D2D97"/>
    <w:rsid w:val="002D3245"/>
    <w:rsid w:val="002D3BDF"/>
    <w:rsid w:val="002D426C"/>
    <w:rsid w:val="002D4721"/>
    <w:rsid w:val="002D472F"/>
    <w:rsid w:val="002D4DB6"/>
    <w:rsid w:val="002D7BD7"/>
    <w:rsid w:val="002E0719"/>
    <w:rsid w:val="002E0D86"/>
    <w:rsid w:val="002E1086"/>
    <w:rsid w:val="002E16AE"/>
    <w:rsid w:val="002E1795"/>
    <w:rsid w:val="002E1871"/>
    <w:rsid w:val="002E1A25"/>
    <w:rsid w:val="002E1C38"/>
    <w:rsid w:val="002E3521"/>
    <w:rsid w:val="002E37F4"/>
    <w:rsid w:val="002E4190"/>
    <w:rsid w:val="002E43A5"/>
    <w:rsid w:val="002E6B8C"/>
    <w:rsid w:val="002E7318"/>
    <w:rsid w:val="002E7617"/>
    <w:rsid w:val="002E7C56"/>
    <w:rsid w:val="002E7D8E"/>
    <w:rsid w:val="002F210E"/>
    <w:rsid w:val="002F27B6"/>
    <w:rsid w:val="002F2B50"/>
    <w:rsid w:val="002F405F"/>
    <w:rsid w:val="002F491B"/>
    <w:rsid w:val="002F4953"/>
    <w:rsid w:val="002F4ACB"/>
    <w:rsid w:val="002F7430"/>
    <w:rsid w:val="002F777B"/>
    <w:rsid w:val="00300191"/>
    <w:rsid w:val="00300AAF"/>
    <w:rsid w:val="00300F8D"/>
    <w:rsid w:val="00301A0A"/>
    <w:rsid w:val="003059F4"/>
    <w:rsid w:val="0030689E"/>
    <w:rsid w:val="003068D7"/>
    <w:rsid w:val="00306CC7"/>
    <w:rsid w:val="003071B2"/>
    <w:rsid w:val="00307599"/>
    <w:rsid w:val="00307AAC"/>
    <w:rsid w:val="00310399"/>
    <w:rsid w:val="00310D8D"/>
    <w:rsid w:val="00313909"/>
    <w:rsid w:val="0031445A"/>
    <w:rsid w:val="003149F6"/>
    <w:rsid w:val="00316368"/>
    <w:rsid w:val="00316AB8"/>
    <w:rsid w:val="003174B4"/>
    <w:rsid w:val="00317994"/>
    <w:rsid w:val="0032047A"/>
    <w:rsid w:val="00320939"/>
    <w:rsid w:val="00320F9D"/>
    <w:rsid w:val="00321B76"/>
    <w:rsid w:val="00321BBE"/>
    <w:rsid w:val="00323813"/>
    <w:rsid w:val="00325077"/>
    <w:rsid w:val="0032515F"/>
    <w:rsid w:val="003253BE"/>
    <w:rsid w:val="0032679D"/>
    <w:rsid w:val="00327D78"/>
    <w:rsid w:val="00327E48"/>
    <w:rsid w:val="003302F7"/>
    <w:rsid w:val="00332437"/>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F87"/>
    <w:rsid w:val="00346101"/>
    <w:rsid w:val="00347C24"/>
    <w:rsid w:val="00347EB1"/>
    <w:rsid w:val="003508F6"/>
    <w:rsid w:val="00350BB0"/>
    <w:rsid w:val="00351C8D"/>
    <w:rsid w:val="00351FF3"/>
    <w:rsid w:val="00352B90"/>
    <w:rsid w:val="00353231"/>
    <w:rsid w:val="00354D6E"/>
    <w:rsid w:val="0035514C"/>
    <w:rsid w:val="00356084"/>
    <w:rsid w:val="00356E07"/>
    <w:rsid w:val="003642D2"/>
    <w:rsid w:val="0036450C"/>
    <w:rsid w:val="00364574"/>
    <w:rsid w:val="0036546D"/>
    <w:rsid w:val="003664C3"/>
    <w:rsid w:val="003675A1"/>
    <w:rsid w:val="0036773D"/>
    <w:rsid w:val="00367FEB"/>
    <w:rsid w:val="003711C1"/>
    <w:rsid w:val="00371BC3"/>
    <w:rsid w:val="00371CBE"/>
    <w:rsid w:val="003726AD"/>
    <w:rsid w:val="00372C9E"/>
    <w:rsid w:val="00373AD4"/>
    <w:rsid w:val="0037428F"/>
    <w:rsid w:val="00374539"/>
    <w:rsid w:val="003747BD"/>
    <w:rsid w:val="00374DD5"/>
    <w:rsid w:val="0037591D"/>
    <w:rsid w:val="0037720A"/>
    <w:rsid w:val="0038006D"/>
    <w:rsid w:val="00381AE0"/>
    <w:rsid w:val="00381EB9"/>
    <w:rsid w:val="0038206D"/>
    <w:rsid w:val="00383A81"/>
    <w:rsid w:val="00383D6A"/>
    <w:rsid w:val="00384693"/>
    <w:rsid w:val="00384B63"/>
    <w:rsid w:val="00385DC1"/>
    <w:rsid w:val="00385F02"/>
    <w:rsid w:val="00386080"/>
    <w:rsid w:val="00386D80"/>
    <w:rsid w:val="00386DED"/>
    <w:rsid w:val="0038719C"/>
    <w:rsid w:val="00390E97"/>
    <w:rsid w:val="003924AE"/>
    <w:rsid w:val="00392E76"/>
    <w:rsid w:val="00393BF6"/>
    <w:rsid w:val="00393F1C"/>
    <w:rsid w:val="00393F6E"/>
    <w:rsid w:val="00394276"/>
    <w:rsid w:val="00394BA4"/>
    <w:rsid w:val="0039536F"/>
    <w:rsid w:val="0039597A"/>
    <w:rsid w:val="0039697D"/>
    <w:rsid w:val="0039750E"/>
    <w:rsid w:val="00397618"/>
    <w:rsid w:val="00397731"/>
    <w:rsid w:val="003A014B"/>
    <w:rsid w:val="003A1350"/>
    <w:rsid w:val="003A17CE"/>
    <w:rsid w:val="003A1920"/>
    <w:rsid w:val="003A1A61"/>
    <w:rsid w:val="003A2C3E"/>
    <w:rsid w:val="003A2D49"/>
    <w:rsid w:val="003A3487"/>
    <w:rsid w:val="003A4BD2"/>
    <w:rsid w:val="003A591A"/>
    <w:rsid w:val="003A5F2B"/>
    <w:rsid w:val="003A722D"/>
    <w:rsid w:val="003B01FB"/>
    <w:rsid w:val="003B0557"/>
    <w:rsid w:val="003B0E02"/>
    <w:rsid w:val="003B0FDA"/>
    <w:rsid w:val="003B231B"/>
    <w:rsid w:val="003B3157"/>
    <w:rsid w:val="003B3B43"/>
    <w:rsid w:val="003B3FC0"/>
    <w:rsid w:val="003B4786"/>
    <w:rsid w:val="003B56E2"/>
    <w:rsid w:val="003B602A"/>
    <w:rsid w:val="003B71D0"/>
    <w:rsid w:val="003B7450"/>
    <w:rsid w:val="003C03AA"/>
    <w:rsid w:val="003C1A92"/>
    <w:rsid w:val="003C21C5"/>
    <w:rsid w:val="003C2C74"/>
    <w:rsid w:val="003C374D"/>
    <w:rsid w:val="003C3E88"/>
    <w:rsid w:val="003C45E6"/>
    <w:rsid w:val="003C568C"/>
    <w:rsid w:val="003C63A8"/>
    <w:rsid w:val="003C6725"/>
    <w:rsid w:val="003C7107"/>
    <w:rsid w:val="003C7CDE"/>
    <w:rsid w:val="003D0D2D"/>
    <w:rsid w:val="003D16A1"/>
    <w:rsid w:val="003D16F1"/>
    <w:rsid w:val="003D1778"/>
    <w:rsid w:val="003D1B5E"/>
    <w:rsid w:val="003D28A5"/>
    <w:rsid w:val="003D30C9"/>
    <w:rsid w:val="003D472B"/>
    <w:rsid w:val="003D49E5"/>
    <w:rsid w:val="003D4F91"/>
    <w:rsid w:val="003D5092"/>
    <w:rsid w:val="003D6240"/>
    <w:rsid w:val="003D7D65"/>
    <w:rsid w:val="003E007A"/>
    <w:rsid w:val="003E09C9"/>
    <w:rsid w:val="003E0CFA"/>
    <w:rsid w:val="003E0D77"/>
    <w:rsid w:val="003E0DA2"/>
    <w:rsid w:val="003E0F5C"/>
    <w:rsid w:val="003E11B1"/>
    <w:rsid w:val="003E11D8"/>
    <w:rsid w:val="003E1873"/>
    <w:rsid w:val="003E25CD"/>
    <w:rsid w:val="003E25DA"/>
    <w:rsid w:val="003E2BDE"/>
    <w:rsid w:val="003E2F13"/>
    <w:rsid w:val="003E3005"/>
    <w:rsid w:val="003E386C"/>
    <w:rsid w:val="003E44BC"/>
    <w:rsid w:val="003E509B"/>
    <w:rsid w:val="003E60A8"/>
    <w:rsid w:val="003E6141"/>
    <w:rsid w:val="003E620D"/>
    <w:rsid w:val="003E6F86"/>
    <w:rsid w:val="003F111F"/>
    <w:rsid w:val="003F1441"/>
    <w:rsid w:val="003F1A7F"/>
    <w:rsid w:val="003F28AB"/>
    <w:rsid w:val="003F330F"/>
    <w:rsid w:val="003F36C9"/>
    <w:rsid w:val="003F441E"/>
    <w:rsid w:val="003F4A7C"/>
    <w:rsid w:val="003F5144"/>
    <w:rsid w:val="003F5DC0"/>
    <w:rsid w:val="003F73B2"/>
    <w:rsid w:val="0040067C"/>
    <w:rsid w:val="004012CF"/>
    <w:rsid w:val="0040177F"/>
    <w:rsid w:val="00401801"/>
    <w:rsid w:val="00402034"/>
    <w:rsid w:val="00402971"/>
    <w:rsid w:val="00402AC1"/>
    <w:rsid w:val="00402FB4"/>
    <w:rsid w:val="004032FE"/>
    <w:rsid w:val="00403576"/>
    <w:rsid w:val="00404A4F"/>
    <w:rsid w:val="00405414"/>
    <w:rsid w:val="004056FA"/>
    <w:rsid w:val="004058F1"/>
    <w:rsid w:val="00405B47"/>
    <w:rsid w:val="00406172"/>
    <w:rsid w:val="004061C3"/>
    <w:rsid w:val="00407301"/>
    <w:rsid w:val="00407985"/>
    <w:rsid w:val="00410BE9"/>
    <w:rsid w:val="004117D4"/>
    <w:rsid w:val="00411C6C"/>
    <w:rsid w:val="00411D3D"/>
    <w:rsid w:val="004133BA"/>
    <w:rsid w:val="00413638"/>
    <w:rsid w:val="00413B4D"/>
    <w:rsid w:val="00413ED4"/>
    <w:rsid w:val="00414B0A"/>
    <w:rsid w:val="00414B6F"/>
    <w:rsid w:val="00414DD6"/>
    <w:rsid w:val="004150E6"/>
    <w:rsid w:val="004159EE"/>
    <w:rsid w:val="0041663C"/>
    <w:rsid w:val="004177A0"/>
    <w:rsid w:val="00422014"/>
    <w:rsid w:val="00422F2E"/>
    <w:rsid w:val="004237E6"/>
    <w:rsid w:val="00424573"/>
    <w:rsid w:val="00425258"/>
    <w:rsid w:val="004252ED"/>
    <w:rsid w:val="0042547A"/>
    <w:rsid w:val="00425FAD"/>
    <w:rsid w:val="00426287"/>
    <w:rsid w:val="0042646D"/>
    <w:rsid w:val="00426C16"/>
    <w:rsid w:val="00426CCD"/>
    <w:rsid w:val="00426F58"/>
    <w:rsid w:val="00430AD8"/>
    <w:rsid w:val="00433728"/>
    <w:rsid w:val="004338FB"/>
    <w:rsid w:val="00433CB6"/>
    <w:rsid w:val="00434569"/>
    <w:rsid w:val="00434775"/>
    <w:rsid w:val="00436264"/>
    <w:rsid w:val="0043688D"/>
    <w:rsid w:val="0044016F"/>
    <w:rsid w:val="004403BC"/>
    <w:rsid w:val="00440C8E"/>
    <w:rsid w:val="004411B0"/>
    <w:rsid w:val="0044183D"/>
    <w:rsid w:val="004422F3"/>
    <w:rsid w:val="004424D6"/>
    <w:rsid w:val="004426D5"/>
    <w:rsid w:val="00442B64"/>
    <w:rsid w:val="00443AA8"/>
    <w:rsid w:val="00444AFB"/>
    <w:rsid w:val="00444F38"/>
    <w:rsid w:val="00445781"/>
    <w:rsid w:val="00446F78"/>
    <w:rsid w:val="00450551"/>
    <w:rsid w:val="00450E73"/>
    <w:rsid w:val="00451333"/>
    <w:rsid w:val="00451AD8"/>
    <w:rsid w:val="00452BA8"/>
    <w:rsid w:val="00452C04"/>
    <w:rsid w:val="00452C3B"/>
    <w:rsid w:val="00452CF5"/>
    <w:rsid w:val="00453AEE"/>
    <w:rsid w:val="0045516B"/>
    <w:rsid w:val="00455C4E"/>
    <w:rsid w:val="00456C7D"/>
    <w:rsid w:val="00457C26"/>
    <w:rsid w:val="004607DA"/>
    <w:rsid w:val="00460A63"/>
    <w:rsid w:val="00461628"/>
    <w:rsid w:val="00461886"/>
    <w:rsid w:val="00462A0F"/>
    <w:rsid w:val="00464FEE"/>
    <w:rsid w:val="00465B8F"/>
    <w:rsid w:val="00465BC5"/>
    <w:rsid w:val="00467585"/>
    <w:rsid w:val="00467813"/>
    <w:rsid w:val="004704E1"/>
    <w:rsid w:val="004704EB"/>
    <w:rsid w:val="00470B02"/>
    <w:rsid w:val="00470DED"/>
    <w:rsid w:val="00471F7B"/>
    <w:rsid w:val="004738CC"/>
    <w:rsid w:val="00473922"/>
    <w:rsid w:val="004742F2"/>
    <w:rsid w:val="004749A9"/>
    <w:rsid w:val="00474B56"/>
    <w:rsid w:val="00474B70"/>
    <w:rsid w:val="004750DD"/>
    <w:rsid w:val="0047645E"/>
    <w:rsid w:val="00477CA6"/>
    <w:rsid w:val="00477F89"/>
    <w:rsid w:val="004807F6"/>
    <w:rsid w:val="00480C5C"/>
    <w:rsid w:val="004815E1"/>
    <w:rsid w:val="004824CC"/>
    <w:rsid w:val="00482F64"/>
    <w:rsid w:val="00482FF5"/>
    <w:rsid w:val="00483326"/>
    <w:rsid w:val="0048426B"/>
    <w:rsid w:val="0048533A"/>
    <w:rsid w:val="004861E3"/>
    <w:rsid w:val="004864EC"/>
    <w:rsid w:val="00486E1F"/>
    <w:rsid w:val="00487255"/>
    <w:rsid w:val="004877A9"/>
    <w:rsid w:val="00491E53"/>
    <w:rsid w:val="0049221E"/>
    <w:rsid w:val="0049286D"/>
    <w:rsid w:val="00492C5B"/>
    <w:rsid w:val="0049312E"/>
    <w:rsid w:val="004933BA"/>
    <w:rsid w:val="00494084"/>
    <w:rsid w:val="004944CE"/>
    <w:rsid w:val="00494BCE"/>
    <w:rsid w:val="0049512D"/>
    <w:rsid w:val="0049547D"/>
    <w:rsid w:val="004956F3"/>
    <w:rsid w:val="00496A42"/>
    <w:rsid w:val="00496E5E"/>
    <w:rsid w:val="00497B07"/>
    <w:rsid w:val="00497F32"/>
    <w:rsid w:val="004A0046"/>
    <w:rsid w:val="004A14A9"/>
    <w:rsid w:val="004A195A"/>
    <w:rsid w:val="004A2078"/>
    <w:rsid w:val="004A2959"/>
    <w:rsid w:val="004A39D9"/>
    <w:rsid w:val="004A3BE1"/>
    <w:rsid w:val="004A45C0"/>
    <w:rsid w:val="004A4B79"/>
    <w:rsid w:val="004A5051"/>
    <w:rsid w:val="004A7948"/>
    <w:rsid w:val="004A7ADA"/>
    <w:rsid w:val="004B0657"/>
    <w:rsid w:val="004B134A"/>
    <w:rsid w:val="004B147C"/>
    <w:rsid w:val="004B256E"/>
    <w:rsid w:val="004B2D58"/>
    <w:rsid w:val="004B53F7"/>
    <w:rsid w:val="004B709E"/>
    <w:rsid w:val="004C1884"/>
    <w:rsid w:val="004C52F8"/>
    <w:rsid w:val="004C552D"/>
    <w:rsid w:val="004C6663"/>
    <w:rsid w:val="004C70BF"/>
    <w:rsid w:val="004D0F84"/>
    <w:rsid w:val="004D1CA0"/>
    <w:rsid w:val="004D33F3"/>
    <w:rsid w:val="004D3D5B"/>
    <w:rsid w:val="004D62A4"/>
    <w:rsid w:val="004D646A"/>
    <w:rsid w:val="004D6CB7"/>
    <w:rsid w:val="004D7170"/>
    <w:rsid w:val="004D7662"/>
    <w:rsid w:val="004D786D"/>
    <w:rsid w:val="004E104C"/>
    <w:rsid w:val="004E20A4"/>
    <w:rsid w:val="004E25EB"/>
    <w:rsid w:val="004E37B5"/>
    <w:rsid w:val="004E3C1F"/>
    <w:rsid w:val="004E42F1"/>
    <w:rsid w:val="004E5C08"/>
    <w:rsid w:val="004E61F6"/>
    <w:rsid w:val="004E670B"/>
    <w:rsid w:val="004E755F"/>
    <w:rsid w:val="004E79D0"/>
    <w:rsid w:val="004F18EA"/>
    <w:rsid w:val="004F210D"/>
    <w:rsid w:val="004F22A2"/>
    <w:rsid w:val="004F2678"/>
    <w:rsid w:val="004F2DD9"/>
    <w:rsid w:val="004F4D07"/>
    <w:rsid w:val="004F6718"/>
    <w:rsid w:val="004F6BD5"/>
    <w:rsid w:val="004F74C3"/>
    <w:rsid w:val="004F7829"/>
    <w:rsid w:val="004F7B94"/>
    <w:rsid w:val="00500514"/>
    <w:rsid w:val="005005B7"/>
    <w:rsid w:val="0050188D"/>
    <w:rsid w:val="0050246E"/>
    <w:rsid w:val="00504207"/>
    <w:rsid w:val="005049DE"/>
    <w:rsid w:val="00504DDF"/>
    <w:rsid w:val="005050E3"/>
    <w:rsid w:val="00505C40"/>
    <w:rsid w:val="00506BCC"/>
    <w:rsid w:val="00506D93"/>
    <w:rsid w:val="0050725D"/>
    <w:rsid w:val="00507390"/>
    <w:rsid w:val="00507D2E"/>
    <w:rsid w:val="00510C3C"/>
    <w:rsid w:val="00510F3D"/>
    <w:rsid w:val="0051174F"/>
    <w:rsid w:val="00511B7C"/>
    <w:rsid w:val="005121F6"/>
    <w:rsid w:val="005124E1"/>
    <w:rsid w:val="005126A3"/>
    <w:rsid w:val="00512791"/>
    <w:rsid w:val="00513FA7"/>
    <w:rsid w:val="005145EB"/>
    <w:rsid w:val="005149CC"/>
    <w:rsid w:val="00514D8B"/>
    <w:rsid w:val="00515A9C"/>
    <w:rsid w:val="00516A7C"/>
    <w:rsid w:val="00516B9F"/>
    <w:rsid w:val="00517675"/>
    <w:rsid w:val="0052022B"/>
    <w:rsid w:val="005202FC"/>
    <w:rsid w:val="0052138F"/>
    <w:rsid w:val="0052139B"/>
    <w:rsid w:val="00522BC7"/>
    <w:rsid w:val="00523E65"/>
    <w:rsid w:val="00523F75"/>
    <w:rsid w:val="00524716"/>
    <w:rsid w:val="0052524B"/>
    <w:rsid w:val="00525557"/>
    <w:rsid w:val="00525833"/>
    <w:rsid w:val="00526131"/>
    <w:rsid w:val="00526C90"/>
    <w:rsid w:val="00526E2B"/>
    <w:rsid w:val="00527756"/>
    <w:rsid w:val="00531469"/>
    <w:rsid w:val="005318BB"/>
    <w:rsid w:val="0053229A"/>
    <w:rsid w:val="0053293B"/>
    <w:rsid w:val="005333D5"/>
    <w:rsid w:val="00533882"/>
    <w:rsid w:val="00533A0E"/>
    <w:rsid w:val="005341E3"/>
    <w:rsid w:val="005348C6"/>
    <w:rsid w:val="00536682"/>
    <w:rsid w:val="005374EA"/>
    <w:rsid w:val="00537BE1"/>
    <w:rsid w:val="00540675"/>
    <w:rsid w:val="005406E4"/>
    <w:rsid w:val="00541A86"/>
    <w:rsid w:val="0054235C"/>
    <w:rsid w:val="0054329C"/>
    <w:rsid w:val="00543AC4"/>
    <w:rsid w:val="00545811"/>
    <w:rsid w:val="00545BF2"/>
    <w:rsid w:val="00546331"/>
    <w:rsid w:val="0054791B"/>
    <w:rsid w:val="00550520"/>
    <w:rsid w:val="0055222E"/>
    <w:rsid w:val="0055250D"/>
    <w:rsid w:val="005530C0"/>
    <w:rsid w:val="00554298"/>
    <w:rsid w:val="0055676A"/>
    <w:rsid w:val="005567C4"/>
    <w:rsid w:val="00560AC2"/>
    <w:rsid w:val="00560BB3"/>
    <w:rsid w:val="00561FA5"/>
    <w:rsid w:val="00563AEA"/>
    <w:rsid w:val="00564141"/>
    <w:rsid w:val="005644A8"/>
    <w:rsid w:val="00564947"/>
    <w:rsid w:val="00564BBF"/>
    <w:rsid w:val="00564E1B"/>
    <w:rsid w:val="00564F4F"/>
    <w:rsid w:val="00565ED9"/>
    <w:rsid w:val="0056698E"/>
    <w:rsid w:val="005676F1"/>
    <w:rsid w:val="00567723"/>
    <w:rsid w:val="0057120F"/>
    <w:rsid w:val="00571233"/>
    <w:rsid w:val="0057130A"/>
    <w:rsid w:val="00571907"/>
    <w:rsid w:val="00571AC6"/>
    <w:rsid w:val="0057274D"/>
    <w:rsid w:val="00572924"/>
    <w:rsid w:val="0057356C"/>
    <w:rsid w:val="00573BDF"/>
    <w:rsid w:val="00573CC6"/>
    <w:rsid w:val="00573E1E"/>
    <w:rsid w:val="005744A4"/>
    <w:rsid w:val="0057633C"/>
    <w:rsid w:val="0057676F"/>
    <w:rsid w:val="005769A2"/>
    <w:rsid w:val="00580625"/>
    <w:rsid w:val="00581682"/>
    <w:rsid w:val="00582382"/>
    <w:rsid w:val="00582D77"/>
    <w:rsid w:val="00582DFB"/>
    <w:rsid w:val="00583203"/>
    <w:rsid w:val="0058364F"/>
    <w:rsid w:val="005842AD"/>
    <w:rsid w:val="005849EA"/>
    <w:rsid w:val="00585B55"/>
    <w:rsid w:val="00586CF4"/>
    <w:rsid w:val="005877E5"/>
    <w:rsid w:val="0058790A"/>
    <w:rsid w:val="00590842"/>
    <w:rsid w:val="00590CDB"/>
    <w:rsid w:val="00591928"/>
    <w:rsid w:val="00591D65"/>
    <w:rsid w:val="00592A43"/>
    <w:rsid w:val="00593DC3"/>
    <w:rsid w:val="0059433A"/>
    <w:rsid w:val="00594ECA"/>
    <w:rsid w:val="00595505"/>
    <w:rsid w:val="005964EC"/>
    <w:rsid w:val="00596AB7"/>
    <w:rsid w:val="00596D1F"/>
    <w:rsid w:val="005A1261"/>
    <w:rsid w:val="005A1DB5"/>
    <w:rsid w:val="005A4A58"/>
    <w:rsid w:val="005A4C07"/>
    <w:rsid w:val="005A5F3A"/>
    <w:rsid w:val="005A7422"/>
    <w:rsid w:val="005A76AD"/>
    <w:rsid w:val="005A79D6"/>
    <w:rsid w:val="005B1372"/>
    <w:rsid w:val="005B1ECD"/>
    <w:rsid w:val="005B3807"/>
    <w:rsid w:val="005B43D5"/>
    <w:rsid w:val="005B4F87"/>
    <w:rsid w:val="005B542D"/>
    <w:rsid w:val="005B5D9A"/>
    <w:rsid w:val="005B677B"/>
    <w:rsid w:val="005B724F"/>
    <w:rsid w:val="005C0717"/>
    <w:rsid w:val="005C2504"/>
    <w:rsid w:val="005C41C5"/>
    <w:rsid w:val="005C5B5C"/>
    <w:rsid w:val="005C7004"/>
    <w:rsid w:val="005D1A4D"/>
    <w:rsid w:val="005D213D"/>
    <w:rsid w:val="005D22BA"/>
    <w:rsid w:val="005D2E9B"/>
    <w:rsid w:val="005D35F9"/>
    <w:rsid w:val="005D46FC"/>
    <w:rsid w:val="005D4D8B"/>
    <w:rsid w:val="005D5BBA"/>
    <w:rsid w:val="005D629A"/>
    <w:rsid w:val="005D7183"/>
    <w:rsid w:val="005E000B"/>
    <w:rsid w:val="005E0730"/>
    <w:rsid w:val="005E0759"/>
    <w:rsid w:val="005E0A8E"/>
    <w:rsid w:val="005E1D48"/>
    <w:rsid w:val="005E1FF0"/>
    <w:rsid w:val="005E26FB"/>
    <w:rsid w:val="005E2B27"/>
    <w:rsid w:val="005E2F31"/>
    <w:rsid w:val="005E4400"/>
    <w:rsid w:val="005E681E"/>
    <w:rsid w:val="005E71E9"/>
    <w:rsid w:val="005E776F"/>
    <w:rsid w:val="005F023F"/>
    <w:rsid w:val="005F0A40"/>
    <w:rsid w:val="005F0A77"/>
    <w:rsid w:val="005F0C3A"/>
    <w:rsid w:val="005F133C"/>
    <w:rsid w:val="005F2C7A"/>
    <w:rsid w:val="005F30C1"/>
    <w:rsid w:val="005F3260"/>
    <w:rsid w:val="005F4D7C"/>
    <w:rsid w:val="005F587F"/>
    <w:rsid w:val="005F621E"/>
    <w:rsid w:val="006002F0"/>
    <w:rsid w:val="0060077C"/>
    <w:rsid w:val="00601949"/>
    <w:rsid w:val="00602468"/>
    <w:rsid w:val="006028D2"/>
    <w:rsid w:val="00605D03"/>
    <w:rsid w:val="00605DDB"/>
    <w:rsid w:val="006061FB"/>
    <w:rsid w:val="00606EC0"/>
    <w:rsid w:val="00607AE9"/>
    <w:rsid w:val="00610ED1"/>
    <w:rsid w:val="006132AB"/>
    <w:rsid w:val="00613EE3"/>
    <w:rsid w:val="00613FE1"/>
    <w:rsid w:val="006140DF"/>
    <w:rsid w:val="00614799"/>
    <w:rsid w:val="00615A2B"/>
    <w:rsid w:val="00615DDA"/>
    <w:rsid w:val="00616CC2"/>
    <w:rsid w:val="00616DC1"/>
    <w:rsid w:val="00621192"/>
    <w:rsid w:val="00621B25"/>
    <w:rsid w:val="00621F6E"/>
    <w:rsid w:val="0062287B"/>
    <w:rsid w:val="00623C2F"/>
    <w:rsid w:val="006242A7"/>
    <w:rsid w:val="0062464B"/>
    <w:rsid w:val="00624C04"/>
    <w:rsid w:val="00624DAE"/>
    <w:rsid w:val="00625243"/>
    <w:rsid w:val="00626A94"/>
    <w:rsid w:val="0062773D"/>
    <w:rsid w:val="0062794E"/>
    <w:rsid w:val="00627EF5"/>
    <w:rsid w:val="006303C8"/>
    <w:rsid w:val="0063110A"/>
    <w:rsid w:val="006317AC"/>
    <w:rsid w:val="0063297F"/>
    <w:rsid w:val="0063688A"/>
    <w:rsid w:val="00637C91"/>
    <w:rsid w:val="00640A23"/>
    <w:rsid w:val="00642829"/>
    <w:rsid w:val="00643351"/>
    <w:rsid w:val="00643B9A"/>
    <w:rsid w:val="006443D9"/>
    <w:rsid w:val="006446F6"/>
    <w:rsid w:val="0064565A"/>
    <w:rsid w:val="00645DD1"/>
    <w:rsid w:val="006467D5"/>
    <w:rsid w:val="00646A04"/>
    <w:rsid w:val="00646E99"/>
    <w:rsid w:val="0064702D"/>
    <w:rsid w:val="006474D1"/>
    <w:rsid w:val="0065141B"/>
    <w:rsid w:val="00651CC5"/>
    <w:rsid w:val="00651DFD"/>
    <w:rsid w:val="006527CC"/>
    <w:rsid w:val="00653B6F"/>
    <w:rsid w:val="006549EA"/>
    <w:rsid w:val="00654A45"/>
    <w:rsid w:val="0065537B"/>
    <w:rsid w:val="006555FB"/>
    <w:rsid w:val="0065672C"/>
    <w:rsid w:val="00657E9C"/>
    <w:rsid w:val="0066042B"/>
    <w:rsid w:val="00661519"/>
    <w:rsid w:val="0066358C"/>
    <w:rsid w:val="006650EA"/>
    <w:rsid w:val="00666566"/>
    <w:rsid w:val="0066661E"/>
    <w:rsid w:val="00666821"/>
    <w:rsid w:val="00670441"/>
    <w:rsid w:val="006718E5"/>
    <w:rsid w:val="00671A10"/>
    <w:rsid w:val="00672CE5"/>
    <w:rsid w:val="00674103"/>
    <w:rsid w:val="00674F36"/>
    <w:rsid w:val="00674FDB"/>
    <w:rsid w:val="00675453"/>
    <w:rsid w:val="00675DD9"/>
    <w:rsid w:val="006760D5"/>
    <w:rsid w:val="00676C1D"/>
    <w:rsid w:val="00677D27"/>
    <w:rsid w:val="0068077A"/>
    <w:rsid w:val="006809C2"/>
    <w:rsid w:val="006809F0"/>
    <w:rsid w:val="006811ED"/>
    <w:rsid w:val="00682E75"/>
    <w:rsid w:val="006839A4"/>
    <w:rsid w:val="00683D0B"/>
    <w:rsid w:val="00683F5A"/>
    <w:rsid w:val="00685501"/>
    <w:rsid w:val="0068641B"/>
    <w:rsid w:val="006869E5"/>
    <w:rsid w:val="0068752F"/>
    <w:rsid w:val="00691169"/>
    <w:rsid w:val="00691E55"/>
    <w:rsid w:val="00691F93"/>
    <w:rsid w:val="006926BE"/>
    <w:rsid w:val="006940C2"/>
    <w:rsid w:val="00694876"/>
    <w:rsid w:val="00695AB4"/>
    <w:rsid w:val="00696FBE"/>
    <w:rsid w:val="006A00F4"/>
    <w:rsid w:val="006A06AA"/>
    <w:rsid w:val="006A096B"/>
    <w:rsid w:val="006A0E29"/>
    <w:rsid w:val="006A138A"/>
    <w:rsid w:val="006A17EA"/>
    <w:rsid w:val="006A1A5D"/>
    <w:rsid w:val="006A2A92"/>
    <w:rsid w:val="006A3519"/>
    <w:rsid w:val="006A3DB7"/>
    <w:rsid w:val="006A47CB"/>
    <w:rsid w:val="006A635E"/>
    <w:rsid w:val="006A731A"/>
    <w:rsid w:val="006A74B2"/>
    <w:rsid w:val="006A7A44"/>
    <w:rsid w:val="006B0C7E"/>
    <w:rsid w:val="006B107F"/>
    <w:rsid w:val="006B1EE4"/>
    <w:rsid w:val="006B228B"/>
    <w:rsid w:val="006B324C"/>
    <w:rsid w:val="006B33D4"/>
    <w:rsid w:val="006B348A"/>
    <w:rsid w:val="006B3D38"/>
    <w:rsid w:val="006B4003"/>
    <w:rsid w:val="006B4F96"/>
    <w:rsid w:val="006B51BF"/>
    <w:rsid w:val="006B5BD6"/>
    <w:rsid w:val="006B5EB2"/>
    <w:rsid w:val="006B6FB8"/>
    <w:rsid w:val="006B7B75"/>
    <w:rsid w:val="006C19F2"/>
    <w:rsid w:val="006C358C"/>
    <w:rsid w:val="006C6A2A"/>
    <w:rsid w:val="006C6FA3"/>
    <w:rsid w:val="006C7369"/>
    <w:rsid w:val="006C7791"/>
    <w:rsid w:val="006D09F4"/>
    <w:rsid w:val="006D0F43"/>
    <w:rsid w:val="006D134D"/>
    <w:rsid w:val="006D1589"/>
    <w:rsid w:val="006D1729"/>
    <w:rsid w:val="006D1920"/>
    <w:rsid w:val="006D1E11"/>
    <w:rsid w:val="006D4276"/>
    <w:rsid w:val="006D4538"/>
    <w:rsid w:val="006D4E89"/>
    <w:rsid w:val="006D56C0"/>
    <w:rsid w:val="006D5950"/>
    <w:rsid w:val="006D63F3"/>
    <w:rsid w:val="006D65DB"/>
    <w:rsid w:val="006D6652"/>
    <w:rsid w:val="006D69E1"/>
    <w:rsid w:val="006E0211"/>
    <w:rsid w:val="006E3AB9"/>
    <w:rsid w:val="006E4199"/>
    <w:rsid w:val="006E437C"/>
    <w:rsid w:val="006E471D"/>
    <w:rsid w:val="006E4760"/>
    <w:rsid w:val="006E4B23"/>
    <w:rsid w:val="006E5E47"/>
    <w:rsid w:val="006E6CD5"/>
    <w:rsid w:val="006E7915"/>
    <w:rsid w:val="006F1CA3"/>
    <w:rsid w:val="006F21DF"/>
    <w:rsid w:val="006F22B4"/>
    <w:rsid w:val="006F37F6"/>
    <w:rsid w:val="006F453E"/>
    <w:rsid w:val="006F56FB"/>
    <w:rsid w:val="006F5759"/>
    <w:rsid w:val="006F5A07"/>
    <w:rsid w:val="006F5B3E"/>
    <w:rsid w:val="006F6BA4"/>
    <w:rsid w:val="006F7FC3"/>
    <w:rsid w:val="0070125B"/>
    <w:rsid w:val="0070154F"/>
    <w:rsid w:val="00701BA5"/>
    <w:rsid w:val="00704A15"/>
    <w:rsid w:val="007057C6"/>
    <w:rsid w:val="00705B58"/>
    <w:rsid w:val="0071018D"/>
    <w:rsid w:val="00711643"/>
    <w:rsid w:val="00711D58"/>
    <w:rsid w:val="00712C56"/>
    <w:rsid w:val="00713B15"/>
    <w:rsid w:val="00713B1F"/>
    <w:rsid w:val="0071475A"/>
    <w:rsid w:val="00714A05"/>
    <w:rsid w:val="00714A35"/>
    <w:rsid w:val="00714DE8"/>
    <w:rsid w:val="007154CF"/>
    <w:rsid w:val="00715E70"/>
    <w:rsid w:val="0071695D"/>
    <w:rsid w:val="00716CC1"/>
    <w:rsid w:val="00720F38"/>
    <w:rsid w:val="00721ECB"/>
    <w:rsid w:val="007229DE"/>
    <w:rsid w:val="00722D39"/>
    <w:rsid w:val="00724BD6"/>
    <w:rsid w:val="007251B2"/>
    <w:rsid w:val="007273C5"/>
    <w:rsid w:val="00727695"/>
    <w:rsid w:val="00727D4F"/>
    <w:rsid w:val="007323BE"/>
    <w:rsid w:val="0073255F"/>
    <w:rsid w:val="007329B5"/>
    <w:rsid w:val="007335DB"/>
    <w:rsid w:val="0073384E"/>
    <w:rsid w:val="00734563"/>
    <w:rsid w:val="0073499B"/>
    <w:rsid w:val="00736977"/>
    <w:rsid w:val="00737307"/>
    <w:rsid w:val="0074049E"/>
    <w:rsid w:val="00741AF0"/>
    <w:rsid w:val="00742860"/>
    <w:rsid w:val="0074408D"/>
    <w:rsid w:val="007447A5"/>
    <w:rsid w:val="007455C8"/>
    <w:rsid w:val="00745C76"/>
    <w:rsid w:val="00745DEE"/>
    <w:rsid w:val="0074667D"/>
    <w:rsid w:val="0074697F"/>
    <w:rsid w:val="00747BB1"/>
    <w:rsid w:val="00747DC1"/>
    <w:rsid w:val="00747E7D"/>
    <w:rsid w:val="00750462"/>
    <w:rsid w:val="007507CF"/>
    <w:rsid w:val="00751DDE"/>
    <w:rsid w:val="007523B9"/>
    <w:rsid w:val="00752749"/>
    <w:rsid w:val="007542C5"/>
    <w:rsid w:val="0075437C"/>
    <w:rsid w:val="00754686"/>
    <w:rsid w:val="007546CD"/>
    <w:rsid w:val="00754F5E"/>
    <w:rsid w:val="00755721"/>
    <w:rsid w:val="00756C7E"/>
    <w:rsid w:val="007604FB"/>
    <w:rsid w:val="007615EF"/>
    <w:rsid w:val="00761B67"/>
    <w:rsid w:val="00762375"/>
    <w:rsid w:val="00763440"/>
    <w:rsid w:val="0076352C"/>
    <w:rsid w:val="00763A24"/>
    <w:rsid w:val="00763A72"/>
    <w:rsid w:val="00764085"/>
    <w:rsid w:val="0076426C"/>
    <w:rsid w:val="00767B35"/>
    <w:rsid w:val="007709C0"/>
    <w:rsid w:val="00770CBC"/>
    <w:rsid w:val="00770D17"/>
    <w:rsid w:val="00771A5F"/>
    <w:rsid w:val="00771BA2"/>
    <w:rsid w:val="00771EA2"/>
    <w:rsid w:val="00772D14"/>
    <w:rsid w:val="0077354E"/>
    <w:rsid w:val="00773BCE"/>
    <w:rsid w:val="00773F60"/>
    <w:rsid w:val="007745A5"/>
    <w:rsid w:val="0077524C"/>
    <w:rsid w:val="007769F4"/>
    <w:rsid w:val="0077768C"/>
    <w:rsid w:val="00780869"/>
    <w:rsid w:val="00780CCE"/>
    <w:rsid w:val="0078152D"/>
    <w:rsid w:val="00781B0F"/>
    <w:rsid w:val="00781EF3"/>
    <w:rsid w:val="00781F85"/>
    <w:rsid w:val="007838FC"/>
    <w:rsid w:val="00784124"/>
    <w:rsid w:val="00784656"/>
    <w:rsid w:val="00785BF3"/>
    <w:rsid w:val="0078684A"/>
    <w:rsid w:val="007900FE"/>
    <w:rsid w:val="00792302"/>
    <w:rsid w:val="007927E7"/>
    <w:rsid w:val="00793EF6"/>
    <w:rsid w:val="00794924"/>
    <w:rsid w:val="00794CA6"/>
    <w:rsid w:val="0079645E"/>
    <w:rsid w:val="007971B7"/>
    <w:rsid w:val="007976FB"/>
    <w:rsid w:val="00797CA0"/>
    <w:rsid w:val="007A0946"/>
    <w:rsid w:val="007A127B"/>
    <w:rsid w:val="007A1C41"/>
    <w:rsid w:val="007A1D72"/>
    <w:rsid w:val="007A26FC"/>
    <w:rsid w:val="007A2DF6"/>
    <w:rsid w:val="007A4182"/>
    <w:rsid w:val="007A5158"/>
    <w:rsid w:val="007A5774"/>
    <w:rsid w:val="007A6735"/>
    <w:rsid w:val="007A68F1"/>
    <w:rsid w:val="007A7185"/>
    <w:rsid w:val="007A7788"/>
    <w:rsid w:val="007A7C4D"/>
    <w:rsid w:val="007B0214"/>
    <w:rsid w:val="007B130C"/>
    <w:rsid w:val="007B185D"/>
    <w:rsid w:val="007B1B5B"/>
    <w:rsid w:val="007B1BAB"/>
    <w:rsid w:val="007B1CD2"/>
    <w:rsid w:val="007B2F45"/>
    <w:rsid w:val="007B361F"/>
    <w:rsid w:val="007B4029"/>
    <w:rsid w:val="007B42D6"/>
    <w:rsid w:val="007B4EDE"/>
    <w:rsid w:val="007B6111"/>
    <w:rsid w:val="007B70C3"/>
    <w:rsid w:val="007B75D5"/>
    <w:rsid w:val="007B773F"/>
    <w:rsid w:val="007B7C3C"/>
    <w:rsid w:val="007B7D6F"/>
    <w:rsid w:val="007C0459"/>
    <w:rsid w:val="007C04BC"/>
    <w:rsid w:val="007C1D62"/>
    <w:rsid w:val="007C1F31"/>
    <w:rsid w:val="007C285A"/>
    <w:rsid w:val="007C3562"/>
    <w:rsid w:val="007C359F"/>
    <w:rsid w:val="007C3F2A"/>
    <w:rsid w:val="007C3F4B"/>
    <w:rsid w:val="007C4164"/>
    <w:rsid w:val="007C4426"/>
    <w:rsid w:val="007C47FC"/>
    <w:rsid w:val="007C50A7"/>
    <w:rsid w:val="007C52EA"/>
    <w:rsid w:val="007C6F61"/>
    <w:rsid w:val="007C798B"/>
    <w:rsid w:val="007D05E5"/>
    <w:rsid w:val="007D1168"/>
    <w:rsid w:val="007D1CD7"/>
    <w:rsid w:val="007D20DA"/>
    <w:rsid w:val="007D2FD3"/>
    <w:rsid w:val="007D4C7D"/>
    <w:rsid w:val="007D642C"/>
    <w:rsid w:val="007D7C6D"/>
    <w:rsid w:val="007E05AE"/>
    <w:rsid w:val="007E0641"/>
    <w:rsid w:val="007E06CE"/>
    <w:rsid w:val="007E07F2"/>
    <w:rsid w:val="007E167D"/>
    <w:rsid w:val="007E1889"/>
    <w:rsid w:val="007E376B"/>
    <w:rsid w:val="007E39CD"/>
    <w:rsid w:val="007E4F78"/>
    <w:rsid w:val="007E543C"/>
    <w:rsid w:val="007E5E39"/>
    <w:rsid w:val="007E5E79"/>
    <w:rsid w:val="007E5F69"/>
    <w:rsid w:val="007E6EA8"/>
    <w:rsid w:val="007F0040"/>
    <w:rsid w:val="007F03F4"/>
    <w:rsid w:val="007F0C1B"/>
    <w:rsid w:val="007F2E3D"/>
    <w:rsid w:val="007F3E3E"/>
    <w:rsid w:val="007F40B6"/>
    <w:rsid w:val="007F452E"/>
    <w:rsid w:val="007F4693"/>
    <w:rsid w:val="007F4DE0"/>
    <w:rsid w:val="007F5766"/>
    <w:rsid w:val="007F6734"/>
    <w:rsid w:val="007F67A4"/>
    <w:rsid w:val="008002AC"/>
    <w:rsid w:val="00800878"/>
    <w:rsid w:val="00801DC0"/>
    <w:rsid w:val="00802911"/>
    <w:rsid w:val="00802A8E"/>
    <w:rsid w:val="008051E8"/>
    <w:rsid w:val="00805A06"/>
    <w:rsid w:val="00805FEB"/>
    <w:rsid w:val="00806358"/>
    <w:rsid w:val="00806654"/>
    <w:rsid w:val="008066D8"/>
    <w:rsid w:val="00806F52"/>
    <w:rsid w:val="0080722F"/>
    <w:rsid w:val="008073AD"/>
    <w:rsid w:val="00807A31"/>
    <w:rsid w:val="00807F1F"/>
    <w:rsid w:val="0081099F"/>
    <w:rsid w:val="008115E4"/>
    <w:rsid w:val="00812040"/>
    <w:rsid w:val="008124E6"/>
    <w:rsid w:val="00813374"/>
    <w:rsid w:val="008136A3"/>
    <w:rsid w:val="008140D1"/>
    <w:rsid w:val="00814A2E"/>
    <w:rsid w:val="00814B26"/>
    <w:rsid w:val="00815897"/>
    <w:rsid w:val="00815F0A"/>
    <w:rsid w:val="0081671B"/>
    <w:rsid w:val="00816752"/>
    <w:rsid w:val="00817191"/>
    <w:rsid w:val="00817D58"/>
    <w:rsid w:val="008201A2"/>
    <w:rsid w:val="0082072D"/>
    <w:rsid w:val="00820F5A"/>
    <w:rsid w:val="008217AF"/>
    <w:rsid w:val="00821C3E"/>
    <w:rsid w:val="0082233B"/>
    <w:rsid w:val="00822D67"/>
    <w:rsid w:val="00824092"/>
    <w:rsid w:val="008254D6"/>
    <w:rsid w:val="008256DF"/>
    <w:rsid w:val="00826C9F"/>
    <w:rsid w:val="008275BB"/>
    <w:rsid w:val="00827796"/>
    <w:rsid w:val="00827CA0"/>
    <w:rsid w:val="00830143"/>
    <w:rsid w:val="00830720"/>
    <w:rsid w:val="008311E8"/>
    <w:rsid w:val="0083198D"/>
    <w:rsid w:val="00833CAA"/>
    <w:rsid w:val="0083432A"/>
    <w:rsid w:val="00835326"/>
    <w:rsid w:val="008353C5"/>
    <w:rsid w:val="008363DB"/>
    <w:rsid w:val="008367B9"/>
    <w:rsid w:val="00836AC6"/>
    <w:rsid w:val="00836DE1"/>
    <w:rsid w:val="00841AE4"/>
    <w:rsid w:val="008424BD"/>
    <w:rsid w:val="00842F85"/>
    <w:rsid w:val="008431C6"/>
    <w:rsid w:val="00844D9D"/>
    <w:rsid w:val="0084589D"/>
    <w:rsid w:val="00845BB4"/>
    <w:rsid w:val="00846FD1"/>
    <w:rsid w:val="00847C0F"/>
    <w:rsid w:val="00847F2D"/>
    <w:rsid w:val="008508B0"/>
    <w:rsid w:val="00850CDE"/>
    <w:rsid w:val="00851DA3"/>
    <w:rsid w:val="00851EC3"/>
    <w:rsid w:val="00851EFD"/>
    <w:rsid w:val="00852749"/>
    <w:rsid w:val="008534A0"/>
    <w:rsid w:val="00854127"/>
    <w:rsid w:val="008541BD"/>
    <w:rsid w:val="00854CE0"/>
    <w:rsid w:val="00855467"/>
    <w:rsid w:val="008558F4"/>
    <w:rsid w:val="00855C82"/>
    <w:rsid w:val="008569D1"/>
    <w:rsid w:val="00857D66"/>
    <w:rsid w:val="008604B3"/>
    <w:rsid w:val="0086065E"/>
    <w:rsid w:val="00860D44"/>
    <w:rsid w:val="00861777"/>
    <w:rsid w:val="008618BC"/>
    <w:rsid w:val="008625CF"/>
    <w:rsid w:val="008631A9"/>
    <w:rsid w:val="008631D6"/>
    <w:rsid w:val="008644AA"/>
    <w:rsid w:val="00866D2C"/>
    <w:rsid w:val="00866E0D"/>
    <w:rsid w:val="00870412"/>
    <w:rsid w:val="00871286"/>
    <w:rsid w:val="0087150C"/>
    <w:rsid w:val="0087317F"/>
    <w:rsid w:val="00873488"/>
    <w:rsid w:val="00873586"/>
    <w:rsid w:val="00873B3D"/>
    <w:rsid w:val="008746CF"/>
    <w:rsid w:val="008747AD"/>
    <w:rsid w:val="00874861"/>
    <w:rsid w:val="00874E4B"/>
    <w:rsid w:val="008771F7"/>
    <w:rsid w:val="00877736"/>
    <w:rsid w:val="0088114A"/>
    <w:rsid w:val="00881758"/>
    <w:rsid w:val="0088237B"/>
    <w:rsid w:val="00882863"/>
    <w:rsid w:val="00882DFA"/>
    <w:rsid w:val="0088455D"/>
    <w:rsid w:val="008854F6"/>
    <w:rsid w:val="0088566E"/>
    <w:rsid w:val="00890576"/>
    <w:rsid w:val="00890A11"/>
    <w:rsid w:val="008919D8"/>
    <w:rsid w:val="00891D81"/>
    <w:rsid w:val="00892F7A"/>
    <w:rsid w:val="0089332E"/>
    <w:rsid w:val="00893463"/>
    <w:rsid w:val="00893902"/>
    <w:rsid w:val="00893B3A"/>
    <w:rsid w:val="0089431F"/>
    <w:rsid w:val="00894DCB"/>
    <w:rsid w:val="00895B32"/>
    <w:rsid w:val="00896169"/>
    <w:rsid w:val="00896671"/>
    <w:rsid w:val="00896A47"/>
    <w:rsid w:val="00897794"/>
    <w:rsid w:val="008A040A"/>
    <w:rsid w:val="008A08FF"/>
    <w:rsid w:val="008A0B95"/>
    <w:rsid w:val="008A11A7"/>
    <w:rsid w:val="008A143E"/>
    <w:rsid w:val="008A1CF2"/>
    <w:rsid w:val="008A2521"/>
    <w:rsid w:val="008A2622"/>
    <w:rsid w:val="008A3788"/>
    <w:rsid w:val="008A4912"/>
    <w:rsid w:val="008A4E90"/>
    <w:rsid w:val="008A5076"/>
    <w:rsid w:val="008A5662"/>
    <w:rsid w:val="008A599D"/>
    <w:rsid w:val="008A5FF2"/>
    <w:rsid w:val="008A6976"/>
    <w:rsid w:val="008A6CBE"/>
    <w:rsid w:val="008A7EE8"/>
    <w:rsid w:val="008B00AE"/>
    <w:rsid w:val="008B0DE7"/>
    <w:rsid w:val="008B1D38"/>
    <w:rsid w:val="008B280C"/>
    <w:rsid w:val="008B304A"/>
    <w:rsid w:val="008B32A3"/>
    <w:rsid w:val="008B4D7C"/>
    <w:rsid w:val="008B5D25"/>
    <w:rsid w:val="008B6D7A"/>
    <w:rsid w:val="008C0197"/>
    <w:rsid w:val="008C07D0"/>
    <w:rsid w:val="008C0BCA"/>
    <w:rsid w:val="008C1FAE"/>
    <w:rsid w:val="008C2336"/>
    <w:rsid w:val="008C655D"/>
    <w:rsid w:val="008C69AD"/>
    <w:rsid w:val="008C69BC"/>
    <w:rsid w:val="008C741E"/>
    <w:rsid w:val="008D08A4"/>
    <w:rsid w:val="008D0F5E"/>
    <w:rsid w:val="008D1530"/>
    <w:rsid w:val="008D556A"/>
    <w:rsid w:val="008D5696"/>
    <w:rsid w:val="008D619E"/>
    <w:rsid w:val="008D6BAE"/>
    <w:rsid w:val="008D79E0"/>
    <w:rsid w:val="008E0D8F"/>
    <w:rsid w:val="008E128C"/>
    <w:rsid w:val="008E3B40"/>
    <w:rsid w:val="008E601C"/>
    <w:rsid w:val="008E626D"/>
    <w:rsid w:val="008E7CA7"/>
    <w:rsid w:val="008F02F8"/>
    <w:rsid w:val="008F0E19"/>
    <w:rsid w:val="008F156B"/>
    <w:rsid w:val="008F191F"/>
    <w:rsid w:val="008F2F0A"/>
    <w:rsid w:val="008F36AE"/>
    <w:rsid w:val="008F55C0"/>
    <w:rsid w:val="008F5751"/>
    <w:rsid w:val="008F594D"/>
    <w:rsid w:val="008F5EA9"/>
    <w:rsid w:val="008F7C2F"/>
    <w:rsid w:val="00900130"/>
    <w:rsid w:val="00901034"/>
    <w:rsid w:val="009024D7"/>
    <w:rsid w:val="0090254C"/>
    <w:rsid w:val="00902D20"/>
    <w:rsid w:val="0090353E"/>
    <w:rsid w:val="0090392D"/>
    <w:rsid w:val="009046BF"/>
    <w:rsid w:val="00904D25"/>
    <w:rsid w:val="00904E04"/>
    <w:rsid w:val="00906450"/>
    <w:rsid w:val="0090683B"/>
    <w:rsid w:val="00907635"/>
    <w:rsid w:val="00907B80"/>
    <w:rsid w:val="00910CA5"/>
    <w:rsid w:val="00911600"/>
    <w:rsid w:val="00912854"/>
    <w:rsid w:val="0091461A"/>
    <w:rsid w:val="0091484C"/>
    <w:rsid w:val="009152C8"/>
    <w:rsid w:val="00915CAD"/>
    <w:rsid w:val="00915CE8"/>
    <w:rsid w:val="00916F91"/>
    <w:rsid w:val="00917CA5"/>
    <w:rsid w:val="00920A83"/>
    <w:rsid w:val="00920F58"/>
    <w:rsid w:val="009223DE"/>
    <w:rsid w:val="0092319C"/>
    <w:rsid w:val="00923573"/>
    <w:rsid w:val="00923DBC"/>
    <w:rsid w:val="00924D5F"/>
    <w:rsid w:val="00925B41"/>
    <w:rsid w:val="00925F6E"/>
    <w:rsid w:val="00926535"/>
    <w:rsid w:val="00926CA8"/>
    <w:rsid w:val="00926FCA"/>
    <w:rsid w:val="00927160"/>
    <w:rsid w:val="00927A54"/>
    <w:rsid w:val="00930568"/>
    <w:rsid w:val="00932284"/>
    <w:rsid w:val="00933AF5"/>
    <w:rsid w:val="009340F4"/>
    <w:rsid w:val="00934291"/>
    <w:rsid w:val="00935AF5"/>
    <w:rsid w:val="00936833"/>
    <w:rsid w:val="00940C05"/>
    <w:rsid w:val="00943C7C"/>
    <w:rsid w:val="00944CB1"/>
    <w:rsid w:val="00944D93"/>
    <w:rsid w:val="00945B2A"/>
    <w:rsid w:val="00945B4F"/>
    <w:rsid w:val="00947CCD"/>
    <w:rsid w:val="00951737"/>
    <w:rsid w:val="009518B9"/>
    <w:rsid w:val="00953021"/>
    <w:rsid w:val="009539D5"/>
    <w:rsid w:val="00954802"/>
    <w:rsid w:val="00954D23"/>
    <w:rsid w:val="00955131"/>
    <w:rsid w:val="0095513A"/>
    <w:rsid w:val="00956987"/>
    <w:rsid w:val="00956C0F"/>
    <w:rsid w:val="00957CE3"/>
    <w:rsid w:val="009615C0"/>
    <w:rsid w:val="00963200"/>
    <w:rsid w:val="009634A8"/>
    <w:rsid w:val="00963865"/>
    <w:rsid w:val="009647DE"/>
    <w:rsid w:val="00965BE5"/>
    <w:rsid w:val="00965D6D"/>
    <w:rsid w:val="0096721E"/>
    <w:rsid w:val="009678CB"/>
    <w:rsid w:val="00967A83"/>
    <w:rsid w:val="009700F7"/>
    <w:rsid w:val="00970D15"/>
    <w:rsid w:val="009717E4"/>
    <w:rsid w:val="00971861"/>
    <w:rsid w:val="00972C4F"/>
    <w:rsid w:val="00972D60"/>
    <w:rsid w:val="00972FF8"/>
    <w:rsid w:val="00973B22"/>
    <w:rsid w:val="00975460"/>
    <w:rsid w:val="009768B0"/>
    <w:rsid w:val="00980C1A"/>
    <w:rsid w:val="0098119B"/>
    <w:rsid w:val="00983D97"/>
    <w:rsid w:val="00984380"/>
    <w:rsid w:val="0098535F"/>
    <w:rsid w:val="0098570A"/>
    <w:rsid w:val="00985785"/>
    <w:rsid w:val="0098653C"/>
    <w:rsid w:val="009865D9"/>
    <w:rsid w:val="00986B40"/>
    <w:rsid w:val="00986D20"/>
    <w:rsid w:val="00986D76"/>
    <w:rsid w:val="0099002E"/>
    <w:rsid w:val="00992ADB"/>
    <w:rsid w:val="009937FC"/>
    <w:rsid w:val="00995784"/>
    <w:rsid w:val="0099634D"/>
    <w:rsid w:val="00997714"/>
    <w:rsid w:val="009A0F2E"/>
    <w:rsid w:val="009A1363"/>
    <w:rsid w:val="009A23D1"/>
    <w:rsid w:val="009A2623"/>
    <w:rsid w:val="009A26B4"/>
    <w:rsid w:val="009A36C9"/>
    <w:rsid w:val="009A3F4F"/>
    <w:rsid w:val="009A414B"/>
    <w:rsid w:val="009A41E9"/>
    <w:rsid w:val="009A58D9"/>
    <w:rsid w:val="009A6F18"/>
    <w:rsid w:val="009A710D"/>
    <w:rsid w:val="009B098A"/>
    <w:rsid w:val="009B0EBD"/>
    <w:rsid w:val="009B24A4"/>
    <w:rsid w:val="009B2621"/>
    <w:rsid w:val="009B34E3"/>
    <w:rsid w:val="009B38A3"/>
    <w:rsid w:val="009B6D2B"/>
    <w:rsid w:val="009C0924"/>
    <w:rsid w:val="009C2A4C"/>
    <w:rsid w:val="009C2CB0"/>
    <w:rsid w:val="009C3B75"/>
    <w:rsid w:val="009C3E28"/>
    <w:rsid w:val="009C4064"/>
    <w:rsid w:val="009C434F"/>
    <w:rsid w:val="009C43F3"/>
    <w:rsid w:val="009C4AC7"/>
    <w:rsid w:val="009C4CE2"/>
    <w:rsid w:val="009C4FC4"/>
    <w:rsid w:val="009C7251"/>
    <w:rsid w:val="009D037F"/>
    <w:rsid w:val="009D076A"/>
    <w:rsid w:val="009D194F"/>
    <w:rsid w:val="009D1F58"/>
    <w:rsid w:val="009D2930"/>
    <w:rsid w:val="009D2AE5"/>
    <w:rsid w:val="009D2CF3"/>
    <w:rsid w:val="009D37F9"/>
    <w:rsid w:val="009D3921"/>
    <w:rsid w:val="009D3CBC"/>
    <w:rsid w:val="009D47EF"/>
    <w:rsid w:val="009D4AD8"/>
    <w:rsid w:val="009D4B56"/>
    <w:rsid w:val="009D4C64"/>
    <w:rsid w:val="009D6C33"/>
    <w:rsid w:val="009D7273"/>
    <w:rsid w:val="009D7C39"/>
    <w:rsid w:val="009E0981"/>
    <w:rsid w:val="009E0D5C"/>
    <w:rsid w:val="009E114C"/>
    <w:rsid w:val="009E230A"/>
    <w:rsid w:val="009E34EE"/>
    <w:rsid w:val="009E3C16"/>
    <w:rsid w:val="009E4DD0"/>
    <w:rsid w:val="009E7B97"/>
    <w:rsid w:val="009F00F6"/>
    <w:rsid w:val="009F09F3"/>
    <w:rsid w:val="009F130C"/>
    <w:rsid w:val="009F2D54"/>
    <w:rsid w:val="009F2F92"/>
    <w:rsid w:val="009F3395"/>
    <w:rsid w:val="009F397E"/>
    <w:rsid w:val="009F4163"/>
    <w:rsid w:val="009F50DD"/>
    <w:rsid w:val="009F70B8"/>
    <w:rsid w:val="00A009B3"/>
    <w:rsid w:val="00A00C92"/>
    <w:rsid w:val="00A02691"/>
    <w:rsid w:val="00A03272"/>
    <w:rsid w:val="00A03790"/>
    <w:rsid w:val="00A0643F"/>
    <w:rsid w:val="00A06AAB"/>
    <w:rsid w:val="00A078F5"/>
    <w:rsid w:val="00A07E1C"/>
    <w:rsid w:val="00A11238"/>
    <w:rsid w:val="00A11CF1"/>
    <w:rsid w:val="00A12B21"/>
    <w:rsid w:val="00A12E36"/>
    <w:rsid w:val="00A13146"/>
    <w:rsid w:val="00A1481C"/>
    <w:rsid w:val="00A163EA"/>
    <w:rsid w:val="00A1667D"/>
    <w:rsid w:val="00A174BA"/>
    <w:rsid w:val="00A17AD1"/>
    <w:rsid w:val="00A202E6"/>
    <w:rsid w:val="00A2039D"/>
    <w:rsid w:val="00A20539"/>
    <w:rsid w:val="00A20D8F"/>
    <w:rsid w:val="00A2144C"/>
    <w:rsid w:val="00A2227D"/>
    <w:rsid w:val="00A2279E"/>
    <w:rsid w:val="00A23769"/>
    <w:rsid w:val="00A24EAE"/>
    <w:rsid w:val="00A25699"/>
    <w:rsid w:val="00A25A39"/>
    <w:rsid w:val="00A27A0B"/>
    <w:rsid w:val="00A27BCB"/>
    <w:rsid w:val="00A304D0"/>
    <w:rsid w:val="00A30ED2"/>
    <w:rsid w:val="00A345A7"/>
    <w:rsid w:val="00A371EB"/>
    <w:rsid w:val="00A37D42"/>
    <w:rsid w:val="00A41E6F"/>
    <w:rsid w:val="00A425C1"/>
    <w:rsid w:val="00A431C0"/>
    <w:rsid w:val="00A43902"/>
    <w:rsid w:val="00A4426D"/>
    <w:rsid w:val="00A44B7E"/>
    <w:rsid w:val="00A44FDF"/>
    <w:rsid w:val="00A450A8"/>
    <w:rsid w:val="00A51227"/>
    <w:rsid w:val="00A517BD"/>
    <w:rsid w:val="00A52410"/>
    <w:rsid w:val="00A5330A"/>
    <w:rsid w:val="00A533C0"/>
    <w:rsid w:val="00A53BE0"/>
    <w:rsid w:val="00A55075"/>
    <w:rsid w:val="00A55120"/>
    <w:rsid w:val="00A553A4"/>
    <w:rsid w:val="00A55E02"/>
    <w:rsid w:val="00A564AD"/>
    <w:rsid w:val="00A56520"/>
    <w:rsid w:val="00A60C9C"/>
    <w:rsid w:val="00A6117A"/>
    <w:rsid w:val="00A61C04"/>
    <w:rsid w:val="00A6310C"/>
    <w:rsid w:val="00A63A13"/>
    <w:rsid w:val="00A643F8"/>
    <w:rsid w:val="00A65DD1"/>
    <w:rsid w:val="00A66C8B"/>
    <w:rsid w:val="00A6760C"/>
    <w:rsid w:val="00A70557"/>
    <w:rsid w:val="00A70C31"/>
    <w:rsid w:val="00A712CE"/>
    <w:rsid w:val="00A71DB5"/>
    <w:rsid w:val="00A729A6"/>
    <w:rsid w:val="00A7346F"/>
    <w:rsid w:val="00A74C39"/>
    <w:rsid w:val="00A75C0F"/>
    <w:rsid w:val="00A760F3"/>
    <w:rsid w:val="00A776C2"/>
    <w:rsid w:val="00A776D1"/>
    <w:rsid w:val="00A77E09"/>
    <w:rsid w:val="00A816AF"/>
    <w:rsid w:val="00A81720"/>
    <w:rsid w:val="00A818E4"/>
    <w:rsid w:val="00A81E5C"/>
    <w:rsid w:val="00A82B19"/>
    <w:rsid w:val="00A83ED1"/>
    <w:rsid w:val="00A84DE6"/>
    <w:rsid w:val="00A85372"/>
    <w:rsid w:val="00A8686B"/>
    <w:rsid w:val="00A87111"/>
    <w:rsid w:val="00A90D15"/>
    <w:rsid w:val="00A90F3D"/>
    <w:rsid w:val="00A91F19"/>
    <w:rsid w:val="00A92878"/>
    <w:rsid w:val="00A929A2"/>
    <w:rsid w:val="00A92FE9"/>
    <w:rsid w:val="00A93DF7"/>
    <w:rsid w:val="00A94383"/>
    <w:rsid w:val="00A94545"/>
    <w:rsid w:val="00A95A20"/>
    <w:rsid w:val="00A969D8"/>
    <w:rsid w:val="00A96F32"/>
    <w:rsid w:val="00A9721B"/>
    <w:rsid w:val="00AA0635"/>
    <w:rsid w:val="00AA1412"/>
    <w:rsid w:val="00AA162D"/>
    <w:rsid w:val="00AA21C4"/>
    <w:rsid w:val="00AA26CD"/>
    <w:rsid w:val="00AA2A40"/>
    <w:rsid w:val="00AA36ED"/>
    <w:rsid w:val="00AA37B5"/>
    <w:rsid w:val="00AA4860"/>
    <w:rsid w:val="00AA4899"/>
    <w:rsid w:val="00AA48B5"/>
    <w:rsid w:val="00AA5262"/>
    <w:rsid w:val="00AA5AB7"/>
    <w:rsid w:val="00AA5BE3"/>
    <w:rsid w:val="00AA5E1A"/>
    <w:rsid w:val="00AA77EF"/>
    <w:rsid w:val="00AB019A"/>
    <w:rsid w:val="00AB22B2"/>
    <w:rsid w:val="00AB2877"/>
    <w:rsid w:val="00AB2F06"/>
    <w:rsid w:val="00AB315D"/>
    <w:rsid w:val="00AB3E95"/>
    <w:rsid w:val="00AB7491"/>
    <w:rsid w:val="00AB7519"/>
    <w:rsid w:val="00AB7A7D"/>
    <w:rsid w:val="00AC0487"/>
    <w:rsid w:val="00AC1320"/>
    <w:rsid w:val="00AC1E7A"/>
    <w:rsid w:val="00AC2E6C"/>
    <w:rsid w:val="00AC4379"/>
    <w:rsid w:val="00AC5372"/>
    <w:rsid w:val="00AC656E"/>
    <w:rsid w:val="00AC6B32"/>
    <w:rsid w:val="00AC6CEC"/>
    <w:rsid w:val="00AC6EAD"/>
    <w:rsid w:val="00AC7C73"/>
    <w:rsid w:val="00AD26BD"/>
    <w:rsid w:val="00AD3A05"/>
    <w:rsid w:val="00AD3AEF"/>
    <w:rsid w:val="00AD554D"/>
    <w:rsid w:val="00AD6676"/>
    <w:rsid w:val="00AD67B3"/>
    <w:rsid w:val="00AD68C8"/>
    <w:rsid w:val="00AD6C4D"/>
    <w:rsid w:val="00AD70D1"/>
    <w:rsid w:val="00AE0021"/>
    <w:rsid w:val="00AE09CD"/>
    <w:rsid w:val="00AE0E2E"/>
    <w:rsid w:val="00AE1841"/>
    <w:rsid w:val="00AE2231"/>
    <w:rsid w:val="00AE2348"/>
    <w:rsid w:val="00AE24DA"/>
    <w:rsid w:val="00AE25A2"/>
    <w:rsid w:val="00AE283B"/>
    <w:rsid w:val="00AE4C8C"/>
    <w:rsid w:val="00AE5231"/>
    <w:rsid w:val="00AE588D"/>
    <w:rsid w:val="00AE5D50"/>
    <w:rsid w:val="00AE624F"/>
    <w:rsid w:val="00AE63E4"/>
    <w:rsid w:val="00AE7A44"/>
    <w:rsid w:val="00AE7B48"/>
    <w:rsid w:val="00AF007F"/>
    <w:rsid w:val="00AF1536"/>
    <w:rsid w:val="00AF1A4C"/>
    <w:rsid w:val="00AF2B90"/>
    <w:rsid w:val="00AF343C"/>
    <w:rsid w:val="00AF4BC0"/>
    <w:rsid w:val="00AF4CF2"/>
    <w:rsid w:val="00AF4F99"/>
    <w:rsid w:val="00AF501B"/>
    <w:rsid w:val="00AF62F4"/>
    <w:rsid w:val="00AF6473"/>
    <w:rsid w:val="00AF7CBB"/>
    <w:rsid w:val="00AF7F4D"/>
    <w:rsid w:val="00B00065"/>
    <w:rsid w:val="00B01DF9"/>
    <w:rsid w:val="00B01EDB"/>
    <w:rsid w:val="00B028FA"/>
    <w:rsid w:val="00B03C25"/>
    <w:rsid w:val="00B04490"/>
    <w:rsid w:val="00B0491A"/>
    <w:rsid w:val="00B05ECB"/>
    <w:rsid w:val="00B067AF"/>
    <w:rsid w:val="00B06B93"/>
    <w:rsid w:val="00B073DA"/>
    <w:rsid w:val="00B10129"/>
    <w:rsid w:val="00B1026B"/>
    <w:rsid w:val="00B10F2A"/>
    <w:rsid w:val="00B11B90"/>
    <w:rsid w:val="00B11D89"/>
    <w:rsid w:val="00B121C0"/>
    <w:rsid w:val="00B12FBB"/>
    <w:rsid w:val="00B14699"/>
    <w:rsid w:val="00B14DB1"/>
    <w:rsid w:val="00B156B7"/>
    <w:rsid w:val="00B1585A"/>
    <w:rsid w:val="00B15A0B"/>
    <w:rsid w:val="00B15F1B"/>
    <w:rsid w:val="00B16181"/>
    <w:rsid w:val="00B16D73"/>
    <w:rsid w:val="00B17BE7"/>
    <w:rsid w:val="00B204F6"/>
    <w:rsid w:val="00B21F71"/>
    <w:rsid w:val="00B22D45"/>
    <w:rsid w:val="00B238C9"/>
    <w:rsid w:val="00B248C2"/>
    <w:rsid w:val="00B27178"/>
    <w:rsid w:val="00B2717C"/>
    <w:rsid w:val="00B3092D"/>
    <w:rsid w:val="00B30A4B"/>
    <w:rsid w:val="00B30B15"/>
    <w:rsid w:val="00B31853"/>
    <w:rsid w:val="00B3191E"/>
    <w:rsid w:val="00B31E1E"/>
    <w:rsid w:val="00B32204"/>
    <w:rsid w:val="00B333E1"/>
    <w:rsid w:val="00B33DB2"/>
    <w:rsid w:val="00B33F8E"/>
    <w:rsid w:val="00B3407F"/>
    <w:rsid w:val="00B345D2"/>
    <w:rsid w:val="00B35148"/>
    <w:rsid w:val="00B36740"/>
    <w:rsid w:val="00B3716B"/>
    <w:rsid w:val="00B3768B"/>
    <w:rsid w:val="00B37DE4"/>
    <w:rsid w:val="00B40FE7"/>
    <w:rsid w:val="00B473B8"/>
    <w:rsid w:val="00B5187F"/>
    <w:rsid w:val="00B51ACC"/>
    <w:rsid w:val="00B52F0B"/>
    <w:rsid w:val="00B53D03"/>
    <w:rsid w:val="00B557E1"/>
    <w:rsid w:val="00B558D1"/>
    <w:rsid w:val="00B56207"/>
    <w:rsid w:val="00B56D7A"/>
    <w:rsid w:val="00B61369"/>
    <w:rsid w:val="00B64716"/>
    <w:rsid w:val="00B649ED"/>
    <w:rsid w:val="00B64E56"/>
    <w:rsid w:val="00B64F01"/>
    <w:rsid w:val="00B64FA6"/>
    <w:rsid w:val="00B66C2B"/>
    <w:rsid w:val="00B712BB"/>
    <w:rsid w:val="00B7175B"/>
    <w:rsid w:val="00B718C5"/>
    <w:rsid w:val="00B730D5"/>
    <w:rsid w:val="00B73D09"/>
    <w:rsid w:val="00B7416C"/>
    <w:rsid w:val="00B74604"/>
    <w:rsid w:val="00B75904"/>
    <w:rsid w:val="00B760E3"/>
    <w:rsid w:val="00B80280"/>
    <w:rsid w:val="00B80B44"/>
    <w:rsid w:val="00B81F41"/>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5B7"/>
    <w:rsid w:val="00B91C34"/>
    <w:rsid w:val="00B9224A"/>
    <w:rsid w:val="00B9228D"/>
    <w:rsid w:val="00B9249D"/>
    <w:rsid w:val="00B928A6"/>
    <w:rsid w:val="00B92B28"/>
    <w:rsid w:val="00B94C5B"/>
    <w:rsid w:val="00B94C69"/>
    <w:rsid w:val="00B96229"/>
    <w:rsid w:val="00B97E0C"/>
    <w:rsid w:val="00BA03D4"/>
    <w:rsid w:val="00BA29C7"/>
    <w:rsid w:val="00BA2CE6"/>
    <w:rsid w:val="00BA2FCE"/>
    <w:rsid w:val="00BA3BF9"/>
    <w:rsid w:val="00BA3F9C"/>
    <w:rsid w:val="00BA5C2F"/>
    <w:rsid w:val="00BA6488"/>
    <w:rsid w:val="00BA6CA3"/>
    <w:rsid w:val="00BA74AB"/>
    <w:rsid w:val="00BA773F"/>
    <w:rsid w:val="00BA789B"/>
    <w:rsid w:val="00BA7F0D"/>
    <w:rsid w:val="00BB0786"/>
    <w:rsid w:val="00BB1C58"/>
    <w:rsid w:val="00BB2296"/>
    <w:rsid w:val="00BB43C3"/>
    <w:rsid w:val="00BB639A"/>
    <w:rsid w:val="00BB65C9"/>
    <w:rsid w:val="00BB6CDC"/>
    <w:rsid w:val="00BB6F16"/>
    <w:rsid w:val="00BC03DE"/>
    <w:rsid w:val="00BC2790"/>
    <w:rsid w:val="00BC3892"/>
    <w:rsid w:val="00BC4BD9"/>
    <w:rsid w:val="00BC4E9C"/>
    <w:rsid w:val="00BC58C9"/>
    <w:rsid w:val="00BC5BCB"/>
    <w:rsid w:val="00BC5F7D"/>
    <w:rsid w:val="00BC6DFA"/>
    <w:rsid w:val="00BD0221"/>
    <w:rsid w:val="00BD0B37"/>
    <w:rsid w:val="00BD0E48"/>
    <w:rsid w:val="00BD1CD8"/>
    <w:rsid w:val="00BD2F8E"/>
    <w:rsid w:val="00BD30D5"/>
    <w:rsid w:val="00BD3281"/>
    <w:rsid w:val="00BD3BCF"/>
    <w:rsid w:val="00BD538C"/>
    <w:rsid w:val="00BD59D4"/>
    <w:rsid w:val="00BD60D9"/>
    <w:rsid w:val="00BD79ED"/>
    <w:rsid w:val="00BE04D0"/>
    <w:rsid w:val="00BE0DE5"/>
    <w:rsid w:val="00BE0F85"/>
    <w:rsid w:val="00BE1904"/>
    <w:rsid w:val="00BE1D2C"/>
    <w:rsid w:val="00BE1F84"/>
    <w:rsid w:val="00BE270B"/>
    <w:rsid w:val="00BE5B39"/>
    <w:rsid w:val="00BE6456"/>
    <w:rsid w:val="00BE6784"/>
    <w:rsid w:val="00BE7CF6"/>
    <w:rsid w:val="00BF26D7"/>
    <w:rsid w:val="00BF3228"/>
    <w:rsid w:val="00BF3260"/>
    <w:rsid w:val="00BF3B1C"/>
    <w:rsid w:val="00BF4BDF"/>
    <w:rsid w:val="00C00816"/>
    <w:rsid w:val="00C00AE3"/>
    <w:rsid w:val="00C014BE"/>
    <w:rsid w:val="00C01702"/>
    <w:rsid w:val="00C0190A"/>
    <w:rsid w:val="00C01ABD"/>
    <w:rsid w:val="00C021A4"/>
    <w:rsid w:val="00C0335F"/>
    <w:rsid w:val="00C03999"/>
    <w:rsid w:val="00C04223"/>
    <w:rsid w:val="00C04E1F"/>
    <w:rsid w:val="00C05505"/>
    <w:rsid w:val="00C05E35"/>
    <w:rsid w:val="00C06187"/>
    <w:rsid w:val="00C06A89"/>
    <w:rsid w:val="00C06CFB"/>
    <w:rsid w:val="00C112EE"/>
    <w:rsid w:val="00C11313"/>
    <w:rsid w:val="00C11FA6"/>
    <w:rsid w:val="00C121EC"/>
    <w:rsid w:val="00C126AC"/>
    <w:rsid w:val="00C129A2"/>
    <w:rsid w:val="00C13966"/>
    <w:rsid w:val="00C139B0"/>
    <w:rsid w:val="00C14070"/>
    <w:rsid w:val="00C147DD"/>
    <w:rsid w:val="00C149B9"/>
    <w:rsid w:val="00C1548D"/>
    <w:rsid w:val="00C167EF"/>
    <w:rsid w:val="00C16869"/>
    <w:rsid w:val="00C16F23"/>
    <w:rsid w:val="00C17337"/>
    <w:rsid w:val="00C20EBB"/>
    <w:rsid w:val="00C21065"/>
    <w:rsid w:val="00C21185"/>
    <w:rsid w:val="00C2206E"/>
    <w:rsid w:val="00C22477"/>
    <w:rsid w:val="00C22C1A"/>
    <w:rsid w:val="00C22C27"/>
    <w:rsid w:val="00C24157"/>
    <w:rsid w:val="00C241C7"/>
    <w:rsid w:val="00C2526D"/>
    <w:rsid w:val="00C25332"/>
    <w:rsid w:val="00C2543D"/>
    <w:rsid w:val="00C26316"/>
    <w:rsid w:val="00C32BB7"/>
    <w:rsid w:val="00C3487F"/>
    <w:rsid w:val="00C34A96"/>
    <w:rsid w:val="00C34FAA"/>
    <w:rsid w:val="00C35655"/>
    <w:rsid w:val="00C357DB"/>
    <w:rsid w:val="00C369BD"/>
    <w:rsid w:val="00C37A26"/>
    <w:rsid w:val="00C40BF2"/>
    <w:rsid w:val="00C41C76"/>
    <w:rsid w:val="00C41D75"/>
    <w:rsid w:val="00C41E59"/>
    <w:rsid w:val="00C4221D"/>
    <w:rsid w:val="00C426EF"/>
    <w:rsid w:val="00C427EA"/>
    <w:rsid w:val="00C4297A"/>
    <w:rsid w:val="00C42DB6"/>
    <w:rsid w:val="00C432D2"/>
    <w:rsid w:val="00C43980"/>
    <w:rsid w:val="00C43A62"/>
    <w:rsid w:val="00C44A54"/>
    <w:rsid w:val="00C44B2A"/>
    <w:rsid w:val="00C4526C"/>
    <w:rsid w:val="00C46FB0"/>
    <w:rsid w:val="00C47DE7"/>
    <w:rsid w:val="00C5095B"/>
    <w:rsid w:val="00C50AF2"/>
    <w:rsid w:val="00C51006"/>
    <w:rsid w:val="00C520E6"/>
    <w:rsid w:val="00C521ED"/>
    <w:rsid w:val="00C522F3"/>
    <w:rsid w:val="00C536ED"/>
    <w:rsid w:val="00C539DD"/>
    <w:rsid w:val="00C541F9"/>
    <w:rsid w:val="00C543EE"/>
    <w:rsid w:val="00C543F3"/>
    <w:rsid w:val="00C55D19"/>
    <w:rsid w:val="00C56429"/>
    <w:rsid w:val="00C5693C"/>
    <w:rsid w:val="00C5783C"/>
    <w:rsid w:val="00C60855"/>
    <w:rsid w:val="00C60D06"/>
    <w:rsid w:val="00C647A6"/>
    <w:rsid w:val="00C64C37"/>
    <w:rsid w:val="00C655BE"/>
    <w:rsid w:val="00C661AD"/>
    <w:rsid w:val="00C666CD"/>
    <w:rsid w:val="00C679A1"/>
    <w:rsid w:val="00C70183"/>
    <w:rsid w:val="00C7080B"/>
    <w:rsid w:val="00C70F8D"/>
    <w:rsid w:val="00C72031"/>
    <w:rsid w:val="00C725A3"/>
    <w:rsid w:val="00C7270D"/>
    <w:rsid w:val="00C72C20"/>
    <w:rsid w:val="00C730F9"/>
    <w:rsid w:val="00C74557"/>
    <w:rsid w:val="00C75B0A"/>
    <w:rsid w:val="00C8000E"/>
    <w:rsid w:val="00C8093C"/>
    <w:rsid w:val="00C8118D"/>
    <w:rsid w:val="00C82108"/>
    <w:rsid w:val="00C8256D"/>
    <w:rsid w:val="00C8281E"/>
    <w:rsid w:val="00C8314F"/>
    <w:rsid w:val="00C8376F"/>
    <w:rsid w:val="00C83C87"/>
    <w:rsid w:val="00C8449B"/>
    <w:rsid w:val="00C86422"/>
    <w:rsid w:val="00C8642F"/>
    <w:rsid w:val="00C86596"/>
    <w:rsid w:val="00C876E4"/>
    <w:rsid w:val="00C87CDF"/>
    <w:rsid w:val="00C90B07"/>
    <w:rsid w:val="00C9124D"/>
    <w:rsid w:val="00C922F1"/>
    <w:rsid w:val="00C92A40"/>
    <w:rsid w:val="00C92A53"/>
    <w:rsid w:val="00C92B48"/>
    <w:rsid w:val="00C93D8E"/>
    <w:rsid w:val="00C960EB"/>
    <w:rsid w:val="00C964D5"/>
    <w:rsid w:val="00CA1825"/>
    <w:rsid w:val="00CA2D27"/>
    <w:rsid w:val="00CA42C9"/>
    <w:rsid w:val="00CA4458"/>
    <w:rsid w:val="00CA4800"/>
    <w:rsid w:val="00CA51B9"/>
    <w:rsid w:val="00CA5B85"/>
    <w:rsid w:val="00CA76FB"/>
    <w:rsid w:val="00CB0BC4"/>
    <w:rsid w:val="00CB3118"/>
    <w:rsid w:val="00CB3617"/>
    <w:rsid w:val="00CB3A12"/>
    <w:rsid w:val="00CB495D"/>
    <w:rsid w:val="00CB4FE1"/>
    <w:rsid w:val="00CB5035"/>
    <w:rsid w:val="00CB512B"/>
    <w:rsid w:val="00CB52B2"/>
    <w:rsid w:val="00CB68D8"/>
    <w:rsid w:val="00CB6D26"/>
    <w:rsid w:val="00CB7DD3"/>
    <w:rsid w:val="00CC0967"/>
    <w:rsid w:val="00CC0ACB"/>
    <w:rsid w:val="00CC0CDD"/>
    <w:rsid w:val="00CC19BE"/>
    <w:rsid w:val="00CC1FF4"/>
    <w:rsid w:val="00CC2777"/>
    <w:rsid w:val="00CC2C74"/>
    <w:rsid w:val="00CC30B6"/>
    <w:rsid w:val="00CC552B"/>
    <w:rsid w:val="00CC642C"/>
    <w:rsid w:val="00CC71B4"/>
    <w:rsid w:val="00CC7490"/>
    <w:rsid w:val="00CD00EF"/>
    <w:rsid w:val="00CD1331"/>
    <w:rsid w:val="00CD16A3"/>
    <w:rsid w:val="00CD2D67"/>
    <w:rsid w:val="00CD31D8"/>
    <w:rsid w:val="00CD3DBB"/>
    <w:rsid w:val="00CD455C"/>
    <w:rsid w:val="00CD4E3E"/>
    <w:rsid w:val="00CD6005"/>
    <w:rsid w:val="00CD603B"/>
    <w:rsid w:val="00CD6131"/>
    <w:rsid w:val="00CD65CC"/>
    <w:rsid w:val="00CD686F"/>
    <w:rsid w:val="00CD6B27"/>
    <w:rsid w:val="00CD6B44"/>
    <w:rsid w:val="00CD6C7A"/>
    <w:rsid w:val="00CD728A"/>
    <w:rsid w:val="00CD75FB"/>
    <w:rsid w:val="00CE02DE"/>
    <w:rsid w:val="00CE1295"/>
    <w:rsid w:val="00CE1A55"/>
    <w:rsid w:val="00CE2410"/>
    <w:rsid w:val="00CE33C6"/>
    <w:rsid w:val="00CE3862"/>
    <w:rsid w:val="00CE393F"/>
    <w:rsid w:val="00CE41E1"/>
    <w:rsid w:val="00CE5294"/>
    <w:rsid w:val="00CE6071"/>
    <w:rsid w:val="00CE7D13"/>
    <w:rsid w:val="00CF2621"/>
    <w:rsid w:val="00CF2ED6"/>
    <w:rsid w:val="00CF3926"/>
    <w:rsid w:val="00CF5A08"/>
    <w:rsid w:val="00CF7883"/>
    <w:rsid w:val="00D0139A"/>
    <w:rsid w:val="00D02201"/>
    <w:rsid w:val="00D02643"/>
    <w:rsid w:val="00D03CB6"/>
    <w:rsid w:val="00D05B8C"/>
    <w:rsid w:val="00D071F2"/>
    <w:rsid w:val="00D073F9"/>
    <w:rsid w:val="00D10337"/>
    <w:rsid w:val="00D10EC5"/>
    <w:rsid w:val="00D11707"/>
    <w:rsid w:val="00D1221F"/>
    <w:rsid w:val="00D126B1"/>
    <w:rsid w:val="00D160D4"/>
    <w:rsid w:val="00D1657E"/>
    <w:rsid w:val="00D207F5"/>
    <w:rsid w:val="00D20DE3"/>
    <w:rsid w:val="00D21526"/>
    <w:rsid w:val="00D2187E"/>
    <w:rsid w:val="00D21F51"/>
    <w:rsid w:val="00D226A5"/>
    <w:rsid w:val="00D22BCC"/>
    <w:rsid w:val="00D24678"/>
    <w:rsid w:val="00D26BE3"/>
    <w:rsid w:val="00D26FC1"/>
    <w:rsid w:val="00D27A2D"/>
    <w:rsid w:val="00D31956"/>
    <w:rsid w:val="00D32B06"/>
    <w:rsid w:val="00D32D41"/>
    <w:rsid w:val="00D330A5"/>
    <w:rsid w:val="00D335DA"/>
    <w:rsid w:val="00D33996"/>
    <w:rsid w:val="00D34711"/>
    <w:rsid w:val="00D34779"/>
    <w:rsid w:val="00D35050"/>
    <w:rsid w:val="00D352DB"/>
    <w:rsid w:val="00D3534A"/>
    <w:rsid w:val="00D35B32"/>
    <w:rsid w:val="00D36C82"/>
    <w:rsid w:val="00D372E1"/>
    <w:rsid w:val="00D40100"/>
    <w:rsid w:val="00D40C39"/>
    <w:rsid w:val="00D41F92"/>
    <w:rsid w:val="00D4246B"/>
    <w:rsid w:val="00D429F0"/>
    <w:rsid w:val="00D42C8C"/>
    <w:rsid w:val="00D45057"/>
    <w:rsid w:val="00D45EFC"/>
    <w:rsid w:val="00D4654F"/>
    <w:rsid w:val="00D506E4"/>
    <w:rsid w:val="00D51B97"/>
    <w:rsid w:val="00D52DA8"/>
    <w:rsid w:val="00D5309F"/>
    <w:rsid w:val="00D535F2"/>
    <w:rsid w:val="00D54942"/>
    <w:rsid w:val="00D54F7E"/>
    <w:rsid w:val="00D56336"/>
    <w:rsid w:val="00D56FAE"/>
    <w:rsid w:val="00D5718E"/>
    <w:rsid w:val="00D5771F"/>
    <w:rsid w:val="00D60F10"/>
    <w:rsid w:val="00D62BF4"/>
    <w:rsid w:val="00D634FD"/>
    <w:rsid w:val="00D64314"/>
    <w:rsid w:val="00D646D8"/>
    <w:rsid w:val="00D659FA"/>
    <w:rsid w:val="00D65D3B"/>
    <w:rsid w:val="00D70019"/>
    <w:rsid w:val="00D704B0"/>
    <w:rsid w:val="00D7100F"/>
    <w:rsid w:val="00D7161A"/>
    <w:rsid w:val="00D73215"/>
    <w:rsid w:val="00D744BC"/>
    <w:rsid w:val="00D76B29"/>
    <w:rsid w:val="00D76D98"/>
    <w:rsid w:val="00D77153"/>
    <w:rsid w:val="00D77AFA"/>
    <w:rsid w:val="00D8046D"/>
    <w:rsid w:val="00D81173"/>
    <w:rsid w:val="00D81ADE"/>
    <w:rsid w:val="00D81D7C"/>
    <w:rsid w:val="00D83CCD"/>
    <w:rsid w:val="00D83E8F"/>
    <w:rsid w:val="00D83FF1"/>
    <w:rsid w:val="00D87136"/>
    <w:rsid w:val="00D907F5"/>
    <w:rsid w:val="00D917FD"/>
    <w:rsid w:val="00D9264F"/>
    <w:rsid w:val="00D92714"/>
    <w:rsid w:val="00D92F8A"/>
    <w:rsid w:val="00D93379"/>
    <w:rsid w:val="00D969D1"/>
    <w:rsid w:val="00D9763D"/>
    <w:rsid w:val="00DA0302"/>
    <w:rsid w:val="00DA0369"/>
    <w:rsid w:val="00DA0496"/>
    <w:rsid w:val="00DA07DE"/>
    <w:rsid w:val="00DA0BED"/>
    <w:rsid w:val="00DA0DF1"/>
    <w:rsid w:val="00DA2047"/>
    <w:rsid w:val="00DA26AA"/>
    <w:rsid w:val="00DA326C"/>
    <w:rsid w:val="00DA3EC7"/>
    <w:rsid w:val="00DA4387"/>
    <w:rsid w:val="00DA5430"/>
    <w:rsid w:val="00DA5854"/>
    <w:rsid w:val="00DA62D6"/>
    <w:rsid w:val="00DA64AB"/>
    <w:rsid w:val="00DA675A"/>
    <w:rsid w:val="00DA6C90"/>
    <w:rsid w:val="00DA73A2"/>
    <w:rsid w:val="00DB06D4"/>
    <w:rsid w:val="00DB0865"/>
    <w:rsid w:val="00DB119D"/>
    <w:rsid w:val="00DB1B65"/>
    <w:rsid w:val="00DB2DF4"/>
    <w:rsid w:val="00DB4D7C"/>
    <w:rsid w:val="00DB5213"/>
    <w:rsid w:val="00DB5749"/>
    <w:rsid w:val="00DB5BB9"/>
    <w:rsid w:val="00DB6038"/>
    <w:rsid w:val="00DB60AF"/>
    <w:rsid w:val="00DB64AD"/>
    <w:rsid w:val="00DB6C9F"/>
    <w:rsid w:val="00DB7AD6"/>
    <w:rsid w:val="00DB7B8B"/>
    <w:rsid w:val="00DC0ECC"/>
    <w:rsid w:val="00DC157B"/>
    <w:rsid w:val="00DC287C"/>
    <w:rsid w:val="00DC2B68"/>
    <w:rsid w:val="00DC34D4"/>
    <w:rsid w:val="00DC5581"/>
    <w:rsid w:val="00DC674C"/>
    <w:rsid w:val="00DD05FF"/>
    <w:rsid w:val="00DD06EF"/>
    <w:rsid w:val="00DD0B9D"/>
    <w:rsid w:val="00DD0DCA"/>
    <w:rsid w:val="00DD2CAD"/>
    <w:rsid w:val="00DD2CE7"/>
    <w:rsid w:val="00DD3370"/>
    <w:rsid w:val="00DD4286"/>
    <w:rsid w:val="00DD4383"/>
    <w:rsid w:val="00DD43B9"/>
    <w:rsid w:val="00DD4F6F"/>
    <w:rsid w:val="00DE1CDF"/>
    <w:rsid w:val="00DE2F78"/>
    <w:rsid w:val="00DE2FA9"/>
    <w:rsid w:val="00DE35EE"/>
    <w:rsid w:val="00DE3C25"/>
    <w:rsid w:val="00DE3CF2"/>
    <w:rsid w:val="00DE44F7"/>
    <w:rsid w:val="00DE462E"/>
    <w:rsid w:val="00DE5652"/>
    <w:rsid w:val="00DE66F2"/>
    <w:rsid w:val="00DF0D48"/>
    <w:rsid w:val="00DF2C55"/>
    <w:rsid w:val="00DF4C1E"/>
    <w:rsid w:val="00DF5373"/>
    <w:rsid w:val="00DF64FF"/>
    <w:rsid w:val="00E01129"/>
    <w:rsid w:val="00E01201"/>
    <w:rsid w:val="00E01C52"/>
    <w:rsid w:val="00E03709"/>
    <w:rsid w:val="00E065FF"/>
    <w:rsid w:val="00E06D35"/>
    <w:rsid w:val="00E07F5E"/>
    <w:rsid w:val="00E1018C"/>
    <w:rsid w:val="00E113BB"/>
    <w:rsid w:val="00E118CC"/>
    <w:rsid w:val="00E12DEC"/>
    <w:rsid w:val="00E132AD"/>
    <w:rsid w:val="00E13809"/>
    <w:rsid w:val="00E1431C"/>
    <w:rsid w:val="00E171E9"/>
    <w:rsid w:val="00E20F38"/>
    <w:rsid w:val="00E2104A"/>
    <w:rsid w:val="00E22CE6"/>
    <w:rsid w:val="00E233DE"/>
    <w:rsid w:val="00E2443B"/>
    <w:rsid w:val="00E252B2"/>
    <w:rsid w:val="00E25481"/>
    <w:rsid w:val="00E25483"/>
    <w:rsid w:val="00E256F5"/>
    <w:rsid w:val="00E261EE"/>
    <w:rsid w:val="00E27141"/>
    <w:rsid w:val="00E279D1"/>
    <w:rsid w:val="00E27F67"/>
    <w:rsid w:val="00E404D3"/>
    <w:rsid w:val="00E410BA"/>
    <w:rsid w:val="00E41762"/>
    <w:rsid w:val="00E41A8B"/>
    <w:rsid w:val="00E42601"/>
    <w:rsid w:val="00E45359"/>
    <w:rsid w:val="00E45626"/>
    <w:rsid w:val="00E45EEA"/>
    <w:rsid w:val="00E46C04"/>
    <w:rsid w:val="00E46D2D"/>
    <w:rsid w:val="00E4769F"/>
    <w:rsid w:val="00E47A93"/>
    <w:rsid w:val="00E50C5D"/>
    <w:rsid w:val="00E50EBA"/>
    <w:rsid w:val="00E51114"/>
    <w:rsid w:val="00E512ED"/>
    <w:rsid w:val="00E51595"/>
    <w:rsid w:val="00E534C8"/>
    <w:rsid w:val="00E5434F"/>
    <w:rsid w:val="00E56602"/>
    <w:rsid w:val="00E56D48"/>
    <w:rsid w:val="00E5799C"/>
    <w:rsid w:val="00E604E8"/>
    <w:rsid w:val="00E60F41"/>
    <w:rsid w:val="00E61F35"/>
    <w:rsid w:val="00E61FB6"/>
    <w:rsid w:val="00E62B88"/>
    <w:rsid w:val="00E63861"/>
    <w:rsid w:val="00E63881"/>
    <w:rsid w:val="00E6464E"/>
    <w:rsid w:val="00E6512C"/>
    <w:rsid w:val="00E66E63"/>
    <w:rsid w:val="00E66EE1"/>
    <w:rsid w:val="00E675A2"/>
    <w:rsid w:val="00E67E41"/>
    <w:rsid w:val="00E70007"/>
    <w:rsid w:val="00E70552"/>
    <w:rsid w:val="00E70828"/>
    <w:rsid w:val="00E70838"/>
    <w:rsid w:val="00E7161A"/>
    <w:rsid w:val="00E71681"/>
    <w:rsid w:val="00E72586"/>
    <w:rsid w:val="00E72B55"/>
    <w:rsid w:val="00E72F22"/>
    <w:rsid w:val="00E73FD9"/>
    <w:rsid w:val="00E801B6"/>
    <w:rsid w:val="00E80CF8"/>
    <w:rsid w:val="00E814A2"/>
    <w:rsid w:val="00E816C9"/>
    <w:rsid w:val="00E817DA"/>
    <w:rsid w:val="00E81894"/>
    <w:rsid w:val="00E81D4B"/>
    <w:rsid w:val="00E821F4"/>
    <w:rsid w:val="00E83271"/>
    <w:rsid w:val="00E83AEE"/>
    <w:rsid w:val="00E849E3"/>
    <w:rsid w:val="00E851B3"/>
    <w:rsid w:val="00E86053"/>
    <w:rsid w:val="00E86566"/>
    <w:rsid w:val="00E867CC"/>
    <w:rsid w:val="00E86E65"/>
    <w:rsid w:val="00E87129"/>
    <w:rsid w:val="00E87130"/>
    <w:rsid w:val="00E91EBC"/>
    <w:rsid w:val="00E938F7"/>
    <w:rsid w:val="00E93AA4"/>
    <w:rsid w:val="00E94F81"/>
    <w:rsid w:val="00E952F3"/>
    <w:rsid w:val="00E95A72"/>
    <w:rsid w:val="00E95A93"/>
    <w:rsid w:val="00E95CD9"/>
    <w:rsid w:val="00E965B8"/>
    <w:rsid w:val="00E96746"/>
    <w:rsid w:val="00E975FC"/>
    <w:rsid w:val="00E97CAF"/>
    <w:rsid w:val="00EA02C5"/>
    <w:rsid w:val="00EA0800"/>
    <w:rsid w:val="00EA0B57"/>
    <w:rsid w:val="00EA1013"/>
    <w:rsid w:val="00EA1072"/>
    <w:rsid w:val="00EA2AE8"/>
    <w:rsid w:val="00EA415F"/>
    <w:rsid w:val="00EA46E3"/>
    <w:rsid w:val="00EA513C"/>
    <w:rsid w:val="00EA576B"/>
    <w:rsid w:val="00EA5D05"/>
    <w:rsid w:val="00EA7670"/>
    <w:rsid w:val="00EB083C"/>
    <w:rsid w:val="00EB1D4E"/>
    <w:rsid w:val="00EB20D2"/>
    <w:rsid w:val="00EB2305"/>
    <w:rsid w:val="00EB3DE4"/>
    <w:rsid w:val="00EB4DDB"/>
    <w:rsid w:val="00EB7E92"/>
    <w:rsid w:val="00EC0A46"/>
    <w:rsid w:val="00EC220B"/>
    <w:rsid w:val="00EC27C1"/>
    <w:rsid w:val="00EC302E"/>
    <w:rsid w:val="00EC36C5"/>
    <w:rsid w:val="00EC3BF9"/>
    <w:rsid w:val="00EC4755"/>
    <w:rsid w:val="00EC5D20"/>
    <w:rsid w:val="00EC5DFE"/>
    <w:rsid w:val="00EC66C4"/>
    <w:rsid w:val="00EC72AE"/>
    <w:rsid w:val="00EC7BA5"/>
    <w:rsid w:val="00EC7EB4"/>
    <w:rsid w:val="00ED020A"/>
    <w:rsid w:val="00ED0C88"/>
    <w:rsid w:val="00ED11CC"/>
    <w:rsid w:val="00ED1EB8"/>
    <w:rsid w:val="00ED2D76"/>
    <w:rsid w:val="00ED2EB1"/>
    <w:rsid w:val="00ED3050"/>
    <w:rsid w:val="00ED3919"/>
    <w:rsid w:val="00ED438A"/>
    <w:rsid w:val="00ED43AC"/>
    <w:rsid w:val="00ED4A2E"/>
    <w:rsid w:val="00ED7A70"/>
    <w:rsid w:val="00EE0A05"/>
    <w:rsid w:val="00EE0E28"/>
    <w:rsid w:val="00EE50D0"/>
    <w:rsid w:val="00EE59A7"/>
    <w:rsid w:val="00EE646B"/>
    <w:rsid w:val="00EE6962"/>
    <w:rsid w:val="00EE6D18"/>
    <w:rsid w:val="00EE78F6"/>
    <w:rsid w:val="00EE7E52"/>
    <w:rsid w:val="00EF0D9F"/>
    <w:rsid w:val="00EF1ECC"/>
    <w:rsid w:val="00EF2B3F"/>
    <w:rsid w:val="00EF3E73"/>
    <w:rsid w:val="00EF5801"/>
    <w:rsid w:val="00EF6DB2"/>
    <w:rsid w:val="00EF6F37"/>
    <w:rsid w:val="00F02257"/>
    <w:rsid w:val="00F02DBA"/>
    <w:rsid w:val="00F0315C"/>
    <w:rsid w:val="00F0389C"/>
    <w:rsid w:val="00F04313"/>
    <w:rsid w:val="00F06086"/>
    <w:rsid w:val="00F06F0F"/>
    <w:rsid w:val="00F0726F"/>
    <w:rsid w:val="00F07B12"/>
    <w:rsid w:val="00F07D69"/>
    <w:rsid w:val="00F1034D"/>
    <w:rsid w:val="00F1079F"/>
    <w:rsid w:val="00F117ED"/>
    <w:rsid w:val="00F11876"/>
    <w:rsid w:val="00F1193D"/>
    <w:rsid w:val="00F11BB1"/>
    <w:rsid w:val="00F12A31"/>
    <w:rsid w:val="00F132B1"/>
    <w:rsid w:val="00F15411"/>
    <w:rsid w:val="00F15A83"/>
    <w:rsid w:val="00F15B34"/>
    <w:rsid w:val="00F15DEB"/>
    <w:rsid w:val="00F21D22"/>
    <w:rsid w:val="00F223DB"/>
    <w:rsid w:val="00F229E1"/>
    <w:rsid w:val="00F24BC9"/>
    <w:rsid w:val="00F25A5C"/>
    <w:rsid w:val="00F27375"/>
    <w:rsid w:val="00F27CDB"/>
    <w:rsid w:val="00F30B45"/>
    <w:rsid w:val="00F30B77"/>
    <w:rsid w:val="00F31036"/>
    <w:rsid w:val="00F311E3"/>
    <w:rsid w:val="00F34B11"/>
    <w:rsid w:val="00F34EE2"/>
    <w:rsid w:val="00F35399"/>
    <w:rsid w:val="00F35C42"/>
    <w:rsid w:val="00F37298"/>
    <w:rsid w:val="00F37BD3"/>
    <w:rsid w:val="00F4040B"/>
    <w:rsid w:val="00F4354F"/>
    <w:rsid w:val="00F43732"/>
    <w:rsid w:val="00F43E2A"/>
    <w:rsid w:val="00F44AAE"/>
    <w:rsid w:val="00F45152"/>
    <w:rsid w:val="00F45668"/>
    <w:rsid w:val="00F45BAE"/>
    <w:rsid w:val="00F460E0"/>
    <w:rsid w:val="00F47378"/>
    <w:rsid w:val="00F50CDA"/>
    <w:rsid w:val="00F50D4E"/>
    <w:rsid w:val="00F50E87"/>
    <w:rsid w:val="00F51638"/>
    <w:rsid w:val="00F51D1E"/>
    <w:rsid w:val="00F52610"/>
    <w:rsid w:val="00F528BE"/>
    <w:rsid w:val="00F52B6A"/>
    <w:rsid w:val="00F52FA7"/>
    <w:rsid w:val="00F5316C"/>
    <w:rsid w:val="00F53389"/>
    <w:rsid w:val="00F542C1"/>
    <w:rsid w:val="00F5457A"/>
    <w:rsid w:val="00F547D0"/>
    <w:rsid w:val="00F558AF"/>
    <w:rsid w:val="00F558F7"/>
    <w:rsid w:val="00F559D8"/>
    <w:rsid w:val="00F55A60"/>
    <w:rsid w:val="00F57267"/>
    <w:rsid w:val="00F61966"/>
    <w:rsid w:val="00F61E54"/>
    <w:rsid w:val="00F623EA"/>
    <w:rsid w:val="00F628A5"/>
    <w:rsid w:val="00F62992"/>
    <w:rsid w:val="00F62D60"/>
    <w:rsid w:val="00F63194"/>
    <w:rsid w:val="00F636F2"/>
    <w:rsid w:val="00F6395E"/>
    <w:rsid w:val="00F640AA"/>
    <w:rsid w:val="00F64BD2"/>
    <w:rsid w:val="00F64DCE"/>
    <w:rsid w:val="00F6516C"/>
    <w:rsid w:val="00F654ED"/>
    <w:rsid w:val="00F65F9E"/>
    <w:rsid w:val="00F66653"/>
    <w:rsid w:val="00F6725A"/>
    <w:rsid w:val="00F67A29"/>
    <w:rsid w:val="00F67DA6"/>
    <w:rsid w:val="00F702EB"/>
    <w:rsid w:val="00F708ED"/>
    <w:rsid w:val="00F710D6"/>
    <w:rsid w:val="00F717E1"/>
    <w:rsid w:val="00F71D7D"/>
    <w:rsid w:val="00F72BDF"/>
    <w:rsid w:val="00F735A7"/>
    <w:rsid w:val="00F74441"/>
    <w:rsid w:val="00F745D9"/>
    <w:rsid w:val="00F758A0"/>
    <w:rsid w:val="00F76BB3"/>
    <w:rsid w:val="00F76D4E"/>
    <w:rsid w:val="00F772DA"/>
    <w:rsid w:val="00F7781E"/>
    <w:rsid w:val="00F81708"/>
    <w:rsid w:val="00F82D68"/>
    <w:rsid w:val="00F8304F"/>
    <w:rsid w:val="00F847B5"/>
    <w:rsid w:val="00F85DFD"/>
    <w:rsid w:val="00F8679A"/>
    <w:rsid w:val="00F868BC"/>
    <w:rsid w:val="00F875DE"/>
    <w:rsid w:val="00F879B1"/>
    <w:rsid w:val="00F90D95"/>
    <w:rsid w:val="00F90F9D"/>
    <w:rsid w:val="00F91054"/>
    <w:rsid w:val="00F92653"/>
    <w:rsid w:val="00F92C69"/>
    <w:rsid w:val="00F92CC0"/>
    <w:rsid w:val="00F9332E"/>
    <w:rsid w:val="00F937E7"/>
    <w:rsid w:val="00F9521E"/>
    <w:rsid w:val="00F95E15"/>
    <w:rsid w:val="00F961DD"/>
    <w:rsid w:val="00F97015"/>
    <w:rsid w:val="00F9746E"/>
    <w:rsid w:val="00FA03B6"/>
    <w:rsid w:val="00FA1144"/>
    <w:rsid w:val="00FA226B"/>
    <w:rsid w:val="00FA2DC5"/>
    <w:rsid w:val="00FA36DB"/>
    <w:rsid w:val="00FA4D82"/>
    <w:rsid w:val="00FA528E"/>
    <w:rsid w:val="00FA52E7"/>
    <w:rsid w:val="00FA5DD2"/>
    <w:rsid w:val="00FA63FC"/>
    <w:rsid w:val="00FA67A0"/>
    <w:rsid w:val="00FA70D4"/>
    <w:rsid w:val="00FB072F"/>
    <w:rsid w:val="00FB092A"/>
    <w:rsid w:val="00FB0BC2"/>
    <w:rsid w:val="00FB1D41"/>
    <w:rsid w:val="00FB2F90"/>
    <w:rsid w:val="00FB308E"/>
    <w:rsid w:val="00FB32D4"/>
    <w:rsid w:val="00FB3461"/>
    <w:rsid w:val="00FB37A8"/>
    <w:rsid w:val="00FB5CA3"/>
    <w:rsid w:val="00FC006A"/>
    <w:rsid w:val="00FC0934"/>
    <w:rsid w:val="00FC12B5"/>
    <w:rsid w:val="00FC1882"/>
    <w:rsid w:val="00FC1AD6"/>
    <w:rsid w:val="00FC1C2D"/>
    <w:rsid w:val="00FC272C"/>
    <w:rsid w:val="00FC2B2D"/>
    <w:rsid w:val="00FC2CDB"/>
    <w:rsid w:val="00FC3263"/>
    <w:rsid w:val="00FC3A48"/>
    <w:rsid w:val="00FC5058"/>
    <w:rsid w:val="00FC54B8"/>
    <w:rsid w:val="00FC61EA"/>
    <w:rsid w:val="00FC735E"/>
    <w:rsid w:val="00FC7F42"/>
    <w:rsid w:val="00FD0883"/>
    <w:rsid w:val="00FD1263"/>
    <w:rsid w:val="00FD1EA4"/>
    <w:rsid w:val="00FD273B"/>
    <w:rsid w:val="00FD2A4B"/>
    <w:rsid w:val="00FD2B18"/>
    <w:rsid w:val="00FD34B2"/>
    <w:rsid w:val="00FD350C"/>
    <w:rsid w:val="00FD4A4B"/>
    <w:rsid w:val="00FD4B1F"/>
    <w:rsid w:val="00FD4ED0"/>
    <w:rsid w:val="00FD5D94"/>
    <w:rsid w:val="00FD65DE"/>
    <w:rsid w:val="00FE0D70"/>
    <w:rsid w:val="00FE1A06"/>
    <w:rsid w:val="00FE2E8D"/>
    <w:rsid w:val="00FE3738"/>
    <w:rsid w:val="00FE3ACE"/>
    <w:rsid w:val="00FE3DF9"/>
    <w:rsid w:val="00FE4F1F"/>
    <w:rsid w:val="00FE513E"/>
    <w:rsid w:val="00FE531F"/>
    <w:rsid w:val="00FE5E5C"/>
    <w:rsid w:val="00FE5F67"/>
    <w:rsid w:val="00FE65F9"/>
    <w:rsid w:val="00FE7764"/>
    <w:rsid w:val="00FE7F8D"/>
    <w:rsid w:val="00FF249C"/>
    <w:rsid w:val="00FF2EA1"/>
    <w:rsid w:val="00FF35F6"/>
    <w:rsid w:val="00FF5C39"/>
    <w:rsid w:val="00FF6321"/>
    <w:rsid w:val="00FF67D2"/>
    <w:rsid w:val="00FF7622"/>
    <w:rsid w:val="01001B5E"/>
    <w:rsid w:val="012F1A4A"/>
    <w:rsid w:val="02D3433D"/>
    <w:rsid w:val="02E7478A"/>
    <w:rsid w:val="0388291B"/>
    <w:rsid w:val="03B93ED2"/>
    <w:rsid w:val="03C545D6"/>
    <w:rsid w:val="03DA12D5"/>
    <w:rsid w:val="05AB059E"/>
    <w:rsid w:val="05DC71B6"/>
    <w:rsid w:val="06665122"/>
    <w:rsid w:val="06C64491"/>
    <w:rsid w:val="06E90A95"/>
    <w:rsid w:val="077305E3"/>
    <w:rsid w:val="0C3E42BE"/>
    <w:rsid w:val="0D4806BF"/>
    <w:rsid w:val="0D79273A"/>
    <w:rsid w:val="0DF35375"/>
    <w:rsid w:val="0E024D74"/>
    <w:rsid w:val="101360D3"/>
    <w:rsid w:val="102B5AE8"/>
    <w:rsid w:val="103F3D25"/>
    <w:rsid w:val="10611A0A"/>
    <w:rsid w:val="118D0978"/>
    <w:rsid w:val="11E459FE"/>
    <w:rsid w:val="127D1147"/>
    <w:rsid w:val="12B4053A"/>
    <w:rsid w:val="152F2422"/>
    <w:rsid w:val="158E5336"/>
    <w:rsid w:val="16276641"/>
    <w:rsid w:val="177873F4"/>
    <w:rsid w:val="191C073A"/>
    <w:rsid w:val="19752B94"/>
    <w:rsid w:val="1AE45D0E"/>
    <w:rsid w:val="1B14663F"/>
    <w:rsid w:val="1DD063A3"/>
    <w:rsid w:val="1F125176"/>
    <w:rsid w:val="1F91077F"/>
    <w:rsid w:val="209854B7"/>
    <w:rsid w:val="22314154"/>
    <w:rsid w:val="250F1D01"/>
    <w:rsid w:val="25DE6BC9"/>
    <w:rsid w:val="25F25669"/>
    <w:rsid w:val="267A1220"/>
    <w:rsid w:val="271F7DFA"/>
    <w:rsid w:val="2805374C"/>
    <w:rsid w:val="28054429"/>
    <w:rsid w:val="28B40BDF"/>
    <w:rsid w:val="291D7223"/>
    <w:rsid w:val="29890AAD"/>
    <w:rsid w:val="2BD902EC"/>
    <w:rsid w:val="2DBA5E00"/>
    <w:rsid w:val="2EBB165A"/>
    <w:rsid w:val="2F5C624A"/>
    <w:rsid w:val="2F791E11"/>
    <w:rsid w:val="30B1408E"/>
    <w:rsid w:val="31F4722E"/>
    <w:rsid w:val="326B02E2"/>
    <w:rsid w:val="32BA571C"/>
    <w:rsid w:val="33E52B60"/>
    <w:rsid w:val="35884039"/>
    <w:rsid w:val="35DB1C68"/>
    <w:rsid w:val="36826596"/>
    <w:rsid w:val="36B8239B"/>
    <w:rsid w:val="36F4767F"/>
    <w:rsid w:val="378418A7"/>
    <w:rsid w:val="38053A29"/>
    <w:rsid w:val="383C102E"/>
    <w:rsid w:val="391807F3"/>
    <w:rsid w:val="3A310809"/>
    <w:rsid w:val="3AC705C2"/>
    <w:rsid w:val="3B3339E2"/>
    <w:rsid w:val="3CD53485"/>
    <w:rsid w:val="3D382963"/>
    <w:rsid w:val="3D9011BD"/>
    <w:rsid w:val="3DD551FD"/>
    <w:rsid w:val="3E3B5AD0"/>
    <w:rsid w:val="3E895FE7"/>
    <w:rsid w:val="3ED95EA9"/>
    <w:rsid w:val="3F0D2FD5"/>
    <w:rsid w:val="3F7B7AD9"/>
    <w:rsid w:val="3FE2521F"/>
    <w:rsid w:val="40071972"/>
    <w:rsid w:val="404557F9"/>
    <w:rsid w:val="40A362BD"/>
    <w:rsid w:val="40D309FB"/>
    <w:rsid w:val="418D198F"/>
    <w:rsid w:val="41D71CA1"/>
    <w:rsid w:val="4233454F"/>
    <w:rsid w:val="42A77BCB"/>
    <w:rsid w:val="43527DA5"/>
    <w:rsid w:val="43CE2BC0"/>
    <w:rsid w:val="447923B8"/>
    <w:rsid w:val="44C85EC0"/>
    <w:rsid w:val="454649E3"/>
    <w:rsid w:val="45AE2544"/>
    <w:rsid w:val="46753941"/>
    <w:rsid w:val="46DE770A"/>
    <w:rsid w:val="4850472F"/>
    <w:rsid w:val="48826C2D"/>
    <w:rsid w:val="4918484C"/>
    <w:rsid w:val="491F3754"/>
    <w:rsid w:val="4AF83480"/>
    <w:rsid w:val="4B85051F"/>
    <w:rsid w:val="4B945182"/>
    <w:rsid w:val="4C806421"/>
    <w:rsid w:val="4CA0475B"/>
    <w:rsid w:val="4CEB6502"/>
    <w:rsid w:val="4E774DAA"/>
    <w:rsid w:val="4FB76013"/>
    <w:rsid w:val="508F7864"/>
    <w:rsid w:val="50EB36A6"/>
    <w:rsid w:val="51EE1C8D"/>
    <w:rsid w:val="520E35E5"/>
    <w:rsid w:val="521576BE"/>
    <w:rsid w:val="531A57AD"/>
    <w:rsid w:val="54511B46"/>
    <w:rsid w:val="546B6E19"/>
    <w:rsid w:val="5485514F"/>
    <w:rsid w:val="548D558B"/>
    <w:rsid w:val="549A6C2B"/>
    <w:rsid w:val="556C1722"/>
    <w:rsid w:val="55C53EA6"/>
    <w:rsid w:val="56E635BA"/>
    <w:rsid w:val="579767FF"/>
    <w:rsid w:val="57F37D6B"/>
    <w:rsid w:val="590C29FE"/>
    <w:rsid w:val="5938490E"/>
    <w:rsid w:val="59A537CB"/>
    <w:rsid w:val="59F26FCA"/>
    <w:rsid w:val="5AB01767"/>
    <w:rsid w:val="5AB348BC"/>
    <w:rsid w:val="5B650D9F"/>
    <w:rsid w:val="5D4D387D"/>
    <w:rsid w:val="5DE3706A"/>
    <w:rsid w:val="5DE578AE"/>
    <w:rsid w:val="5E5A0DB4"/>
    <w:rsid w:val="5E9B0631"/>
    <w:rsid w:val="5EF228AF"/>
    <w:rsid w:val="5F144DEA"/>
    <w:rsid w:val="60895B17"/>
    <w:rsid w:val="6098075B"/>
    <w:rsid w:val="609A35C1"/>
    <w:rsid w:val="609B2DB3"/>
    <w:rsid w:val="60F715A3"/>
    <w:rsid w:val="610A2AA1"/>
    <w:rsid w:val="611B6FEF"/>
    <w:rsid w:val="619A4235"/>
    <w:rsid w:val="61A77079"/>
    <w:rsid w:val="636D523E"/>
    <w:rsid w:val="640D6C70"/>
    <w:rsid w:val="65454382"/>
    <w:rsid w:val="655D7FBE"/>
    <w:rsid w:val="65FF1E91"/>
    <w:rsid w:val="661E3BA4"/>
    <w:rsid w:val="67BC14B8"/>
    <w:rsid w:val="67FE0FB2"/>
    <w:rsid w:val="680B61C2"/>
    <w:rsid w:val="68A1181E"/>
    <w:rsid w:val="68BB4E93"/>
    <w:rsid w:val="69166546"/>
    <w:rsid w:val="69DE154E"/>
    <w:rsid w:val="6B0A29F3"/>
    <w:rsid w:val="6B57195A"/>
    <w:rsid w:val="6B8320C0"/>
    <w:rsid w:val="6CC92D08"/>
    <w:rsid w:val="6E071562"/>
    <w:rsid w:val="6E1D1C47"/>
    <w:rsid w:val="6E2C5B53"/>
    <w:rsid w:val="6E6E5684"/>
    <w:rsid w:val="6F083740"/>
    <w:rsid w:val="70497201"/>
    <w:rsid w:val="70571C32"/>
    <w:rsid w:val="707A2960"/>
    <w:rsid w:val="70C31D6B"/>
    <w:rsid w:val="710C5E92"/>
    <w:rsid w:val="71904B0C"/>
    <w:rsid w:val="739C2A85"/>
    <w:rsid w:val="73C34407"/>
    <w:rsid w:val="74533F62"/>
    <w:rsid w:val="74891E24"/>
    <w:rsid w:val="76235240"/>
    <w:rsid w:val="763A1F57"/>
    <w:rsid w:val="776F0CF3"/>
    <w:rsid w:val="77E265AA"/>
    <w:rsid w:val="78892436"/>
    <w:rsid w:val="78A23C0D"/>
    <w:rsid w:val="78DB67FF"/>
    <w:rsid w:val="7A735C17"/>
    <w:rsid w:val="7CF312BE"/>
    <w:rsid w:val="7CFB23A6"/>
    <w:rsid w:val="7DDA511D"/>
    <w:rsid w:val="7E8D091D"/>
    <w:rsid w:val="7F227C10"/>
    <w:rsid w:val="7FBB78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4"/>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194"/>
    <w:autoRedefine/>
    <w:qFormat/>
    <w:uiPriority w:val="0"/>
    <w:pPr>
      <w:keepNext/>
      <w:keepLines/>
      <w:spacing w:before="260" w:beforeLines="0" w:after="260" w:afterLines="0" w:line="416" w:lineRule="auto"/>
      <w:outlineLvl w:val="1"/>
    </w:pPr>
    <w:rPr>
      <w:rFonts w:ascii="Cambria" w:hAnsi="Cambria"/>
      <w:b/>
      <w:bCs/>
      <w:sz w:val="32"/>
      <w:szCs w:val="32"/>
    </w:rPr>
  </w:style>
  <w:style w:type="paragraph" w:styleId="5">
    <w:name w:val="heading 3"/>
    <w:basedOn w:val="1"/>
    <w:next w:val="1"/>
    <w:link w:val="193"/>
    <w:autoRedefine/>
    <w:qFormat/>
    <w:uiPriority w:val="0"/>
    <w:pPr>
      <w:keepNext/>
      <w:keepLines/>
      <w:spacing w:before="260" w:beforeLines="0" w:after="260" w:afterLines="0" w:line="416" w:lineRule="auto"/>
      <w:outlineLvl w:val="2"/>
    </w:pPr>
    <w:rPr>
      <w:b/>
      <w:bCs/>
      <w:sz w:val="32"/>
      <w:szCs w:val="32"/>
    </w:rPr>
  </w:style>
  <w:style w:type="paragraph" w:styleId="6">
    <w:name w:val="heading 4"/>
    <w:basedOn w:val="1"/>
    <w:next w:val="1"/>
    <w:link w:val="179"/>
    <w:autoRedefine/>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next w:val="1"/>
    <w:link w:val="292"/>
    <w:autoRedefine/>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6"/>
    <w:basedOn w:val="9"/>
    <w:next w:val="1"/>
    <w:link w:val="195"/>
    <w:autoRedefine/>
    <w:qFormat/>
    <w:uiPriority w:val="0"/>
    <w:pPr>
      <w:keepNext/>
      <w:keepLines/>
      <w:ind w:firstLine="200" w:firstLineChars="200"/>
      <w:outlineLvl w:val="5"/>
    </w:pPr>
    <w:rPr>
      <w:rFonts w:hAnsi="Arial"/>
    </w:rPr>
  </w:style>
  <w:style w:type="paragraph" w:styleId="10">
    <w:name w:val="heading 7"/>
    <w:basedOn w:val="1"/>
    <w:next w:val="1"/>
    <w:link w:val="272"/>
    <w:autoRedefine/>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67"/>
    <w:autoRedefine/>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198"/>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autoRedefine/>
    <w:semiHidden/>
    <w:qFormat/>
    <w:uiPriority w:val="0"/>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4"/>
    <w:autoRedefine/>
    <w:qFormat/>
    <w:uiPriority w:val="0"/>
    <w:pPr>
      <w:spacing w:after="120" w:afterLines="0"/>
    </w:pPr>
  </w:style>
  <w:style w:type="paragraph" w:styleId="9">
    <w:name w:val="Normal Indent"/>
    <w:basedOn w:val="1"/>
    <w:autoRedefine/>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autoRedefine/>
    <w:qFormat/>
    <w:uiPriority w:val="39"/>
    <w:pPr>
      <w:ind w:left="1260"/>
      <w:jc w:val="left"/>
    </w:pPr>
    <w:rPr>
      <w:sz w:val="18"/>
      <w:szCs w:val="18"/>
    </w:rPr>
  </w:style>
  <w:style w:type="paragraph" w:styleId="14">
    <w:name w:val="caption"/>
    <w:basedOn w:val="1"/>
    <w:next w:val="1"/>
    <w:autoRedefine/>
    <w:qFormat/>
    <w:uiPriority w:val="0"/>
    <w:rPr>
      <w:rFonts w:ascii="Cambria" w:hAnsi="Cambria" w:eastAsia="黑体"/>
      <w:sz w:val="20"/>
      <w:szCs w:val="20"/>
    </w:rPr>
  </w:style>
  <w:style w:type="paragraph" w:styleId="15">
    <w:name w:val="Document Map"/>
    <w:basedOn w:val="1"/>
    <w:link w:val="204"/>
    <w:autoRedefine/>
    <w:qFormat/>
    <w:uiPriority w:val="0"/>
    <w:pPr>
      <w:shd w:val="clear" w:color="auto" w:fill="000080"/>
    </w:pPr>
  </w:style>
  <w:style w:type="paragraph" w:styleId="16">
    <w:name w:val="annotation text"/>
    <w:basedOn w:val="1"/>
    <w:link w:val="289"/>
    <w:autoRedefine/>
    <w:qFormat/>
    <w:uiPriority w:val="99"/>
    <w:pPr>
      <w:jc w:val="left"/>
    </w:pPr>
  </w:style>
  <w:style w:type="paragraph" w:styleId="17">
    <w:name w:val="Body Text 3"/>
    <w:basedOn w:val="1"/>
    <w:link w:val="308"/>
    <w:autoRedefine/>
    <w:qFormat/>
    <w:uiPriority w:val="0"/>
    <w:pPr>
      <w:spacing w:after="120" w:afterLines="0"/>
    </w:pPr>
    <w:rPr>
      <w:sz w:val="16"/>
      <w:szCs w:val="16"/>
    </w:rPr>
  </w:style>
  <w:style w:type="paragraph" w:styleId="18">
    <w:name w:val="Body Text Indent"/>
    <w:basedOn w:val="1"/>
    <w:link w:val="269"/>
    <w:autoRedefine/>
    <w:qFormat/>
    <w:uiPriority w:val="0"/>
    <w:pPr>
      <w:ind w:firstLine="407" w:firstLineChars="200"/>
    </w:pPr>
  </w:style>
  <w:style w:type="paragraph" w:styleId="19">
    <w:name w:val="Block Text"/>
    <w:basedOn w:val="1"/>
    <w:autoRedefine/>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autoRedefine/>
    <w:qFormat/>
    <w:uiPriority w:val="0"/>
    <w:pPr>
      <w:ind w:left="600" w:leftChars="600"/>
    </w:pPr>
  </w:style>
  <w:style w:type="paragraph" w:styleId="21">
    <w:name w:val="toc 5"/>
    <w:basedOn w:val="1"/>
    <w:next w:val="1"/>
    <w:autoRedefine/>
    <w:qFormat/>
    <w:uiPriority w:val="39"/>
    <w:pPr>
      <w:ind w:left="840"/>
      <w:jc w:val="left"/>
    </w:pPr>
    <w:rPr>
      <w:sz w:val="18"/>
      <w:szCs w:val="18"/>
    </w:rPr>
  </w:style>
  <w:style w:type="paragraph" w:styleId="22">
    <w:name w:val="toc 3"/>
    <w:basedOn w:val="5"/>
    <w:next w:val="1"/>
    <w:autoRedefine/>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304"/>
    <w:autoRedefine/>
    <w:qFormat/>
    <w:uiPriority w:val="0"/>
    <w:rPr>
      <w:rFonts w:ascii="宋体" w:hAnsi="Courier New" w:cs="Courier New"/>
      <w:szCs w:val="21"/>
    </w:rPr>
  </w:style>
  <w:style w:type="paragraph" w:styleId="24">
    <w:name w:val="toc 8"/>
    <w:basedOn w:val="1"/>
    <w:next w:val="1"/>
    <w:autoRedefine/>
    <w:qFormat/>
    <w:uiPriority w:val="39"/>
    <w:pPr>
      <w:ind w:left="1470"/>
      <w:jc w:val="left"/>
    </w:pPr>
    <w:rPr>
      <w:sz w:val="18"/>
      <w:szCs w:val="18"/>
    </w:rPr>
  </w:style>
  <w:style w:type="paragraph" w:styleId="25">
    <w:name w:val="Date"/>
    <w:basedOn w:val="1"/>
    <w:next w:val="1"/>
    <w:link w:val="157"/>
    <w:autoRedefine/>
    <w:qFormat/>
    <w:uiPriority w:val="0"/>
    <w:pPr>
      <w:ind w:left="100" w:leftChars="2500"/>
    </w:pPr>
  </w:style>
  <w:style w:type="paragraph" w:styleId="26">
    <w:name w:val="Body Text Indent 2"/>
    <w:basedOn w:val="1"/>
    <w:link w:val="271"/>
    <w:autoRedefine/>
    <w:qFormat/>
    <w:uiPriority w:val="0"/>
    <w:pPr>
      <w:widowControl/>
      <w:spacing w:line="480" w:lineRule="auto"/>
      <w:ind w:firstLine="560"/>
      <w:jc w:val="left"/>
    </w:pPr>
    <w:rPr>
      <w:kern w:val="0"/>
      <w:sz w:val="28"/>
    </w:rPr>
  </w:style>
  <w:style w:type="paragraph" w:styleId="27">
    <w:name w:val="endnote text"/>
    <w:basedOn w:val="1"/>
    <w:link w:val="181"/>
    <w:autoRedefine/>
    <w:qFormat/>
    <w:uiPriority w:val="0"/>
    <w:pPr>
      <w:widowControl/>
      <w:snapToGrid w:val="0"/>
      <w:jc w:val="left"/>
    </w:pPr>
    <w:rPr>
      <w:rFonts w:ascii="Arial" w:hAnsi="Arial" w:cs="Arial"/>
      <w:kern w:val="0"/>
      <w:sz w:val="20"/>
      <w:lang w:eastAsia="en-US"/>
    </w:rPr>
  </w:style>
  <w:style w:type="paragraph" w:styleId="28">
    <w:name w:val="Balloon Text"/>
    <w:basedOn w:val="1"/>
    <w:link w:val="208"/>
    <w:autoRedefine/>
    <w:qFormat/>
    <w:uiPriority w:val="0"/>
    <w:rPr>
      <w:sz w:val="18"/>
      <w:szCs w:val="18"/>
    </w:rPr>
  </w:style>
  <w:style w:type="paragraph" w:styleId="29">
    <w:name w:val="footer"/>
    <w:basedOn w:val="1"/>
    <w:link w:val="196"/>
    <w:autoRedefine/>
    <w:qFormat/>
    <w:uiPriority w:val="0"/>
    <w:pPr>
      <w:tabs>
        <w:tab w:val="center" w:pos="4153"/>
        <w:tab w:val="right" w:pos="8306"/>
      </w:tabs>
      <w:snapToGrid w:val="0"/>
      <w:jc w:val="left"/>
    </w:pPr>
    <w:rPr>
      <w:sz w:val="18"/>
      <w:szCs w:val="18"/>
    </w:rPr>
  </w:style>
  <w:style w:type="paragraph" w:styleId="30">
    <w:name w:val="header"/>
    <w:basedOn w:val="1"/>
    <w:link w:val="236"/>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autoRedefine/>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autoRedefine/>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1"/>
    <w:autoRedefine/>
    <w:qFormat/>
    <w:uiPriority w:val="0"/>
    <w:pPr>
      <w:widowControl/>
      <w:jc w:val="center"/>
    </w:pPr>
    <w:rPr>
      <w:kern w:val="0"/>
      <w:sz w:val="20"/>
      <w:u w:val="single"/>
      <w:lang w:eastAsia="en-US"/>
    </w:rPr>
  </w:style>
  <w:style w:type="paragraph" w:styleId="34">
    <w:name w:val="footnote text"/>
    <w:basedOn w:val="1"/>
    <w:link w:val="216"/>
    <w:autoRedefine/>
    <w:qFormat/>
    <w:uiPriority w:val="0"/>
    <w:pPr>
      <w:widowControl/>
      <w:snapToGrid w:val="0"/>
      <w:jc w:val="left"/>
    </w:pPr>
    <w:rPr>
      <w:rFonts w:ascii="Arial" w:hAnsi="Arial" w:cs="Arial"/>
      <w:kern w:val="0"/>
      <w:sz w:val="18"/>
      <w:szCs w:val="18"/>
      <w:lang w:eastAsia="en-US"/>
    </w:rPr>
  </w:style>
  <w:style w:type="paragraph" w:styleId="35">
    <w:name w:val="toc 6"/>
    <w:basedOn w:val="1"/>
    <w:next w:val="1"/>
    <w:autoRedefine/>
    <w:qFormat/>
    <w:uiPriority w:val="39"/>
    <w:pPr>
      <w:ind w:left="1050"/>
      <w:jc w:val="left"/>
    </w:pPr>
    <w:rPr>
      <w:sz w:val="18"/>
      <w:szCs w:val="18"/>
    </w:rPr>
  </w:style>
  <w:style w:type="paragraph" w:styleId="36">
    <w:name w:val="Body Text Indent 3"/>
    <w:basedOn w:val="1"/>
    <w:link w:val="268"/>
    <w:autoRedefine/>
    <w:qFormat/>
    <w:uiPriority w:val="0"/>
    <w:pPr>
      <w:spacing w:line="360" w:lineRule="auto"/>
      <w:ind w:firstLine="280" w:firstLineChars="100"/>
    </w:pPr>
    <w:rPr>
      <w:rFonts w:ascii="宋体" w:hAnsi="宋体"/>
      <w:sz w:val="28"/>
      <w:szCs w:val="28"/>
    </w:rPr>
  </w:style>
  <w:style w:type="paragraph" w:styleId="37">
    <w:name w:val="toc 2"/>
    <w:basedOn w:val="4"/>
    <w:next w:val="1"/>
    <w:autoRedefine/>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autoRedefine/>
    <w:qFormat/>
    <w:uiPriority w:val="39"/>
    <w:pPr>
      <w:ind w:left="1680"/>
      <w:jc w:val="left"/>
    </w:pPr>
    <w:rPr>
      <w:sz w:val="18"/>
      <w:szCs w:val="18"/>
    </w:rPr>
  </w:style>
  <w:style w:type="paragraph" w:styleId="39">
    <w:name w:val="Body Text 2"/>
    <w:basedOn w:val="1"/>
    <w:link w:val="264"/>
    <w:autoRedefine/>
    <w:qFormat/>
    <w:uiPriority w:val="0"/>
    <w:rPr>
      <w:i/>
      <w:iCs/>
      <w:sz w:val="26"/>
    </w:rPr>
  </w:style>
  <w:style w:type="paragraph" w:styleId="40">
    <w:name w:val="HTML Preformatted"/>
    <w:basedOn w:val="1"/>
    <w:link w:val="169"/>
    <w:autoRedefine/>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autoRedefine/>
    <w:unhideWhenUsed/>
    <w:qFormat/>
    <w:uiPriority w:val="0"/>
    <w:pPr>
      <w:widowControl/>
      <w:spacing w:before="100" w:beforeLines="0" w:beforeAutospacing="1" w:after="100" w:afterLines="0" w:afterAutospacing="1"/>
      <w:jc w:val="left"/>
    </w:pPr>
    <w:rPr>
      <w:rFonts w:ascii="宋体" w:hAnsi="宋体" w:cs="宋体"/>
      <w:kern w:val="0"/>
      <w:sz w:val="24"/>
    </w:rPr>
  </w:style>
  <w:style w:type="paragraph" w:styleId="42">
    <w:name w:val="index 1"/>
    <w:basedOn w:val="1"/>
    <w:next w:val="1"/>
    <w:autoRedefine/>
    <w:qFormat/>
    <w:uiPriority w:val="0"/>
    <w:pPr>
      <w:spacing w:line="220" w:lineRule="exact"/>
      <w:jc w:val="center"/>
    </w:pPr>
    <w:rPr>
      <w:rFonts w:ascii="仿宋_GB2312" w:eastAsia="仿宋_GB2312"/>
      <w:szCs w:val="21"/>
    </w:rPr>
  </w:style>
  <w:style w:type="paragraph" w:styleId="43">
    <w:name w:val="Title"/>
    <w:basedOn w:val="1"/>
    <w:link w:val="211"/>
    <w:autoRedefine/>
    <w:qFormat/>
    <w:uiPriority w:val="0"/>
    <w:pPr>
      <w:widowControl/>
      <w:jc w:val="center"/>
    </w:pPr>
    <w:rPr>
      <w:kern w:val="0"/>
      <w:sz w:val="20"/>
      <w:u w:val="single"/>
      <w:lang w:eastAsia="en-US"/>
    </w:rPr>
  </w:style>
  <w:style w:type="paragraph" w:styleId="44">
    <w:name w:val="annotation subject"/>
    <w:basedOn w:val="16"/>
    <w:next w:val="16"/>
    <w:link w:val="263"/>
    <w:autoRedefine/>
    <w:qFormat/>
    <w:uiPriority w:val="0"/>
    <w:rPr>
      <w:b/>
      <w:bCs/>
    </w:rPr>
  </w:style>
  <w:style w:type="table" w:styleId="46">
    <w:name w:val="Table Grid"/>
    <w:basedOn w:val="45"/>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autoRedefine/>
    <w:qFormat/>
    <w:uiPriority w:val="0"/>
    <w:rPr>
      <w:b/>
      <w:bCs/>
    </w:rPr>
  </w:style>
  <w:style w:type="character" w:styleId="49">
    <w:name w:val="endnote reference"/>
    <w:autoRedefine/>
    <w:qFormat/>
    <w:uiPriority w:val="0"/>
    <w:rPr>
      <w:vertAlign w:val="superscript"/>
    </w:rPr>
  </w:style>
  <w:style w:type="character" w:styleId="50">
    <w:name w:val="page number"/>
    <w:basedOn w:val="47"/>
    <w:autoRedefine/>
    <w:qFormat/>
    <w:uiPriority w:val="0"/>
  </w:style>
  <w:style w:type="character" w:styleId="51">
    <w:name w:val="FollowedHyperlink"/>
    <w:autoRedefine/>
    <w:qFormat/>
    <w:uiPriority w:val="0"/>
    <w:rPr>
      <w:color w:val="800080"/>
      <w:u w:val="single"/>
    </w:rPr>
  </w:style>
  <w:style w:type="character" w:styleId="52">
    <w:name w:val="Emphasis"/>
    <w:autoRedefine/>
    <w:qFormat/>
    <w:uiPriority w:val="0"/>
    <w:rPr>
      <w:i/>
      <w:iCs/>
    </w:rPr>
  </w:style>
  <w:style w:type="character" w:styleId="53">
    <w:name w:val="Hyperlink"/>
    <w:autoRedefine/>
    <w:qFormat/>
    <w:uiPriority w:val="99"/>
    <w:rPr>
      <w:color w:val="0000FF"/>
      <w:u w:val="single"/>
    </w:rPr>
  </w:style>
  <w:style w:type="character" w:styleId="54">
    <w:name w:val="annotation reference"/>
    <w:autoRedefine/>
    <w:qFormat/>
    <w:uiPriority w:val="0"/>
    <w:rPr>
      <w:sz w:val="21"/>
      <w:szCs w:val="21"/>
    </w:rPr>
  </w:style>
  <w:style w:type="character" w:styleId="55">
    <w:name w:val="footnote reference"/>
    <w:autoRedefine/>
    <w:qFormat/>
    <w:uiPriority w:val="0"/>
    <w:rPr>
      <w:vertAlign w:val="superscript"/>
    </w:rPr>
  </w:style>
  <w:style w:type="paragraph" w:customStyle="1" w:styleId="56">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customStyle="1" w:styleId="57">
    <w:name w:val="rr"/>
    <w:basedOn w:val="1"/>
    <w:autoRedefine/>
    <w:qFormat/>
    <w:uiPriority w:val="0"/>
    <w:pPr>
      <w:widowControl/>
      <w:spacing w:before="100" w:beforeLines="0" w:beforeAutospacing="1" w:after="100" w:afterLines="0" w:afterAutospacing="1"/>
      <w:jc w:val="left"/>
    </w:pPr>
    <w:rPr>
      <w:rFonts w:hint="eastAsia" w:ascii="宋体" w:hAnsi="宋体"/>
      <w:kern w:val="0"/>
      <w:szCs w:val="21"/>
    </w:rPr>
  </w:style>
  <w:style w:type="paragraph" w:customStyle="1" w:styleId="58">
    <w:name w:val="_Style 101"/>
    <w:basedOn w:val="1"/>
    <w:autoRedefine/>
    <w:qFormat/>
    <w:uiPriority w:val="99"/>
    <w:pPr>
      <w:ind w:firstLine="420" w:firstLineChars="200"/>
    </w:pPr>
    <w:rPr>
      <w:sz w:val="28"/>
      <w:szCs w:val="28"/>
    </w:rPr>
  </w:style>
  <w:style w:type="paragraph" w:customStyle="1" w:styleId="59">
    <w:name w:val="表格标题"/>
    <w:basedOn w:val="60"/>
    <w:autoRedefine/>
    <w:qFormat/>
    <w:uiPriority w:val="0"/>
  </w:style>
  <w:style w:type="paragraph" w:customStyle="1" w:styleId="60">
    <w:name w:val="表格内容"/>
    <w:basedOn w:val="1"/>
    <w:autoRedefine/>
    <w:qFormat/>
    <w:uiPriority w:val="0"/>
    <w:pPr>
      <w:suppressLineNumbers/>
      <w:suppressAutoHyphens/>
    </w:pPr>
  </w:style>
  <w:style w:type="paragraph" w:customStyle="1" w:styleId="61">
    <w:name w:val="l-2"/>
    <w:basedOn w:val="1"/>
    <w:autoRedefine/>
    <w:qFormat/>
    <w:uiPriority w:val="0"/>
    <w:pPr>
      <w:widowControl/>
      <w:spacing w:before="100" w:beforeLines="0" w:beforeAutospacing="1" w:after="100" w:afterLines="0" w:afterAutospacing="1"/>
      <w:jc w:val="left"/>
    </w:pPr>
    <w:rPr>
      <w:rFonts w:ascii="宋体" w:hAnsi="宋体" w:cs="宋体"/>
      <w:b/>
      <w:bCs/>
      <w:color w:val="000000"/>
      <w:kern w:val="0"/>
      <w:sz w:val="13"/>
      <w:szCs w:val="13"/>
    </w:rPr>
  </w:style>
  <w:style w:type="paragraph" w:customStyle="1" w:styleId="62">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63">
    <w:name w:val="1"/>
    <w:basedOn w:val="1"/>
    <w:autoRedefine/>
    <w:qFormat/>
    <w:uiPriority w:val="0"/>
    <w:pPr>
      <w:widowControl/>
      <w:spacing w:before="100" w:beforeLines="0" w:beforeAutospacing="1" w:after="100" w:afterLines="0" w:afterAutospacing="1"/>
      <w:jc w:val="left"/>
    </w:pPr>
    <w:rPr>
      <w:rFonts w:ascii="ˎ̥" w:hAnsi="ˎ̥" w:cs="宋体"/>
      <w:kern w:val="0"/>
      <w:sz w:val="24"/>
    </w:rPr>
  </w:style>
  <w:style w:type="paragraph" w:customStyle="1" w:styleId="64">
    <w:name w:val="标准样式1"/>
    <w:basedOn w:val="1"/>
    <w:autoRedefine/>
    <w:qFormat/>
    <w:uiPriority w:val="0"/>
    <w:pPr>
      <w:spacing w:line="600" w:lineRule="exact"/>
      <w:ind w:firstLine="567"/>
    </w:pPr>
    <w:rPr>
      <w:rFonts w:ascii="Calibri" w:hAnsi="Calibri"/>
      <w:sz w:val="28"/>
    </w:rPr>
  </w:style>
  <w:style w:type="paragraph" w:customStyle="1" w:styleId="65">
    <w:name w:val="列出段落11"/>
    <w:basedOn w:val="1"/>
    <w:autoRedefine/>
    <w:qFormat/>
    <w:uiPriority w:val="0"/>
    <w:pPr>
      <w:ind w:firstLine="420" w:firstLineChars="200"/>
    </w:pPr>
    <w:rPr>
      <w:sz w:val="28"/>
      <w:szCs w:val="28"/>
    </w:rPr>
  </w:style>
  <w:style w:type="paragraph" w:customStyle="1" w:styleId="66">
    <w:name w:val="p17"/>
    <w:basedOn w:val="1"/>
    <w:autoRedefine/>
    <w:qFormat/>
    <w:uiPriority w:val="0"/>
    <w:pPr>
      <w:widowControl/>
      <w:spacing w:before="120" w:after="120"/>
      <w:jc w:val="left"/>
    </w:pPr>
    <w:rPr>
      <w:rFonts w:ascii="Calibri" w:hAnsi="Calibri" w:cs="宋体"/>
      <w:b/>
      <w:bCs/>
      <w:caps/>
      <w:kern w:val="0"/>
      <w:sz w:val="28"/>
      <w:szCs w:val="28"/>
    </w:rPr>
  </w:style>
  <w:style w:type="paragraph" w:customStyle="1" w:styleId="67">
    <w:name w:val="WW-表格标题"/>
    <w:basedOn w:val="68"/>
    <w:autoRedefine/>
    <w:qFormat/>
    <w:uiPriority w:val="0"/>
  </w:style>
  <w:style w:type="paragraph" w:customStyle="1" w:styleId="68">
    <w:name w:val="WW-表格内容"/>
    <w:basedOn w:val="1"/>
    <w:autoRedefine/>
    <w:qFormat/>
    <w:uiPriority w:val="0"/>
    <w:pPr>
      <w:suppressLineNumbers/>
      <w:suppressAutoHyphens/>
    </w:pPr>
  </w:style>
  <w:style w:type="paragraph" w:customStyle="1" w:styleId="69">
    <w:name w:val="引用2"/>
    <w:basedOn w:val="1"/>
    <w:next w:val="1"/>
    <w:link w:val="300"/>
    <w:autoRedefine/>
    <w:qFormat/>
    <w:uiPriority w:val="0"/>
    <w:rPr>
      <w:i/>
      <w:iCs/>
      <w:color w:val="000000"/>
    </w:rPr>
  </w:style>
  <w:style w:type="paragraph" w:customStyle="1" w:styleId="70">
    <w:name w:val="Char Char Char Char Char Char Char Char Char Char"/>
    <w:basedOn w:val="15"/>
    <w:autoRedefine/>
    <w:qFormat/>
    <w:uiPriority w:val="0"/>
    <w:pPr>
      <w:spacing w:line="360" w:lineRule="auto"/>
      <w:ind w:firstLine="200" w:firstLineChars="200"/>
    </w:pPr>
    <w:rPr>
      <w:rFonts w:ascii="Tahoma" w:hAnsi="Tahoma" w:eastAsia="宋体" w:cs="Times New Roman"/>
      <w:sz w:val="24"/>
    </w:rPr>
  </w:style>
  <w:style w:type="paragraph" w:customStyle="1" w:styleId="71">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2">
    <w:name w:val="Char Char Char Char"/>
    <w:basedOn w:val="15"/>
    <w:autoRedefine/>
    <w:qFormat/>
    <w:uiPriority w:val="0"/>
    <w:pPr>
      <w:spacing w:line="360" w:lineRule="auto"/>
      <w:ind w:firstLine="200" w:firstLineChars="200"/>
    </w:pPr>
    <w:rPr>
      <w:rFonts w:ascii="Tahoma" w:hAnsi="Tahoma" w:eastAsia="宋体" w:cs="Times New Roman"/>
      <w:sz w:val="24"/>
    </w:rPr>
  </w:style>
  <w:style w:type="paragraph" w:customStyle="1" w:styleId="73">
    <w:name w:val="style12"/>
    <w:basedOn w:val="1"/>
    <w:autoRedefine/>
    <w:qFormat/>
    <w:uiPriority w:val="0"/>
    <w:pPr>
      <w:widowControl/>
      <w:spacing w:before="100" w:beforeLines="0" w:beforeAutospacing="1" w:after="100" w:afterLines="0" w:afterAutospacing="1"/>
      <w:jc w:val="left"/>
    </w:pPr>
    <w:rPr>
      <w:rFonts w:ascii="宋体" w:hAnsi="宋体" w:cs="宋体"/>
      <w:kern w:val="0"/>
      <w:sz w:val="18"/>
      <w:szCs w:val="18"/>
    </w:rPr>
  </w:style>
  <w:style w:type="paragraph" w:customStyle="1" w:styleId="74">
    <w:name w:val="g2"/>
    <w:basedOn w:val="1"/>
    <w:autoRedefine/>
    <w:qFormat/>
    <w:uiPriority w:val="0"/>
    <w:pPr>
      <w:widowControl/>
      <w:spacing w:before="100" w:beforeLines="0" w:beforeAutospacing="1" w:after="100" w:afterLines="0" w:afterAutospacing="1"/>
      <w:jc w:val="left"/>
    </w:pPr>
    <w:rPr>
      <w:rFonts w:ascii="仿宋_GB2312" w:hAnsi="宋体" w:eastAsia="仿宋_GB2312" w:cs="宋体"/>
      <w:kern w:val="0"/>
      <w:sz w:val="17"/>
      <w:szCs w:val="17"/>
    </w:rPr>
  </w:style>
  <w:style w:type="paragraph" w:customStyle="1" w:styleId="75">
    <w:name w:val="p16"/>
    <w:basedOn w:val="1"/>
    <w:autoRedefine/>
    <w:qFormat/>
    <w:uiPriority w:val="0"/>
    <w:pPr>
      <w:widowControl/>
    </w:pPr>
    <w:rPr>
      <w:rFonts w:ascii="Calibri" w:hAnsi="Calibri" w:cs="宋体"/>
      <w:kern w:val="0"/>
      <w:szCs w:val="21"/>
    </w:rPr>
  </w:style>
  <w:style w:type="paragraph" w:customStyle="1" w:styleId="76">
    <w:name w:val="列出段落1"/>
    <w:basedOn w:val="1"/>
    <w:autoRedefine/>
    <w:qFormat/>
    <w:uiPriority w:val="0"/>
    <w:pPr>
      <w:ind w:firstLine="420" w:firstLineChars="200"/>
    </w:pPr>
    <w:rPr>
      <w:sz w:val="28"/>
      <w:szCs w:val="28"/>
    </w:rPr>
  </w:style>
  <w:style w:type="paragraph" w:customStyle="1" w:styleId="77">
    <w:name w:val="样式1"/>
    <w:basedOn w:val="1"/>
    <w:next w:val="6"/>
    <w:autoRedefine/>
    <w:qFormat/>
    <w:uiPriority w:val="0"/>
    <w:pPr>
      <w:spacing w:line="360" w:lineRule="auto"/>
      <w:ind w:firstLine="420" w:firstLineChars="200"/>
    </w:pPr>
    <w:rPr>
      <w:rFonts w:ascii="宋体" w:hAnsi="宋体"/>
      <w:szCs w:val="21"/>
    </w:rPr>
  </w:style>
  <w:style w:type="paragraph" w:customStyle="1" w:styleId="78">
    <w:name w:val="ly"/>
    <w:basedOn w:val="1"/>
    <w:autoRedefine/>
    <w:qFormat/>
    <w:uiPriority w:val="0"/>
    <w:pPr>
      <w:widowControl/>
      <w:spacing w:before="30" w:beforeLines="0"/>
      <w:jc w:val="right"/>
    </w:pPr>
    <w:rPr>
      <w:rFonts w:ascii="方正书宋简体" w:hAnsi="宋体" w:eastAsia="方正书宋简体"/>
      <w:color w:val="000000"/>
      <w:kern w:val="0"/>
      <w:szCs w:val="21"/>
    </w:rPr>
  </w:style>
  <w:style w:type="paragraph" w:customStyle="1" w:styleId="79">
    <w:name w:val="Char9 Char Char Char Char Char Char"/>
    <w:basedOn w:val="15"/>
    <w:autoRedefine/>
    <w:qFormat/>
    <w:uiPriority w:val="0"/>
    <w:pPr>
      <w:spacing w:line="360" w:lineRule="auto"/>
      <w:ind w:firstLine="200" w:firstLineChars="200"/>
    </w:pPr>
    <w:rPr>
      <w:rFonts w:ascii="Tahoma" w:hAnsi="Tahoma" w:eastAsia="宋体" w:cs="Times New Roman"/>
      <w:sz w:val="24"/>
    </w:rPr>
  </w:style>
  <w:style w:type="paragraph" w:customStyle="1" w:styleId="80">
    <w:name w:val="xl65"/>
    <w:basedOn w:val="1"/>
    <w:autoRedefine/>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81">
    <w:name w:val="引用1"/>
    <w:basedOn w:val="1"/>
    <w:next w:val="1"/>
    <w:link w:val="150"/>
    <w:autoRedefine/>
    <w:qFormat/>
    <w:uiPriority w:val="29"/>
    <w:rPr>
      <w:i/>
      <w:iCs/>
      <w:color w:val="000000"/>
      <w:szCs w:val="20"/>
    </w:rPr>
  </w:style>
  <w:style w:type="paragraph" w:customStyle="1" w:styleId="82">
    <w:name w:val="表格文字"/>
    <w:basedOn w:val="1"/>
    <w:autoRedefine/>
    <w:qFormat/>
    <w:uiPriority w:val="0"/>
    <w:pPr>
      <w:adjustRightInd w:val="0"/>
      <w:spacing w:line="420" w:lineRule="atLeast"/>
      <w:jc w:val="left"/>
      <w:textAlignment w:val="baseline"/>
    </w:pPr>
    <w:rPr>
      <w:kern w:val="0"/>
      <w:szCs w:val="20"/>
    </w:rPr>
  </w:style>
  <w:style w:type="paragraph" w:customStyle="1" w:styleId="83">
    <w:name w:val="_Style 96"/>
    <w:autoRedefine/>
    <w:semiHidden/>
    <w:qFormat/>
    <w:uiPriority w:val="99"/>
    <w:rPr>
      <w:rFonts w:ascii="Calibri" w:hAnsi="Calibri" w:eastAsia="宋体" w:cs="Times New Roman"/>
      <w:kern w:val="2"/>
      <w:sz w:val="21"/>
      <w:szCs w:val="24"/>
      <w:lang w:val="en-US" w:eastAsia="zh-CN" w:bidi="ar-SA"/>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Calibri" w:hAnsi="Calibri" w:eastAsia="宋体" w:cs="Times New Roman"/>
      <w:kern w:val="2"/>
      <w:sz w:val="21"/>
      <w:lang w:val="en-US" w:eastAsia="zh-CN" w:bidi="ar-SA"/>
    </w:rPr>
  </w:style>
  <w:style w:type="paragraph" w:customStyle="1" w:styleId="85">
    <w:name w:val="_Style 105"/>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6">
    <w:name w:val="正  文"/>
    <w:basedOn w:val="1"/>
    <w:autoRedefine/>
    <w:qFormat/>
    <w:uiPriority w:val="0"/>
    <w:pPr>
      <w:spacing w:line="360" w:lineRule="auto"/>
      <w:ind w:firstLine="200" w:firstLineChars="200"/>
    </w:pPr>
    <w:rPr>
      <w:rFonts w:ascii="宋体" w:hAnsi="Calibri"/>
      <w:sz w:val="24"/>
    </w:rPr>
  </w:style>
  <w:style w:type="paragraph" w:customStyle="1" w:styleId="87">
    <w:name w:val="标题4"/>
    <w:basedOn w:val="4"/>
    <w:next w:val="20"/>
    <w:link w:val="243"/>
    <w:autoRedefine/>
    <w:qFormat/>
    <w:uiPriority w:val="0"/>
    <w:pPr>
      <w:spacing w:line="413" w:lineRule="auto"/>
    </w:pPr>
    <w:rPr>
      <w:rFonts w:ascii="Arial" w:hAnsi="Arial"/>
      <w:kern w:val="0"/>
      <w:sz w:val="24"/>
    </w:rPr>
  </w:style>
  <w:style w:type="paragraph" w:customStyle="1" w:styleId="88">
    <w:name w:val="_Style 3"/>
    <w:autoRedefine/>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89">
    <w:name w:val="p0"/>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0">
    <w:name w:val="title"/>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1">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92">
    <w:name w:val="链接"/>
    <w:autoRedefine/>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93">
    <w:name w:val="g3"/>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4">
    <w:name w:val="zz"/>
    <w:basedOn w:val="1"/>
    <w:autoRedefine/>
    <w:qFormat/>
    <w:uiPriority w:val="0"/>
    <w:pPr>
      <w:widowControl/>
      <w:spacing w:before="30" w:beforeLines="0"/>
      <w:jc w:val="right"/>
    </w:pPr>
    <w:rPr>
      <w:rFonts w:ascii="方正书宋简体" w:hAnsi="宋体" w:eastAsia="方正书宋简体"/>
      <w:color w:val="000000"/>
      <w:kern w:val="0"/>
      <w:szCs w:val="21"/>
    </w:rPr>
  </w:style>
  <w:style w:type="paragraph" w:customStyle="1" w:styleId="95">
    <w:name w:val="1 Char"/>
    <w:basedOn w:val="1"/>
    <w:autoRedefine/>
    <w:qFormat/>
    <w:uiPriority w:val="0"/>
    <w:pPr>
      <w:widowControl/>
      <w:spacing w:after="160" w:line="240" w:lineRule="exact"/>
      <w:jc w:val="left"/>
    </w:pPr>
    <w:rPr>
      <w:rFonts w:ascii="Calibri" w:hAnsi="Calibri"/>
      <w:szCs w:val="20"/>
    </w:rPr>
  </w:style>
  <w:style w:type="paragraph" w:customStyle="1" w:styleId="96">
    <w:name w:val="g11"/>
    <w:basedOn w:val="1"/>
    <w:autoRedefine/>
    <w:qFormat/>
    <w:uiPriority w:val="0"/>
    <w:pPr>
      <w:widowControl/>
      <w:spacing w:before="100" w:beforeLines="0" w:beforeAutospacing="1" w:after="100" w:afterLines="0" w:afterAutospacing="1" w:line="465" w:lineRule="atLeast"/>
      <w:jc w:val="left"/>
    </w:pPr>
    <w:rPr>
      <w:rFonts w:ascii="华文中宋" w:hAnsi="华文中宋" w:eastAsia="华文中宋" w:cs="宋体"/>
      <w:b/>
      <w:bCs/>
      <w:color w:val="FF0000"/>
      <w:kern w:val="0"/>
      <w:sz w:val="31"/>
      <w:szCs w:val="31"/>
    </w:rPr>
  </w:style>
  <w:style w:type="paragraph" w:customStyle="1" w:styleId="97">
    <w:name w:val="pa-34"/>
    <w:basedOn w:val="1"/>
    <w:autoRedefine/>
    <w:qFormat/>
    <w:uiPriority w:val="0"/>
    <w:pPr>
      <w:widowControl/>
      <w:spacing w:line="360" w:lineRule="atLeast"/>
      <w:ind w:firstLine="420"/>
      <w:jc w:val="left"/>
    </w:pPr>
    <w:rPr>
      <w:rFonts w:ascii="宋体" w:hAnsi="宋体" w:cs="宋体"/>
      <w:kern w:val="0"/>
      <w:sz w:val="24"/>
    </w:rPr>
  </w:style>
  <w:style w:type="paragraph" w:customStyle="1" w:styleId="98">
    <w:name w:val="TOC 标题1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9">
    <w:name w:val="p15"/>
    <w:basedOn w:val="1"/>
    <w:autoRedefine/>
    <w:qFormat/>
    <w:uiPriority w:val="0"/>
    <w:pPr>
      <w:widowControl/>
      <w:spacing w:after="120" w:afterLines="0"/>
    </w:pPr>
    <w:rPr>
      <w:kern w:val="0"/>
      <w:szCs w:val="21"/>
    </w:rPr>
  </w:style>
  <w:style w:type="paragraph" w:customStyle="1" w:styleId="100">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1">
    <w:name w:val="Char Char Char Char Char Char Char Char Char Char Char Char Char Char Char Char"/>
    <w:basedOn w:val="15"/>
    <w:autoRedefine/>
    <w:qFormat/>
    <w:uiPriority w:val="0"/>
    <w:pPr>
      <w:spacing w:line="360" w:lineRule="auto"/>
      <w:ind w:firstLine="200" w:firstLineChars="200"/>
    </w:pPr>
    <w:rPr>
      <w:rFonts w:ascii="Tahoma" w:hAnsi="Tahoma" w:eastAsia="宋体" w:cs="Times New Roman"/>
      <w:sz w:val="24"/>
    </w:rPr>
  </w:style>
  <w:style w:type="paragraph" w:customStyle="1" w:styleId="102">
    <w:name w:val="_Style 124"/>
    <w:basedOn w:val="1"/>
    <w:next w:val="1"/>
    <w:link w:val="197"/>
    <w:autoRedefine/>
    <w:qFormat/>
    <w:uiPriority w:val="0"/>
    <w:rPr>
      <w:i/>
      <w:iCs/>
      <w:color w:val="000000"/>
      <w:szCs w:val="22"/>
    </w:rPr>
  </w:style>
  <w:style w:type="paragraph" w:customStyle="1" w:styleId="103">
    <w:name w:val="zw"/>
    <w:basedOn w:val="1"/>
    <w:autoRedefine/>
    <w:qFormat/>
    <w:uiPriority w:val="0"/>
    <w:pPr>
      <w:widowControl/>
      <w:spacing w:before="30" w:beforeLines="0"/>
      <w:ind w:left="100" w:right="100"/>
    </w:pPr>
    <w:rPr>
      <w:rFonts w:ascii="方正书宋简体" w:hAnsi="宋体" w:eastAsia="方正书宋简体"/>
      <w:color w:val="000000"/>
      <w:kern w:val="0"/>
      <w:szCs w:val="21"/>
    </w:rPr>
  </w:style>
  <w:style w:type="paragraph" w:customStyle="1" w:styleId="104">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5">
    <w:name w:val="Char Char"/>
    <w:basedOn w:val="1"/>
    <w:autoRedefine/>
    <w:qFormat/>
    <w:uiPriority w:val="0"/>
    <w:pPr>
      <w:widowControl/>
      <w:jc w:val="left"/>
    </w:pPr>
    <w:rPr>
      <w:rFonts w:ascii="Verdana" w:hAnsi="Verdana" w:eastAsia="Times New Roman"/>
      <w:kern w:val="0"/>
      <w:sz w:val="16"/>
      <w:szCs w:val="20"/>
      <w:lang w:eastAsia="en-US"/>
    </w:rPr>
  </w:style>
  <w:style w:type="paragraph" w:customStyle="1" w:styleId="106">
    <w:name w:val="样式 标题 2 + Times New Roman 四号 非加粗 段前: 5 磅 段后: 0 磅 行距: 固定值 20..."/>
    <w:basedOn w:val="4"/>
    <w:autoRedefine/>
    <w:qFormat/>
    <w:uiPriority w:val="0"/>
    <w:pPr>
      <w:spacing w:before="100" w:beforeLines="0" w:after="0" w:afterLines="0" w:line="400" w:lineRule="exact"/>
    </w:pPr>
    <w:rPr>
      <w:rFonts w:ascii="Times New Roman" w:hAnsi="Times New Roman" w:eastAsia="黑体" w:cs="宋体"/>
      <w:b w:val="0"/>
      <w:bCs w:val="0"/>
      <w:sz w:val="28"/>
      <w:szCs w:val="20"/>
    </w:rPr>
  </w:style>
  <w:style w:type="paragraph" w:customStyle="1" w:styleId="107">
    <w:name w:val="pa-27"/>
    <w:basedOn w:val="1"/>
    <w:autoRedefine/>
    <w:qFormat/>
    <w:uiPriority w:val="0"/>
    <w:pPr>
      <w:widowControl/>
      <w:spacing w:line="360" w:lineRule="atLeast"/>
      <w:ind w:firstLine="420"/>
    </w:pPr>
    <w:rPr>
      <w:rFonts w:ascii="宋体" w:hAnsi="宋体" w:cs="宋体"/>
      <w:kern w:val="0"/>
      <w:sz w:val="24"/>
    </w:rPr>
  </w:style>
  <w:style w:type="paragraph" w:customStyle="1" w:styleId="108">
    <w:name w:val="_Style 90"/>
    <w:next w:val="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9">
    <w:name w:val="2"/>
    <w:next w:val="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10">
    <w:name w:val="表格"/>
    <w:basedOn w:val="1"/>
    <w:autoRedefine/>
    <w:qFormat/>
    <w:uiPriority w:val="0"/>
    <w:pPr>
      <w:jc w:val="center"/>
      <w:textAlignment w:val="center"/>
    </w:pPr>
    <w:rPr>
      <w:rFonts w:ascii="华文细黑" w:hAnsi="华文细黑"/>
      <w:kern w:val="0"/>
      <w:szCs w:val="20"/>
    </w:rPr>
  </w:style>
  <w:style w:type="paragraph" w:customStyle="1" w:styleId="111">
    <w:name w:val="明显引用1"/>
    <w:basedOn w:val="1"/>
    <w:next w:val="1"/>
    <w:link w:val="298"/>
    <w:autoRedefine/>
    <w:qFormat/>
    <w:uiPriority w:val="30"/>
    <w:pPr>
      <w:pBdr>
        <w:bottom w:val="single" w:color="4F81BD" w:sz="4" w:space="4"/>
      </w:pBdr>
      <w:spacing w:before="200" w:after="280"/>
      <w:ind w:left="936" w:right="936"/>
    </w:pPr>
    <w:rPr>
      <w:b/>
      <w:bCs/>
      <w:i/>
      <w:iCs/>
      <w:color w:val="4F81BD"/>
      <w:szCs w:val="20"/>
    </w:rPr>
  </w:style>
  <w:style w:type="paragraph" w:customStyle="1" w:styleId="112">
    <w:name w:val="样式15"/>
    <w:basedOn w:val="5"/>
    <w:autoRedefine/>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13">
    <w:name w:val="TOC 标题2"/>
    <w:basedOn w:val="3"/>
    <w:next w:val="1"/>
    <w:autoRedefine/>
    <w:unhideWhenUsed/>
    <w:qFormat/>
    <w:uiPriority w:val="0"/>
    <w:pPr>
      <w:outlineLvl w:val="9"/>
    </w:pPr>
    <w:rPr>
      <w:rFonts w:ascii="Calibri" w:hAnsi="Calibri"/>
    </w:rPr>
  </w:style>
  <w:style w:type="paragraph" w:customStyle="1" w:styleId="114">
    <w:name w:val="样式 标题 1 + 黑体 三号 非加粗 居中 段前: 6 磅 段后: 6 磅 行距: 固定值 20 磅"/>
    <w:basedOn w:val="3"/>
    <w:autoRedefine/>
    <w:qFormat/>
    <w:uiPriority w:val="0"/>
    <w:pPr>
      <w:spacing w:before="120" w:beforeLines="0" w:after="120" w:afterLines="0" w:line="400" w:lineRule="exact"/>
      <w:jc w:val="center"/>
    </w:pPr>
    <w:rPr>
      <w:rFonts w:ascii="黑体" w:hAnsi="黑体" w:eastAsia="黑体" w:cs="宋体"/>
      <w:b w:val="0"/>
      <w:bCs w:val="0"/>
      <w:sz w:val="32"/>
      <w:szCs w:val="20"/>
    </w:rPr>
  </w:style>
  <w:style w:type="paragraph" w:customStyle="1" w:styleId="115">
    <w:name w:val="intel1"/>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16">
    <w:name w:val="标题5"/>
    <w:basedOn w:val="5"/>
    <w:link w:val="165"/>
    <w:autoRedefine/>
    <w:qFormat/>
    <w:uiPriority w:val="0"/>
    <w:pPr>
      <w:spacing w:line="413" w:lineRule="auto"/>
    </w:pPr>
    <w:rPr>
      <w:rFonts w:ascii="Arial" w:hAnsi="Arial"/>
      <w:kern w:val="0"/>
      <w:sz w:val="24"/>
    </w:rPr>
  </w:style>
  <w:style w:type="paragraph" w:customStyle="1" w:styleId="117">
    <w:name w:val="正文 New New New New New New New New New New New New New New New"/>
    <w:autoRedefine/>
    <w:qFormat/>
    <w:uiPriority w:val="0"/>
    <w:pPr>
      <w:widowControl w:val="0"/>
      <w:jc w:val="both"/>
    </w:pPr>
    <w:rPr>
      <w:rFonts w:ascii="Calibri" w:hAnsi="Calibri" w:eastAsia="宋体" w:cs="Times New Roman"/>
      <w:kern w:val="2"/>
      <w:sz w:val="21"/>
      <w:lang w:val="en-US" w:eastAsia="zh-CN" w:bidi="ar-SA"/>
    </w:rPr>
  </w:style>
  <w:style w:type="paragraph" w:customStyle="1" w:styleId="118">
    <w:name w:val="_Style 64"/>
    <w:basedOn w:val="1"/>
    <w:next w:val="1"/>
    <w:link w:val="297"/>
    <w:autoRedefine/>
    <w:qFormat/>
    <w:uiPriority w:val="0"/>
    <w:pPr>
      <w:pBdr>
        <w:bottom w:val="single" w:color="4F81BD" w:sz="4" w:space="4"/>
      </w:pBdr>
      <w:spacing w:before="200" w:beforeLines="0" w:after="280" w:afterLines="0"/>
      <w:ind w:left="936" w:right="936"/>
    </w:pPr>
    <w:rPr>
      <w:b/>
      <w:bCs/>
      <w:i/>
      <w:iCs/>
      <w:color w:val="4F81BD"/>
      <w:szCs w:val="22"/>
    </w:rPr>
  </w:style>
  <w:style w:type="paragraph" w:customStyle="1" w:styleId="119">
    <w:name w:val="_Style 128"/>
    <w:basedOn w:val="3"/>
    <w:next w:val="1"/>
    <w:autoRedefine/>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120">
    <w:name w:val="Char2"/>
    <w:basedOn w:val="1"/>
    <w:autoRedefine/>
    <w:qFormat/>
    <w:uiPriority w:val="0"/>
    <w:rPr>
      <w:rFonts w:ascii="Calibri" w:hAnsi="Calibri"/>
    </w:rPr>
  </w:style>
  <w:style w:type="paragraph" w:customStyle="1" w:styleId="121">
    <w:name w:val="_Style 87"/>
    <w:basedOn w:val="1"/>
    <w:autoRedefine/>
    <w:qFormat/>
    <w:uiPriority w:val="99"/>
    <w:pPr>
      <w:ind w:firstLine="420" w:firstLineChars="200"/>
    </w:pPr>
    <w:rPr>
      <w:rFonts w:ascii="Calibri" w:hAnsi="Calibri"/>
      <w:sz w:val="28"/>
      <w:szCs w:val="28"/>
    </w:rPr>
  </w:style>
  <w:style w:type="paragraph" w:customStyle="1" w:styleId="122">
    <w:name w:val="自定样式1"/>
    <w:basedOn w:val="1"/>
    <w:autoRedefine/>
    <w:qFormat/>
    <w:uiPriority w:val="0"/>
    <w:pPr>
      <w:suppressAutoHyphens/>
      <w:jc w:val="center"/>
    </w:pPr>
    <w:rPr>
      <w:rFonts w:ascii="宋体" w:hAnsi="宋体"/>
      <w:color w:val="000000"/>
      <w:sz w:val="18"/>
    </w:rPr>
  </w:style>
  <w:style w:type="paragraph" w:customStyle="1" w:styleId="123">
    <w:name w:val="_Style 8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Char"/>
    <w:basedOn w:val="1"/>
    <w:autoRedefine/>
    <w:qFormat/>
    <w:uiPriority w:val="0"/>
  </w:style>
  <w:style w:type="paragraph" w:customStyle="1" w:styleId="125">
    <w:name w:val="标题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6">
    <w:name w:val="列表段落1"/>
    <w:basedOn w:val="1"/>
    <w:autoRedefine/>
    <w:qFormat/>
    <w:uiPriority w:val="34"/>
    <w:pPr>
      <w:ind w:firstLine="420" w:firstLineChars="200"/>
    </w:pPr>
    <w:rPr>
      <w:rFonts w:ascii="Calibri" w:hAnsi="Calibri"/>
    </w:rPr>
  </w:style>
  <w:style w:type="paragraph" w:customStyle="1" w:styleId="127">
    <w:name w:val="明显引用11"/>
    <w:basedOn w:val="1"/>
    <w:next w:val="1"/>
    <w:autoRedefine/>
    <w:qFormat/>
    <w:uiPriority w:val="30"/>
    <w:pPr>
      <w:pBdr>
        <w:bottom w:val="single" w:color="4F81BD" w:sz="4" w:space="4"/>
      </w:pBdr>
      <w:spacing w:before="200" w:after="280"/>
      <w:ind w:left="936" w:right="936"/>
    </w:pPr>
    <w:rPr>
      <w:rFonts w:ascii="Calibri" w:hAnsi="Calibri" w:eastAsia="宋体" w:cs="Times New Roman"/>
      <w:b/>
      <w:bCs/>
      <w:i/>
      <w:iCs/>
      <w:color w:val="4F81BD"/>
      <w:szCs w:val="22"/>
    </w:rPr>
  </w:style>
  <w:style w:type="paragraph" w:customStyle="1" w:styleId="128">
    <w:name w:val="表体"/>
    <w:basedOn w:val="1"/>
    <w:next w:val="1"/>
    <w:autoRedefine/>
    <w:qFormat/>
    <w:uiPriority w:val="0"/>
    <w:pPr>
      <w:spacing w:line="0" w:lineRule="atLeast"/>
    </w:pPr>
    <w:rPr>
      <w:rFonts w:ascii="Calibri" w:hAnsi="Calibri"/>
      <w:b/>
      <w:snapToGrid w:val="0"/>
      <w:szCs w:val="20"/>
    </w:rPr>
  </w:style>
  <w:style w:type="paragraph" w:customStyle="1" w:styleId="129">
    <w:name w:val="rw"/>
    <w:basedOn w:val="1"/>
    <w:autoRedefine/>
    <w:qFormat/>
    <w:uiPriority w:val="0"/>
    <w:pPr>
      <w:widowControl/>
      <w:spacing w:before="30" w:beforeLines="0"/>
      <w:ind w:left="100" w:right="100"/>
      <w:jc w:val="right"/>
    </w:pPr>
    <w:rPr>
      <w:rFonts w:ascii="方正仿宋简体" w:hAnsi="宋体" w:eastAsia="方正仿宋简体"/>
      <w:color w:val="000000"/>
      <w:kern w:val="0"/>
      <w:szCs w:val="21"/>
    </w:rPr>
  </w:style>
  <w:style w:type="paragraph" w:customStyle="1" w:styleId="130">
    <w:name w:val="标准样式（文件）"/>
    <w:autoRedefine/>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31">
    <w:name w:val="Char Char1 Char Char"/>
    <w:basedOn w:val="15"/>
    <w:autoRedefine/>
    <w:qFormat/>
    <w:uiPriority w:val="0"/>
    <w:pPr>
      <w:shd w:val="clear" w:color="auto" w:fill="auto"/>
      <w:tabs>
        <w:tab w:val="left" w:pos="630"/>
      </w:tabs>
      <w:adjustRightInd w:val="0"/>
      <w:spacing w:line="436" w:lineRule="exact"/>
      <w:ind w:left="357"/>
      <w:jc w:val="left"/>
      <w:outlineLvl w:val="3"/>
    </w:pPr>
    <w:rPr>
      <w:rFonts w:ascii="Calibri" w:hAnsi="Calibri" w:eastAsia="Times New Roman" w:cs="Times New Roman"/>
      <w:sz w:val="18"/>
      <w:szCs w:val="20"/>
    </w:rPr>
  </w:style>
  <w:style w:type="paragraph" w:customStyle="1" w:styleId="132">
    <w:name w:val=" Char"/>
    <w:basedOn w:val="1"/>
    <w:autoRedefine/>
    <w:qFormat/>
    <w:uiPriority w:val="0"/>
  </w:style>
  <w:style w:type="paragraph" w:customStyle="1" w:styleId="133">
    <w:name w:val="Char Char1 Char Char Char Char Char Char Char Char Char Char"/>
    <w:basedOn w:val="1"/>
    <w:autoRedefine/>
    <w:qFormat/>
    <w:uiPriority w:val="0"/>
    <w:pPr>
      <w:autoSpaceDE w:val="0"/>
      <w:autoSpaceDN w:val="0"/>
      <w:adjustRightInd w:val="0"/>
      <w:ind w:firstLine="482"/>
    </w:pPr>
    <w:rPr>
      <w:rFonts w:ascii="Calibri" w:hAnsi="Calibri"/>
      <w:szCs w:val="20"/>
    </w:rPr>
  </w:style>
  <w:style w:type="paragraph" w:customStyle="1" w:styleId="134">
    <w:name w:val="样式 标题 3 + (中文) 黑体 小四 非加粗 段前: 7.8 磅 段后: 0 磅 行距: 固定值 20 磅"/>
    <w:basedOn w:val="5"/>
    <w:next w:val="1"/>
    <w:autoRedefine/>
    <w:qFormat/>
    <w:uiPriority w:val="0"/>
    <w:pPr>
      <w:spacing w:before="0" w:beforeLines="0" w:after="0" w:afterLines="0" w:line="400" w:lineRule="exact"/>
    </w:pPr>
    <w:rPr>
      <w:rFonts w:eastAsia="黑体" w:cs="宋体"/>
      <w:b w:val="0"/>
      <w:bCs w:val="0"/>
      <w:sz w:val="24"/>
      <w:szCs w:val="20"/>
    </w:rPr>
  </w:style>
  <w:style w:type="paragraph" w:customStyle="1" w:styleId="135">
    <w:name w:val="_Style 86"/>
    <w:autoRedefine/>
    <w:qFormat/>
    <w:uiPriority w:val="0"/>
    <w:rPr>
      <w:rFonts w:ascii="Times New Roman" w:hAnsi="Times New Roman" w:eastAsia="宋体" w:cs="Times New Roman"/>
      <w:kern w:val="2"/>
      <w:sz w:val="21"/>
      <w:szCs w:val="24"/>
      <w:lang w:val="en-US" w:eastAsia="zh-CN" w:bidi="ar-SA"/>
    </w:rPr>
  </w:style>
  <w:style w:type="paragraph" w:customStyle="1" w:styleId="136">
    <w:name w:val="Char1"/>
    <w:basedOn w:val="1"/>
    <w:autoRedefine/>
    <w:qFormat/>
    <w:uiPriority w:val="0"/>
  </w:style>
  <w:style w:type="paragraph" w:customStyle="1" w:styleId="137">
    <w:name w:val="TOC 标题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8">
    <w:name w:val="Default"/>
    <w:autoRedefine/>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9">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0">
    <w:name w:val="mtitle"/>
    <w:basedOn w:val="1"/>
    <w:autoRedefine/>
    <w:qFormat/>
    <w:uiPriority w:val="0"/>
    <w:pPr>
      <w:widowControl/>
      <w:spacing w:before="30" w:beforeLines="0"/>
      <w:jc w:val="center"/>
    </w:pPr>
    <w:rPr>
      <w:rFonts w:ascii="方正小标宋简体" w:hAnsi="宋体" w:eastAsia="方正小标宋简体"/>
      <w:color w:val="000000"/>
      <w:kern w:val="0"/>
      <w:sz w:val="44"/>
      <w:szCs w:val="44"/>
    </w:rPr>
  </w:style>
  <w:style w:type="paragraph" w:customStyle="1" w:styleId="141">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2">
    <w:name w:val="正文文本 Char2"/>
    <w:autoRedefine/>
    <w:qFormat/>
    <w:uiPriority w:val="99"/>
    <w:rPr>
      <w:kern w:val="2"/>
      <w:sz w:val="21"/>
      <w:szCs w:val="24"/>
    </w:rPr>
  </w:style>
  <w:style w:type="character" w:customStyle="1" w:styleId="143">
    <w:name w:val="尾注文本 Char1"/>
    <w:autoRedefine/>
    <w:qFormat/>
    <w:uiPriority w:val="0"/>
    <w:rPr>
      <w:rFonts w:ascii="Arial" w:hAnsi="Arial" w:cs="Arial"/>
      <w:szCs w:val="24"/>
      <w:lang w:eastAsia="en-US"/>
    </w:rPr>
  </w:style>
  <w:style w:type="character" w:customStyle="1" w:styleId="144">
    <w:name w:val="脚注文本 Char"/>
    <w:autoRedefine/>
    <w:qFormat/>
    <w:uiPriority w:val="0"/>
    <w:rPr>
      <w:rFonts w:ascii="Arial" w:hAnsi="Arial" w:eastAsia="宋体" w:cs="Arial"/>
      <w:sz w:val="18"/>
      <w:szCs w:val="18"/>
      <w:lang w:eastAsia="en-US"/>
    </w:rPr>
  </w:style>
  <w:style w:type="character" w:customStyle="1" w:styleId="145">
    <w:name w:val="Char Char17"/>
    <w:autoRedefine/>
    <w:qFormat/>
    <w:uiPriority w:val="0"/>
    <w:rPr>
      <w:kern w:val="2"/>
      <w:sz w:val="26"/>
      <w:szCs w:val="24"/>
    </w:rPr>
  </w:style>
  <w:style w:type="character" w:customStyle="1" w:styleId="146">
    <w:name w:val="副标题 Char1"/>
    <w:autoRedefine/>
    <w:qFormat/>
    <w:uiPriority w:val="0"/>
    <w:rPr>
      <w:szCs w:val="24"/>
      <w:u w:val="single"/>
      <w:lang w:eastAsia="en-US"/>
    </w:rPr>
  </w:style>
  <w:style w:type="character" w:customStyle="1" w:styleId="147">
    <w:name w:val="标题 Char1"/>
    <w:autoRedefine/>
    <w:qFormat/>
    <w:uiPriority w:val="10"/>
    <w:rPr>
      <w:szCs w:val="24"/>
      <w:u w:val="single"/>
      <w:lang w:eastAsia="en-US"/>
    </w:rPr>
  </w:style>
  <w:style w:type="character" w:customStyle="1" w:styleId="148">
    <w:name w:val="Char Char24"/>
    <w:autoRedefine/>
    <w:qFormat/>
    <w:uiPriority w:val="0"/>
    <w:rPr>
      <w:b/>
      <w:bCs/>
      <w:kern w:val="44"/>
      <w:sz w:val="44"/>
      <w:szCs w:val="44"/>
    </w:rPr>
  </w:style>
  <w:style w:type="character" w:customStyle="1" w:styleId="149">
    <w:name w:val="批注主题 Char"/>
    <w:autoRedefine/>
    <w:qFormat/>
    <w:uiPriority w:val="0"/>
    <w:rPr>
      <w:rFonts w:ascii="宋体" w:hAnsi="宋体" w:eastAsia="宋体"/>
      <w:kern w:val="2"/>
      <w:sz w:val="24"/>
      <w:szCs w:val="28"/>
      <w:lang w:val="en-US" w:eastAsia="zh-CN" w:bidi="ar-SA"/>
    </w:rPr>
  </w:style>
  <w:style w:type="character" w:customStyle="1" w:styleId="150">
    <w:name w:val="引用 Char1"/>
    <w:link w:val="81"/>
    <w:autoRedefine/>
    <w:qFormat/>
    <w:uiPriority w:val="29"/>
    <w:rPr>
      <w:i/>
      <w:iCs/>
      <w:color w:val="000000"/>
      <w:kern w:val="2"/>
      <w:sz w:val="21"/>
    </w:rPr>
  </w:style>
  <w:style w:type="character" w:customStyle="1" w:styleId="151">
    <w:name w:val="Char Char23"/>
    <w:autoRedefine/>
    <w:qFormat/>
    <w:uiPriority w:val="0"/>
    <w:rPr>
      <w:rFonts w:ascii="Cambria" w:hAnsi="Cambria" w:eastAsia="宋体" w:cs="Times New Roman"/>
      <w:b/>
      <w:bCs/>
      <w:kern w:val="2"/>
      <w:sz w:val="32"/>
      <w:szCs w:val="32"/>
    </w:rPr>
  </w:style>
  <w:style w:type="character" w:customStyle="1" w:styleId="152">
    <w:name w:val="ITTHEADER2 Char"/>
    <w:autoRedefine/>
    <w:qFormat/>
    <w:uiPriority w:val="0"/>
    <w:rPr>
      <w:rFonts w:ascii="仿宋_GB2312" w:eastAsia="仿宋_GB2312" w:cs="MingLiU"/>
      <w:b/>
      <w:spacing w:val="1"/>
      <w:w w:val="99"/>
      <w:sz w:val="28"/>
      <w:szCs w:val="32"/>
      <w:lang w:val="en-US" w:eastAsia="zh-CN" w:bidi="ar-SA"/>
    </w:rPr>
  </w:style>
  <w:style w:type="character" w:customStyle="1" w:styleId="153">
    <w:name w:val="标题 9 Char1"/>
    <w:autoRedefine/>
    <w:qFormat/>
    <w:uiPriority w:val="0"/>
    <w:rPr>
      <w:rFonts w:ascii="Times New Roman" w:hAnsi="Times New Roman" w:eastAsia="仿宋_GB2312" w:cs="Times New Roman"/>
      <w:sz w:val="30"/>
      <w:szCs w:val="20"/>
    </w:rPr>
  </w:style>
  <w:style w:type="character" w:customStyle="1" w:styleId="154">
    <w:name w:val="正文文本 Char1"/>
    <w:autoRedefine/>
    <w:qFormat/>
    <w:uiPriority w:val="0"/>
    <w:rPr>
      <w:kern w:val="2"/>
      <w:sz w:val="21"/>
      <w:szCs w:val="22"/>
    </w:rPr>
  </w:style>
  <w:style w:type="character" w:customStyle="1" w:styleId="155">
    <w:name w:val="引用 Char2"/>
    <w:autoRedefine/>
    <w:qFormat/>
    <w:uiPriority w:val="99"/>
    <w:rPr>
      <w:i/>
      <w:iCs/>
      <w:color w:val="000000"/>
      <w:kern w:val="2"/>
      <w:sz w:val="21"/>
      <w:szCs w:val="24"/>
    </w:rPr>
  </w:style>
  <w:style w:type="character" w:customStyle="1" w:styleId="156">
    <w:name w:val="正文文本 Char3"/>
    <w:autoRedefine/>
    <w:semiHidden/>
    <w:qFormat/>
    <w:uiPriority w:val="99"/>
    <w:rPr>
      <w:rFonts w:ascii="Calibri" w:hAnsi="Calibri" w:eastAsia="宋体" w:cs="Times New Roman"/>
      <w:szCs w:val="24"/>
    </w:rPr>
  </w:style>
  <w:style w:type="character" w:customStyle="1" w:styleId="157">
    <w:name w:val="日期 Char4"/>
    <w:link w:val="25"/>
    <w:autoRedefine/>
    <w:qFormat/>
    <w:uiPriority w:val="0"/>
    <w:rPr>
      <w:rFonts w:eastAsia="宋体"/>
      <w:kern w:val="2"/>
      <w:sz w:val="21"/>
      <w:szCs w:val="24"/>
      <w:lang w:val="en-US" w:eastAsia="zh-CN" w:bidi="ar-SA"/>
    </w:rPr>
  </w:style>
  <w:style w:type="character" w:customStyle="1" w:styleId="158">
    <w:name w:val="标题 2 Char"/>
    <w:autoRedefine/>
    <w:qFormat/>
    <w:uiPriority w:val="0"/>
    <w:rPr>
      <w:rFonts w:ascii="仿宋_GB2312" w:hAnsi="Calibri" w:eastAsia="仿宋_GB2312" w:cs="Times New Roman"/>
      <w:b/>
      <w:spacing w:val="1"/>
      <w:w w:val="99"/>
      <w:kern w:val="0"/>
      <w:sz w:val="28"/>
      <w:szCs w:val="32"/>
    </w:rPr>
  </w:style>
  <w:style w:type="character" w:customStyle="1" w:styleId="159">
    <w:name w:val="标题 7 Char"/>
    <w:autoRedefine/>
    <w:qFormat/>
    <w:uiPriority w:val="0"/>
    <w:rPr>
      <w:rFonts w:ascii="Calibri" w:hAnsi="Calibri" w:eastAsia="宋体" w:cs="Times New Roman"/>
      <w:b/>
      <w:bCs/>
      <w:sz w:val="24"/>
      <w:szCs w:val="24"/>
    </w:rPr>
  </w:style>
  <w:style w:type="character" w:customStyle="1" w:styleId="160">
    <w:name w:val="批注框文本 Char1"/>
    <w:autoRedefine/>
    <w:qFormat/>
    <w:uiPriority w:val="0"/>
    <w:rPr>
      <w:kern w:val="2"/>
      <w:sz w:val="18"/>
      <w:szCs w:val="18"/>
    </w:rPr>
  </w:style>
  <w:style w:type="character" w:customStyle="1" w:styleId="161">
    <w:name w:val="日期 Char1"/>
    <w:autoRedefine/>
    <w:qFormat/>
    <w:uiPriority w:val="0"/>
    <w:rPr>
      <w:kern w:val="2"/>
      <w:sz w:val="21"/>
      <w:szCs w:val="22"/>
    </w:rPr>
  </w:style>
  <w:style w:type="character" w:customStyle="1" w:styleId="162">
    <w:name w:val="_Style 171"/>
    <w:autoRedefine/>
    <w:qFormat/>
    <w:uiPriority w:val="0"/>
    <w:rPr>
      <w:b/>
      <w:bCs/>
      <w:i/>
      <w:iCs/>
      <w:color w:val="4F81BD"/>
    </w:rPr>
  </w:style>
  <w:style w:type="character" w:customStyle="1" w:styleId="163">
    <w:name w:val="Char Char22"/>
    <w:autoRedefine/>
    <w:qFormat/>
    <w:uiPriority w:val="0"/>
    <w:rPr>
      <w:b/>
      <w:bCs/>
      <w:kern w:val="2"/>
      <w:sz w:val="32"/>
      <w:szCs w:val="32"/>
    </w:rPr>
  </w:style>
  <w:style w:type="character" w:customStyle="1" w:styleId="164">
    <w:name w:val="标题 6 Char1"/>
    <w:autoRedefine/>
    <w:qFormat/>
    <w:uiPriority w:val="0"/>
    <w:rPr>
      <w:rFonts w:ascii="Times New Roman" w:hAnsi="Arial" w:eastAsia="仿宋_GB2312" w:cs="Times New Roman"/>
      <w:sz w:val="30"/>
      <w:szCs w:val="20"/>
    </w:rPr>
  </w:style>
  <w:style w:type="character" w:customStyle="1" w:styleId="165">
    <w:name w:val="标题5 Char Char"/>
    <w:link w:val="116"/>
    <w:autoRedefine/>
    <w:qFormat/>
    <w:uiPriority w:val="0"/>
    <w:rPr>
      <w:rFonts w:ascii="Arial" w:hAnsi="Arial"/>
      <w:b/>
      <w:bCs/>
      <w:sz w:val="24"/>
      <w:szCs w:val="32"/>
      <w:lang w:bidi="ar-SA"/>
    </w:rPr>
  </w:style>
  <w:style w:type="character" w:customStyle="1" w:styleId="166">
    <w:name w:val="正文文本缩进 Char1"/>
    <w:autoRedefine/>
    <w:qFormat/>
    <w:uiPriority w:val="0"/>
    <w:rPr>
      <w:kern w:val="2"/>
      <w:sz w:val="21"/>
      <w:szCs w:val="24"/>
    </w:rPr>
  </w:style>
  <w:style w:type="character" w:customStyle="1" w:styleId="167">
    <w:name w:val="标题 4 Char1"/>
    <w:autoRedefine/>
    <w:qFormat/>
    <w:uiPriority w:val="0"/>
    <w:rPr>
      <w:rFonts w:ascii="宋体" w:hAnsi="宋体" w:eastAsia="宋体" w:cs="宋体"/>
      <w:b/>
      <w:bCs/>
      <w:sz w:val="24"/>
      <w:szCs w:val="24"/>
    </w:rPr>
  </w:style>
  <w:style w:type="character" w:customStyle="1" w:styleId="168">
    <w:name w:val="尾注文本 Char"/>
    <w:autoRedefine/>
    <w:qFormat/>
    <w:uiPriority w:val="0"/>
    <w:rPr>
      <w:kern w:val="2"/>
      <w:sz w:val="21"/>
      <w:szCs w:val="24"/>
    </w:rPr>
  </w:style>
  <w:style w:type="character" w:customStyle="1" w:styleId="169">
    <w:name w:val="HTML 预设格式 Char3"/>
    <w:link w:val="40"/>
    <w:autoRedefine/>
    <w:qFormat/>
    <w:uiPriority w:val="0"/>
    <w:rPr>
      <w:rFonts w:ascii="宋体" w:hAnsi="宋体" w:eastAsia="宋体" w:cs="宋体"/>
      <w:color w:val="000000"/>
      <w:sz w:val="24"/>
      <w:szCs w:val="24"/>
      <w:lang w:val="en-US" w:eastAsia="zh-CN" w:bidi="ar-SA"/>
    </w:rPr>
  </w:style>
  <w:style w:type="character" w:customStyle="1" w:styleId="170">
    <w:name w:val="尾注文本 Char2"/>
    <w:autoRedefine/>
    <w:semiHidden/>
    <w:qFormat/>
    <w:uiPriority w:val="99"/>
    <w:rPr>
      <w:rFonts w:ascii="Calibri" w:hAnsi="Calibri" w:eastAsia="宋体" w:cs="Times New Roman"/>
      <w:szCs w:val="24"/>
    </w:rPr>
  </w:style>
  <w:style w:type="character" w:customStyle="1" w:styleId="171">
    <w:name w:val="明显强调1"/>
    <w:autoRedefine/>
    <w:qFormat/>
    <w:uiPriority w:val="0"/>
    <w:rPr>
      <w:b/>
      <w:bCs/>
      <w:i/>
      <w:iCs/>
      <w:color w:val="4F81BD"/>
    </w:rPr>
  </w:style>
  <w:style w:type="character" w:customStyle="1" w:styleId="172">
    <w:name w:val="正文文本 Char"/>
    <w:autoRedefine/>
    <w:qFormat/>
    <w:uiPriority w:val="0"/>
    <w:rPr>
      <w:sz w:val="26"/>
      <w:szCs w:val="24"/>
    </w:rPr>
  </w:style>
  <w:style w:type="character" w:customStyle="1" w:styleId="173">
    <w:name w:val="脚注文本 Char2"/>
    <w:autoRedefine/>
    <w:semiHidden/>
    <w:qFormat/>
    <w:uiPriority w:val="99"/>
    <w:rPr>
      <w:rFonts w:ascii="Calibri" w:hAnsi="Calibri" w:eastAsia="宋体" w:cs="Times New Roman"/>
      <w:sz w:val="18"/>
      <w:szCs w:val="18"/>
    </w:rPr>
  </w:style>
  <w:style w:type="character" w:customStyle="1" w:styleId="174">
    <w:name w:val="正文文本 2 Char1"/>
    <w:autoRedefine/>
    <w:semiHidden/>
    <w:qFormat/>
    <w:uiPriority w:val="99"/>
    <w:rPr>
      <w:rFonts w:ascii="Calibri" w:hAnsi="Calibri" w:eastAsia="宋体" w:cs="Times New Roman"/>
      <w:szCs w:val="24"/>
    </w:rPr>
  </w:style>
  <w:style w:type="character" w:customStyle="1" w:styleId="175">
    <w:name w:val="_Style 248"/>
    <w:autoRedefine/>
    <w:qFormat/>
    <w:uiPriority w:val="0"/>
    <w:rPr>
      <w:b/>
      <w:bCs/>
      <w:smallCaps/>
      <w:spacing w:val="5"/>
    </w:rPr>
  </w:style>
  <w:style w:type="character" w:customStyle="1" w:styleId="176">
    <w:name w:val="明显引用 Char3"/>
    <w:autoRedefine/>
    <w:qFormat/>
    <w:uiPriority w:val="30"/>
    <w:rPr>
      <w:rFonts w:ascii="Calibri" w:hAnsi="Calibri" w:eastAsia="宋体" w:cs="Times New Roman"/>
      <w:b/>
      <w:bCs/>
      <w:i/>
      <w:iCs/>
      <w:color w:val="4F81BD"/>
      <w:szCs w:val="24"/>
    </w:rPr>
  </w:style>
  <w:style w:type="character" w:customStyle="1" w:styleId="177">
    <w:name w:val="_Style 254"/>
    <w:autoRedefine/>
    <w:qFormat/>
    <w:uiPriority w:val="0"/>
    <w:rPr>
      <w:b/>
      <w:bCs/>
      <w:smallCaps/>
      <w:color w:val="C0504D"/>
      <w:spacing w:val="5"/>
      <w:u w:val="single"/>
    </w:rPr>
  </w:style>
  <w:style w:type="character" w:customStyle="1" w:styleId="178">
    <w:name w:val="正文文本缩进 Char2"/>
    <w:autoRedefine/>
    <w:semiHidden/>
    <w:qFormat/>
    <w:uiPriority w:val="99"/>
    <w:rPr>
      <w:rFonts w:ascii="Calibri" w:hAnsi="Calibri" w:eastAsia="宋体" w:cs="Times New Roman"/>
      <w:szCs w:val="24"/>
    </w:rPr>
  </w:style>
  <w:style w:type="character" w:customStyle="1" w:styleId="179">
    <w:name w:val="标题 4 Char2"/>
    <w:link w:val="6"/>
    <w:autoRedefine/>
    <w:qFormat/>
    <w:uiPriority w:val="0"/>
    <w:rPr>
      <w:rFonts w:ascii="宋体" w:hAnsi="宋体" w:eastAsia="宋体" w:cs="宋体"/>
      <w:b/>
      <w:bCs/>
      <w:sz w:val="24"/>
      <w:szCs w:val="24"/>
      <w:lang w:val="en-US" w:eastAsia="zh-CN" w:bidi="ar-SA"/>
    </w:rPr>
  </w:style>
  <w:style w:type="character" w:customStyle="1" w:styleId="180">
    <w:name w:val="正文文本缩进 3 Char"/>
    <w:autoRedefine/>
    <w:qFormat/>
    <w:uiPriority w:val="0"/>
    <w:rPr>
      <w:kern w:val="2"/>
      <w:sz w:val="16"/>
      <w:szCs w:val="16"/>
    </w:rPr>
  </w:style>
  <w:style w:type="character" w:customStyle="1" w:styleId="181">
    <w:name w:val="尾注文本 Char3"/>
    <w:link w:val="27"/>
    <w:autoRedefine/>
    <w:qFormat/>
    <w:uiPriority w:val="0"/>
    <w:rPr>
      <w:rFonts w:ascii="Arial" w:hAnsi="Arial" w:eastAsia="宋体" w:cs="Arial"/>
      <w:szCs w:val="24"/>
      <w:lang w:val="en-US" w:eastAsia="en-US" w:bidi="ar-SA"/>
    </w:rPr>
  </w:style>
  <w:style w:type="character" w:customStyle="1" w:styleId="182">
    <w:name w:val="引用 Char3"/>
    <w:autoRedefine/>
    <w:qFormat/>
    <w:uiPriority w:val="29"/>
    <w:rPr>
      <w:rFonts w:ascii="Calibri" w:hAnsi="Calibri" w:eastAsia="宋体" w:cs="Times New Roman"/>
      <w:i/>
      <w:iCs/>
      <w:color w:val="000000"/>
      <w:szCs w:val="24"/>
    </w:rPr>
  </w:style>
  <w:style w:type="character" w:customStyle="1" w:styleId="183">
    <w:name w:val="Char Char32"/>
    <w:autoRedefine/>
    <w:qFormat/>
    <w:uiPriority w:val="0"/>
    <w:rPr>
      <w:rFonts w:ascii="仿宋_GB2312" w:eastAsia="仿宋_GB2312" w:cs="MingLiU"/>
      <w:b/>
      <w:spacing w:val="1"/>
      <w:w w:val="99"/>
      <w:sz w:val="28"/>
      <w:szCs w:val="32"/>
    </w:rPr>
  </w:style>
  <w:style w:type="character" w:customStyle="1" w:styleId="184">
    <w:name w:val="日期 Char"/>
    <w:autoRedefine/>
    <w:qFormat/>
    <w:uiPriority w:val="0"/>
    <w:rPr>
      <w:rFonts w:eastAsia="宋体"/>
      <w:szCs w:val="24"/>
    </w:rPr>
  </w:style>
  <w:style w:type="character" w:customStyle="1" w:styleId="185">
    <w:name w:val="页脚 Char"/>
    <w:autoRedefine/>
    <w:qFormat/>
    <w:uiPriority w:val="0"/>
    <w:rPr>
      <w:sz w:val="18"/>
      <w:szCs w:val="18"/>
    </w:rPr>
  </w:style>
  <w:style w:type="character" w:customStyle="1" w:styleId="186">
    <w:name w:val="style121"/>
    <w:autoRedefine/>
    <w:qFormat/>
    <w:uiPriority w:val="0"/>
    <w:rPr>
      <w:rFonts w:hint="eastAsia" w:ascii="宋体" w:hAnsi="宋体" w:eastAsia="宋体"/>
      <w:sz w:val="18"/>
      <w:szCs w:val="18"/>
    </w:rPr>
  </w:style>
  <w:style w:type="character" w:customStyle="1" w:styleId="187">
    <w:name w:val="ss16"/>
    <w:autoRedefine/>
    <w:qFormat/>
    <w:uiPriority w:val="0"/>
    <w:rPr>
      <w:rFonts w:hint="eastAsia" w:ascii="宋体" w:hAnsi="宋体" w:eastAsia="宋体"/>
      <w:color w:val="000000"/>
      <w:sz w:val="9"/>
      <w:szCs w:val="9"/>
    </w:rPr>
  </w:style>
  <w:style w:type="character" w:customStyle="1" w:styleId="188">
    <w:name w:val="textcontents"/>
    <w:autoRedefine/>
    <w:qFormat/>
    <w:uiPriority w:val="0"/>
    <w:rPr>
      <w:rFonts w:cs="Times New Roman"/>
    </w:rPr>
  </w:style>
  <w:style w:type="character" w:customStyle="1" w:styleId="189">
    <w:name w:val="14t1"/>
    <w:autoRedefine/>
    <w:qFormat/>
    <w:uiPriority w:val="0"/>
    <w:rPr>
      <w:rFonts w:hint="eastAsia" w:ascii="宋体" w:hAnsi="宋体" w:eastAsia="宋体"/>
      <w:sz w:val="11"/>
      <w:szCs w:val="11"/>
    </w:rPr>
  </w:style>
  <w:style w:type="character" w:customStyle="1" w:styleId="190">
    <w:name w:val="不明显参考1"/>
    <w:autoRedefine/>
    <w:qFormat/>
    <w:uiPriority w:val="0"/>
    <w:rPr>
      <w:smallCaps/>
      <w:color w:val="C0504D"/>
      <w:u w:val="single"/>
    </w:rPr>
  </w:style>
  <w:style w:type="character" w:customStyle="1" w:styleId="191">
    <w:name w:val="unnamed1"/>
    <w:basedOn w:val="47"/>
    <w:autoRedefine/>
    <w:qFormat/>
    <w:uiPriority w:val="0"/>
  </w:style>
  <w:style w:type="character" w:customStyle="1" w:styleId="192">
    <w:name w:val="批注主题 Char3"/>
    <w:autoRedefine/>
    <w:semiHidden/>
    <w:qFormat/>
    <w:uiPriority w:val="99"/>
    <w:rPr>
      <w:rFonts w:ascii="Calibri" w:hAnsi="Calibri" w:eastAsia="宋体" w:cs="Times New Roman"/>
      <w:b/>
      <w:bCs/>
      <w:szCs w:val="24"/>
    </w:rPr>
  </w:style>
  <w:style w:type="character" w:customStyle="1" w:styleId="193">
    <w:name w:val="标题 3 Char2"/>
    <w:link w:val="5"/>
    <w:autoRedefine/>
    <w:qFormat/>
    <w:uiPriority w:val="0"/>
    <w:rPr>
      <w:rFonts w:eastAsia="宋体"/>
      <w:b/>
      <w:bCs/>
      <w:kern w:val="2"/>
      <w:sz w:val="32"/>
      <w:szCs w:val="32"/>
      <w:lang w:val="en-US" w:eastAsia="zh-CN" w:bidi="ar-SA"/>
    </w:rPr>
  </w:style>
  <w:style w:type="character" w:customStyle="1" w:styleId="194">
    <w:name w:val="标题 2 Char2"/>
    <w:link w:val="4"/>
    <w:autoRedefine/>
    <w:qFormat/>
    <w:uiPriority w:val="0"/>
    <w:rPr>
      <w:rFonts w:ascii="Cambria" w:hAnsi="Cambria" w:eastAsia="宋体"/>
      <w:b/>
      <w:bCs/>
      <w:kern w:val="2"/>
      <w:sz w:val="32"/>
      <w:szCs w:val="32"/>
      <w:lang w:val="en-US" w:eastAsia="zh-CN" w:bidi="ar-SA"/>
    </w:rPr>
  </w:style>
  <w:style w:type="character" w:customStyle="1" w:styleId="195">
    <w:name w:val="标题 6 Char2"/>
    <w:link w:val="8"/>
    <w:autoRedefine/>
    <w:qFormat/>
    <w:uiPriority w:val="0"/>
    <w:rPr>
      <w:rFonts w:hAnsi="Arial" w:eastAsia="仿宋_GB2312"/>
      <w:sz w:val="30"/>
      <w:lang w:val="en-US" w:eastAsia="zh-CN" w:bidi="ar-SA"/>
    </w:rPr>
  </w:style>
  <w:style w:type="character" w:customStyle="1" w:styleId="196">
    <w:name w:val="页脚 Char2"/>
    <w:link w:val="29"/>
    <w:autoRedefine/>
    <w:qFormat/>
    <w:uiPriority w:val="0"/>
    <w:rPr>
      <w:rFonts w:eastAsia="宋体"/>
      <w:kern w:val="2"/>
      <w:sz w:val="18"/>
      <w:szCs w:val="18"/>
      <w:lang w:val="en-US" w:eastAsia="zh-CN" w:bidi="ar-SA"/>
    </w:rPr>
  </w:style>
  <w:style w:type="character" w:customStyle="1" w:styleId="197">
    <w:name w:val="引用 Char4"/>
    <w:link w:val="102"/>
    <w:autoRedefine/>
    <w:qFormat/>
    <w:uiPriority w:val="0"/>
    <w:rPr>
      <w:i/>
      <w:iCs/>
      <w:color w:val="000000"/>
      <w:kern w:val="2"/>
      <w:sz w:val="21"/>
      <w:szCs w:val="22"/>
      <w:lang w:bidi="ar-SA"/>
    </w:rPr>
  </w:style>
  <w:style w:type="character" w:customStyle="1" w:styleId="198">
    <w:name w:val="标题 9 Char2"/>
    <w:link w:val="12"/>
    <w:autoRedefine/>
    <w:qFormat/>
    <w:uiPriority w:val="0"/>
    <w:rPr>
      <w:rFonts w:eastAsia="仿宋_GB2312"/>
      <w:sz w:val="30"/>
      <w:lang w:val="en-US" w:eastAsia="zh-CN" w:bidi="ar-SA"/>
    </w:rPr>
  </w:style>
  <w:style w:type="character" w:customStyle="1" w:styleId="199">
    <w:name w:val="标题 3 Char"/>
    <w:autoRedefine/>
    <w:qFormat/>
    <w:uiPriority w:val="0"/>
    <w:rPr>
      <w:rFonts w:ascii="仿宋_GB2312" w:hAnsi="Calibri" w:eastAsia="仿宋_GB2312" w:cs="Times New Roman"/>
      <w:b/>
      <w:kern w:val="0"/>
      <w:sz w:val="24"/>
      <w:szCs w:val="28"/>
    </w:rPr>
  </w:style>
  <w:style w:type="character" w:customStyle="1" w:styleId="200">
    <w:name w:val="批注文字 Char2"/>
    <w:autoRedefine/>
    <w:qFormat/>
    <w:uiPriority w:val="0"/>
    <w:rPr>
      <w:rFonts w:ascii="Calibri" w:hAnsi="Calibri" w:eastAsia="宋体" w:cs="Times New Roman"/>
      <w:szCs w:val="24"/>
    </w:rPr>
  </w:style>
  <w:style w:type="character" w:customStyle="1" w:styleId="201">
    <w:name w:val="normaltext1"/>
    <w:autoRedefine/>
    <w:qFormat/>
    <w:uiPriority w:val="0"/>
    <w:rPr>
      <w:rFonts w:hint="default" w:ascii="ˎ̥" w:hAnsi="ˎ̥"/>
      <w:sz w:val="9"/>
      <w:szCs w:val="9"/>
    </w:rPr>
  </w:style>
  <w:style w:type="character" w:customStyle="1" w:styleId="202">
    <w:name w:val="ca-141"/>
    <w:autoRedefine/>
    <w:qFormat/>
    <w:uiPriority w:val="0"/>
    <w:rPr>
      <w:rFonts w:hint="eastAsia" w:ascii="仿宋_GB2312" w:eastAsia="仿宋_GB2312"/>
      <w:sz w:val="21"/>
      <w:szCs w:val="21"/>
    </w:rPr>
  </w:style>
  <w:style w:type="character" w:customStyle="1" w:styleId="203">
    <w:name w:val="main_tdbg_7601"/>
    <w:autoRedefine/>
    <w:qFormat/>
    <w:uiPriority w:val="0"/>
    <w:rPr>
      <w:sz w:val="14"/>
      <w:szCs w:val="14"/>
    </w:rPr>
  </w:style>
  <w:style w:type="character" w:customStyle="1" w:styleId="204">
    <w:name w:val="文档结构图 Char4"/>
    <w:link w:val="15"/>
    <w:autoRedefine/>
    <w:qFormat/>
    <w:uiPriority w:val="0"/>
    <w:rPr>
      <w:rFonts w:eastAsia="宋体"/>
      <w:kern w:val="2"/>
      <w:sz w:val="21"/>
      <w:szCs w:val="24"/>
      <w:lang w:val="en-US" w:eastAsia="zh-CN" w:bidi="ar-SA"/>
    </w:rPr>
  </w:style>
  <w:style w:type="character" w:customStyle="1" w:styleId="205">
    <w:name w:val="批注框文本 Char3"/>
    <w:autoRedefine/>
    <w:semiHidden/>
    <w:qFormat/>
    <w:uiPriority w:val="99"/>
    <w:rPr>
      <w:rFonts w:ascii="Calibri" w:hAnsi="Calibri" w:eastAsia="宋体" w:cs="Times New Roman"/>
      <w:sz w:val="18"/>
      <w:szCs w:val="18"/>
    </w:rPr>
  </w:style>
  <w:style w:type="character" w:customStyle="1" w:styleId="206">
    <w:name w:val="Char Char9"/>
    <w:autoRedefine/>
    <w:qFormat/>
    <w:locked/>
    <w:uiPriority w:val="0"/>
    <w:rPr>
      <w:rFonts w:ascii="仿宋_GB2312" w:eastAsia="仿宋_GB2312" w:cs="MingLiU"/>
      <w:b/>
      <w:sz w:val="24"/>
      <w:szCs w:val="28"/>
      <w:lang w:val="en-US" w:eastAsia="zh-CN" w:bidi="ar-SA"/>
    </w:rPr>
  </w:style>
  <w:style w:type="character" w:customStyle="1" w:styleId="207">
    <w:name w:val="title11"/>
    <w:autoRedefine/>
    <w:qFormat/>
    <w:uiPriority w:val="0"/>
    <w:rPr>
      <w:b/>
      <w:bCs/>
      <w:color w:val="FFFFFF"/>
      <w:sz w:val="11"/>
      <w:szCs w:val="11"/>
    </w:rPr>
  </w:style>
  <w:style w:type="character" w:customStyle="1" w:styleId="208">
    <w:name w:val="批注框文本 Char4"/>
    <w:link w:val="28"/>
    <w:autoRedefine/>
    <w:qFormat/>
    <w:uiPriority w:val="0"/>
    <w:rPr>
      <w:rFonts w:eastAsia="宋体"/>
      <w:kern w:val="2"/>
      <w:sz w:val="18"/>
      <w:szCs w:val="18"/>
      <w:lang w:val="en-US" w:eastAsia="zh-CN" w:bidi="ar-SA"/>
    </w:rPr>
  </w:style>
  <w:style w:type="character" w:customStyle="1" w:styleId="209">
    <w:name w:val="标题 8 Char1"/>
    <w:autoRedefine/>
    <w:qFormat/>
    <w:uiPriority w:val="0"/>
    <w:rPr>
      <w:rFonts w:ascii="Times New Roman" w:hAnsi="Arial" w:eastAsia="仿宋_GB2312" w:cs="Times New Roman"/>
      <w:sz w:val="30"/>
      <w:szCs w:val="20"/>
    </w:rPr>
  </w:style>
  <w:style w:type="character" w:customStyle="1" w:styleId="210">
    <w:name w:val="标题 Char2"/>
    <w:autoRedefine/>
    <w:qFormat/>
    <w:uiPriority w:val="10"/>
    <w:rPr>
      <w:rFonts w:ascii="Cambria" w:hAnsi="Cambria" w:eastAsia="宋体" w:cs="Times New Roman"/>
      <w:b/>
      <w:bCs/>
      <w:sz w:val="32"/>
      <w:szCs w:val="32"/>
    </w:rPr>
  </w:style>
  <w:style w:type="character" w:customStyle="1" w:styleId="211">
    <w:name w:val="标题 Char3"/>
    <w:link w:val="43"/>
    <w:autoRedefine/>
    <w:qFormat/>
    <w:uiPriority w:val="0"/>
    <w:rPr>
      <w:rFonts w:eastAsia="宋体"/>
      <w:szCs w:val="24"/>
      <w:u w:val="single"/>
      <w:lang w:val="en-US" w:eastAsia="en-US" w:bidi="ar-SA"/>
    </w:rPr>
  </w:style>
  <w:style w:type="character" w:customStyle="1" w:styleId="212">
    <w:name w:val="批注主题 Char1"/>
    <w:autoRedefine/>
    <w:qFormat/>
    <w:uiPriority w:val="0"/>
    <w:rPr>
      <w:b/>
      <w:bCs/>
      <w:kern w:val="2"/>
      <w:sz w:val="21"/>
      <w:szCs w:val="22"/>
    </w:rPr>
  </w:style>
  <w:style w:type="character" w:customStyle="1" w:styleId="213">
    <w:name w:val="副标题 Char"/>
    <w:autoRedefine/>
    <w:qFormat/>
    <w:uiPriority w:val="0"/>
    <w:rPr>
      <w:rFonts w:ascii="Cambria" w:hAnsi="Cambria" w:eastAsia="宋体" w:cs="Times New Roman"/>
      <w:b/>
      <w:bCs/>
      <w:kern w:val="28"/>
      <w:sz w:val="32"/>
      <w:szCs w:val="32"/>
    </w:rPr>
  </w:style>
  <w:style w:type="character" w:customStyle="1" w:styleId="214">
    <w:name w:val="正文文本 Char4"/>
    <w:link w:val="2"/>
    <w:autoRedefine/>
    <w:qFormat/>
    <w:uiPriority w:val="0"/>
    <w:rPr>
      <w:rFonts w:eastAsia="宋体"/>
      <w:kern w:val="2"/>
      <w:sz w:val="21"/>
      <w:szCs w:val="24"/>
      <w:lang w:val="en-US" w:eastAsia="zh-CN" w:bidi="ar-SA"/>
    </w:rPr>
  </w:style>
  <w:style w:type="character" w:customStyle="1" w:styleId="215">
    <w:name w:val="纯文本 Char1"/>
    <w:autoRedefine/>
    <w:qFormat/>
    <w:uiPriority w:val="0"/>
    <w:rPr>
      <w:rFonts w:ascii="宋体" w:hAnsi="Courier New" w:cs="Courier New"/>
      <w:kern w:val="2"/>
      <w:sz w:val="21"/>
      <w:szCs w:val="21"/>
    </w:rPr>
  </w:style>
  <w:style w:type="character" w:customStyle="1" w:styleId="216">
    <w:name w:val="脚注文本 Char3"/>
    <w:link w:val="34"/>
    <w:autoRedefine/>
    <w:qFormat/>
    <w:uiPriority w:val="0"/>
    <w:rPr>
      <w:rFonts w:ascii="Arial" w:hAnsi="Arial" w:eastAsia="宋体" w:cs="Arial"/>
      <w:sz w:val="18"/>
      <w:szCs w:val="18"/>
      <w:lang w:val="en-US" w:eastAsia="en-US" w:bidi="ar-SA"/>
    </w:rPr>
  </w:style>
  <w:style w:type="character" w:customStyle="1" w:styleId="217">
    <w:name w:val="标题 2 Char1"/>
    <w:autoRedefine/>
    <w:qFormat/>
    <w:uiPriority w:val="0"/>
    <w:rPr>
      <w:rFonts w:ascii="Cambria" w:hAnsi="Cambria" w:eastAsia="宋体" w:cs="Times New Roman"/>
      <w:b/>
      <w:bCs/>
      <w:kern w:val="2"/>
      <w:sz w:val="32"/>
      <w:szCs w:val="32"/>
    </w:rPr>
  </w:style>
  <w:style w:type="character" w:customStyle="1" w:styleId="218">
    <w:name w:val="脚注文本 Char1"/>
    <w:autoRedefine/>
    <w:qFormat/>
    <w:uiPriority w:val="0"/>
    <w:rPr>
      <w:rFonts w:ascii="Arial" w:hAnsi="Arial" w:cs="Arial"/>
      <w:sz w:val="18"/>
      <w:szCs w:val="18"/>
      <w:lang w:eastAsia="en-US"/>
    </w:rPr>
  </w:style>
  <w:style w:type="character" w:customStyle="1" w:styleId="219">
    <w:name w:val="HTML 预设格式 Char2"/>
    <w:autoRedefine/>
    <w:semiHidden/>
    <w:qFormat/>
    <w:uiPriority w:val="99"/>
    <w:rPr>
      <w:rFonts w:ascii="Courier New" w:hAnsi="Courier New" w:eastAsia="宋体" w:cs="Courier New"/>
      <w:sz w:val="20"/>
      <w:szCs w:val="20"/>
    </w:rPr>
  </w:style>
  <w:style w:type="character" w:customStyle="1" w:styleId="220">
    <w:name w:val="标题 8 Char"/>
    <w:autoRedefine/>
    <w:qFormat/>
    <w:uiPriority w:val="0"/>
    <w:rPr>
      <w:rFonts w:ascii="Arial" w:hAnsi="Arial" w:eastAsia="黑体" w:cs="Times New Roman"/>
      <w:sz w:val="24"/>
      <w:szCs w:val="24"/>
    </w:rPr>
  </w:style>
  <w:style w:type="character" w:customStyle="1" w:styleId="221">
    <w:name w:val="s3"/>
    <w:autoRedefine/>
    <w:qFormat/>
    <w:uiPriority w:val="0"/>
  </w:style>
  <w:style w:type="character" w:customStyle="1" w:styleId="222">
    <w:name w:val="标题 4 Char"/>
    <w:autoRedefine/>
    <w:qFormat/>
    <w:uiPriority w:val="0"/>
    <w:rPr>
      <w:rFonts w:ascii="仿宋_GB2312" w:hAnsi="Calibri" w:eastAsia="仿宋_GB2312" w:cs="Times New Roman"/>
      <w:b/>
      <w:kern w:val="0"/>
      <w:sz w:val="24"/>
      <w:szCs w:val="28"/>
    </w:rPr>
  </w:style>
  <w:style w:type="character" w:customStyle="1" w:styleId="223">
    <w:name w:val="正文文本缩进 2 Char"/>
    <w:autoRedefine/>
    <w:qFormat/>
    <w:uiPriority w:val="0"/>
    <w:rPr>
      <w:kern w:val="2"/>
      <w:sz w:val="21"/>
      <w:szCs w:val="24"/>
    </w:rPr>
  </w:style>
  <w:style w:type="character" w:customStyle="1" w:styleId="224">
    <w:name w:val="style21"/>
    <w:autoRedefine/>
    <w:qFormat/>
    <w:uiPriority w:val="0"/>
    <w:rPr>
      <w:b/>
      <w:bCs/>
      <w:sz w:val="28"/>
      <w:szCs w:val="28"/>
    </w:rPr>
  </w:style>
  <w:style w:type="character" w:customStyle="1" w:styleId="225">
    <w:name w:val="正文文本缩进 2 Char2"/>
    <w:autoRedefine/>
    <w:semiHidden/>
    <w:qFormat/>
    <w:uiPriority w:val="99"/>
    <w:rPr>
      <w:rFonts w:ascii="Calibri" w:hAnsi="Calibri" w:eastAsia="宋体" w:cs="Times New Roman"/>
      <w:szCs w:val="24"/>
    </w:rPr>
  </w:style>
  <w:style w:type="character" w:customStyle="1" w:styleId="226">
    <w:name w:val="ht1"/>
    <w:autoRedefine/>
    <w:qFormat/>
    <w:uiPriority w:val="0"/>
    <w:rPr>
      <w:rFonts w:ascii="黑体" w:eastAsia="黑体"/>
      <w:b/>
      <w:bCs/>
    </w:rPr>
  </w:style>
  <w:style w:type="character" w:customStyle="1" w:styleId="227">
    <w:name w:val="文档结构图 Char3"/>
    <w:autoRedefine/>
    <w:semiHidden/>
    <w:qFormat/>
    <w:uiPriority w:val="99"/>
    <w:rPr>
      <w:rFonts w:ascii="宋体" w:hAnsi="Calibri" w:eastAsia="宋体" w:cs="Times New Roman"/>
      <w:sz w:val="18"/>
      <w:szCs w:val="18"/>
    </w:rPr>
  </w:style>
  <w:style w:type="character" w:customStyle="1" w:styleId="228">
    <w:name w:val="书籍标题1"/>
    <w:autoRedefine/>
    <w:qFormat/>
    <w:uiPriority w:val="0"/>
    <w:rPr>
      <w:b/>
      <w:bCs/>
      <w:smallCaps/>
      <w:spacing w:val="5"/>
    </w:rPr>
  </w:style>
  <w:style w:type="character" w:customStyle="1" w:styleId="229">
    <w:name w:val="标题 7 Char1"/>
    <w:autoRedefine/>
    <w:qFormat/>
    <w:uiPriority w:val="0"/>
    <w:rPr>
      <w:rFonts w:ascii="Times New Roman" w:hAnsi="Times New Roman" w:eastAsia="仿宋_GB2312" w:cs="Times New Roman"/>
      <w:sz w:val="30"/>
      <w:szCs w:val="20"/>
    </w:rPr>
  </w:style>
  <w:style w:type="character" w:customStyle="1" w:styleId="230">
    <w:name w:val="明显引用 Char2"/>
    <w:autoRedefine/>
    <w:qFormat/>
    <w:uiPriority w:val="99"/>
    <w:rPr>
      <w:b/>
      <w:bCs/>
      <w:i/>
      <w:iCs/>
      <w:color w:val="4F81BD"/>
      <w:kern w:val="2"/>
      <w:sz w:val="21"/>
      <w:szCs w:val="24"/>
    </w:rPr>
  </w:style>
  <w:style w:type="character" w:customStyle="1" w:styleId="231">
    <w:name w:val="不明显强调1"/>
    <w:autoRedefine/>
    <w:qFormat/>
    <w:uiPriority w:val="0"/>
    <w:rPr>
      <w:i/>
      <w:iCs/>
      <w:color w:val="808080"/>
    </w:rPr>
  </w:style>
  <w:style w:type="character" w:customStyle="1" w:styleId="232">
    <w:name w:val="普通文字 Char Char2"/>
    <w:autoRedefine/>
    <w:qFormat/>
    <w:uiPriority w:val="0"/>
    <w:rPr>
      <w:rFonts w:ascii="宋体" w:hAnsi="Courier New"/>
      <w:kern w:val="2"/>
      <w:sz w:val="28"/>
      <w:szCs w:val="28"/>
    </w:rPr>
  </w:style>
  <w:style w:type="character" w:customStyle="1" w:styleId="233">
    <w:name w:val="标题 6 Char"/>
    <w:autoRedefine/>
    <w:qFormat/>
    <w:uiPriority w:val="0"/>
    <w:rPr>
      <w:rFonts w:ascii="Arial" w:hAnsi="Arial" w:eastAsia="黑体" w:cs="Times New Roman"/>
      <w:b/>
      <w:bCs/>
      <w:sz w:val="24"/>
      <w:szCs w:val="24"/>
    </w:rPr>
  </w:style>
  <w:style w:type="character" w:customStyle="1" w:styleId="234">
    <w:name w:val="l1"/>
    <w:basedOn w:val="47"/>
    <w:autoRedefine/>
    <w:qFormat/>
    <w:uiPriority w:val="0"/>
  </w:style>
  <w:style w:type="character" w:customStyle="1" w:styleId="235">
    <w:name w:val="未处理的提及"/>
    <w:autoRedefine/>
    <w:unhideWhenUsed/>
    <w:qFormat/>
    <w:uiPriority w:val="99"/>
    <w:rPr>
      <w:color w:val="808080"/>
      <w:shd w:val="clear" w:color="auto" w:fill="E6E6E6"/>
    </w:rPr>
  </w:style>
  <w:style w:type="character" w:customStyle="1" w:styleId="236">
    <w:name w:val="页眉 Char2"/>
    <w:link w:val="30"/>
    <w:autoRedefine/>
    <w:qFormat/>
    <w:uiPriority w:val="0"/>
    <w:rPr>
      <w:rFonts w:eastAsia="宋体"/>
      <w:kern w:val="2"/>
      <w:sz w:val="18"/>
      <w:szCs w:val="18"/>
      <w:lang w:val="en-US" w:eastAsia="zh-CN" w:bidi="ar-SA"/>
    </w:rPr>
  </w:style>
  <w:style w:type="character" w:customStyle="1" w:styleId="237">
    <w:name w:val="Char Char35"/>
    <w:autoRedefine/>
    <w:qFormat/>
    <w:uiPriority w:val="0"/>
    <w:rPr>
      <w:rFonts w:ascii="仿宋_GB2312" w:eastAsia="仿宋_GB2312" w:cs="MingLiU"/>
      <w:b/>
      <w:sz w:val="24"/>
      <w:szCs w:val="28"/>
    </w:rPr>
  </w:style>
  <w:style w:type="character" w:customStyle="1" w:styleId="238">
    <w:name w:val="Char Char11"/>
    <w:autoRedefine/>
    <w:qFormat/>
    <w:locked/>
    <w:uiPriority w:val="0"/>
    <w:rPr>
      <w:rFonts w:eastAsia="黑体"/>
      <w:kern w:val="2"/>
      <w:sz w:val="44"/>
      <w:szCs w:val="44"/>
      <w:lang w:val="en-US" w:eastAsia="zh-CN" w:bidi="ar-SA"/>
    </w:rPr>
  </w:style>
  <w:style w:type="character" w:customStyle="1" w:styleId="239">
    <w:name w:val="style31"/>
    <w:autoRedefine/>
    <w:qFormat/>
    <w:uiPriority w:val="0"/>
    <w:rPr>
      <w:sz w:val="10"/>
      <w:szCs w:val="10"/>
    </w:rPr>
  </w:style>
  <w:style w:type="character" w:customStyle="1" w:styleId="240">
    <w:name w:val="0d1471"/>
    <w:autoRedefine/>
    <w:qFormat/>
    <w:uiPriority w:val="0"/>
    <w:rPr>
      <w:color w:val="000000"/>
      <w:sz w:val="11"/>
      <w:szCs w:val="11"/>
      <w:u w:val="none"/>
    </w:rPr>
  </w:style>
  <w:style w:type="character" w:customStyle="1" w:styleId="241">
    <w:name w:val="标题 9 Char"/>
    <w:autoRedefine/>
    <w:qFormat/>
    <w:uiPriority w:val="0"/>
    <w:rPr>
      <w:rFonts w:ascii="Arial" w:hAnsi="Arial" w:eastAsia="黑体" w:cs="Times New Roman"/>
      <w:szCs w:val="21"/>
    </w:rPr>
  </w:style>
  <w:style w:type="character" w:customStyle="1" w:styleId="242">
    <w:name w:val="标题 3 Char1"/>
    <w:autoRedefine/>
    <w:qFormat/>
    <w:uiPriority w:val="0"/>
    <w:rPr>
      <w:rFonts w:ascii="Times New Roman" w:hAnsi="Times New Roman" w:eastAsia="宋体" w:cs="Times New Roman"/>
      <w:b/>
      <w:bCs/>
      <w:kern w:val="2"/>
      <w:sz w:val="32"/>
      <w:szCs w:val="32"/>
    </w:rPr>
  </w:style>
  <w:style w:type="character" w:customStyle="1" w:styleId="243">
    <w:name w:val="标题4 Char Char"/>
    <w:link w:val="87"/>
    <w:autoRedefine/>
    <w:qFormat/>
    <w:uiPriority w:val="0"/>
    <w:rPr>
      <w:rFonts w:ascii="Arial" w:hAnsi="Arial"/>
      <w:b/>
      <w:bCs/>
      <w:sz w:val="24"/>
      <w:szCs w:val="32"/>
      <w:lang w:bidi="ar-SA"/>
    </w:rPr>
  </w:style>
  <w:style w:type="character" w:customStyle="1" w:styleId="244">
    <w:name w:val="标题 5 Char1"/>
    <w:autoRedefine/>
    <w:qFormat/>
    <w:uiPriority w:val="0"/>
    <w:rPr>
      <w:rFonts w:ascii="宋体" w:hAnsi="宋体" w:eastAsia="宋体" w:cs="宋体"/>
      <w:b/>
      <w:bCs/>
      <w:sz w:val="20"/>
      <w:szCs w:val="20"/>
    </w:rPr>
  </w:style>
  <w:style w:type="character" w:customStyle="1" w:styleId="245">
    <w:name w:val="正文文本缩进 3 Char1"/>
    <w:autoRedefine/>
    <w:qFormat/>
    <w:uiPriority w:val="0"/>
    <w:rPr>
      <w:rFonts w:ascii="宋体" w:hAnsi="宋体"/>
      <w:kern w:val="2"/>
      <w:sz w:val="28"/>
      <w:szCs w:val="28"/>
    </w:rPr>
  </w:style>
  <w:style w:type="character" w:customStyle="1" w:styleId="246">
    <w:name w:val="Char Char33"/>
    <w:autoRedefine/>
    <w:qFormat/>
    <w:uiPriority w:val="0"/>
    <w:rPr>
      <w:rFonts w:ascii="仿宋_GB2312" w:eastAsia="仿宋_GB2312" w:cs="MingLiU"/>
      <w:b/>
      <w:sz w:val="24"/>
      <w:szCs w:val="28"/>
    </w:rPr>
  </w:style>
  <w:style w:type="character" w:customStyle="1" w:styleId="247">
    <w:name w:val="批注文字 Char1"/>
    <w:autoRedefine/>
    <w:qFormat/>
    <w:uiPriority w:val="99"/>
    <w:rPr>
      <w:rFonts w:ascii="Times New Roman" w:hAnsi="Times New Roman" w:eastAsia="宋体" w:cs="Times New Roman"/>
      <w:szCs w:val="24"/>
    </w:rPr>
  </w:style>
  <w:style w:type="character" w:customStyle="1" w:styleId="248">
    <w:name w:val="正文文本 3 Char1"/>
    <w:autoRedefine/>
    <w:qFormat/>
    <w:uiPriority w:val="0"/>
    <w:rPr>
      <w:kern w:val="2"/>
      <w:sz w:val="16"/>
      <w:szCs w:val="16"/>
    </w:rPr>
  </w:style>
  <w:style w:type="character" w:customStyle="1" w:styleId="249">
    <w:name w:val="页眉 Char"/>
    <w:autoRedefine/>
    <w:qFormat/>
    <w:uiPriority w:val="0"/>
    <w:rPr>
      <w:sz w:val="18"/>
      <w:szCs w:val="18"/>
    </w:rPr>
  </w:style>
  <w:style w:type="character" w:customStyle="1" w:styleId="250">
    <w:name w:val="明显引用 Char"/>
    <w:autoRedefine/>
    <w:qFormat/>
    <w:uiPriority w:val="0"/>
    <w:rPr>
      <w:rFonts w:ascii="Times New Roman" w:hAnsi="Times New Roman" w:eastAsia="宋体" w:cs="Times New Roman"/>
      <w:b/>
      <w:bCs/>
      <w:i/>
      <w:iCs/>
      <w:color w:val="4F81BD"/>
      <w:kern w:val="2"/>
      <w:sz w:val="21"/>
      <w:szCs w:val="24"/>
    </w:rPr>
  </w:style>
  <w:style w:type="character" w:customStyle="1" w:styleId="251">
    <w:name w:val="color_red1"/>
    <w:autoRedefine/>
    <w:qFormat/>
    <w:uiPriority w:val="0"/>
    <w:rPr>
      <w:color w:val="FA0004"/>
    </w:rPr>
  </w:style>
  <w:style w:type="character" w:customStyle="1" w:styleId="252">
    <w:name w:val="批注主题 Char2"/>
    <w:autoRedefine/>
    <w:qFormat/>
    <w:uiPriority w:val="99"/>
    <w:rPr>
      <w:b/>
      <w:bCs/>
      <w:kern w:val="2"/>
      <w:sz w:val="21"/>
      <w:szCs w:val="24"/>
    </w:rPr>
  </w:style>
  <w:style w:type="character" w:customStyle="1" w:styleId="253">
    <w:name w:val="Char Char34"/>
    <w:autoRedefine/>
    <w:qFormat/>
    <w:uiPriority w:val="0"/>
    <w:rPr>
      <w:rFonts w:ascii="仿宋_GB2312" w:eastAsia="仿宋_GB2312" w:cs="MingLiU"/>
      <w:b/>
      <w:spacing w:val="1"/>
      <w:w w:val="99"/>
      <w:sz w:val="28"/>
      <w:szCs w:val="32"/>
    </w:rPr>
  </w:style>
  <w:style w:type="character" w:customStyle="1" w:styleId="254">
    <w:name w:val="标题 1 Char"/>
    <w:autoRedefine/>
    <w:qFormat/>
    <w:uiPriority w:val="0"/>
    <w:rPr>
      <w:rFonts w:ascii="Times New Roman" w:hAnsi="Times New Roman" w:eastAsia="宋体" w:cs="Times New Roman"/>
      <w:b/>
      <w:bCs/>
      <w:kern w:val="44"/>
      <w:sz w:val="44"/>
      <w:szCs w:val="44"/>
    </w:rPr>
  </w:style>
  <w:style w:type="character" w:customStyle="1" w:styleId="255">
    <w:name w:val="docpro"/>
    <w:basedOn w:val="47"/>
    <w:autoRedefine/>
    <w:qFormat/>
    <w:uiPriority w:val="0"/>
  </w:style>
  <w:style w:type="character" w:customStyle="1" w:styleId="256">
    <w:name w:val="正文文本 3 Char"/>
    <w:autoRedefine/>
    <w:qFormat/>
    <w:uiPriority w:val="0"/>
    <w:rPr>
      <w:kern w:val="2"/>
      <w:sz w:val="16"/>
      <w:szCs w:val="16"/>
    </w:rPr>
  </w:style>
  <w:style w:type="character" w:customStyle="1" w:styleId="257">
    <w:name w:val="标题 5 Char"/>
    <w:autoRedefine/>
    <w:qFormat/>
    <w:uiPriority w:val="0"/>
    <w:rPr>
      <w:rFonts w:ascii="Calibri" w:hAnsi="Calibri" w:eastAsia="宋体" w:cs="Times New Roman"/>
      <w:b/>
      <w:bCs/>
      <w:sz w:val="28"/>
      <w:szCs w:val="28"/>
    </w:rPr>
  </w:style>
  <w:style w:type="character" w:customStyle="1" w:styleId="258">
    <w:name w:val="style161"/>
    <w:autoRedefine/>
    <w:qFormat/>
    <w:uiPriority w:val="0"/>
    <w:rPr>
      <w:b/>
      <w:bCs/>
      <w:color w:val="333333"/>
    </w:rPr>
  </w:style>
  <w:style w:type="character" w:customStyle="1" w:styleId="259">
    <w:name w:val="文档结构图 Char2"/>
    <w:autoRedefine/>
    <w:qFormat/>
    <w:uiPriority w:val="99"/>
    <w:rPr>
      <w:kern w:val="2"/>
      <w:sz w:val="21"/>
      <w:szCs w:val="24"/>
      <w:shd w:val="clear" w:color="auto" w:fill="000080"/>
    </w:rPr>
  </w:style>
  <w:style w:type="character" w:customStyle="1" w:styleId="260">
    <w:name w:val="页脚 Char1"/>
    <w:autoRedefine/>
    <w:semiHidden/>
    <w:qFormat/>
    <w:uiPriority w:val="99"/>
    <w:rPr>
      <w:kern w:val="2"/>
      <w:sz w:val="18"/>
      <w:szCs w:val="18"/>
    </w:rPr>
  </w:style>
  <w:style w:type="character" w:customStyle="1" w:styleId="261">
    <w:name w:val="日期 Char2"/>
    <w:autoRedefine/>
    <w:qFormat/>
    <w:uiPriority w:val="99"/>
    <w:rPr>
      <w:kern w:val="2"/>
      <w:sz w:val="21"/>
      <w:szCs w:val="24"/>
    </w:rPr>
  </w:style>
  <w:style w:type="character" w:customStyle="1" w:styleId="262">
    <w:name w:val="HTML 预设格式 Char"/>
    <w:autoRedefine/>
    <w:qFormat/>
    <w:uiPriority w:val="0"/>
    <w:rPr>
      <w:rFonts w:ascii="宋体" w:hAnsi="宋体" w:eastAsia="宋体" w:cs="宋体"/>
      <w:color w:val="000000"/>
      <w:sz w:val="24"/>
      <w:szCs w:val="24"/>
    </w:rPr>
  </w:style>
  <w:style w:type="character" w:customStyle="1" w:styleId="263">
    <w:name w:val="批注主题 Char4"/>
    <w:link w:val="44"/>
    <w:autoRedefine/>
    <w:qFormat/>
    <w:uiPriority w:val="0"/>
    <w:rPr>
      <w:rFonts w:eastAsia="宋体"/>
      <w:b/>
      <w:bCs/>
      <w:kern w:val="2"/>
      <w:sz w:val="21"/>
      <w:szCs w:val="24"/>
      <w:lang w:val="en-US" w:eastAsia="zh-CN" w:bidi="ar-SA"/>
    </w:rPr>
  </w:style>
  <w:style w:type="character" w:customStyle="1" w:styleId="264">
    <w:name w:val="正文文本 2 Char"/>
    <w:link w:val="39"/>
    <w:autoRedefine/>
    <w:qFormat/>
    <w:uiPriority w:val="0"/>
    <w:rPr>
      <w:i/>
      <w:iCs/>
      <w:kern w:val="2"/>
      <w:sz w:val="26"/>
      <w:szCs w:val="24"/>
    </w:rPr>
  </w:style>
  <w:style w:type="character" w:customStyle="1" w:styleId="265">
    <w:name w:val="批注框文本 Char"/>
    <w:autoRedefine/>
    <w:qFormat/>
    <w:uiPriority w:val="0"/>
    <w:rPr>
      <w:sz w:val="18"/>
      <w:szCs w:val="18"/>
    </w:rPr>
  </w:style>
  <w:style w:type="character" w:customStyle="1" w:styleId="266">
    <w:name w:val="文档结构图 Char"/>
    <w:autoRedefine/>
    <w:qFormat/>
    <w:uiPriority w:val="0"/>
    <w:rPr>
      <w:rFonts w:ascii="宋体"/>
      <w:kern w:val="2"/>
      <w:sz w:val="18"/>
      <w:szCs w:val="18"/>
    </w:rPr>
  </w:style>
  <w:style w:type="character" w:customStyle="1" w:styleId="267">
    <w:name w:val="标题 8 Char2"/>
    <w:link w:val="11"/>
    <w:autoRedefine/>
    <w:qFormat/>
    <w:uiPriority w:val="0"/>
    <w:rPr>
      <w:rFonts w:hAnsi="Arial" w:eastAsia="仿宋_GB2312"/>
      <w:sz w:val="30"/>
      <w:lang w:val="en-US" w:eastAsia="zh-CN" w:bidi="ar-SA"/>
    </w:rPr>
  </w:style>
  <w:style w:type="character" w:customStyle="1" w:styleId="268">
    <w:name w:val="正文文本缩进 3 Char3"/>
    <w:link w:val="36"/>
    <w:autoRedefine/>
    <w:qFormat/>
    <w:uiPriority w:val="0"/>
    <w:rPr>
      <w:rFonts w:ascii="宋体" w:hAnsi="宋体" w:eastAsia="宋体"/>
      <w:kern w:val="2"/>
      <w:sz w:val="28"/>
      <w:szCs w:val="28"/>
      <w:lang w:val="en-US" w:eastAsia="zh-CN" w:bidi="ar-SA"/>
    </w:rPr>
  </w:style>
  <w:style w:type="character" w:customStyle="1" w:styleId="269">
    <w:name w:val="正文文本缩进 Char3"/>
    <w:link w:val="18"/>
    <w:autoRedefine/>
    <w:qFormat/>
    <w:uiPriority w:val="0"/>
    <w:rPr>
      <w:rFonts w:eastAsia="宋体"/>
      <w:kern w:val="2"/>
      <w:sz w:val="21"/>
      <w:szCs w:val="24"/>
      <w:lang w:val="en-US" w:eastAsia="zh-CN" w:bidi="ar-SA"/>
    </w:rPr>
  </w:style>
  <w:style w:type="character" w:customStyle="1" w:styleId="270">
    <w:name w:val="_Style 196"/>
    <w:autoRedefine/>
    <w:qFormat/>
    <w:uiPriority w:val="0"/>
    <w:rPr>
      <w:i/>
      <w:iCs/>
      <w:color w:val="808080"/>
    </w:rPr>
  </w:style>
  <w:style w:type="character" w:customStyle="1" w:styleId="271">
    <w:name w:val="正文文本缩进 2 Char3"/>
    <w:link w:val="26"/>
    <w:autoRedefine/>
    <w:qFormat/>
    <w:uiPriority w:val="0"/>
    <w:rPr>
      <w:rFonts w:eastAsia="宋体"/>
      <w:sz w:val="28"/>
      <w:szCs w:val="24"/>
      <w:lang w:val="en-US" w:eastAsia="zh-CN" w:bidi="ar-SA"/>
    </w:rPr>
  </w:style>
  <w:style w:type="character" w:customStyle="1" w:styleId="272">
    <w:name w:val="标题 7 Char2"/>
    <w:link w:val="10"/>
    <w:autoRedefine/>
    <w:qFormat/>
    <w:uiPriority w:val="0"/>
    <w:rPr>
      <w:rFonts w:eastAsia="仿宋_GB2312"/>
      <w:sz w:val="30"/>
      <w:lang w:val="en-US" w:eastAsia="zh-CN" w:bidi="ar-SA"/>
    </w:rPr>
  </w:style>
  <w:style w:type="character" w:customStyle="1" w:styleId="273">
    <w:name w:val="Char Char13"/>
    <w:autoRedefine/>
    <w:qFormat/>
    <w:uiPriority w:val="0"/>
    <w:rPr>
      <w:kern w:val="2"/>
      <w:sz w:val="18"/>
      <w:szCs w:val="18"/>
    </w:rPr>
  </w:style>
  <w:style w:type="character" w:customStyle="1" w:styleId="274">
    <w:name w:val="正文文本缩进 2 Char1"/>
    <w:autoRedefine/>
    <w:qFormat/>
    <w:uiPriority w:val="0"/>
    <w:rPr>
      <w:sz w:val="28"/>
      <w:szCs w:val="24"/>
    </w:rPr>
  </w:style>
  <w:style w:type="character" w:customStyle="1" w:styleId="275">
    <w:name w:val="Char Char21"/>
    <w:autoRedefine/>
    <w:qFormat/>
    <w:uiPriority w:val="0"/>
    <w:rPr>
      <w:rFonts w:ascii="宋体" w:hAnsi="宋体" w:cs="宋体"/>
      <w:b/>
      <w:bCs/>
      <w:sz w:val="24"/>
      <w:szCs w:val="24"/>
    </w:rPr>
  </w:style>
  <w:style w:type="character" w:customStyle="1" w:styleId="276">
    <w:name w:val="文档结构图 Char1"/>
    <w:autoRedefine/>
    <w:qFormat/>
    <w:uiPriority w:val="0"/>
    <w:rPr>
      <w:rFonts w:ascii="宋体"/>
      <w:kern w:val="2"/>
      <w:sz w:val="18"/>
      <w:szCs w:val="18"/>
    </w:rPr>
  </w:style>
  <w:style w:type="character" w:customStyle="1" w:styleId="277">
    <w:name w:val="标题 Char"/>
    <w:autoRedefine/>
    <w:qFormat/>
    <w:uiPriority w:val="0"/>
    <w:rPr>
      <w:rFonts w:ascii="Cambria" w:hAnsi="Cambria" w:eastAsia="宋体" w:cs="Times New Roman"/>
      <w:b/>
      <w:bCs/>
      <w:kern w:val="2"/>
      <w:sz w:val="32"/>
      <w:szCs w:val="32"/>
    </w:rPr>
  </w:style>
  <w:style w:type="character" w:customStyle="1" w:styleId="278">
    <w:name w:val="_Style 275"/>
    <w:autoRedefine/>
    <w:qFormat/>
    <w:uiPriority w:val="0"/>
    <w:rPr>
      <w:smallCaps/>
      <w:color w:val="C0504D"/>
      <w:u w:val="single"/>
    </w:rPr>
  </w:style>
  <w:style w:type="character" w:customStyle="1" w:styleId="279">
    <w:name w:val="Char Char12"/>
    <w:autoRedefine/>
    <w:qFormat/>
    <w:uiPriority w:val="0"/>
    <w:rPr>
      <w:rFonts w:eastAsia="黑体"/>
      <w:kern w:val="2"/>
      <w:sz w:val="44"/>
      <w:szCs w:val="44"/>
      <w:lang w:val="en-US" w:eastAsia="zh-CN" w:bidi="ar-SA"/>
    </w:rPr>
  </w:style>
  <w:style w:type="character" w:customStyle="1" w:styleId="280">
    <w:name w:val="明显参考1"/>
    <w:autoRedefine/>
    <w:qFormat/>
    <w:uiPriority w:val="0"/>
    <w:rPr>
      <w:b/>
      <w:bCs/>
      <w:smallCaps/>
      <w:color w:val="C0504D"/>
      <w:spacing w:val="5"/>
      <w:u w:val="single"/>
    </w:rPr>
  </w:style>
  <w:style w:type="character" w:customStyle="1" w:styleId="281">
    <w:name w:val="Char Char36"/>
    <w:autoRedefine/>
    <w:qFormat/>
    <w:uiPriority w:val="0"/>
    <w:rPr>
      <w:rFonts w:ascii="仿宋_GB2312" w:eastAsia="仿宋_GB2312" w:cs="MingLiU"/>
      <w:b/>
      <w:sz w:val="24"/>
      <w:szCs w:val="28"/>
    </w:rPr>
  </w:style>
  <w:style w:type="character" w:customStyle="1" w:styleId="282">
    <w:name w:val="批注框文本 Char2"/>
    <w:autoRedefine/>
    <w:qFormat/>
    <w:uiPriority w:val="99"/>
    <w:rPr>
      <w:kern w:val="2"/>
      <w:sz w:val="18"/>
      <w:szCs w:val="18"/>
    </w:rPr>
  </w:style>
  <w:style w:type="character" w:customStyle="1" w:styleId="283">
    <w:name w:val="subhead1"/>
    <w:autoRedefine/>
    <w:qFormat/>
    <w:uiPriority w:val="0"/>
    <w:rPr>
      <w:rFonts w:hint="default" w:ascii="Tahoma" w:hAnsi="Tahoma" w:cs="Tahoma"/>
      <w:color w:val="000000"/>
      <w:sz w:val="18"/>
      <w:szCs w:val="18"/>
      <w:u w:val="none"/>
      <w:shd w:val="clear" w:color="auto" w:fill="FFFFFF"/>
    </w:rPr>
  </w:style>
  <w:style w:type="character" w:customStyle="1" w:styleId="284">
    <w:name w:val="正文文本缩进 3 Char2"/>
    <w:autoRedefine/>
    <w:semiHidden/>
    <w:qFormat/>
    <w:uiPriority w:val="99"/>
    <w:rPr>
      <w:rFonts w:ascii="Calibri" w:hAnsi="Calibri" w:eastAsia="宋体" w:cs="Times New Roman"/>
      <w:sz w:val="16"/>
      <w:szCs w:val="16"/>
    </w:rPr>
  </w:style>
  <w:style w:type="character" w:customStyle="1" w:styleId="285">
    <w:name w:val="纯文本 Char"/>
    <w:autoRedefine/>
    <w:qFormat/>
    <w:uiPriority w:val="0"/>
    <w:rPr>
      <w:rFonts w:ascii="宋体" w:hAnsi="Courier New"/>
      <w:sz w:val="28"/>
      <w:szCs w:val="28"/>
    </w:rPr>
  </w:style>
  <w:style w:type="character" w:customStyle="1" w:styleId="286">
    <w:name w:val="纯文本 Char2"/>
    <w:autoRedefine/>
    <w:semiHidden/>
    <w:qFormat/>
    <w:uiPriority w:val="99"/>
    <w:rPr>
      <w:rFonts w:ascii="宋体" w:hAnsi="Courier New" w:eastAsia="宋体" w:cs="Courier New"/>
      <w:szCs w:val="21"/>
    </w:rPr>
  </w:style>
  <w:style w:type="character" w:customStyle="1" w:styleId="287">
    <w:name w:val="页眉 Char1"/>
    <w:autoRedefine/>
    <w:semiHidden/>
    <w:qFormat/>
    <w:uiPriority w:val="99"/>
    <w:rPr>
      <w:kern w:val="2"/>
      <w:sz w:val="18"/>
      <w:szCs w:val="18"/>
    </w:rPr>
  </w:style>
  <w:style w:type="character" w:customStyle="1" w:styleId="288">
    <w:name w:val="Char Char14"/>
    <w:autoRedefine/>
    <w:qFormat/>
    <w:uiPriority w:val="0"/>
    <w:rPr>
      <w:kern w:val="2"/>
      <w:sz w:val="18"/>
      <w:szCs w:val="18"/>
    </w:rPr>
  </w:style>
  <w:style w:type="character" w:customStyle="1" w:styleId="289">
    <w:name w:val="批注文字 Char3"/>
    <w:link w:val="16"/>
    <w:autoRedefine/>
    <w:qFormat/>
    <w:uiPriority w:val="99"/>
    <w:rPr>
      <w:rFonts w:eastAsia="宋体"/>
      <w:kern w:val="2"/>
      <w:sz w:val="21"/>
      <w:szCs w:val="24"/>
      <w:lang w:val="en-US" w:eastAsia="zh-CN" w:bidi="ar-SA"/>
    </w:rPr>
  </w:style>
  <w:style w:type="character" w:customStyle="1" w:styleId="290">
    <w:name w:val="批注文字 Char Char"/>
    <w:autoRedefine/>
    <w:qFormat/>
    <w:uiPriority w:val="0"/>
    <w:rPr>
      <w:rFonts w:ascii="宋体" w:hAnsi="Times New Roman" w:eastAsia="宋体" w:cs="Times New Roman"/>
      <w:sz w:val="28"/>
      <w:szCs w:val="20"/>
    </w:rPr>
  </w:style>
  <w:style w:type="character" w:customStyle="1" w:styleId="291">
    <w:name w:val="标题 1 Char1"/>
    <w:autoRedefine/>
    <w:qFormat/>
    <w:uiPriority w:val="0"/>
    <w:rPr>
      <w:rFonts w:ascii="Times New Roman" w:hAnsi="Times New Roman" w:eastAsia="宋体" w:cs="Times New Roman"/>
      <w:b/>
      <w:bCs/>
      <w:kern w:val="44"/>
      <w:sz w:val="44"/>
      <w:szCs w:val="44"/>
    </w:rPr>
  </w:style>
  <w:style w:type="character" w:customStyle="1" w:styleId="292">
    <w:name w:val="标题 5 Char2"/>
    <w:link w:val="7"/>
    <w:autoRedefine/>
    <w:qFormat/>
    <w:uiPriority w:val="0"/>
    <w:rPr>
      <w:rFonts w:ascii="宋体" w:hAnsi="宋体" w:eastAsia="宋体" w:cs="宋体"/>
      <w:b/>
      <w:bCs/>
      <w:lang w:val="en-US" w:eastAsia="zh-CN" w:bidi="ar-SA"/>
    </w:rPr>
  </w:style>
  <w:style w:type="character" w:customStyle="1" w:styleId="293">
    <w:name w:val="手改 Char Char"/>
    <w:autoRedefine/>
    <w:qFormat/>
    <w:uiPriority w:val="0"/>
    <w:rPr>
      <w:kern w:val="2"/>
      <w:sz w:val="21"/>
      <w:szCs w:val="24"/>
    </w:rPr>
  </w:style>
  <w:style w:type="character" w:customStyle="1" w:styleId="294">
    <w:name w:val="标题 1 Char2"/>
    <w:link w:val="3"/>
    <w:autoRedefine/>
    <w:qFormat/>
    <w:uiPriority w:val="0"/>
    <w:rPr>
      <w:rFonts w:eastAsia="宋体"/>
      <w:b/>
      <w:bCs/>
      <w:kern w:val="44"/>
      <w:sz w:val="44"/>
      <w:szCs w:val="44"/>
      <w:lang w:val="en-US" w:eastAsia="zh-CN" w:bidi="ar-SA"/>
    </w:rPr>
  </w:style>
  <w:style w:type="character" w:customStyle="1" w:styleId="295">
    <w:name w:val="intel3"/>
    <w:basedOn w:val="47"/>
    <w:autoRedefine/>
    <w:qFormat/>
    <w:uiPriority w:val="0"/>
  </w:style>
  <w:style w:type="character" w:customStyle="1" w:styleId="296">
    <w:name w:val="副标题 Char2"/>
    <w:autoRedefine/>
    <w:qFormat/>
    <w:uiPriority w:val="11"/>
    <w:rPr>
      <w:rFonts w:ascii="Cambria" w:hAnsi="Cambria" w:eastAsia="宋体" w:cs="Times New Roman"/>
      <w:b/>
      <w:bCs/>
      <w:kern w:val="28"/>
      <w:sz w:val="32"/>
      <w:szCs w:val="32"/>
    </w:rPr>
  </w:style>
  <w:style w:type="character" w:customStyle="1" w:styleId="297">
    <w:name w:val="明显引用 Char4"/>
    <w:link w:val="118"/>
    <w:autoRedefine/>
    <w:qFormat/>
    <w:uiPriority w:val="0"/>
    <w:rPr>
      <w:b/>
      <w:bCs/>
      <w:i/>
      <w:iCs/>
      <w:color w:val="4F81BD"/>
      <w:kern w:val="2"/>
      <w:sz w:val="21"/>
      <w:szCs w:val="22"/>
      <w:lang w:bidi="ar-SA"/>
    </w:rPr>
  </w:style>
  <w:style w:type="character" w:customStyle="1" w:styleId="298">
    <w:name w:val="明显引用 Char1"/>
    <w:link w:val="111"/>
    <w:autoRedefine/>
    <w:qFormat/>
    <w:uiPriority w:val="30"/>
    <w:rPr>
      <w:b/>
      <w:bCs/>
      <w:i/>
      <w:iCs/>
      <w:color w:val="4F81BD"/>
      <w:kern w:val="2"/>
      <w:sz w:val="21"/>
    </w:rPr>
  </w:style>
  <w:style w:type="character" w:customStyle="1" w:styleId="299">
    <w:name w:val="HTML 预设格式 Char1"/>
    <w:autoRedefine/>
    <w:qFormat/>
    <w:uiPriority w:val="0"/>
    <w:rPr>
      <w:rFonts w:ascii="宋体" w:hAnsi="宋体" w:cs="宋体"/>
      <w:color w:val="000000"/>
      <w:sz w:val="24"/>
      <w:szCs w:val="24"/>
    </w:rPr>
  </w:style>
  <w:style w:type="character" w:customStyle="1" w:styleId="300">
    <w:name w:val="引用 Char"/>
    <w:link w:val="69"/>
    <w:autoRedefine/>
    <w:qFormat/>
    <w:uiPriority w:val="0"/>
    <w:rPr>
      <w:rFonts w:ascii="Times New Roman" w:hAnsi="Times New Roman" w:eastAsia="宋体" w:cs="Times New Roman"/>
      <w:i/>
      <w:iCs/>
      <w:color w:val="000000"/>
      <w:kern w:val="2"/>
      <w:sz w:val="21"/>
      <w:szCs w:val="24"/>
    </w:rPr>
  </w:style>
  <w:style w:type="character" w:customStyle="1" w:styleId="301">
    <w:name w:val="副标题 Char3"/>
    <w:link w:val="33"/>
    <w:autoRedefine/>
    <w:qFormat/>
    <w:uiPriority w:val="0"/>
    <w:rPr>
      <w:rFonts w:eastAsia="宋体"/>
      <w:szCs w:val="24"/>
      <w:u w:val="single"/>
      <w:lang w:val="en-US" w:eastAsia="en-US" w:bidi="ar-SA"/>
    </w:rPr>
  </w:style>
  <w:style w:type="character" w:customStyle="1" w:styleId="302">
    <w:name w:val="ITTHEADER1 Char"/>
    <w:autoRedefine/>
    <w:qFormat/>
    <w:uiPriority w:val="0"/>
    <w:rPr>
      <w:rFonts w:eastAsia="黑体"/>
      <w:kern w:val="2"/>
      <w:sz w:val="44"/>
      <w:szCs w:val="44"/>
      <w:lang w:val="en-US" w:eastAsia="zh-CN" w:bidi="ar-SA"/>
    </w:rPr>
  </w:style>
  <w:style w:type="character" w:customStyle="1" w:styleId="303">
    <w:name w:val="日期 Char3"/>
    <w:autoRedefine/>
    <w:semiHidden/>
    <w:qFormat/>
    <w:uiPriority w:val="99"/>
    <w:rPr>
      <w:rFonts w:ascii="Calibri" w:hAnsi="Calibri" w:eastAsia="宋体" w:cs="Times New Roman"/>
      <w:szCs w:val="24"/>
    </w:rPr>
  </w:style>
  <w:style w:type="character" w:customStyle="1" w:styleId="304">
    <w:name w:val="纯文本 Char3"/>
    <w:link w:val="23"/>
    <w:autoRedefine/>
    <w:qFormat/>
    <w:uiPriority w:val="0"/>
    <w:rPr>
      <w:rFonts w:ascii="宋体" w:hAnsi="Courier New" w:eastAsia="宋体" w:cs="Courier New"/>
      <w:kern w:val="2"/>
      <w:sz w:val="21"/>
      <w:szCs w:val="21"/>
      <w:lang w:val="en-US" w:eastAsia="zh-CN" w:bidi="ar-SA"/>
    </w:rPr>
  </w:style>
  <w:style w:type="character" w:customStyle="1" w:styleId="305">
    <w:name w:val="批注文字 Char"/>
    <w:autoRedefine/>
    <w:qFormat/>
    <w:uiPriority w:val="0"/>
    <w:rPr>
      <w:rFonts w:ascii="Times New Roman" w:hAnsi="Times New Roman" w:eastAsia="宋体" w:cs="Times New Roman"/>
      <w:kern w:val="2"/>
      <w:sz w:val="21"/>
      <w:szCs w:val="24"/>
    </w:rPr>
  </w:style>
  <w:style w:type="character" w:customStyle="1" w:styleId="306">
    <w:name w:val="Section Char"/>
    <w:autoRedefine/>
    <w:qFormat/>
    <w:uiPriority w:val="0"/>
    <w:rPr>
      <w:rFonts w:ascii="仿宋_GB2312" w:eastAsia="仿宋_GB2312" w:cs="MingLiU"/>
      <w:b/>
      <w:sz w:val="24"/>
      <w:szCs w:val="28"/>
      <w:lang w:val="en-US" w:eastAsia="zh-CN" w:bidi="ar-SA"/>
    </w:rPr>
  </w:style>
  <w:style w:type="character" w:customStyle="1" w:styleId="307">
    <w:name w:val="正文文本 3 Char2"/>
    <w:autoRedefine/>
    <w:semiHidden/>
    <w:qFormat/>
    <w:uiPriority w:val="99"/>
    <w:rPr>
      <w:rFonts w:ascii="Calibri" w:hAnsi="Calibri" w:eastAsia="宋体" w:cs="Times New Roman"/>
      <w:sz w:val="16"/>
      <w:szCs w:val="16"/>
    </w:rPr>
  </w:style>
  <w:style w:type="character" w:customStyle="1" w:styleId="308">
    <w:name w:val="正文文本 3 Char3"/>
    <w:link w:val="17"/>
    <w:autoRedefine/>
    <w:qFormat/>
    <w:uiPriority w:val="0"/>
    <w:rPr>
      <w:rFonts w:eastAsia="宋体"/>
      <w:kern w:val="2"/>
      <w:sz w:val="16"/>
      <w:szCs w:val="16"/>
      <w:lang w:val="en-US" w:eastAsia="zh-CN" w:bidi="ar-SA"/>
    </w:rPr>
  </w:style>
  <w:style w:type="character" w:customStyle="1" w:styleId="309">
    <w:name w:val="普通文字 Char Char1"/>
    <w:autoRedefine/>
    <w:qFormat/>
    <w:uiPriority w:val="0"/>
    <w:rPr>
      <w:rFonts w:ascii="宋体" w:hAnsi="Courier New"/>
      <w:kern w:val="2"/>
      <w:sz w:val="28"/>
      <w:szCs w:val="28"/>
    </w:rPr>
  </w:style>
  <w:style w:type="character" w:customStyle="1" w:styleId="310">
    <w:name w:val="正文文本缩进 Char"/>
    <w:autoRedefine/>
    <w:qFormat/>
    <w:uiPriority w:val="0"/>
    <w:rPr>
      <w:rFonts w:ascii="黑体" w:hAnsi="宋体" w:eastAsia="黑体"/>
      <w:color w:val="000000"/>
      <w:sz w:val="28"/>
      <w:szCs w:val="32"/>
    </w:rPr>
  </w:style>
  <w:style w:type="character" w:customStyle="1" w:styleId="311">
    <w:name w:val="font161"/>
    <w:autoRedefine/>
    <w:qFormat/>
    <w:uiPriority w:val="0"/>
    <w:rPr>
      <w:b/>
      <w:bCs/>
      <w:sz w:val="32"/>
      <w:szCs w:val="32"/>
    </w:rPr>
  </w:style>
  <w:style w:type="paragraph" w:customStyle="1" w:styleId="3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189</Pages>
  <Words>13453</Words>
  <Characters>14680</Characters>
  <Lines>1308</Lines>
  <Paragraphs>368</Paragraphs>
  <TotalTime>6</TotalTime>
  <ScaleCrop>false</ScaleCrop>
  <LinksUpToDate>false</LinksUpToDate>
  <CharactersWithSpaces>15364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2019-12-29T13:15:00Z</dcterms:created>
  <dc:creator>USER</dc:creator>
  <cp:lastModifiedBy>曾春梅</cp:lastModifiedBy>
  <cp:lastPrinted>2023-01-18T04:10:00Z</cp:lastPrinted>
  <dcterms:modified xsi:type="dcterms:W3CDTF">2024-11-01T07:54:05Z</dcterms:modified>
  <dc:title>第一卷</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7848DA2ECB61471FBD68E98E9B876734_13</vt:lpwstr>
  </property>
</Properties>
</file>