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铜梁区太平镇2021年“三公”经费预算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2021年镇级“三公”经费预算为43.2万元，下降6.5%，严格落实了中央八项规定和政府过“紧日子”十条措施相关要求，严控“三公”经费支出预算。其中：因公出国（境）费0万元，公务接待费9万元，公务用车运行维护费16.2万元，公务用车购置18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bidi="ar"/>
              </w:rPr>
              <w:t>铜梁区太平镇2021年“三公”经费支出预算表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43.2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34.2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16.2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9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YTJjMmFlMGM4YjA5YjQ3MzNlNTg0YWNlZDM1MDEifQ=="/>
  </w:docVars>
  <w:rsids>
    <w:rsidRoot w:val="13B83598"/>
    <w:rsid w:val="003620B2"/>
    <w:rsid w:val="00C35677"/>
    <w:rsid w:val="00D55FD3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01517F8"/>
    <w:rsid w:val="46656AE7"/>
    <w:rsid w:val="47B74A85"/>
    <w:rsid w:val="486A59BD"/>
    <w:rsid w:val="4CB83664"/>
    <w:rsid w:val="53511CB7"/>
    <w:rsid w:val="548A0473"/>
    <w:rsid w:val="56633E38"/>
    <w:rsid w:val="62EC20C5"/>
    <w:rsid w:val="64D176C3"/>
    <w:rsid w:val="681405D6"/>
    <w:rsid w:val="6C925AEC"/>
    <w:rsid w:val="6D495973"/>
    <w:rsid w:val="75B32328"/>
    <w:rsid w:val="7A3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220</Words>
  <Characters>249</Characters>
  <Lines>2</Lines>
  <Paragraphs>1</Paragraphs>
  <TotalTime>12</TotalTime>
  <ScaleCrop>false</ScaleCrop>
  <LinksUpToDate>false</LinksUpToDate>
  <CharactersWithSpaces>250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xjj</cp:lastModifiedBy>
  <cp:lastPrinted>2020-01-22T07:18:00Z</cp:lastPrinted>
  <dcterms:modified xsi:type="dcterms:W3CDTF">2022-09-06T02:46:11Z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B1C370AF06D04C0EAF9F17B142D6BEBE</vt:lpwstr>
  </property>
</Properties>
</file>