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pacing w:line="594" w:lineRule="exact"/>
        <w:ind w:firstLine="880" w:firstLineChars="200"/>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重庆市铜梁区太平镇人民政府</w:t>
      </w:r>
    </w:p>
    <w:p>
      <w:pPr>
        <w:keepNext w:val="0"/>
        <w:keepLines w:val="0"/>
        <w:pageBreakBefore w:val="0"/>
        <w:kinsoku/>
        <w:wordWrap/>
        <w:overflowPunct/>
        <w:topLinePunct w:val="0"/>
        <w:autoSpaceDN/>
        <w:bidi w:val="0"/>
        <w:adjustRightInd/>
        <w:spacing w:line="594" w:lineRule="exact"/>
        <w:ind w:firstLine="880" w:firstLineChars="200"/>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2023年度</w:t>
      </w:r>
      <w:r>
        <w:rPr>
          <w:rFonts w:hint="eastAsia" w:ascii="方正小标宋_GBK" w:hAnsi="Times New Roman" w:eastAsia="方正小标宋_GBK" w:cs="Times New Roman"/>
          <w:sz w:val="44"/>
          <w:szCs w:val="44"/>
          <w:lang w:eastAsia="zh-CN"/>
        </w:rPr>
        <w:t>部门</w:t>
      </w:r>
      <w:r>
        <w:rPr>
          <w:rFonts w:hint="eastAsia" w:ascii="方正小标宋_GBK" w:hAnsi="Times New Roman" w:eastAsia="方正小标宋_GBK" w:cs="Times New Roman"/>
          <w:sz w:val="44"/>
          <w:szCs w:val="44"/>
        </w:rPr>
        <w:t>决算公开说明</w:t>
      </w:r>
    </w:p>
    <w:p>
      <w:pPr>
        <w:keepNext w:val="0"/>
        <w:keepLines w:val="0"/>
        <w:pageBreakBefore w:val="0"/>
        <w:kinsoku/>
        <w:wordWrap/>
        <w:overflowPunct/>
        <w:topLinePunct w:val="0"/>
        <w:autoSpaceDN/>
        <w:bidi w:val="0"/>
        <w:adjustRightInd/>
        <w:spacing w:line="594" w:lineRule="exact"/>
        <w:ind w:firstLine="880" w:firstLineChars="200"/>
        <w:jc w:val="center"/>
        <w:textAlignment w:val="auto"/>
        <w:rPr>
          <w:rFonts w:hint="default" w:ascii="方正小标宋_GBK" w:hAnsi="Times New Roman" w:eastAsia="方正小标宋_GBK" w:cs="Times New Roman"/>
          <w:sz w:val="44"/>
          <w:szCs w:val="44"/>
        </w:rPr>
      </w:pPr>
    </w:p>
    <w:p>
      <w:pPr>
        <w:pStyle w:val="14"/>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ind w:left="0" w:leftChars="0" w:firstLine="640" w:firstLineChars="200"/>
        <w:textAlignment w:val="auto"/>
        <w:rPr>
          <w:rFonts w:hint="default" w:ascii="方正黑体_GBK" w:hAnsi="Times New Roman" w:eastAsia="方正黑体_GBK" w:cs="Times New Roman"/>
          <w:sz w:val="32"/>
          <w:szCs w:val="32"/>
        </w:rPr>
      </w:pPr>
      <w:r>
        <w:rPr>
          <w:rFonts w:hint="eastAsia" w:ascii="方正黑体_GBK" w:hAnsi="Times New Roman" w:eastAsia="方正黑体_GBK" w:cs="Times New Roman"/>
          <w:sz w:val="32"/>
          <w:szCs w:val="32"/>
        </w:rPr>
        <w:t>一、部门基本情况</w:t>
      </w:r>
    </w:p>
    <w:p>
      <w:pPr>
        <w:pStyle w:val="4"/>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left"/>
        <w:textAlignment w:val="auto"/>
        <w:rPr>
          <w:rFonts w:hint="default" w:ascii="方正楷体_GBK" w:hAnsi="Calibri" w:eastAsia="方正楷体_GBK" w:cs="Times New Roman"/>
          <w:kern w:val="2"/>
          <w:sz w:val="32"/>
          <w:szCs w:val="32"/>
        </w:rPr>
      </w:pPr>
      <w:r>
        <w:rPr>
          <w:rFonts w:hint="eastAsia" w:ascii="方正楷体_GBK" w:hAnsi="Calibri" w:eastAsia="方正楷体_GBK" w:cs="Times New Roman"/>
          <w:kern w:val="2"/>
          <w:sz w:val="32"/>
          <w:szCs w:val="32"/>
        </w:rPr>
        <w:t>（一）职能职责</w:t>
      </w:r>
    </w:p>
    <w:p>
      <w:pPr>
        <w:keepNext w:val="0"/>
        <w:keepLines w:val="0"/>
        <w:pageBreakBefore w:val="0"/>
        <w:kinsoku/>
        <w:wordWrap/>
        <w:overflowPunct/>
        <w:topLinePunct w:val="0"/>
        <w:autoSpaceDN/>
        <w:bidi w:val="0"/>
        <w:adjustRightInd/>
        <w:snapToGrid w:val="0"/>
        <w:spacing w:beforeAutospacing="0" w:afterAutospacing="0" w:line="594"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1.</w:t>
      </w:r>
      <w:r>
        <w:rPr>
          <w:rFonts w:hint="eastAsia" w:ascii="方正仿宋_GBK" w:eastAsia="方正仿宋_GBK"/>
          <w:sz w:val="32"/>
          <w:szCs w:val="32"/>
        </w:rPr>
        <w:t>贯彻执行党的路线方针政策和国家的法律法规、促进经济社会发展、加强社会管理和公共服务、维护社会和谐稳定，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4"/>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jc w:val="both"/>
        <w:textAlignment w:val="auto"/>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2.</w:t>
      </w:r>
      <w:r>
        <w:rPr>
          <w:rFonts w:hint="eastAsia" w:ascii="方正仿宋_GBK" w:hAnsi="Times New Roman" w:eastAsia="方正仿宋_GBK" w:cs="Times New Roman"/>
          <w:kern w:val="2"/>
          <w:sz w:val="32"/>
          <w:szCs w:val="32"/>
        </w:rPr>
        <w:t>制定并组织实施村镇建设规划，部署重点工程建设，地方道路建设及公共设施，水利设施的管理，负责土地、林木、水等自然资源和生态环境的保护，做好护林防火工作。</w:t>
      </w:r>
    </w:p>
    <w:p>
      <w:pPr>
        <w:pStyle w:val="4"/>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jc w:val="both"/>
        <w:textAlignment w:val="auto"/>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3.</w:t>
      </w:r>
      <w:r>
        <w:rPr>
          <w:rFonts w:hint="eastAsia" w:ascii="方正仿宋_GBK" w:hAnsi="Times New Roman" w:eastAsia="方正仿宋_GBK" w:cs="Times New Roman"/>
          <w:kern w:val="2"/>
          <w:sz w:val="32"/>
          <w:szCs w:val="32"/>
        </w:rPr>
        <w:t>负责本行政区域内的民政、生育、文化教育、卫生、体育等社会公益事业的综合性工作，维护一切经济单位和个人的正当经济权益，取缔非法经济活动，调解和处理民事纠纷，打击刑事犯罪维护社会稳定。</w:t>
      </w:r>
    </w:p>
    <w:p>
      <w:pPr>
        <w:pStyle w:val="4"/>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jc w:val="both"/>
        <w:textAlignment w:val="auto"/>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4.</w:t>
      </w:r>
      <w:r>
        <w:rPr>
          <w:rFonts w:hint="eastAsia" w:ascii="方正仿宋_GBK" w:hAnsi="Times New Roman" w:eastAsia="方正仿宋_GBK" w:cs="Times New Roman"/>
          <w:kern w:val="2"/>
          <w:sz w:val="32"/>
          <w:szCs w:val="32"/>
        </w:rPr>
        <w:t>按计划组织本级财政收入和地方税的征收，完成国家财政计划，不断培植税源，管好财政资金，增强财政实力。</w:t>
      </w:r>
    </w:p>
    <w:p>
      <w:pPr>
        <w:pStyle w:val="4"/>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jc w:val="both"/>
        <w:textAlignment w:val="auto"/>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5.</w:t>
      </w:r>
      <w:r>
        <w:rPr>
          <w:rFonts w:hint="eastAsia" w:ascii="方正仿宋_GBK" w:hAnsi="Times New Roman" w:eastAsia="方正仿宋_GBK" w:cs="Times New Roman"/>
          <w:kern w:val="2"/>
          <w:sz w:val="32"/>
          <w:szCs w:val="32"/>
        </w:rPr>
        <w:t>抓好精神文明建设，丰富群众文化活动，提倡移风易俗，反对封建迷信，破除陈规陋习，树立社会主义新风尚。</w:t>
      </w:r>
    </w:p>
    <w:p>
      <w:pPr>
        <w:pStyle w:val="4"/>
        <w:keepNext w:val="0"/>
        <w:keepLines w:val="0"/>
        <w:pageBreakBefore w:val="0"/>
        <w:kinsoku/>
        <w:wordWrap/>
        <w:overflowPunct/>
        <w:topLinePunct w:val="0"/>
        <w:autoSpaceDN/>
        <w:bidi w:val="0"/>
        <w:adjustRightInd/>
        <w:spacing w:before="0" w:beforeAutospacing="0" w:after="0" w:afterAutospacing="0" w:line="594" w:lineRule="exact"/>
        <w:ind w:firstLine="640" w:firstLineChars="200"/>
        <w:jc w:val="both"/>
        <w:textAlignment w:val="auto"/>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6.</w:t>
      </w:r>
      <w:r>
        <w:rPr>
          <w:rFonts w:hint="eastAsia" w:ascii="方正仿宋_GBK" w:hAnsi="Times New Roman" w:eastAsia="方正仿宋_GBK" w:cs="Times New Roman"/>
          <w:kern w:val="2"/>
          <w:sz w:val="32"/>
          <w:szCs w:val="32"/>
        </w:rPr>
        <w:t>完成上级政府交办的其他事项。</w:t>
      </w:r>
    </w:p>
    <w:p>
      <w:pPr>
        <w:pStyle w:val="4"/>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left"/>
        <w:textAlignment w:val="auto"/>
        <w:rPr>
          <w:rFonts w:hint="default" w:ascii="方正楷体_GBK" w:hAnsi="Calibri" w:eastAsia="方正楷体_GBK" w:cs="Times New Roman"/>
          <w:kern w:val="2"/>
          <w:sz w:val="32"/>
          <w:szCs w:val="32"/>
        </w:rPr>
      </w:pPr>
      <w:r>
        <w:rPr>
          <w:rFonts w:hint="eastAsia" w:ascii="方正楷体_GBK" w:hAnsi="Calibri" w:eastAsia="方正楷体_GBK" w:cs="Times New Roman"/>
          <w:kern w:val="2"/>
          <w:sz w:val="32"/>
          <w:szCs w:val="32"/>
        </w:rPr>
        <w:t>（二）机构设置</w:t>
      </w:r>
    </w:p>
    <w:p>
      <w:pPr>
        <w:keepNext w:val="0"/>
        <w:keepLines w:val="0"/>
        <w:pageBreakBefore w:val="0"/>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eastAsia="方正仿宋_GBK"/>
          <w:sz w:val="32"/>
          <w:szCs w:val="32"/>
        </w:rPr>
        <w:t>重庆市铜梁区太平镇人民政府含9个内设机构和7个事业单位。其中9个内设机构，分别为：党政办公室、党群工作办公室、经济发展办公室、民政和社会事务办公室、平安建设办公室、规划建设管理环保办公室、财政办公室、应急管理办公室、人大办公室；事业单位7个，具体为：综合行政执法大队、农业服务中心、文化服务中心、乡村产业培育中心、乡村生态治理中心、退役军人服务站、劳动就业和社会保障服务所。</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sz w:val="32"/>
          <w:szCs w:val="32"/>
        </w:rPr>
      </w:pPr>
      <w:r>
        <w:rPr>
          <w:rFonts w:hint="eastAsia" w:ascii="方正黑体_GBK" w:hAnsi="Times New Roman" w:eastAsia="方正黑体_GBK" w:cs="Times New Roman"/>
          <w:kern w:val="2"/>
          <w:sz w:val="32"/>
          <w:szCs w:val="32"/>
          <w:lang w:val="en-US" w:eastAsia="zh-CN" w:bidi="ar-SA"/>
        </w:rPr>
        <w:t>二、部门决算情况说明</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ascii="楷体" w:hAnsi="楷体" w:eastAsia="楷体" w:cs="楷体"/>
          <w:b/>
          <w:bCs/>
          <w:sz w:val="32"/>
          <w:szCs w:val="32"/>
          <w:shd w:val="clear" w:color="auto" w:fill="FFFFFF"/>
        </w:rPr>
      </w:pPr>
      <w:r>
        <w:rPr>
          <w:rFonts w:hint="eastAsia" w:ascii="方正楷体_GBK" w:hAnsi="Calibri" w:eastAsia="方正楷体_GBK" w:cs="Times New Roman"/>
          <w:kern w:val="2"/>
          <w:sz w:val="32"/>
          <w:szCs w:val="32"/>
          <w:lang w:val="en-US" w:eastAsia="zh-CN" w:bidi="ar-SA"/>
        </w:rPr>
        <w:t>（一）收入支出决算总体情况说明。</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1.总体情况。2023年度收入总计4280.26万元，支出总计4280.26万元。收支较上年决算数增加879.98万元，增长25.88%，主要原因是今年上级对我镇项目补助增多，主要用于如泥结石路硬化项目、集体经济兔场建设项目、四好公路建设、5+2乡村振兴试点建设项目、特色小城镇项目。</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2.收入情况。2023年度收入合计4280.26万元，较上年决算数增加879.98万元，增长25.88%，主要原因是今年上级对我镇项目补助增多，主要用于如泥结石路硬化项目、集体经济兔场建设项目、四好公路建设、5+2乡村振兴试点建设项目、特色小城镇项目。其中：财政拨款收入4280.26万元，占100.0%；事业收入</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万元，占0.0%；经营收入</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万元，占0.0%；其他收入</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万元，占0.0%。此外，使用非财政拨款结余和专用结余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万元，年初结转和结余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3.支出情况。2023年度支出合计4280.26万元，较上年决算数增加879.98万元，增长25.88%，主要原因是今年上级对我镇项目补助增多，主要用于如泥结石路硬化项目、集体经济兔场建设项目、四好公路建设、5+2乡村振兴试点建设项目、特色小城镇项目。其中：基本支出1866.54万元，占43.61%；项目支出2413.73万元，占56.39%；经营支出</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万元，占0.0%。此外，结余分配</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4.结转结余情况。2023年度年末结转和结余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万元，较上年决算数无增减。</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（二）财政拨款收入支出决算总体情况说明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2023年度财政拨款收、支总计4280.26万元。与2022年相比，财政拨款收、支总计各增加879.98万元，增长25.88%。主要原因是今年上级对我镇项目补助增多，主要用于如泥结石路硬化项目、集体经济兔场建设项目、四好公路建设、5+2乡村振兴试点建设项目、特色小城镇项目。</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（三）一般公共预算财政拨款收入支出决算情况说明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1.收入情况。2023年度一般公共预算财政拨款收入3659.94万元，较上年决算数增加861.14万元，增长30.77%。主要原因是今年上级对我镇各项项目补助增多，主要用于如泥结石路硬化项目、集体经济兔场建设项目、四好公路建设等。较年初预算数增加932.43万元，增长34.19%。主要原因是今年上级对我镇各项项目补助增多，主要用于如泥结石路硬化项目、集体经济兔场建设项目、四好公路建设等。此外，年初财政拨款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2.支出情况。2023年度一般公共预算财政拨款支出3659.94万元，较上年决算数增加861.14万元，增长30.77%。主要原因是今年上级对我镇各项项目补助增多，主要用于如泥结石路硬化项目、集体经济兔场建设项目、四好公路建设等。较年初预算数增加932.43万元，增长34.19%。主要原因是今年上级对我镇各项项目补助增多，主要用于如泥结石路硬化项目、集体经济兔场建设项目、四好公路建设等。</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3.结转结余情况。2023年度年末一般公共预算财政拨款结转和结余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万元，较上年决算数无增减。</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hint="eastAsia" w:ascii="方正仿宋_GBK" w:eastAsia="方正仿宋_GBK" w:hAnsiTheme="minorHAnsi" w:cstheme="minorBidi"/>
          <w:kern w:val="2"/>
          <w:sz w:val="32"/>
          <w:szCs w:val="32"/>
          <w:lang w:val="en-US" w:eastAsia="zh-CN" w:bidi="ar-SA"/>
        </w:rPr>
        <w:t>4.比较情况。本部门2023年度一般公共预算财政拨款支出主要用于以下几个方面：</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（1）一般公共服务支出922.5万元，占25.21%，较年初预算数增加186.54万元，增长25.35%，主要原因是本年度保工资、保运转经费增加，物价上涨导致公用经费有一定增加。</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color w:val="FF0000"/>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（2）科学技术支出5万元，占0.14%，较年初预算数增加5万元，增长100.0%，主要原因是</w:t>
      </w:r>
      <w:r>
        <w:rPr>
          <w:rFonts w:hint="eastAsia" w:ascii="方正仿宋_GBK" w:eastAsia="方正仿宋_GBK" w:cstheme="minorBidi"/>
          <w:kern w:val="2"/>
          <w:sz w:val="32"/>
          <w:szCs w:val="32"/>
          <w:lang w:val="en-US" w:eastAsia="zh-CN" w:bidi="ar-SA"/>
        </w:rPr>
        <w:t>科普宣传费用增加。</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（3）文化旅游体育与传媒支出65.89万元，占1.8%，较年初预算数增加60.89万元，增长1217.8%，主要原因是本年度保工资、保运转经费增加，文化活动经费增加。</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（4）社会保障与就业支出409.79万元，占11.2%，较年初预算数增加157.55万元，增长62.46%，主要原因是本年度调资增加，社保缴费增加。</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（5）卫生健康支出88.69万元，占2.42%，较年初预算数减少21.48万元，下降19.5%，主要原因是本年度调资增加，医疗保险缴费增加，卫生医疗支出增加。</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（6）节能环保支出132.44万元，占3.62%，较年初预算数减少2.56万元，下降1.9%，主要原因是节能环保安排项目支出减少。</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（7）城乡社区支出439万元，占11.99%，较年初预算数增加312万元，增长245.67%，主要原因是城乡社区安排项目支出增加。</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（8）农林水支出1300.45万元，占35.53%，较年初预算数增加83.48万元，增长6.86%，主要原因是农林水安排项目支出增加。</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（9）交通运输支出155.56万元，占4.25%，较年初预算数增加97.56万元，增长168.21%，主要原因是</w:t>
      </w:r>
      <w:r>
        <w:rPr>
          <w:rFonts w:hint="eastAsia" w:ascii="方正仿宋_GBK" w:eastAsia="方正仿宋_GBK" w:cstheme="minorBidi"/>
          <w:kern w:val="2"/>
          <w:sz w:val="32"/>
          <w:szCs w:val="32"/>
          <w:lang w:val="en-US" w:eastAsia="zh-CN" w:bidi="ar-SA"/>
        </w:rPr>
        <w:t>四好公路</w:t>
      </w:r>
      <w:r>
        <w:rPr>
          <w:rFonts w:hint="eastAsia" w:ascii="方正仿宋_GBK" w:eastAsia="方正仿宋_GBK" w:hAnsiTheme="minorHAnsi" w:cstheme="minorBidi"/>
          <w:kern w:val="2"/>
          <w:sz w:val="32"/>
          <w:szCs w:val="32"/>
          <w:lang w:val="en-US" w:eastAsia="zh-CN" w:bidi="ar-SA"/>
        </w:rPr>
        <w:t>项目支出增加。</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（10）住房保障支出87.15万元，占2.38%，较年初预算数无增减，主要原因是本年度调资增加，住房公积金相应增加。</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（11）灾害防治及应急管理支出53.47万元，占1.46%，较年初预算数增加53.47万元，增长100.0%，主要原因是防汛救灾、抗旱救灾等灾害防治及应急管理支出增加。</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（四）一般公共预算财政拨款基本支出决算情况说明</w:t>
      </w:r>
    </w:p>
    <w:p>
      <w:pPr>
        <w:pStyle w:val="4"/>
        <w:keepNext w:val="0"/>
        <w:keepLines w:val="0"/>
        <w:pageBreakBefore w:val="0"/>
        <w:widowControl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1866.54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1532.84</w:t>
      </w:r>
      <w:r>
        <w:rPr>
          <w:rFonts w:ascii="方正仿宋_GBK" w:hAnsi="方正仿宋_GBK" w:eastAsia="方正仿宋_GBK" w:cs="方正仿宋_GBK"/>
          <w:sz w:val="32"/>
          <w:szCs w:val="32"/>
          <w:shd w:val="clear" w:color="auto" w:fill="FFFFFF"/>
        </w:rPr>
        <w:t>万元，较上年决算数增加195.86万元，增长14.65%，主要原因是</w:t>
      </w:r>
      <w:r>
        <w:rPr>
          <w:rFonts w:hint="eastAsia" w:ascii="方正仿宋_GBK" w:hAnsi="Calibri" w:eastAsia="方正仿宋_GBK" w:cs="Times New Roman"/>
          <w:kern w:val="2"/>
          <w:sz w:val="32"/>
          <w:szCs w:val="32"/>
        </w:rPr>
        <w:t>人员</w:t>
      </w:r>
      <w:r>
        <w:rPr>
          <w:rFonts w:hint="eastAsia" w:ascii="方正仿宋_GBK" w:hAnsi="Calibri" w:eastAsia="方正仿宋_GBK" w:cs="Times New Roman"/>
          <w:kern w:val="2"/>
          <w:sz w:val="32"/>
          <w:szCs w:val="32"/>
          <w:lang w:eastAsia="zh-CN"/>
        </w:rPr>
        <w:t>增加</w:t>
      </w:r>
      <w:r>
        <w:rPr>
          <w:rFonts w:hint="eastAsia" w:ascii="方正仿宋_GBK" w:hAnsi="Calibri" w:eastAsia="方正仿宋_GBK" w:cs="Times New Roman"/>
          <w:kern w:val="2"/>
          <w:sz w:val="32"/>
          <w:szCs w:val="32"/>
        </w:rPr>
        <w:t>，导致人员经费</w:t>
      </w:r>
      <w:r>
        <w:rPr>
          <w:rFonts w:hint="eastAsia" w:ascii="方正仿宋_GBK" w:hAnsi="Calibri" w:eastAsia="方正仿宋_GBK" w:cs="Times New Roman"/>
          <w:kern w:val="2"/>
          <w:sz w:val="32"/>
          <w:szCs w:val="32"/>
          <w:lang w:eastAsia="zh-CN"/>
        </w:rPr>
        <w:t>增加</w:t>
      </w:r>
      <w:r>
        <w:rPr>
          <w:rFonts w:ascii="方正仿宋_GBK" w:hAnsi="Calibri" w:eastAsia="方正仿宋_GBK" w:cs="Times New Roman"/>
          <w:kern w:val="2"/>
          <w:sz w:val="32"/>
          <w:szCs w:val="32"/>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Calibri" w:eastAsia="方正仿宋_GBK" w:cs="Times New Roman"/>
          <w:kern w:val="2"/>
          <w:sz w:val="32"/>
          <w:szCs w:val="32"/>
        </w:rPr>
        <w:t>基本工资、津贴补贴、绩效工资、奖金、社会保障缴费、住房公积金、应休未休假报酬等</w:t>
      </w:r>
      <w:r>
        <w:rPr>
          <w:rFonts w:ascii="方正仿宋_GBK" w:hAnsi="Calibri" w:eastAsia="方正仿宋_GBK" w:cs="Times New Roman"/>
          <w:kern w:val="2"/>
          <w:sz w:val="32"/>
          <w:szCs w:val="32"/>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333.69</w:t>
      </w:r>
      <w:r>
        <w:rPr>
          <w:rFonts w:ascii="方正仿宋_GBK" w:hAnsi="方正仿宋_GBK" w:eastAsia="方正仿宋_GBK" w:cs="方正仿宋_GBK"/>
          <w:sz w:val="32"/>
          <w:szCs w:val="32"/>
          <w:shd w:val="clear" w:color="auto" w:fill="FFFFFF"/>
        </w:rPr>
        <w:t>万元，较上年决算数减少82.68万元，下降19.86%，主要原因是</w:t>
      </w:r>
      <w:r>
        <w:rPr>
          <w:rFonts w:hint="eastAsia" w:ascii="方正仿宋_GBK" w:hAnsi="方正仿宋_GBK" w:eastAsia="方正仿宋_GBK" w:cs="方正仿宋_GBK"/>
          <w:sz w:val="32"/>
          <w:szCs w:val="32"/>
          <w:shd w:val="clear" w:color="auto" w:fill="FFFFFF"/>
          <w:lang w:eastAsia="zh-CN"/>
        </w:rPr>
        <w:t>落实过紧日子要求，</w:t>
      </w:r>
      <w:r>
        <w:rPr>
          <w:rFonts w:hint="eastAsia" w:ascii="方正仿宋_GBK" w:hAnsi="Calibri" w:eastAsia="方正仿宋_GBK" w:cs="Times New Roman"/>
          <w:kern w:val="2"/>
          <w:sz w:val="32"/>
          <w:szCs w:val="32"/>
        </w:rPr>
        <w:t>厉行节约</w:t>
      </w:r>
      <w:r>
        <w:rPr>
          <w:rFonts w:hint="eastAsia" w:ascii="方正仿宋_GBK" w:hAnsi="Calibri" w:eastAsia="方正仿宋_GBK" w:cs="Times New Roman"/>
          <w:kern w:val="2"/>
          <w:sz w:val="32"/>
          <w:szCs w:val="32"/>
          <w:lang w:eastAsia="zh-CN"/>
        </w:rPr>
        <w:t>，从严控制和压缩“三公”经费支出。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Calibri" w:eastAsia="方正仿宋_GBK" w:cs="Times New Roman"/>
          <w:kern w:val="2"/>
          <w:sz w:val="32"/>
          <w:szCs w:val="32"/>
        </w:rPr>
        <w:t>办公费、印刷费、咨询费、水费、电费、邮电费、差旅费、维修（护）费、公务接待费、劳务费、工会经费、其他交通费等。</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（五）政府性基金预算收支决算情况说明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万元，年末结转结余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620.32</w:t>
      </w:r>
      <w:r>
        <w:rPr>
          <w:rFonts w:ascii="方正仿宋_GBK" w:hAnsi="方正仿宋_GBK" w:eastAsia="方正仿宋_GBK" w:cs="方正仿宋_GBK"/>
          <w:sz w:val="32"/>
          <w:szCs w:val="32"/>
          <w:shd w:val="clear" w:color="auto" w:fill="FFFFFF"/>
        </w:rPr>
        <w:t>万元，较上年决算数增加18.84万元，增长3.13%，主要原因是</w:t>
      </w:r>
      <w:r>
        <w:rPr>
          <w:rFonts w:hint="eastAsia" w:ascii="方正仿宋_GBK" w:hAnsi="Calibri" w:eastAsia="方正仿宋_GBK" w:cs="Times New Roman"/>
          <w:kern w:val="2"/>
          <w:sz w:val="32"/>
          <w:szCs w:val="32"/>
        </w:rPr>
        <w:t>特色小城镇项目、</w:t>
      </w:r>
      <w:r>
        <w:rPr>
          <w:rFonts w:hint="eastAsia" w:ascii="方正仿宋_GBK" w:hAnsi="Calibri" w:eastAsia="方正仿宋_GBK" w:cs="Times New Roman"/>
          <w:kern w:val="2"/>
          <w:sz w:val="32"/>
          <w:szCs w:val="32"/>
          <w:lang w:eastAsia="zh-CN"/>
        </w:rPr>
        <w:t>巩固拓展</w:t>
      </w:r>
      <w:r>
        <w:rPr>
          <w:rFonts w:hint="eastAsia" w:ascii="方正仿宋_GBK" w:hAnsi="Calibri" w:eastAsia="方正仿宋_GBK" w:cs="Times New Roman"/>
          <w:kern w:val="2"/>
          <w:sz w:val="32"/>
          <w:szCs w:val="32"/>
        </w:rPr>
        <w:t>脱贫攻坚</w:t>
      </w:r>
      <w:r>
        <w:rPr>
          <w:rFonts w:hint="eastAsia" w:ascii="方正仿宋_GBK" w:hAnsi="Calibri" w:eastAsia="方正仿宋_GBK" w:cs="Times New Roman"/>
          <w:kern w:val="2"/>
          <w:sz w:val="32"/>
          <w:szCs w:val="32"/>
          <w:lang w:eastAsia="zh-CN"/>
        </w:rPr>
        <w:t>成果</w:t>
      </w:r>
      <w:r>
        <w:rPr>
          <w:rFonts w:hint="eastAsia" w:ascii="方正仿宋_GBK" w:hAnsi="Calibri" w:eastAsia="方正仿宋_GBK" w:cs="Times New Roman"/>
          <w:kern w:val="2"/>
          <w:sz w:val="32"/>
          <w:szCs w:val="32"/>
        </w:rPr>
        <w:t>与乡村振兴有效衔接项目增加</w:t>
      </w:r>
      <w:r>
        <w:rPr>
          <w:rFonts w:ascii="方正仿宋_GBK" w:hAnsi="Calibri" w:eastAsia="方正仿宋_GBK" w:cs="Times New Roman"/>
          <w:kern w:val="2"/>
          <w:sz w:val="32"/>
          <w:szCs w:val="32"/>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620.32</w:t>
      </w:r>
      <w:r>
        <w:rPr>
          <w:rFonts w:ascii="方正仿宋_GBK" w:hAnsi="方正仿宋_GBK" w:eastAsia="方正仿宋_GBK" w:cs="方正仿宋_GBK"/>
          <w:sz w:val="32"/>
          <w:szCs w:val="32"/>
          <w:shd w:val="clear" w:color="auto" w:fill="FFFFFF"/>
        </w:rPr>
        <w:t>万元，较上年决算数增加18.84万元，增长3.13%，主要原因是</w:t>
      </w:r>
      <w:r>
        <w:rPr>
          <w:rFonts w:hint="eastAsia" w:ascii="方正仿宋_GBK" w:hAnsi="Calibri" w:eastAsia="方正仿宋_GBK" w:cs="Times New Roman"/>
          <w:kern w:val="2"/>
          <w:sz w:val="32"/>
          <w:szCs w:val="32"/>
        </w:rPr>
        <w:t>特色小城镇项目、</w:t>
      </w:r>
      <w:r>
        <w:rPr>
          <w:rFonts w:hint="eastAsia" w:ascii="方正仿宋_GBK" w:hAnsi="Calibri" w:eastAsia="方正仿宋_GBK" w:cs="Times New Roman"/>
          <w:kern w:val="2"/>
          <w:sz w:val="32"/>
          <w:szCs w:val="32"/>
          <w:lang w:eastAsia="zh-CN"/>
        </w:rPr>
        <w:t>巩固拓展</w:t>
      </w:r>
      <w:r>
        <w:rPr>
          <w:rFonts w:hint="eastAsia" w:ascii="方正仿宋_GBK" w:hAnsi="Calibri" w:eastAsia="方正仿宋_GBK" w:cs="Times New Roman"/>
          <w:kern w:val="2"/>
          <w:sz w:val="32"/>
          <w:szCs w:val="32"/>
        </w:rPr>
        <w:t>脱贫攻坚</w:t>
      </w:r>
      <w:r>
        <w:rPr>
          <w:rFonts w:hint="eastAsia" w:ascii="方正仿宋_GBK" w:hAnsi="Calibri" w:eastAsia="方正仿宋_GBK" w:cs="Times New Roman"/>
          <w:kern w:val="2"/>
          <w:sz w:val="32"/>
          <w:szCs w:val="32"/>
          <w:lang w:eastAsia="zh-CN"/>
        </w:rPr>
        <w:t>成果</w:t>
      </w:r>
      <w:r>
        <w:rPr>
          <w:rFonts w:hint="eastAsia" w:ascii="方正仿宋_GBK" w:hAnsi="Calibri" w:eastAsia="方正仿宋_GBK" w:cs="Times New Roman"/>
          <w:kern w:val="2"/>
          <w:sz w:val="32"/>
          <w:szCs w:val="32"/>
        </w:rPr>
        <w:t>与乡村振兴有效衔接项目增加</w:t>
      </w:r>
      <w:r>
        <w:rPr>
          <w:rFonts w:ascii="方正仿宋_GBK" w:hAnsi="Calibri" w:eastAsia="方正仿宋_GBK" w:cs="Times New Roman"/>
          <w:kern w:val="2"/>
          <w:sz w:val="32"/>
          <w:szCs w:val="32"/>
        </w:rPr>
        <w:t>。</w:t>
      </w:r>
      <w:bookmarkStart w:id="0" w:name="_GoBack"/>
      <w:bookmarkEnd w:id="0"/>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（六）国有资本经营预算财政拨款支出决算情况说明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本部门2023年度无国有资本经营预算财政拨款支出。</w:t>
      </w:r>
    </w:p>
    <w:p>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三、“三公”经费情况说明</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firstLineChars="200"/>
        <w:textAlignment w:val="auto"/>
        <w:rPr>
          <w:rFonts w:hint="eastAsia" w:ascii="方正楷体_GBK" w:hAnsi="Calibri" w:eastAsia="方正楷体_GBK" w:cs="Times New Roman"/>
          <w:kern w:val="2"/>
          <w:sz w:val="32"/>
          <w:szCs w:val="32"/>
          <w:lang w:val="en-US" w:eastAsia="zh-CN" w:bidi="ar-SA"/>
        </w:rPr>
      </w:pPr>
      <w:r>
        <w:rPr>
          <w:rFonts w:hint="eastAsia" w:ascii="楷体" w:hAnsi="楷体" w:eastAsia="楷体" w:cs="楷体"/>
          <w:b/>
          <w:bCs/>
          <w:sz w:val="32"/>
          <w:szCs w:val="32"/>
          <w:shd w:val="clear" w:color="auto" w:fill="FFFFFF"/>
        </w:rPr>
        <w:t xml:space="preserve"> </w:t>
      </w:r>
      <w:r>
        <w:rPr>
          <w:rFonts w:hint="eastAsia" w:ascii="方正楷体_GBK" w:hAnsi="Calibri" w:eastAsia="方正楷体_GBK" w:cs="Times New Roman"/>
          <w:kern w:val="2"/>
          <w:sz w:val="32"/>
          <w:szCs w:val="32"/>
          <w:lang w:val="en-US" w:eastAsia="zh-CN" w:bidi="ar-SA"/>
        </w:rPr>
        <w:t>（一）“三公”经费支出总体情况说明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2023年度“三公”经费支出共计4.37万元，较年初预算数减少8.43万元，下降65.86%，主要原因是</w:t>
      </w:r>
      <w:r>
        <w:rPr>
          <w:rFonts w:hint="eastAsia" w:ascii="方正仿宋_GBK" w:hAnsi="方正仿宋_GBK" w:eastAsia="方正仿宋_GBK" w:cs="方正仿宋_GBK"/>
          <w:sz w:val="32"/>
          <w:szCs w:val="32"/>
          <w:shd w:val="clear" w:color="auto" w:fill="FFFFFF"/>
          <w:lang w:eastAsia="zh-CN"/>
        </w:rPr>
        <w:t>落实过紧日子要求，</w:t>
      </w:r>
      <w:r>
        <w:rPr>
          <w:rFonts w:hint="eastAsia" w:ascii="方正仿宋_GBK" w:hAnsi="方正仿宋_GBK" w:eastAsia="方正仿宋_GBK" w:cs="方正仿宋_GBK"/>
          <w:sz w:val="32"/>
          <w:szCs w:val="32"/>
          <w:shd w:val="clear" w:color="auto" w:fill="FFFFFF"/>
        </w:rPr>
        <w:t>厉行节约</w:t>
      </w:r>
      <w:r>
        <w:rPr>
          <w:rFonts w:hint="eastAsia" w:ascii="方正仿宋_GBK" w:hAnsi="方正仿宋_GBK" w:eastAsia="方正仿宋_GBK" w:cs="方正仿宋_GBK"/>
          <w:sz w:val="32"/>
          <w:szCs w:val="32"/>
          <w:shd w:val="clear" w:color="auto" w:fill="FFFFFF"/>
          <w:lang w:eastAsia="zh-CN"/>
        </w:rPr>
        <w:t>，从严控制和压缩“三公”经费支出。</w:t>
      </w:r>
      <w:r>
        <w:rPr>
          <w:rFonts w:ascii="方正仿宋_GBK" w:hAnsi="方正仿宋_GBK" w:eastAsia="方正仿宋_GBK" w:cs="方正仿宋_GBK"/>
          <w:sz w:val="32"/>
          <w:szCs w:val="32"/>
          <w:shd w:val="clear" w:color="auto" w:fill="FFFFFF"/>
        </w:rPr>
        <w:t>较上年支出数减少6.8万元，下降60.88%，主要原因是</w:t>
      </w:r>
      <w:r>
        <w:rPr>
          <w:rFonts w:hint="eastAsia" w:ascii="方正仿宋_GBK" w:hAnsi="方正仿宋_GBK" w:eastAsia="方正仿宋_GBK" w:cs="方正仿宋_GBK"/>
          <w:sz w:val="32"/>
          <w:szCs w:val="32"/>
          <w:shd w:val="clear" w:color="auto" w:fill="FFFFFF"/>
          <w:lang w:eastAsia="zh-CN"/>
        </w:rPr>
        <w:t>落实过紧日子要求，</w:t>
      </w:r>
      <w:r>
        <w:rPr>
          <w:rFonts w:hint="eastAsia" w:ascii="方正仿宋_GBK" w:hAnsi="方正仿宋_GBK" w:eastAsia="方正仿宋_GBK" w:cs="方正仿宋_GBK"/>
          <w:sz w:val="32"/>
          <w:szCs w:val="32"/>
          <w:shd w:val="clear" w:color="auto" w:fill="FFFFFF"/>
        </w:rPr>
        <w:t>厉行节约</w:t>
      </w:r>
      <w:r>
        <w:rPr>
          <w:rFonts w:hint="eastAsia" w:ascii="方正仿宋_GBK" w:hAnsi="方正仿宋_GBK" w:eastAsia="方正仿宋_GBK" w:cs="方正仿宋_GBK"/>
          <w:sz w:val="32"/>
          <w:szCs w:val="32"/>
          <w:shd w:val="clear" w:color="auto" w:fill="FFFFFF"/>
          <w:lang w:eastAsia="zh-CN"/>
        </w:rPr>
        <w:t>，从严控制和压缩“三公”经费支出。</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（二）“三公”经费分项支出情况</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w:t>
      </w:r>
      <w:r>
        <w:rPr>
          <w:rFonts w:hint="eastAsia" w:ascii="方正仿宋_GBK" w:hAnsi="方正仿宋_GBK" w:eastAsia="方正仿宋_GBK" w:cs="方正仿宋_GBK"/>
          <w:sz w:val="32"/>
          <w:szCs w:val="32"/>
          <w:shd w:val="clear" w:color="auto" w:fill="FFFFFF"/>
          <w:lang w:val="en-US" w:eastAsia="zh-CN"/>
        </w:rPr>
        <w:t>本单位因公出国（境）费用0万元，费用支出较年初预算数增加0万元，增长0.0%。较上年支出数增加0万元，增长0.0%。2023年度我单位无因公出国（境）支出，与上年度决算数持平</w:t>
      </w:r>
      <w:r>
        <w:rPr>
          <w:rFonts w:hint="eastAsia" w:ascii="方正仿宋_GBK" w:hAnsi="方正仿宋_GBK" w:eastAsia="方正仿宋_GBK" w:cs="方正仿宋_GBK"/>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rPr>
        <w:t>本单位</w:t>
      </w:r>
      <w:r>
        <w:rPr>
          <w:rFonts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费用支出较年初预算数增加0万元，增长0.0%。较上年支出数增加0万元，增长0.0%。2023年度我单位无</w:t>
      </w:r>
      <w:r>
        <w:rPr>
          <w:rFonts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hAnsi="方正仿宋_GBK" w:eastAsia="方正仿宋_GBK" w:cs="方正仿宋_GBK"/>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公务车运行维护费4.37万元，主要用于</w:t>
      </w:r>
      <w:r>
        <w:rPr>
          <w:rFonts w:hint="eastAsia" w:ascii="方正仿宋_GBK" w:hAnsi="方正仿宋_GBK" w:eastAsia="方正仿宋_GBK" w:cs="方正仿宋_GBK"/>
          <w:sz w:val="32"/>
          <w:szCs w:val="32"/>
          <w:shd w:val="clear" w:color="auto" w:fill="FFFFFF"/>
        </w:rPr>
        <w:t>机要文件交换、区内因公出行、各种业务检查、应急处突等工作所需车辆的燃料费、维修费、过桥过路费、洗车停车费、保险费等</w:t>
      </w:r>
      <w:r>
        <w:rPr>
          <w:rFonts w:ascii="方正仿宋_GBK" w:hAnsi="方正仿宋_GBK" w:eastAsia="方正仿宋_GBK" w:cs="方正仿宋_GBK"/>
          <w:sz w:val="32"/>
          <w:szCs w:val="32"/>
          <w:shd w:val="clear" w:color="auto" w:fill="FFFFFF"/>
        </w:rPr>
        <w:t>。费用支出较年初预算数减少6.43万元，下降59.54%，主要原因是</w:t>
      </w:r>
      <w:r>
        <w:rPr>
          <w:rFonts w:hint="eastAsia" w:ascii="方正仿宋_GBK" w:hAnsi="方正仿宋_GBK" w:eastAsia="方正仿宋_GBK" w:cs="方正仿宋_GBK"/>
          <w:sz w:val="32"/>
          <w:szCs w:val="32"/>
          <w:shd w:val="clear" w:color="auto" w:fill="FFFFFF"/>
        </w:rPr>
        <w:t>厉行节约，压缩了公务车运行维护费。</w:t>
      </w:r>
      <w:r>
        <w:rPr>
          <w:rFonts w:ascii="方正仿宋_GBK" w:hAnsi="方正仿宋_GBK" w:eastAsia="方正仿宋_GBK" w:cs="方正仿宋_GBK"/>
          <w:sz w:val="32"/>
          <w:szCs w:val="32"/>
          <w:shd w:val="clear" w:color="auto" w:fill="FFFFFF"/>
        </w:rPr>
        <w:t>较上年支出数减少6.35万元，下降59.24%，主要原因是</w:t>
      </w:r>
      <w:r>
        <w:rPr>
          <w:rFonts w:hint="eastAsia" w:ascii="方正仿宋_GBK" w:hAnsi="方正仿宋_GBK" w:eastAsia="方正仿宋_GBK" w:cs="方正仿宋_GBK"/>
          <w:sz w:val="32"/>
          <w:szCs w:val="32"/>
          <w:shd w:val="clear" w:color="auto" w:fill="FFFFFF"/>
        </w:rPr>
        <w:t>厉行节约，压缩了公务车运行维护费。</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费用支出较年初预算数减少2万元，下降100.0%，主要原因是</w:t>
      </w:r>
      <w:r>
        <w:rPr>
          <w:rFonts w:hint="eastAsia" w:ascii="方正仿宋_GBK" w:hAnsi="方正仿宋_GBK"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rPr>
        <w:t>未安排公务接待</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较上年支出数减少0.45万元，下降100.0%，主要原因是</w:t>
      </w:r>
      <w:r>
        <w:rPr>
          <w:rFonts w:hint="eastAsia" w:ascii="方正仿宋_GBK" w:hAnsi="方正仿宋_GBK"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rPr>
        <w:t>未安排公务接待</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（三）“三公”经费实物量情况</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bCs/>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1.09</w:t>
      </w:r>
      <w:r>
        <w:rPr>
          <w:rFonts w:ascii="方正仿宋_GBK" w:hAnsi="方正仿宋_GBK" w:eastAsia="方正仿宋_GBK" w:cs="方正仿宋_GBK"/>
          <w:sz w:val="32"/>
          <w:szCs w:val="32"/>
          <w:shd w:val="clear" w:color="auto" w:fill="FFFFFF"/>
        </w:rPr>
        <w:t>万元。</w:t>
      </w:r>
    </w:p>
    <w:p>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（一）财政拨款会议费和培训费情况说明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本年度会议费支出0万元，较上年决算数无增减。本年度培训费支出1.37万元，较上年决算数增加1.37万元，增长100.0%，主要原因是</w:t>
      </w:r>
      <w:r>
        <w:rPr>
          <w:rFonts w:hint="eastAsia" w:ascii="方正仿宋_GBK" w:hAnsi="方正仿宋_GBK" w:eastAsia="方正仿宋_GBK" w:cs="方正仿宋_GBK"/>
          <w:sz w:val="32"/>
          <w:szCs w:val="32"/>
          <w:shd w:val="clear" w:color="auto" w:fill="FFFFFF"/>
          <w:lang w:eastAsia="zh-CN"/>
        </w:rPr>
        <w:t>领导干部能力提升培训费增加</w:t>
      </w:r>
      <w:r>
        <w:rPr>
          <w:rFonts w:ascii="方正仿宋_GBK" w:hAnsi="方正仿宋_GBK" w:eastAsia="方正仿宋_GBK" w:cs="方正仿宋_GBK"/>
          <w:sz w:val="32"/>
          <w:szCs w:val="32"/>
          <w:shd w:val="clear" w:color="auto" w:fill="FFFFFF"/>
        </w:rPr>
        <w:t>。</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（二）机关运行经费情况说明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2023年度本部门机关运行经费支出250.6万元，机关运行经费主要用于</w:t>
      </w:r>
      <w:r>
        <w:rPr>
          <w:rFonts w:hint="eastAsia" w:ascii="方正仿宋_GBK" w:hAnsi="方正仿宋_GBK" w:eastAsia="方正仿宋_GBK" w:cs="方正仿宋_GBK"/>
          <w:sz w:val="32"/>
          <w:szCs w:val="32"/>
          <w:shd w:val="clear" w:color="auto" w:fill="FFFFFF"/>
          <w:lang w:eastAsia="zh-CN"/>
        </w:rPr>
        <w:t>开支</w:t>
      </w:r>
      <w:r>
        <w:rPr>
          <w:rFonts w:hint="eastAsia" w:ascii="方正仿宋_GBK" w:hAnsi="方正仿宋_GBK" w:eastAsia="方正仿宋_GBK" w:cs="方正仿宋_GBK"/>
          <w:sz w:val="32"/>
          <w:szCs w:val="32"/>
          <w:shd w:val="clear" w:color="auto" w:fill="FFFFFF"/>
        </w:rPr>
        <w:t>办公费、印刷费、咨询费、水费、电费、邮电费、差旅费、维修（护）费、公务接待费、劳务费、工会经费、其他交通费等。</w:t>
      </w:r>
      <w:r>
        <w:rPr>
          <w:rFonts w:ascii="方正仿宋_GBK" w:hAnsi="方正仿宋_GBK" w:eastAsia="方正仿宋_GBK" w:cs="方正仿宋_GBK"/>
          <w:sz w:val="32"/>
          <w:szCs w:val="32"/>
          <w:shd w:val="clear" w:color="auto" w:fill="FFFFFF"/>
        </w:rPr>
        <w:t>机关运行经费较上年支出数减少65.01万元，下降20.6%，主要原因是</w:t>
      </w:r>
      <w:r>
        <w:rPr>
          <w:rFonts w:hint="eastAsia" w:ascii="方正仿宋_GBK" w:hAnsi="方正仿宋_GBK" w:eastAsia="方正仿宋_GBK" w:cs="方正仿宋_GBK"/>
          <w:sz w:val="32"/>
          <w:szCs w:val="32"/>
          <w:shd w:val="clear" w:color="auto" w:fill="FFFFFF"/>
          <w:lang w:eastAsia="zh-CN"/>
        </w:rPr>
        <w:t>落实过紧日子要求，</w:t>
      </w:r>
      <w:r>
        <w:rPr>
          <w:rFonts w:hint="eastAsia" w:ascii="方正仿宋_GBK" w:hAnsi="方正仿宋_GBK" w:eastAsia="方正仿宋_GBK" w:cs="方正仿宋_GBK"/>
          <w:sz w:val="32"/>
          <w:szCs w:val="32"/>
          <w:shd w:val="clear" w:color="auto" w:fill="FFFFFF"/>
        </w:rPr>
        <w:t>厉行节约</w:t>
      </w:r>
      <w:r>
        <w:rPr>
          <w:rFonts w:hint="eastAsia" w:ascii="方正仿宋_GBK" w:hAnsi="方正仿宋_GBK" w:eastAsia="方正仿宋_GBK" w:cs="方正仿宋_GBK"/>
          <w:sz w:val="32"/>
          <w:szCs w:val="32"/>
          <w:shd w:val="clear" w:color="auto" w:fill="FFFFFF"/>
          <w:lang w:eastAsia="zh-CN"/>
        </w:rPr>
        <w:t>，从严控制和压缩</w:t>
      </w:r>
      <w:r>
        <w:rPr>
          <w:rFonts w:ascii="方正仿宋_GBK" w:hAnsi="方正仿宋_GBK" w:eastAsia="方正仿宋_GBK" w:cs="方正仿宋_GBK"/>
          <w:sz w:val="32"/>
          <w:szCs w:val="32"/>
          <w:shd w:val="clear" w:color="auto" w:fill="FFFFFF"/>
        </w:rPr>
        <w:t>机关运行</w:t>
      </w:r>
      <w:r>
        <w:rPr>
          <w:rFonts w:hint="eastAsia" w:ascii="方正仿宋_GBK" w:hAnsi="方正仿宋_GBK" w:eastAsia="方正仿宋_GBK" w:cs="方正仿宋_GBK"/>
          <w:sz w:val="32"/>
          <w:szCs w:val="32"/>
          <w:shd w:val="clear" w:color="auto" w:fill="FFFFFF"/>
          <w:lang w:eastAsia="zh-CN"/>
        </w:rPr>
        <w:t>经费。</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（三）国有资产占用情况说明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2023年12月31日，本部门共有车辆4辆，其中，副部（省）级及以上领导用车0辆、主要负责人用车0辆、机要通信用车1辆、应急保障用车1辆、执法执勤用车0辆，特种专业技术用车2辆，离退休干部用车0辆。单价100万元（含）以上专用设备0台（套）。</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（四）政府采购支出情况说明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362.6</w:t>
      </w:r>
      <w:r>
        <w:rPr>
          <w:rFonts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362.6</w:t>
      </w:r>
      <w:r>
        <w:rPr>
          <w:rFonts w:ascii="方正仿宋_GBK" w:hAnsi="方正仿宋_GBK" w:eastAsia="方正仿宋_GBK" w:cs="方正仿宋_GBK"/>
          <w:sz w:val="32"/>
          <w:szCs w:val="32"/>
          <w:shd w:val="clear" w:color="auto" w:fill="FFFFFF"/>
        </w:rPr>
        <w:t>万元、政府采购服务支出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362.6万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362.6</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%。主要用</w:t>
      </w:r>
      <w:r>
        <w:rPr>
          <w:rFonts w:ascii="方正仿宋_GBK" w:hAnsi="方正仿宋_GBK" w:eastAsia="方正仿宋_GBK" w:cs="方正仿宋_GBK"/>
          <w:color w:val="auto"/>
          <w:sz w:val="32"/>
          <w:szCs w:val="32"/>
          <w:shd w:val="clear" w:color="auto" w:fill="FFFFFF"/>
        </w:rPr>
        <w:t>于</w:t>
      </w:r>
      <w:r>
        <w:rPr>
          <w:rFonts w:hint="eastAsia" w:ascii="方正仿宋_GBK" w:hAnsi="方正仿宋_GBK" w:eastAsia="方正仿宋_GBK" w:cs="方正仿宋_GBK"/>
          <w:color w:val="auto"/>
          <w:sz w:val="32"/>
          <w:szCs w:val="32"/>
          <w:shd w:val="clear" w:color="auto" w:fill="FFFFFF"/>
        </w:rPr>
        <w:t>特色小城镇、农村联网路工程项目类采购</w:t>
      </w:r>
      <w:r>
        <w:rPr>
          <w:rFonts w:ascii="方正仿宋_GBK" w:hAnsi="方正仿宋_GBK" w:eastAsia="方正仿宋_GBK" w:cs="方正仿宋_GBK"/>
          <w:color w:val="auto"/>
          <w:sz w:val="32"/>
          <w:szCs w:val="32"/>
          <w:shd w:val="clear" w:color="auto" w:fill="FFFFFF"/>
        </w:rPr>
        <w:t>。</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五、预算绩效管理情况说明</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（一）预算绩效管理工作开展情况</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根据预算绩效管理要求，我单位对部门整体和</w:t>
      </w:r>
      <w:r>
        <w:rPr>
          <w:rFonts w:hint="eastAsia" w:ascii="方正仿宋_GBK" w:hAnsi="方正仿宋_GBK" w:eastAsia="方正仿宋_GBK" w:cs="方正仿宋_GBK"/>
          <w:sz w:val="32"/>
          <w:szCs w:val="32"/>
          <w:lang w:val="en-US" w:eastAsia="zh-CN"/>
        </w:rPr>
        <w:t>37</w:t>
      </w:r>
      <w:r>
        <w:rPr>
          <w:rFonts w:hint="eastAsia" w:ascii="方正仿宋_GBK" w:hAnsi="方正仿宋_GBK" w:eastAsia="方正仿宋_GBK" w:cs="方正仿宋_GBK"/>
          <w:sz w:val="32"/>
          <w:szCs w:val="32"/>
        </w:rPr>
        <w:t>个项目开展了绩效自评，其中，以填报自评表形式开展自评</w:t>
      </w:r>
      <w:r>
        <w:rPr>
          <w:rFonts w:hint="eastAsia" w:ascii="方正仿宋_GBK" w:hAnsi="方正仿宋_GBK" w:eastAsia="方正仿宋_GBK" w:cs="方正仿宋_GBK"/>
          <w:sz w:val="32"/>
          <w:szCs w:val="32"/>
          <w:lang w:val="en-US" w:eastAsia="zh-CN"/>
        </w:rPr>
        <w:t>37</w:t>
      </w:r>
      <w:r>
        <w:rPr>
          <w:rFonts w:hint="eastAsia" w:ascii="方正仿宋_GBK" w:hAnsi="方正仿宋_GBK" w:eastAsia="方正仿宋_GBK" w:cs="方正仿宋_GBK"/>
          <w:sz w:val="32"/>
          <w:szCs w:val="32"/>
        </w:rPr>
        <w:t>项，涉及资金2727</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万元。</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（二）绩效自评结果</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1.绩效目标自评表</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（1）部门整体绩效自评表</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Calibri" w:eastAsia="方正仿宋_GBK" w:cs="Times New Roman"/>
          <w:kern w:val="2"/>
          <w:sz w:val="32"/>
          <w:szCs w:val="32"/>
          <w:lang w:eastAsia="zh-CN"/>
        </w:rPr>
      </w:pPr>
      <w:r>
        <w:rPr>
          <w:rFonts w:hint="eastAsia" w:ascii="方正仿宋_GBK" w:hAnsi="方正仿宋_GBK" w:eastAsia="方正仿宋_GBK" w:cs="方正仿宋_GBK"/>
          <w:sz w:val="32"/>
          <w:szCs w:val="32"/>
        </w:rPr>
        <w:t>详见附件</w:t>
      </w:r>
      <w:r>
        <w:rPr>
          <w:rFonts w:hint="eastAsia" w:ascii="方正仿宋_GBK" w:hAnsi="Calibri" w:eastAsia="方正仿宋_GBK" w:cs="Times New Roman"/>
          <w:kern w:val="2"/>
          <w:sz w:val="32"/>
          <w:szCs w:val="32"/>
        </w:rPr>
        <w:t>重庆市铜梁区太平镇人民政府202</w:t>
      </w:r>
      <w:r>
        <w:rPr>
          <w:rFonts w:hint="eastAsia" w:ascii="方正仿宋_GBK" w:hAnsi="Calibri" w:eastAsia="方正仿宋_GBK" w:cs="Times New Roman"/>
          <w:kern w:val="2"/>
          <w:sz w:val="32"/>
          <w:szCs w:val="32"/>
          <w:lang w:val="en-US" w:eastAsia="zh-CN"/>
        </w:rPr>
        <w:t>3</w:t>
      </w:r>
      <w:r>
        <w:rPr>
          <w:rFonts w:hint="eastAsia" w:ascii="方正仿宋_GBK" w:hAnsi="Calibri" w:eastAsia="方正仿宋_GBK" w:cs="Times New Roman"/>
          <w:kern w:val="2"/>
          <w:sz w:val="32"/>
          <w:szCs w:val="32"/>
        </w:rPr>
        <w:t>年度部门整体绩效自评表</w:t>
      </w:r>
      <w:r>
        <w:rPr>
          <w:rFonts w:hint="eastAsia" w:ascii="方正仿宋_GBK" w:hAnsi="Calibri" w:eastAsia="方正仿宋_GBK" w:cs="Times New Roman"/>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项目绩效自评表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w:t>
      </w:r>
      <w:r>
        <w:rPr>
          <w:rFonts w:hint="eastAsia" w:ascii="方正仿宋_GBK" w:hAnsi="方正仿宋_GBK" w:eastAsia="方正仿宋_GBK" w:cs="方正仿宋_GBK"/>
          <w:sz w:val="32"/>
          <w:szCs w:val="32"/>
          <w:lang w:eastAsia="zh-CN"/>
        </w:rPr>
        <w:t>附件</w:t>
      </w:r>
      <w:r>
        <w:rPr>
          <w:rFonts w:hint="eastAsia" w:ascii="方正仿宋_GBK" w:hAnsi="Calibri" w:eastAsia="方正仿宋_GBK" w:cs="Times New Roman"/>
          <w:kern w:val="2"/>
          <w:sz w:val="32"/>
          <w:szCs w:val="32"/>
        </w:rPr>
        <w:t>重庆市铜梁区太平镇人民政府202</w:t>
      </w:r>
      <w:r>
        <w:rPr>
          <w:rFonts w:hint="eastAsia" w:ascii="方正仿宋_GBK" w:hAnsi="Calibri" w:eastAsia="方正仿宋_GBK" w:cs="Times New Roman"/>
          <w:kern w:val="2"/>
          <w:sz w:val="32"/>
          <w:szCs w:val="32"/>
          <w:lang w:val="en-US" w:eastAsia="zh-CN"/>
        </w:rPr>
        <w:t>3</w:t>
      </w:r>
      <w:r>
        <w:rPr>
          <w:rFonts w:hint="eastAsia" w:ascii="方正仿宋_GBK" w:hAnsi="Calibri" w:eastAsia="方正仿宋_GBK" w:cs="Times New Roman"/>
          <w:kern w:val="2"/>
          <w:sz w:val="32"/>
          <w:szCs w:val="32"/>
        </w:rPr>
        <w:t>年度项目绩效自评表</w:t>
      </w:r>
      <w:r>
        <w:rPr>
          <w:rFonts w:hint="eastAsia" w:ascii="方正仿宋_GBK" w:hAnsi="Calibri" w:eastAsia="方正仿宋_GBK" w:cs="Times New Roman"/>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绩效自评报告或案例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Calibri" w:eastAsia="方正仿宋_GBK" w:cs="Times New Roman"/>
          <w:kern w:val="2"/>
          <w:sz w:val="32"/>
          <w:szCs w:val="32"/>
        </w:rPr>
        <w:t>我单位未委托</w:t>
      </w:r>
      <w:r>
        <w:rPr>
          <w:rFonts w:ascii="方正仿宋_GBK" w:hAnsi="Calibri" w:eastAsia="方正仿宋_GBK" w:cs="Times New Roman"/>
          <w:kern w:val="2"/>
          <w:sz w:val="32"/>
          <w:szCs w:val="32"/>
        </w:rPr>
        <w:t>第三方开展绩效评价</w:t>
      </w:r>
      <w:r>
        <w:rPr>
          <w:rFonts w:hint="eastAsia" w:ascii="方正仿宋_GBK" w:hAnsi="Calibri" w:eastAsia="方正仿宋_GBK" w:cs="Times New Roman"/>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3.关于绩效自评结果的说明</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w:t>
      </w:r>
      <w:r>
        <w:rPr>
          <w:rFonts w:hint="eastAsia" w:ascii="方正仿宋_GBK" w:hAnsi="方正仿宋_GBK" w:eastAsia="方正仿宋_GBK" w:cs="方正仿宋_GBK"/>
          <w:sz w:val="32"/>
          <w:szCs w:val="32"/>
          <w:lang w:val="en-US" w:eastAsia="zh-CN"/>
        </w:rPr>
        <w:t>37</w:t>
      </w:r>
      <w:r>
        <w:rPr>
          <w:rFonts w:hint="eastAsia" w:ascii="方正仿宋_GBK" w:hAnsi="方正仿宋_GBK" w:eastAsia="方正仿宋_GBK" w:cs="方正仿宋_GBK"/>
          <w:sz w:val="32"/>
          <w:szCs w:val="32"/>
        </w:rPr>
        <w:t>个项目进行绩效自评，其中</w:t>
      </w:r>
      <w:r>
        <w:rPr>
          <w:rFonts w:hint="eastAsia" w:ascii="方正仿宋_GBK" w:hAnsi="方正仿宋_GBK" w:eastAsia="方正仿宋_GBK" w:cs="方正仿宋_GBK"/>
          <w:sz w:val="32"/>
          <w:szCs w:val="32"/>
          <w:lang w:val="en-US" w:eastAsia="zh-CN"/>
        </w:rPr>
        <w:t>37</w:t>
      </w:r>
      <w:r>
        <w:rPr>
          <w:rFonts w:hint="eastAsia" w:ascii="方正仿宋_GBK" w:hAnsi="方正仿宋_GBK" w:eastAsia="方正仿宋_GBK" w:cs="方正仿宋_GBK"/>
          <w:sz w:val="32"/>
          <w:szCs w:val="32"/>
        </w:rPr>
        <w:t>个已完成年度绩效目标，</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个未完成年度绩效目标。</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420" w:firstLineChars="200"/>
        <w:textAlignment w:val="auto"/>
        <w:rPr>
          <w:rFonts w:hint="eastAsia" w:ascii="方正楷体_GBK" w:hAnsi="Calibri" w:eastAsia="方正楷体_GBK" w:cs="Times New Roman"/>
          <w:kern w:val="2"/>
          <w:sz w:val="32"/>
          <w:szCs w:val="32"/>
          <w:lang w:val="en-US" w:eastAsia="zh-CN" w:bidi="ar-SA"/>
        </w:rPr>
      </w:pPr>
      <w:r>
        <w:t xml:space="preserve">  </w:t>
      </w:r>
      <w:r>
        <w:rPr>
          <w:rFonts w:hint="eastAsia" w:ascii="方正楷体_GBK" w:hAnsi="Calibri" w:eastAsia="方正楷体_GBK" w:cs="Times New Roman"/>
          <w:kern w:val="2"/>
          <w:sz w:val="32"/>
          <w:szCs w:val="32"/>
          <w:lang w:val="en-US" w:eastAsia="zh-CN" w:bidi="ar-SA"/>
        </w:rPr>
        <w:t>（三）重点绩效评价结果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我单位未开展重点绩效评价</w:t>
      </w:r>
      <w:r>
        <w:rPr>
          <w:rFonts w:hint="eastAsia" w:ascii="方正仿宋_GBK" w:hAnsi="Calibri" w:eastAsia="方正仿宋_GBK" w:cs="Times New Roman"/>
          <w:kern w:val="2"/>
          <w:sz w:val="32"/>
          <w:szCs w:val="32"/>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黑体_GBK" w:hAnsi="Calibri" w:eastAsia="方正黑体_GBK"/>
          <w:sz w:val="32"/>
          <w:szCs w:val="32"/>
        </w:rPr>
        <w:t>六、专业名词解释</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（一）财政拨款收入：</w:t>
      </w:r>
      <w:r>
        <w:rPr>
          <w:rFonts w:ascii="方正仿宋_GBK" w:hAnsi="Calibri" w:eastAsia="方正仿宋_GBK" w:cs="Times New Roman"/>
          <w:kern w:val="2"/>
          <w:sz w:val="32"/>
          <w:szCs w:val="32"/>
        </w:rPr>
        <w:t>指本年度从本级财政部门取得的财政拨款，包括一般公共预算财政拨款和政府性基金预算财政拨款。</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（二）事业收入：</w:t>
      </w:r>
      <w:r>
        <w:rPr>
          <w:rFonts w:ascii="方正仿宋_GBK" w:hAnsi="Calibri" w:eastAsia="方正仿宋_GBK" w:cs="Times New Roman"/>
          <w:kern w:val="2"/>
          <w:sz w:val="32"/>
          <w:szCs w:val="32"/>
        </w:rPr>
        <w:t>指事业单位开展专业业务活动及其辅助活动取得的现金流入；事业单位收到的财政专户实际核拨的教育收费等资金在此反映。</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（三）经营收入：</w:t>
      </w:r>
      <w:r>
        <w:rPr>
          <w:rFonts w:ascii="方正仿宋_GBK" w:hAnsi="Calibri" w:eastAsia="方正仿宋_GBK" w:cs="Times New Roman"/>
          <w:kern w:val="2"/>
          <w:sz w:val="32"/>
          <w:szCs w:val="32"/>
        </w:rPr>
        <w:t>指事业单位在专业业务活动及其辅助活动之外开展非独立核算经营活动取得的现金流入。</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（四）其他收入：</w:t>
      </w:r>
      <w:r>
        <w:rPr>
          <w:rFonts w:ascii="方正仿宋_GBK" w:hAnsi="Calibri" w:eastAsia="方正仿宋_GBK" w:cs="Times New Roman"/>
          <w:kern w:val="2"/>
          <w:sz w:val="32"/>
          <w:szCs w:val="32"/>
        </w:rPr>
        <w:t>指单位取得的除</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财政拨款收入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事业收入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经营收入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（五）使用非财政拨款结余：</w:t>
      </w:r>
      <w:r>
        <w:rPr>
          <w:rFonts w:ascii="方正仿宋_GBK" w:hAnsi="Calibri" w:eastAsia="方正仿宋_GBK" w:cs="Times New Roman"/>
          <w:kern w:val="2"/>
          <w:sz w:val="32"/>
          <w:szCs w:val="32"/>
        </w:rPr>
        <w:t>指单位在当年的</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财政拨款收入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事业收入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经营收入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其他收入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等不足以安排当年支出的情况下，使用以前年度积累的非财政拨款结余弥补本年度收支缺口的资金。</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（六）年初结转和结余：</w:t>
      </w:r>
      <w:r>
        <w:rPr>
          <w:rFonts w:ascii="方正仿宋_GBK" w:hAnsi="Calibri" w:eastAsia="方正仿宋_GBK" w:cs="Times New Roman"/>
          <w:kern w:val="2"/>
          <w:sz w:val="32"/>
          <w:szCs w:val="32"/>
        </w:rPr>
        <w:t>指单位上年结转本年使用的基本支出结转、项目支出结转和结余、经营结余。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（七）结余分配：</w:t>
      </w:r>
      <w:r>
        <w:rPr>
          <w:rFonts w:ascii="方正仿宋_GBK" w:hAnsi="Calibri" w:eastAsia="方正仿宋_GBK" w:cs="Times New Roman"/>
          <w:kern w:val="2"/>
          <w:sz w:val="32"/>
          <w:szCs w:val="32"/>
        </w:rPr>
        <w:t>指单位按照国家有关规定，缴纳所得税、提取专用基金、转入非财政拨款结余等当年结余的分配情况。</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（八）年末结转和结余：</w:t>
      </w:r>
      <w:r>
        <w:rPr>
          <w:rFonts w:ascii="方正仿宋_GBK" w:hAnsi="Calibri" w:eastAsia="方正仿宋_GBK" w:cs="Times New Roman"/>
          <w:kern w:val="2"/>
          <w:sz w:val="32"/>
          <w:szCs w:val="32"/>
        </w:rPr>
        <w:t>指单位结转下年的基本支出结转、项目支出结转和结余、经营结余。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（九）基本支出：</w:t>
      </w:r>
      <w:r>
        <w:rPr>
          <w:rFonts w:ascii="方正仿宋_GBK" w:hAnsi="Calibri" w:eastAsia="方正仿宋_GBK" w:cs="Times New Roman"/>
          <w:kern w:val="2"/>
          <w:sz w:val="32"/>
          <w:szCs w:val="32"/>
        </w:rPr>
        <w:t>指为保障机构正常运转、完成日常工作任务而发生的人员经费和公用经费。其中：人员经费指政府收支分类经济科目中的</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工资福利支出</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和</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对个人和家庭的补助</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；公用经费指政府收支分类经济科目中除</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工资福利支出</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和</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对个人和家庭的补助</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外的其他支出。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（十）项目支出：</w:t>
      </w:r>
      <w:r>
        <w:rPr>
          <w:rFonts w:ascii="方正仿宋_GBK" w:hAnsi="Calibri" w:eastAsia="方正仿宋_GBK" w:cs="Times New Roman"/>
          <w:kern w:val="2"/>
          <w:sz w:val="32"/>
          <w:szCs w:val="32"/>
        </w:rPr>
        <w:t>指在基本支出之外为完成特定行政任务和事业发展目标所发生的支出。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（十一）经营支出：</w:t>
      </w:r>
      <w:r>
        <w:rPr>
          <w:rFonts w:ascii="方正仿宋_GBK" w:hAnsi="Calibri" w:eastAsia="方正仿宋_GBK" w:cs="Times New Roman"/>
          <w:kern w:val="2"/>
          <w:sz w:val="32"/>
          <w:szCs w:val="32"/>
        </w:rPr>
        <w:t>指事业单位在专业业务活动及其辅助活动之外开展非独立核算经营活动发生的支出。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（十二）“三公”经费：</w:t>
      </w:r>
      <w:r>
        <w:rPr>
          <w:rFonts w:ascii="方正仿宋_GBK" w:hAnsi="Calibri" w:eastAsia="方正仿宋_GBK" w:cs="Times New Roman"/>
          <w:kern w:val="2"/>
          <w:sz w:val="32"/>
          <w:szCs w:val="32"/>
        </w:rPr>
        <w:t>指用财政拨款安排的因公出国（境）费、公务用车购置及运行维护费、公务接待费。其中，因公出国（境）费反映单位公务出国（境）的国际旅费、国外城市间交通 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（十三）机关运行经费：</w:t>
      </w:r>
      <w:r>
        <w:rPr>
          <w:rFonts w:ascii="方正仿宋_GBK" w:hAnsi="Calibri" w:eastAsia="方正仿宋_GBK" w:cs="Times New Roman"/>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（十四）工资福利支出（支出经济分类科目类级）：</w:t>
      </w:r>
      <w:r>
        <w:rPr>
          <w:rFonts w:ascii="方正仿宋_GBK" w:hAnsi="Calibri" w:eastAsia="方正仿宋_GBK" w:cs="Times New Roman"/>
          <w:kern w:val="2"/>
          <w:sz w:val="32"/>
          <w:szCs w:val="32"/>
        </w:rPr>
        <w:t>反映单位开支的在职职工和编制外长期聘用人员的各类劳动报酬，以及为上述人员缴纳的各项社会保险费等。</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（十五）商品和服务支出（支出经济分类科目类级）：</w:t>
      </w:r>
      <w:r>
        <w:rPr>
          <w:rFonts w:ascii="方正仿宋_GBK" w:hAnsi="Calibri" w:eastAsia="方正仿宋_GBK" w:cs="Times New Roman"/>
          <w:kern w:val="2"/>
          <w:sz w:val="32"/>
          <w:szCs w:val="32"/>
        </w:rPr>
        <w:t>反映单位购买商品和服务的支出（不包括用于购置固定资产的支出、战略性和应急储备支出）。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（十六）对个人和家庭的补助（支出经济分类科目类级）：</w:t>
      </w:r>
      <w:r>
        <w:rPr>
          <w:rFonts w:ascii="方正仿宋_GBK" w:hAnsi="Calibri" w:eastAsia="方正仿宋_GBK" w:cs="Times New Roman"/>
          <w:kern w:val="2"/>
          <w:sz w:val="32"/>
          <w:szCs w:val="32"/>
        </w:rPr>
        <w:t>反映用于对个人和家庭的补助支出。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（十七）其他资本性支出（支出经济分类科目类级）：</w:t>
      </w:r>
      <w:r>
        <w:rPr>
          <w:rFonts w:ascii="方正仿宋_GBK" w:hAnsi="Calibri" w:eastAsia="方正仿宋_GBK" w:cs="Times New Roman"/>
          <w:kern w:val="2"/>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640" w:firstLineChars="200"/>
        <w:textAlignment w:val="auto"/>
        <w:rPr>
          <w:rFonts w:ascii="方正黑体_GBK" w:eastAsia="方正黑体_GBK"/>
          <w:sz w:val="32"/>
          <w:szCs w:val="32"/>
        </w:rPr>
      </w:pPr>
      <w:r>
        <w:rPr>
          <w:rFonts w:hint="eastAsia" w:ascii="方正黑体_GBK" w:eastAsia="方正黑体_GBK"/>
          <w:sz w:val="32"/>
          <w:szCs w:val="32"/>
        </w:rPr>
        <w:t>七、决算公开联系方式</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640" w:firstLineChars="200"/>
        <w:textAlignment w:val="auto"/>
        <w:rPr>
          <w:rFonts w:ascii="方正仿宋_GBK" w:eastAsia="方正仿宋_GBK"/>
          <w:sz w:val="32"/>
          <w:szCs w:val="32"/>
        </w:rPr>
      </w:pPr>
      <w:r>
        <w:rPr>
          <w:rFonts w:ascii="方正仿宋_GBK" w:eastAsia="方正仿宋_GBK"/>
          <w:sz w:val="32"/>
          <w:szCs w:val="32"/>
        </w:rPr>
        <w:t>本单位决算公开信息反馈和联系方式：</w:t>
      </w:r>
      <w:r>
        <w:rPr>
          <w:rFonts w:hint="eastAsia" w:ascii="方正仿宋_GBK" w:eastAsia="方正仿宋_GBK"/>
          <w:sz w:val="32"/>
          <w:szCs w:val="32"/>
        </w:rPr>
        <w:t>向玖俊023-45620179</w:t>
      </w:r>
    </w:p>
    <w:p>
      <w:pPr>
        <w:pStyle w:val="4"/>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方正仿宋_GBK" w:hAnsi="方正仿宋_GBK" w:eastAsia="方正仿宋_GBK" w:cs="方正仿宋_GBK"/>
          <w:kern w:val="2"/>
          <w:sz w:val="32"/>
          <w:szCs w:val="32"/>
          <w:highlight w:val="yellow"/>
          <w:shd w:val="clear" w:color="auto" w:fill="FFFFFF"/>
          <w:lang w:val="en-US" w:eastAsia="zh-CN" w:bidi="ar-SA"/>
        </w:rPr>
      </w:pPr>
    </w:p>
    <w:sectPr>
      <w:footerReference r:id="rId3" w:type="default"/>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ThjZjZkZDUwMDQzMTU2OWE4NDRlYTg4MmE2ZDcifQ=="/>
  </w:docVars>
  <w:rsids>
    <w:rsidRoot w:val="00000000"/>
    <w:rsid w:val="000C7F6F"/>
    <w:rsid w:val="00A27233"/>
    <w:rsid w:val="010333C8"/>
    <w:rsid w:val="029F722C"/>
    <w:rsid w:val="054066B0"/>
    <w:rsid w:val="05EB70A4"/>
    <w:rsid w:val="060373FF"/>
    <w:rsid w:val="074B3727"/>
    <w:rsid w:val="07B54B25"/>
    <w:rsid w:val="08140FCE"/>
    <w:rsid w:val="0B5E6191"/>
    <w:rsid w:val="0EA746EC"/>
    <w:rsid w:val="0F401DE9"/>
    <w:rsid w:val="11B85360"/>
    <w:rsid w:val="12A06977"/>
    <w:rsid w:val="146A439A"/>
    <w:rsid w:val="16B76972"/>
    <w:rsid w:val="16E200C0"/>
    <w:rsid w:val="17B23FA3"/>
    <w:rsid w:val="194B5971"/>
    <w:rsid w:val="1A771084"/>
    <w:rsid w:val="20420F98"/>
    <w:rsid w:val="22BA1E0F"/>
    <w:rsid w:val="22E220F1"/>
    <w:rsid w:val="24FE791B"/>
    <w:rsid w:val="256239F7"/>
    <w:rsid w:val="277A156A"/>
    <w:rsid w:val="277D3248"/>
    <w:rsid w:val="27AC4550"/>
    <w:rsid w:val="288F3E1A"/>
    <w:rsid w:val="28EB4A94"/>
    <w:rsid w:val="296529D5"/>
    <w:rsid w:val="2A6B34F3"/>
    <w:rsid w:val="2BA34A12"/>
    <w:rsid w:val="2EBD1F93"/>
    <w:rsid w:val="2F2D121D"/>
    <w:rsid w:val="3262206A"/>
    <w:rsid w:val="326C3B92"/>
    <w:rsid w:val="32D47F9A"/>
    <w:rsid w:val="32E528C0"/>
    <w:rsid w:val="3327062C"/>
    <w:rsid w:val="33854A6F"/>
    <w:rsid w:val="389E6394"/>
    <w:rsid w:val="39B21674"/>
    <w:rsid w:val="3A2666EE"/>
    <w:rsid w:val="3A542684"/>
    <w:rsid w:val="3A796F04"/>
    <w:rsid w:val="3A8804BC"/>
    <w:rsid w:val="3CAC068B"/>
    <w:rsid w:val="3F6A3766"/>
    <w:rsid w:val="404D404C"/>
    <w:rsid w:val="425F24F7"/>
    <w:rsid w:val="43ED10CC"/>
    <w:rsid w:val="44321EB7"/>
    <w:rsid w:val="45362736"/>
    <w:rsid w:val="45F83662"/>
    <w:rsid w:val="46E7717F"/>
    <w:rsid w:val="481E3083"/>
    <w:rsid w:val="49242642"/>
    <w:rsid w:val="4A470DF5"/>
    <w:rsid w:val="4BB65568"/>
    <w:rsid w:val="4BCF50B7"/>
    <w:rsid w:val="4C8F2164"/>
    <w:rsid w:val="4C9E4055"/>
    <w:rsid w:val="4D81154F"/>
    <w:rsid w:val="4E4A238E"/>
    <w:rsid w:val="4E5943B7"/>
    <w:rsid w:val="4E5E4729"/>
    <w:rsid w:val="4F5C6639"/>
    <w:rsid w:val="501D386E"/>
    <w:rsid w:val="503879F9"/>
    <w:rsid w:val="50E2658E"/>
    <w:rsid w:val="525A77BB"/>
    <w:rsid w:val="54492CE6"/>
    <w:rsid w:val="551A1EC8"/>
    <w:rsid w:val="552D746E"/>
    <w:rsid w:val="58305A91"/>
    <w:rsid w:val="585D70BF"/>
    <w:rsid w:val="593054FB"/>
    <w:rsid w:val="5E2B7481"/>
    <w:rsid w:val="5EA85B32"/>
    <w:rsid w:val="5F1065ED"/>
    <w:rsid w:val="60B821C4"/>
    <w:rsid w:val="62B70108"/>
    <w:rsid w:val="63CB314A"/>
    <w:rsid w:val="65963322"/>
    <w:rsid w:val="66576AAB"/>
    <w:rsid w:val="679434E7"/>
    <w:rsid w:val="685735B2"/>
    <w:rsid w:val="69E708E1"/>
    <w:rsid w:val="6AEB1816"/>
    <w:rsid w:val="6D7631C8"/>
    <w:rsid w:val="6DA81E2E"/>
    <w:rsid w:val="6DC55E69"/>
    <w:rsid w:val="6DC85CA0"/>
    <w:rsid w:val="6E7E4132"/>
    <w:rsid w:val="6F23180F"/>
    <w:rsid w:val="6F745FA9"/>
    <w:rsid w:val="6FB734D8"/>
    <w:rsid w:val="6FB81FE1"/>
    <w:rsid w:val="71783274"/>
    <w:rsid w:val="73CA7532"/>
    <w:rsid w:val="74D3184E"/>
    <w:rsid w:val="77B342CA"/>
    <w:rsid w:val="78961719"/>
    <w:rsid w:val="79BC3093"/>
    <w:rsid w:val="7AE937B7"/>
    <w:rsid w:val="7E2949E5"/>
    <w:rsid w:val="7E4B37B3"/>
    <w:rsid w:val="7F39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4">
    <w:name w:val="Normal (Web)"/>
    <w:basedOn w:val="1"/>
    <w:unhideWhenUsed/>
    <w:qFormat/>
    <w:uiPriority w:val="0"/>
    <w:pPr>
      <w:spacing w:before="100" w:beforeAutospacing="1" w:after="100" w:afterAutospacing="1"/>
    </w:pPr>
  </w:style>
  <w:style w:type="character" w:styleId="6">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0">
    <w:name w:val="21"/>
    <w:qFormat/>
    <w:uiPriority w:val="0"/>
    <w:rPr>
      <w:rFonts w:hint="default" w:ascii="Wingdings" w:hAnsi="Wingdings" w:cs="Wingdings"/>
      <w:b/>
      <w:bCs/>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Normal (Web)"/>
    <w:basedOn w:val="1"/>
    <w:qFormat/>
    <w:uiPriority w:val="0"/>
    <w:pPr>
      <w:spacing w:before="100" w:beforeLines="0" w:beforeAutospacing="1" w:after="100" w:afterLines="0" w:afterAutospacing="1"/>
    </w:pPr>
  </w:style>
  <w:style w:type="paragraph" w:customStyle="1" w:styleId="13">
    <w:name w:val="p0"/>
    <w:basedOn w:val="1"/>
    <w:qFormat/>
    <w:uiPriority w:val="0"/>
    <w:pPr>
      <w:widowControl/>
      <w:jc w:val="left"/>
    </w:pPr>
    <w:rPr>
      <w:kern w:val="0"/>
      <w:sz w:val="20"/>
    </w:rPr>
  </w:style>
  <w:style w:type="paragraph" w:styleId="1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5809</Words>
  <Characters>6452</Characters>
  <Lines>0</Lines>
  <Paragraphs>0</Paragraphs>
  <TotalTime>0</TotalTime>
  <ScaleCrop>false</ScaleCrop>
  <LinksUpToDate>false</LinksUpToDate>
  <CharactersWithSpaces>6461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2024-09-13T07:00:00Z</dcterms:created>
  <dc:creator>hp99</dc:creator>
  <cp:lastModifiedBy>Administrator</cp:lastModifiedBy>
  <dcterms:modified xsi:type="dcterms:W3CDTF">2024-11-05T02:32:17Z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88CD8E2FB4774F38B24E1297DC245783_12</vt:lpwstr>
  </property>
</Properties>
</file>