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ascii="方正仿宋_GBK" w:eastAsia="方正仿宋_GBK"/>
          <w:sz w:val="32"/>
          <w:szCs w:val="32"/>
        </w:rPr>
      </w:pPr>
      <w:r>
        <w:rPr>
          <w:rFonts w:hint="eastAsia" w:ascii="方正仿宋_GBK" w:eastAsia="方正仿宋_GBK"/>
          <w:sz w:val="32"/>
          <w:szCs w:val="32"/>
        </w:rPr>
        <w:t>附件3</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重庆市铜梁区太平镇人民政府</w:t>
      </w:r>
    </w:p>
    <w:p>
      <w:pPr>
        <w:spacing w:line="560" w:lineRule="exact"/>
        <w:ind w:firstLine="1980" w:firstLineChars="450"/>
        <w:rPr>
          <w:rFonts w:ascii="方正小标宋_GBK" w:eastAsia="方正小标宋_GBK"/>
          <w:sz w:val="44"/>
          <w:szCs w:val="44"/>
        </w:rPr>
      </w:pPr>
      <w:r>
        <w:rPr>
          <w:rFonts w:hint="eastAsia" w:ascii="方正小标宋_GBK" w:eastAsia="方正小标宋_GBK"/>
          <w:sz w:val="44"/>
          <w:szCs w:val="44"/>
        </w:rPr>
        <w:t>2022年度部门决算公开说明</w:t>
      </w:r>
    </w:p>
    <w:p>
      <w:pPr>
        <w:spacing w:line="560" w:lineRule="exact"/>
        <w:jc w:val="center"/>
        <w:rPr>
          <w:rFonts w:ascii="方正小标宋_GBK" w:eastAsia="方正小标宋_GBK"/>
          <w:b/>
          <w:sz w:val="44"/>
          <w:szCs w:val="44"/>
        </w:rPr>
      </w:pPr>
    </w:p>
    <w:p>
      <w:pPr>
        <w:pStyle w:val="11"/>
        <w:tabs>
          <w:tab w:val="center" w:pos="4153"/>
          <w:tab w:val="left" w:pos="7275"/>
        </w:tabs>
        <w:spacing w:line="560" w:lineRule="exact"/>
        <w:ind w:firstLine="640"/>
        <w:rPr>
          <w:rFonts w:eastAsia="方正黑体_GBK"/>
          <w:sz w:val="32"/>
          <w:szCs w:val="32"/>
        </w:rPr>
      </w:pPr>
      <w:r>
        <w:rPr>
          <w:rFonts w:hint="eastAsia" w:ascii="方正黑体_GBK" w:eastAsia="方正黑体_GBK"/>
          <w:sz w:val="32"/>
          <w:szCs w:val="32"/>
        </w:rPr>
        <w:t>一、单位基本情况</w:t>
      </w:r>
      <w:bookmarkStart w:id="0" w:name="_GoBack"/>
      <w:bookmarkEnd w:id="0"/>
    </w:p>
    <w:p>
      <w:pPr>
        <w:pStyle w:val="6"/>
        <w:spacing w:line="560" w:lineRule="exact"/>
        <w:ind w:firstLine="640" w:firstLineChars="200"/>
        <w:rPr>
          <w:rFonts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（一）职能职责</w:t>
      </w:r>
    </w:p>
    <w:p>
      <w:pPr>
        <w:pStyle w:val="6"/>
        <w:spacing w:before="0" w:beforeAutospacing="0" w:after="0" w:afterAutospacing="0" w:line="560" w:lineRule="exact"/>
        <w:ind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1</w:t>
      </w:r>
      <w:r>
        <w:rPr>
          <w:rFonts w:hint="eastAsia" w:ascii="方正仿宋_GBK" w:eastAsia="方正仿宋_GBK"/>
          <w:sz w:val="32"/>
          <w:szCs w:val="32"/>
        </w:rPr>
        <w:t>.</w:t>
      </w:r>
      <w:r>
        <w:rPr>
          <w:rFonts w:hint="eastAsia" w:ascii="方正仿宋_GBK" w:hAnsi="Calibri" w:eastAsia="方正仿宋_GBK" w:cs="Times New Roman"/>
          <w:kern w:val="2"/>
          <w:sz w:val="32"/>
          <w:szCs w:val="32"/>
        </w:rPr>
        <w:t>贯彻执行党的路线方针政策和国家的法律法规、促进经济社会发展、加强社会管理和公共服务、维护社会和谐稳定，</w:t>
      </w:r>
      <w:r>
        <w:rPr>
          <w:rFonts w:hint="eastAsia" w:ascii="方正仿宋_GBK" w:hAnsi="Calibri" w:eastAsia="方正仿宋_GBK" w:cs="Times New Roman"/>
          <w:kern w:val="2"/>
          <w:sz w:val="32"/>
          <w:szCs w:val="32"/>
          <w:lang w:eastAsia="zh-CN"/>
        </w:rPr>
        <w:t>制定</w:t>
      </w:r>
      <w:r>
        <w:rPr>
          <w:rFonts w:hint="eastAsia" w:ascii="方正仿宋_GBK" w:hAnsi="Calibri" w:eastAsia="方正仿宋_GBK" w:cs="Times New Roman"/>
          <w:kern w:val="2"/>
          <w:sz w:val="32"/>
          <w:szCs w:val="32"/>
        </w:rPr>
        <w:t>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6"/>
        <w:spacing w:before="0" w:beforeAutospacing="0" w:after="0" w:afterAutospacing="0" w:line="560" w:lineRule="exact"/>
        <w:ind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w:t>
      </w:r>
      <w:r>
        <w:rPr>
          <w:rFonts w:hint="eastAsia" w:ascii="方正仿宋_GBK" w:eastAsia="方正仿宋_GBK"/>
          <w:sz w:val="32"/>
          <w:szCs w:val="32"/>
        </w:rPr>
        <w:t>.</w:t>
      </w:r>
      <w:r>
        <w:rPr>
          <w:rFonts w:hint="eastAsia" w:ascii="方正仿宋_GBK" w:hAnsi="Calibri" w:eastAsia="方正仿宋_GBK" w:cs="Times New Roman"/>
          <w:kern w:val="2"/>
          <w:sz w:val="32"/>
          <w:szCs w:val="32"/>
        </w:rPr>
        <w:t>制定并组织实施村镇建设规划，部署重点工程建设，地方道路建设及公共设施，水利设施的管理，负责土地、林木、水等自然资源和生态环境的保护，做好护林防火工作。</w:t>
      </w:r>
    </w:p>
    <w:p>
      <w:pPr>
        <w:pStyle w:val="6"/>
        <w:spacing w:before="0" w:beforeAutospacing="0" w:after="0" w:afterAutospacing="0" w:line="560" w:lineRule="exact"/>
        <w:ind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3.负责本行政区域内的民政、生育、文化教育、卫生、体育等社会公益事业的综合性工作，维护一切经济单位和个人的正当经济权益，取缔非法经济活动，调解和处理民事纠纷，打击刑事犯罪维护社会稳定。</w:t>
      </w:r>
    </w:p>
    <w:p>
      <w:pPr>
        <w:pStyle w:val="6"/>
        <w:spacing w:before="0" w:beforeAutospacing="0" w:after="0" w:afterAutospacing="0" w:line="560" w:lineRule="exact"/>
        <w:ind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4.按计划组织本级财政收入和地方税的征收，完成国家财政计划，不断培植税源，管好财政资金，增强财政实力。</w:t>
      </w:r>
    </w:p>
    <w:p>
      <w:pPr>
        <w:pStyle w:val="6"/>
        <w:spacing w:before="0" w:beforeAutospacing="0" w:after="0" w:afterAutospacing="0" w:line="560" w:lineRule="exact"/>
        <w:ind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5.抓好精神文明建设，丰富群众文化活动，提倡移风易俗，反对封建迷信，破除陈规陋习，树立社会主义新风尚。</w:t>
      </w:r>
    </w:p>
    <w:p>
      <w:pPr>
        <w:pStyle w:val="6"/>
        <w:spacing w:before="0" w:beforeAutospacing="0" w:after="0" w:afterAutospacing="0" w:line="560" w:lineRule="exact"/>
        <w:ind w:firstLine="640" w:firstLineChars="200"/>
        <w:jc w:val="both"/>
        <w:rPr>
          <w:rFonts w:ascii="方正仿宋_GBK" w:hAnsi="Calibri" w:eastAsia="方正仿宋_GBK" w:cs="Times New Roman"/>
          <w:kern w:val="2"/>
        </w:rPr>
      </w:pPr>
      <w:r>
        <w:rPr>
          <w:rFonts w:hint="eastAsia" w:ascii="方正仿宋_GBK" w:hAnsi="Calibri" w:eastAsia="方正仿宋_GBK" w:cs="Times New Roman"/>
          <w:kern w:val="2"/>
          <w:sz w:val="32"/>
          <w:szCs w:val="32"/>
        </w:rPr>
        <w:t>6.完成上级政府交办的其他事项。</w:t>
      </w:r>
    </w:p>
    <w:p>
      <w:pPr>
        <w:pStyle w:val="6"/>
        <w:spacing w:line="560" w:lineRule="exact"/>
        <w:ind w:firstLine="640" w:firstLineChars="200"/>
        <w:rPr>
          <w:rFonts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（二）机构设置</w:t>
      </w:r>
    </w:p>
    <w:p>
      <w:pPr>
        <w:pStyle w:val="11"/>
        <w:tabs>
          <w:tab w:val="center" w:pos="4153"/>
          <w:tab w:val="left" w:pos="7275"/>
        </w:tabs>
        <w:spacing w:line="560" w:lineRule="exact"/>
        <w:ind w:firstLine="640"/>
        <w:jc w:val="left"/>
        <w:rPr>
          <w:rFonts w:ascii="方正仿宋_GBK" w:eastAsia="方正仿宋_GBK"/>
          <w:sz w:val="32"/>
          <w:szCs w:val="32"/>
        </w:rPr>
      </w:pPr>
      <w:r>
        <w:rPr>
          <w:rFonts w:hint="eastAsia" w:ascii="方正仿宋_GBK" w:eastAsia="方正仿宋_GBK"/>
          <w:sz w:val="32"/>
          <w:szCs w:val="32"/>
        </w:rPr>
        <w:t>重庆市铜梁区太平镇人民政府含9个内设机构和7个事业单位。其中9个内设机构，分别为：党政办公室、党群工作办公室、经济发展办公室、民政和社会事务办公室、平安建设办公室、规划建设管理环保办公室、财政办公室、应急管理办公室、</w:t>
      </w:r>
      <w:r>
        <w:rPr>
          <w:rFonts w:hint="eastAsia" w:ascii="方正仿宋_GBK" w:eastAsia="方正仿宋_GBK"/>
          <w:color w:val="000000"/>
          <w:sz w:val="32"/>
          <w:szCs w:val="32"/>
          <w:shd w:val="clear" w:color="auto" w:fill="FFFFFF"/>
          <w:lang w:eastAsia="zh-CN"/>
        </w:rPr>
        <w:t>人大常委会办公室</w:t>
      </w:r>
      <w:r>
        <w:rPr>
          <w:rFonts w:hint="eastAsia" w:ascii="方正仿宋_GBK" w:eastAsia="方正仿宋_GBK"/>
          <w:sz w:val="32"/>
          <w:szCs w:val="32"/>
        </w:rPr>
        <w:t>；事业单位7个，具体为：综合行政执法大队、农业服务中心、文化服务中心、乡村产业培育中心、乡村生态治理中心、退役军人服务站、劳动就业和社会保障服务所。</w:t>
      </w:r>
    </w:p>
    <w:p>
      <w:pPr>
        <w:pStyle w:val="11"/>
        <w:tabs>
          <w:tab w:val="center" w:pos="4153"/>
          <w:tab w:val="left" w:pos="7275"/>
        </w:tabs>
        <w:spacing w:line="560" w:lineRule="exact"/>
        <w:ind w:firstLine="640"/>
        <w:rPr>
          <w:rFonts w:eastAsia="方正黑体_GBK"/>
          <w:sz w:val="32"/>
          <w:szCs w:val="32"/>
        </w:rPr>
      </w:pPr>
      <w:r>
        <w:rPr>
          <w:rFonts w:hint="eastAsia" w:ascii="方正黑体_GBK" w:eastAsia="方正黑体_GBK"/>
          <w:sz w:val="32"/>
          <w:szCs w:val="32"/>
        </w:rPr>
        <w:t>二、部门决算情况说明</w:t>
      </w:r>
    </w:p>
    <w:p>
      <w:pPr>
        <w:pStyle w:val="6"/>
        <w:spacing w:line="560" w:lineRule="exact"/>
        <w:ind w:firstLine="640" w:firstLineChars="200"/>
        <w:rPr>
          <w:rFonts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（一）</w:t>
      </w:r>
      <w:r>
        <w:rPr>
          <w:rFonts w:ascii="方正楷体_GBK" w:hAnsi="Calibri" w:eastAsia="方正楷体_GBK" w:cs="Times New Roman"/>
          <w:kern w:val="2"/>
          <w:sz w:val="32"/>
          <w:szCs w:val="32"/>
        </w:rPr>
        <w:t>收入支出决算总体情况说明</w:t>
      </w:r>
    </w:p>
    <w:p>
      <w:pPr>
        <w:pStyle w:val="6"/>
        <w:spacing w:line="560" w:lineRule="exact"/>
        <w:ind w:firstLine="640" w:firstLineChars="200"/>
        <w:rPr>
          <w:rFonts w:ascii="方正楷体_GBK" w:hAnsi="Calibri" w:eastAsia="方正楷体_GBK" w:cs="Times New Roman"/>
          <w:kern w:val="2"/>
          <w:sz w:val="32"/>
          <w:szCs w:val="32"/>
        </w:rPr>
      </w:pPr>
      <w:r>
        <w:rPr>
          <w:rFonts w:ascii="方正仿宋_GBK" w:hAnsi="Calibri" w:eastAsia="方正仿宋_GBK" w:cs="Times New Roman"/>
          <w:kern w:val="2"/>
          <w:sz w:val="32"/>
          <w:szCs w:val="32"/>
        </w:rPr>
        <w:t>1.总体情况。2022年度收入总计</w:t>
      </w:r>
      <w:r>
        <w:rPr>
          <w:rFonts w:hint="eastAsia" w:ascii="方正仿宋_GBK" w:hAnsi="Calibri" w:eastAsia="方正仿宋_GBK" w:cs="Times New Roman"/>
          <w:kern w:val="2"/>
          <w:sz w:val="32"/>
          <w:szCs w:val="32"/>
        </w:rPr>
        <w:t>3400.28</w:t>
      </w:r>
      <w:r>
        <w:rPr>
          <w:rFonts w:ascii="方正仿宋_GBK" w:hAnsi="Calibri" w:eastAsia="方正仿宋_GBK" w:cs="Times New Roman"/>
          <w:kern w:val="2"/>
          <w:sz w:val="32"/>
          <w:szCs w:val="32"/>
        </w:rPr>
        <w:t>万元，支出总计</w:t>
      </w:r>
      <w:r>
        <w:rPr>
          <w:rFonts w:hint="eastAsia" w:ascii="方正仿宋_GBK" w:hAnsi="Calibri" w:eastAsia="方正仿宋_GBK" w:cs="Times New Roman"/>
          <w:kern w:val="2"/>
          <w:sz w:val="32"/>
          <w:szCs w:val="32"/>
        </w:rPr>
        <w:t>3400.28</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w:t>
      </w:r>
      <w:r>
        <w:rPr>
          <w:rFonts w:ascii="方正仿宋_GBK" w:hAnsi="Calibri" w:eastAsia="方正仿宋_GBK" w:cs="Times New Roman"/>
          <w:kern w:val="2"/>
          <w:sz w:val="32"/>
          <w:szCs w:val="32"/>
        </w:rPr>
        <w:t>收支较上年决算数</w:t>
      </w:r>
      <w:r>
        <w:rPr>
          <w:rFonts w:hint="eastAsia" w:ascii="方正仿宋_GBK" w:hAnsi="Calibri" w:eastAsia="方正仿宋_GBK" w:cs="Times New Roman"/>
          <w:kern w:val="2"/>
          <w:sz w:val="32"/>
          <w:szCs w:val="32"/>
        </w:rPr>
        <w:t>减少1027.07</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，降低23.2</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w:t>
      </w:r>
      <w:r>
        <w:rPr>
          <w:rFonts w:ascii="方正仿宋_GBK" w:hAnsi="Calibri" w:eastAsia="方正仿宋_GBK" w:cs="Times New Roman"/>
          <w:kern w:val="2"/>
          <w:sz w:val="32"/>
          <w:szCs w:val="32"/>
        </w:rPr>
        <w:t>主要原因是</w:t>
      </w:r>
      <w:r>
        <w:rPr>
          <w:rFonts w:hint="eastAsia" w:ascii="方正仿宋_GBK" w:hAnsi="Calibri" w:eastAsia="方正仿宋_GBK" w:cs="Times New Roman"/>
          <w:kern w:val="2"/>
          <w:sz w:val="32"/>
          <w:szCs w:val="32"/>
        </w:rPr>
        <w:t>本年度承接区级项目减少，同时，部分已完成项目未付款，导致财政本年收入减少。如：四好公路相关项目拨款收入减少900万元，乡村振兴拨款收入减少100万元等</w:t>
      </w:r>
      <w:r>
        <w:rPr>
          <w:rFonts w:ascii="方正仿宋_GBK" w:hAnsi="Calibri" w:eastAsia="方正仿宋_GBK" w:cs="Times New Roman"/>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2.收入情况。2022年度收入</w:t>
      </w:r>
      <w:r>
        <w:rPr>
          <w:rFonts w:hint="eastAsia" w:ascii="方正仿宋_GBK" w:hAnsi="Calibri" w:eastAsia="方正仿宋_GBK" w:cs="Times New Roman"/>
          <w:kern w:val="2"/>
          <w:sz w:val="32"/>
          <w:szCs w:val="32"/>
        </w:rPr>
        <w:t>合计3400.28</w:t>
      </w:r>
      <w:r>
        <w:rPr>
          <w:rFonts w:ascii="方正仿宋_GBK" w:hAnsi="Calibri" w:eastAsia="方正仿宋_GBK" w:cs="Times New Roman"/>
          <w:kern w:val="2"/>
          <w:sz w:val="32"/>
          <w:szCs w:val="32"/>
        </w:rPr>
        <w:t>万元，较上年决算数</w:t>
      </w:r>
      <w:r>
        <w:rPr>
          <w:rFonts w:hint="eastAsia" w:ascii="方正仿宋_GBK" w:hAnsi="Calibri" w:eastAsia="方正仿宋_GBK" w:cs="Times New Roman"/>
          <w:kern w:val="2"/>
          <w:sz w:val="32"/>
          <w:szCs w:val="32"/>
        </w:rPr>
        <w:t>减少1027.07</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降低23.2</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w:t>
      </w:r>
      <w:r>
        <w:rPr>
          <w:rFonts w:ascii="方正仿宋_GBK" w:hAnsi="Calibri" w:eastAsia="方正仿宋_GBK" w:cs="Times New Roman"/>
          <w:kern w:val="2"/>
          <w:sz w:val="32"/>
          <w:szCs w:val="32"/>
        </w:rPr>
        <w:t>主要原因是</w:t>
      </w:r>
      <w:r>
        <w:rPr>
          <w:rFonts w:hint="eastAsia" w:ascii="方正仿宋_GBK" w:hAnsi="Calibri" w:eastAsia="方正仿宋_GBK" w:cs="Times New Roman"/>
          <w:kern w:val="2"/>
          <w:sz w:val="32"/>
          <w:szCs w:val="32"/>
        </w:rPr>
        <w:t>本年度承接区级项目减少，同时，部分已完成项目未付款，导致财政本年收入减少。如：四好公路相关项目拨款收入减少900万元，乡村振兴拨款收入减少100万元等。</w:t>
      </w:r>
      <w:r>
        <w:rPr>
          <w:rFonts w:ascii="方正仿宋_GBK" w:hAnsi="Calibri" w:eastAsia="方正仿宋_GBK" w:cs="Times New Roman"/>
          <w:kern w:val="2"/>
          <w:sz w:val="32"/>
          <w:szCs w:val="32"/>
        </w:rPr>
        <w:t>其中：财政拨款收入</w:t>
      </w:r>
      <w:r>
        <w:rPr>
          <w:rFonts w:hint="eastAsia" w:ascii="方正仿宋_GBK" w:hAnsi="Calibri" w:eastAsia="方正仿宋_GBK" w:cs="Times New Roman"/>
          <w:kern w:val="2"/>
          <w:sz w:val="32"/>
          <w:szCs w:val="32"/>
        </w:rPr>
        <w:t>3400.28</w:t>
      </w:r>
      <w:r>
        <w:rPr>
          <w:rFonts w:ascii="方正仿宋_GBK" w:hAnsi="Calibri" w:eastAsia="方正仿宋_GBK" w:cs="Times New Roman"/>
          <w:kern w:val="2"/>
          <w:sz w:val="32"/>
          <w:szCs w:val="32"/>
        </w:rPr>
        <w:t>万元，占</w:t>
      </w:r>
      <w:r>
        <w:rPr>
          <w:rFonts w:hint="eastAsia" w:ascii="方正仿宋_GBK" w:hAnsi="Calibri" w:eastAsia="方正仿宋_GBK" w:cs="Times New Roman"/>
          <w:kern w:val="2"/>
          <w:sz w:val="32"/>
          <w:szCs w:val="32"/>
        </w:rPr>
        <w:t>100.0</w:t>
      </w:r>
      <w:r>
        <w:rPr>
          <w:rFonts w:ascii="方正仿宋_GBK" w:hAnsi="Calibri" w:eastAsia="方正仿宋_GBK" w:cs="Times New Roman"/>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3.支出情况。2022年度支出合计</w:t>
      </w:r>
      <w:r>
        <w:rPr>
          <w:rFonts w:hint="eastAsia" w:ascii="方正仿宋_GBK" w:hAnsi="Calibri" w:eastAsia="方正仿宋_GBK" w:cs="Times New Roman"/>
          <w:kern w:val="2"/>
          <w:sz w:val="32"/>
          <w:szCs w:val="32"/>
        </w:rPr>
        <w:t>3400.28</w:t>
      </w:r>
      <w:r>
        <w:rPr>
          <w:rFonts w:ascii="方正仿宋_GBK" w:hAnsi="Calibri" w:eastAsia="方正仿宋_GBK" w:cs="Times New Roman"/>
          <w:kern w:val="2"/>
          <w:sz w:val="32"/>
          <w:szCs w:val="32"/>
        </w:rPr>
        <w:t>万元，较上年决算</w:t>
      </w:r>
      <w:r>
        <w:rPr>
          <w:rFonts w:hint="eastAsia" w:ascii="方正仿宋_GBK" w:hAnsi="Calibri" w:eastAsia="方正仿宋_GBK" w:cs="Times New Roman"/>
          <w:kern w:val="2"/>
          <w:sz w:val="32"/>
          <w:szCs w:val="32"/>
        </w:rPr>
        <w:t>减少1027.07</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降低23.2</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w:t>
      </w:r>
      <w:r>
        <w:rPr>
          <w:rFonts w:ascii="方正仿宋_GBK" w:hAnsi="Calibri" w:eastAsia="方正仿宋_GBK" w:cs="Times New Roman"/>
          <w:kern w:val="2"/>
          <w:sz w:val="32"/>
          <w:szCs w:val="32"/>
        </w:rPr>
        <w:t>主要原因是</w:t>
      </w:r>
      <w:r>
        <w:rPr>
          <w:rFonts w:hint="eastAsia" w:ascii="方正仿宋_GBK" w:hAnsi="Calibri" w:eastAsia="方正仿宋_GBK" w:cs="Times New Roman"/>
          <w:kern w:val="2"/>
          <w:sz w:val="32"/>
          <w:szCs w:val="32"/>
        </w:rPr>
        <w:t>本年度承接区级项目减少，同时，部分已完成项目未付款，导致财政本年收入减少。如：四好公路相关项目拨款收入减少900万元，乡村振兴拨款收入减少100万元等。</w:t>
      </w:r>
      <w:r>
        <w:rPr>
          <w:rFonts w:ascii="方正仿宋_GBK" w:hAnsi="Calibri" w:eastAsia="方正仿宋_GBK" w:cs="Times New Roman"/>
          <w:kern w:val="2"/>
          <w:sz w:val="32"/>
          <w:szCs w:val="32"/>
        </w:rPr>
        <w:t>其中：基本支出</w:t>
      </w:r>
      <w:r>
        <w:rPr>
          <w:rFonts w:hint="eastAsia" w:ascii="方正仿宋_GBK" w:hAnsi="Calibri" w:eastAsia="方正仿宋_GBK" w:cs="Times New Roman"/>
          <w:kern w:val="2"/>
          <w:sz w:val="32"/>
          <w:szCs w:val="32"/>
        </w:rPr>
        <w:t>1753.35</w:t>
      </w:r>
      <w:r>
        <w:rPr>
          <w:rFonts w:ascii="方正仿宋_GBK" w:hAnsi="Calibri" w:eastAsia="方正仿宋_GBK" w:cs="Times New Roman"/>
          <w:kern w:val="2"/>
          <w:sz w:val="32"/>
          <w:szCs w:val="32"/>
        </w:rPr>
        <w:t>万元，占</w:t>
      </w:r>
      <w:r>
        <w:rPr>
          <w:rFonts w:hint="eastAsia" w:ascii="方正仿宋_GBK" w:hAnsi="Calibri" w:eastAsia="方正仿宋_GBK" w:cs="Times New Roman"/>
          <w:kern w:val="2"/>
          <w:sz w:val="32"/>
          <w:szCs w:val="32"/>
        </w:rPr>
        <w:t>51.6</w:t>
      </w:r>
      <w:r>
        <w:rPr>
          <w:rFonts w:ascii="方正仿宋_GBK" w:hAnsi="Calibri" w:eastAsia="方正仿宋_GBK" w:cs="Times New Roman"/>
          <w:kern w:val="2"/>
          <w:sz w:val="32"/>
          <w:szCs w:val="32"/>
        </w:rPr>
        <w:t>%；项目支出</w:t>
      </w:r>
      <w:r>
        <w:rPr>
          <w:rFonts w:hint="eastAsia" w:ascii="方正仿宋_GBK" w:hAnsi="Calibri" w:eastAsia="方正仿宋_GBK" w:cs="Times New Roman"/>
          <w:kern w:val="2"/>
          <w:sz w:val="32"/>
          <w:szCs w:val="32"/>
        </w:rPr>
        <w:t>1646.93</w:t>
      </w:r>
      <w:r>
        <w:rPr>
          <w:rFonts w:ascii="方正仿宋_GBK" w:hAnsi="Calibri" w:eastAsia="方正仿宋_GBK" w:cs="Times New Roman"/>
          <w:kern w:val="2"/>
          <w:sz w:val="32"/>
          <w:szCs w:val="32"/>
        </w:rPr>
        <w:t>万元，占</w:t>
      </w:r>
      <w:r>
        <w:rPr>
          <w:rFonts w:hint="eastAsia" w:ascii="方正仿宋_GBK" w:hAnsi="Calibri" w:eastAsia="方正仿宋_GBK" w:cs="Times New Roman"/>
          <w:kern w:val="2"/>
          <w:sz w:val="32"/>
          <w:szCs w:val="32"/>
        </w:rPr>
        <w:t>48.4</w:t>
      </w:r>
      <w:r>
        <w:rPr>
          <w:rFonts w:ascii="方正仿宋_GBK" w:hAnsi="Calibri" w:eastAsia="方正仿宋_GBK" w:cs="Times New Roman"/>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4.结转结余情况。2022年度年末结转和结余</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万元，较上年决算数增加</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万元，增长</w:t>
      </w:r>
      <w:r>
        <w:rPr>
          <w:rFonts w:hint="eastAsia" w:ascii="方正仿宋_GBK" w:hAnsi="Calibri" w:eastAsia="方正仿宋_GBK" w:cs="Times New Roman"/>
          <w:kern w:val="2"/>
          <w:sz w:val="32"/>
          <w:szCs w:val="32"/>
        </w:rPr>
        <w:t>0.0</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w:t>
      </w:r>
    </w:p>
    <w:p>
      <w:pPr>
        <w:pStyle w:val="6"/>
        <w:spacing w:line="560" w:lineRule="exact"/>
        <w:ind w:firstLine="640" w:firstLineChars="200"/>
        <w:rPr>
          <w:rFonts w:ascii="方正楷体_GBK" w:hAnsi="Calibri" w:eastAsia="方正楷体_GBK" w:cs="Times New Roman"/>
          <w:kern w:val="2"/>
          <w:sz w:val="32"/>
          <w:szCs w:val="32"/>
        </w:rPr>
      </w:pPr>
      <w:r>
        <w:rPr>
          <w:rFonts w:ascii="方正楷体_GBK" w:hAnsi="Calibri" w:eastAsia="方正楷体_GBK" w:cs="Times New Roman"/>
          <w:kern w:val="2"/>
          <w:sz w:val="32"/>
          <w:szCs w:val="32"/>
        </w:rPr>
        <w:t>（二）财政拨款收入支出决算总体情况说明</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2022年度财政拨款收、支总计</w:t>
      </w:r>
      <w:r>
        <w:rPr>
          <w:rFonts w:hint="eastAsia" w:ascii="方正仿宋_GBK" w:hAnsi="Calibri" w:eastAsia="方正仿宋_GBK" w:cs="Times New Roman"/>
          <w:kern w:val="2"/>
          <w:sz w:val="32"/>
          <w:szCs w:val="32"/>
        </w:rPr>
        <w:t>3400.28</w:t>
      </w:r>
      <w:r>
        <w:rPr>
          <w:rFonts w:ascii="方正仿宋_GBK" w:hAnsi="Calibri" w:eastAsia="方正仿宋_GBK" w:cs="Times New Roman"/>
          <w:kern w:val="2"/>
          <w:sz w:val="32"/>
          <w:szCs w:val="32"/>
        </w:rPr>
        <w:t>万元。与2021年相比，财政拨款收、支总计各</w:t>
      </w:r>
      <w:r>
        <w:rPr>
          <w:rFonts w:hint="eastAsia" w:ascii="方正仿宋_GBK" w:hAnsi="Calibri" w:eastAsia="方正仿宋_GBK" w:cs="Times New Roman"/>
          <w:kern w:val="2"/>
          <w:sz w:val="32"/>
          <w:szCs w:val="32"/>
        </w:rPr>
        <w:t>减少1027.07</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降低23.2</w:t>
      </w:r>
      <w:r>
        <w:rPr>
          <w:rFonts w:ascii="方正仿宋_GBK" w:hAnsi="Calibri" w:eastAsia="方正仿宋_GBK" w:cs="Times New Roman"/>
          <w:kern w:val="2"/>
          <w:sz w:val="32"/>
          <w:szCs w:val="32"/>
        </w:rPr>
        <w:t>%。主要原因是</w:t>
      </w:r>
      <w:r>
        <w:rPr>
          <w:rFonts w:hint="eastAsia" w:ascii="方正仿宋_GBK" w:hAnsi="Calibri" w:eastAsia="方正仿宋_GBK" w:cs="Times New Roman"/>
          <w:kern w:val="2"/>
          <w:sz w:val="32"/>
          <w:szCs w:val="32"/>
        </w:rPr>
        <w:t>本年度承接区级项目减少，同时，部分已完成项目未付款，导致财政本年收入减少。如：四好公路相关项目拨款收入减少900万元，乡村振兴拨款收入减少100万元等</w:t>
      </w:r>
      <w:r>
        <w:rPr>
          <w:rFonts w:ascii="方正仿宋_GBK" w:hAnsi="Calibri" w:eastAsia="方正仿宋_GBK" w:cs="Times New Roman"/>
          <w:kern w:val="2"/>
          <w:sz w:val="32"/>
          <w:szCs w:val="32"/>
        </w:rPr>
        <w:t>。</w:t>
      </w:r>
    </w:p>
    <w:p>
      <w:pPr>
        <w:pStyle w:val="6"/>
        <w:spacing w:line="560" w:lineRule="exact"/>
        <w:ind w:firstLine="640" w:firstLineChars="200"/>
        <w:rPr>
          <w:rFonts w:ascii="方正楷体_GBK" w:hAnsi="Calibri" w:eastAsia="方正楷体_GBK" w:cs="Times New Roman"/>
          <w:kern w:val="2"/>
          <w:sz w:val="32"/>
          <w:szCs w:val="32"/>
        </w:rPr>
      </w:pPr>
      <w:r>
        <w:rPr>
          <w:rFonts w:ascii="方正楷体_GBK" w:hAnsi="Calibri" w:eastAsia="方正楷体_GBK" w:cs="Times New Roman"/>
          <w:kern w:val="2"/>
          <w:sz w:val="32"/>
          <w:szCs w:val="32"/>
        </w:rPr>
        <w:t>（三）一般公共预算财政拨款收入支出决算情况说明</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1.收入情况。2022年度一般公共预算财政拨款收入</w:t>
      </w:r>
      <w:r>
        <w:rPr>
          <w:rFonts w:hint="eastAsia" w:ascii="方正仿宋_GBK" w:hAnsi="Calibri" w:eastAsia="方正仿宋_GBK" w:cs="Times New Roman"/>
          <w:kern w:val="2"/>
          <w:sz w:val="32"/>
          <w:szCs w:val="32"/>
        </w:rPr>
        <w:t>2798.8</w:t>
      </w:r>
      <w:r>
        <w:rPr>
          <w:rFonts w:ascii="方正仿宋_GBK" w:hAnsi="Calibri" w:eastAsia="方正仿宋_GBK" w:cs="Times New Roman"/>
          <w:kern w:val="2"/>
          <w:sz w:val="32"/>
          <w:szCs w:val="32"/>
        </w:rPr>
        <w:t>万元，较上年决算数</w:t>
      </w:r>
      <w:r>
        <w:rPr>
          <w:rFonts w:hint="eastAsia" w:ascii="方正仿宋_GBK" w:hAnsi="Calibri" w:eastAsia="方正仿宋_GBK" w:cs="Times New Roman"/>
          <w:kern w:val="2"/>
          <w:sz w:val="32"/>
          <w:szCs w:val="32"/>
        </w:rPr>
        <w:t>减少1461.08</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降低34.3</w:t>
      </w:r>
      <w:r>
        <w:rPr>
          <w:rFonts w:ascii="方正仿宋_GBK" w:hAnsi="Calibri" w:eastAsia="方正仿宋_GBK" w:cs="Times New Roman"/>
          <w:kern w:val="2"/>
          <w:sz w:val="32"/>
          <w:szCs w:val="32"/>
        </w:rPr>
        <w:t>%。主要原因是</w:t>
      </w:r>
      <w:r>
        <w:rPr>
          <w:rFonts w:hint="eastAsia" w:ascii="方正仿宋_GBK" w:hAnsi="Calibri" w:eastAsia="方正仿宋_GBK" w:cs="Times New Roman"/>
          <w:kern w:val="2"/>
          <w:sz w:val="32"/>
          <w:szCs w:val="32"/>
        </w:rPr>
        <w:t>本年度承接区级项目减少，同时，部分已完成项目未付款，导致财政本年收入减少。如：四好公路相关项目拨款收入减少900万元，乡村振兴拨款收入减少100万元等</w:t>
      </w:r>
      <w:r>
        <w:rPr>
          <w:rFonts w:ascii="方正仿宋_GBK" w:hAnsi="Calibri" w:eastAsia="方正仿宋_GBK" w:cs="Times New Roman"/>
          <w:kern w:val="2"/>
          <w:sz w:val="32"/>
          <w:szCs w:val="32"/>
        </w:rPr>
        <w:t>。较年初预算数增加</w:t>
      </w:r>
      <w:r>
        <w:rPr>
          <w:rFonts w:hint="eastAsia" w:ascii="方正仿宋_GBK" w:hAnsi="Calibri" w:eastAsia="方正仿宋_GBK" w:cs="Times New Roman"/>
          <w:kern w:val="2"/>
          <w:sz w:val="32"/>
          <w:szCs w:val="32"/>
        </w:rPr>
        <w:t>381.7</w:t>
      </w:r>
      <w:r>
        <w:rPr>
          <w:rFonts w:ascii="方正仿宋_GBK" w:hAnsi="Calibri" w:eastAsia="方正仿宋_GBK" w:cs="Times New Roman"/>
          <w:kern w:val="2"/>
          <w:sz w:val="32"/>
          <w:szCs w:val="32"/>
        </w:rPr>
        <w:t>万元，增长</w:t>
      </w:r>
      <w:r>
        <w:rPr>
          <w:rFonts w:hint="eastAsia" w:ascii="方正仿宋_GBK" w:hAnsi="Calibri" w:eastAsia="方正仿宋_GBK" w:cs="Times New Roman"/>
          <w:kern w:val="2"/>
          <w:sz w:val="32"/>
          <w:szCs w:val="32"/>
        </w:rPr>
        <w:t>15.8</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主要原因是</w:t>
      </w:r>
      <w:r>
        <w:rPr>
          <w:rFonts w:hint="eastAsia" w:ascii="方正仿宋_GBK" w:hAnsi="Calibri" w:eastAsia="方正仿宋_GBK" w:cs="Times New Roman"/>
          <w:kern w:val="2"/>
          <w:sz w:val="32"/>
          <w:szCs w:val="32"/>
        </w:rPr>
        <w:t>本年度人员增加，调资增加，建设项目如：特色小城镇项目等增加</w:t>
      </w:r>
      <w:r>
        <w:rPr>
          <w:rFonts w:ascii="方正仿宋_GBK" w:hAnsi="Calibri" w:eastAsia="方正仿宋_GBK" w:cs="Times New Roman"/>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2.支出情况。2022年度一般公共预算财政拨款支出</w:t>
      </w:r>
      <w:r>
        <w:rPr>
          <w:rFonts w:hint="eastAsia" w:ascii="方正仿宋_GBK" w:hAnsi="Calibri" w:eastAsia="方正仿宋_GBK" w:cs="Times New Roman"/>
          <w:kern w:val="2"/>
          <w:sz w:val="32"/>
          <w:szCs w:val="32"/>
        </w:rPr>
        <w:t>2798.8</w:t>
      </w:r>
      <w:r>
        <w:rPr>
          <w:rFonts w:ascii="方正仿宋_GBK" w:hAnsi="Calibri" w:eastAsia="方正仿宋_GBK" w:cs="Times New Roman"/>
          <w:kern w:val="2"/>
          <w:sz w:val="32"/>
          <w:szCs w:val="32"/>
        </w:rPr>
        <w:t>万元，较上年决算数</w:t>
      </w:r>
      <w:r>
        <w:rPr>
          <w:rFonts w:hint="eastAsia" w:ascii="方正仿宋_GBK" w:hAnsi="Calibri" w:eastAsia="方正仿宋_GBK" w:cs="Times New Roman"/>
          <w:kern w:val="2"/>
          <w:sz w:val="32"/>
          <w:szCs w:val="32"/>
        </w:rPr>
        <w:t>减少1461.08</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降低34.3</w:t>
      </w:r>
      <w:r>
        <w:rPr>
          <w:rFonts w:ascii="方正仿宋_GBK" w:hAnsi="Calibri" w:eastAsia="方正仿宋_GBK" w:cs="Times New Roman"/>
          <w:kern w:val="2"/>
          <w:sz w:val="32"/>
          <w:szCs w:val="32"/>
        </w:rPr>
        <w:t>%。主要原因是</w:t>
      </w:r>
      <w:r>
        <w:rPr>
          <w:rFonts w:hint="eastAsia" w:ascii="方正仿宋_GBK" w:hAnsi="Calibri" w:eastAsia="方正仿宋_GBK" w:cs="Times New Roman"/>
          <w:kern w:val="2"/>
          <w:sz w:val="32"/>
          <w:szCs w:val="32"/>
        </w:rPr>
        <w:t>本年度承接区级项目减少，同时，部分已完成项目未付款，导致财政本年收入减少</w:t>
      </w:r>
      <w:r>
        <w:rPr>
          <w:rFonts w:ascii="方正仿宋_GBK" w:hAnsi="Calibri" w:eastAsia="方正仿宋_GBK" w:cs="Times New Roman"/>
          <w:kern w:val="2"/>
          <w:sz w:val="32"/>
          <w:szCs w:val="32"/>
        </w:rPr>
        <w:t>。较年初预算数增加</w:t>
      </w:r>
      <w:r>
        <w:rPr>
          <w:rFonts w:hint="eastAsia" w:ascii="方正仿宋_GBK" w:hAnsi="Calibri" w:eastAsia="方正仿宋_GBK" w:cs="Times New Roman"/>
          <w:kern w:val="2"/>
          <w:sz w:val="32"/>
          <w:szCs w:val="32"/>
        </w:rPr>
        <w:t>381.72</w:t>
      </w:r>
      <w:r>
        <w:rPr>
          <w:rFonts w:ascii="方正仿宋_GBK" w:hAnsi="Calibri" w:eastAsia="方正仿宋_GBK" w:cs="Times New Roman"/>
          <w:kern w:val="2"/>
          <w:sz w:val="32"/>
          <w:szCs w:val="32"/>
        </w:rPr>
        <w:t>万元，增</w:t>
      </w:r>
      <w:r>
        <w:rPr>
          <w:rFonts w:hint="eastAsia" w:ascii="方正仿宋_GBK" w:hAnsi="Calibri" w:eastAsia="方正仿宋_GBK" w:cs="Times New Roman"/>
          <w:kern w:val="2"/>
          <w:sz w:val="32"/>
          <w:szCs w:val="32"/>
        </w:rPr>
        <w:t>长15.8</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主要原因是</w:t>
      </w:r>
      <w:r>
        <w:rPr>
          <w:rFonts w:hint="eastAsia" w:ascii="方正仿宋_GBK" w:hAnsi="Calibri" w:eastAsia="方正仿宋_GBK" w:cs="Times New Roman"/>
          <w:kern w:val="2"/>
          <w:sz w:val="32"/>
          <w:szCs w:val="32"/>
        </w:rPr>
        <w:t>本年度人员增加，调资增加，建设项目如：特色小城镇项目等增加</w:t>
      </w:r>
      <w:r>
        <w:rPr>
          <w:rFonts w:ascii="方正仿宋_GBK" w:hAnsi="Calibri" w:eastAsia="方正仿宋_GBK" w:cs="Times New Roman"/>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3.结转结余情况。2022年度年末一般公共预算财政拨款结转和结余</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万元，较上年决算数增加</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万元，增长</w:t>
      </w:r>
      <w:r>
        <w:rPr>
          <w:rFonts w:hint="eastAsia" w:ascii="方正仿宋_GBK" w:hAnsi="Calibri" w:eastAsia="方正仿宋_GBK" w:cs="Times New Roman"/>
          <w:kern w:val="2"/>
          <w:sz w:val="32"/>
          <w:szCs w:val="32"/>
        </w:rPr>
        <w:t>0.0</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4.比较情况。本</w:t>
      </w:r>
      <w:r>
        <w:rPr>
          <w:rFonts w:hint="eastAsia" w:ascii="方正仿宋_GBK" w:hAnsi="Calibri" w:eastAsia="方正仿宋_GBK" w:cs="Times New Roman"/>
          <w:kern w:val="2"/>
          <w:sz w:val="32"/>
          <w:szCs w:val="32"/>
        </w:rPr>
        <w:t>单位</w:t>
      </w:r>
      <w:r>
        <w:rPr>
          <w:rFonts w:ascii="方正仿宋_GBK" w:hAnsi="Calibri" w:eastAsia="方正仿宋_GBK" w:cs="Times New Roman"/>
          <w:kern w:val="2"/>
          <w:sz w:val="32"/>
          <w:szCs w:val="32"/>
        </w:rPr>
        <w:t>2022年度一般公共预算财政拨款支出主要用于以下几个方面：</w:t>
      </w:r>
    </w:p>
    <w:p>
      <w:pPr>
        <w:pStyle w:val="12"/>
        <w:widowControl w:val="0"/>
        <w:shd w:val="clear" w:color="auto" w:fill="FFFFFF"/>
        <w:autoSpaceDN w:val="0"/>
        <w:spacing w:line="560" w:lineRule="exact"/>
        <w:ind w:firstLine="640" w:firstLineChars="200"/>
        <w:jc w:val="both"/>
        <w:rPr>
          <w:rFonts w:ascii="方正仿宋_GBK" w:hAnsi="Calibri" w:eastAsia="方正仿宋_GBK"/>
          <w:kern w:val="2"/>
          <w:sz w:val="32"/>
          <w:szCs w:val="32"/>
        </w:rPr>
      </w:pPr>
      <w:r>
        <w:rPr>
          <w:rFonts w:ascii="方正仿宋_GBK" w:hAnsi="Calibri" w:eastAsia="方正仿宋_GBK"/>
          <w:kern w:val="2"/>
          <w:sz w:val="32"/>
          <w:szCs w:val="32"/>
        </w:rPr>
        <w:t>（1）一般公共服务支出</w:t>
      </w:r>
      <w:r>
        <w:rPr>
          <w:rFonts w:hint="eastAsia" w:ascii="方正仿宋_GBK" w:hAnsi="Calibri" w:eastAsia="方正仿宋_GBK"/>
          <w:kern w:val="2"/>
          <w:sz w:val="32"/>
          <w:szCs w:val="32"/>
        </w:rPr>
        <w:t>881.83</w:t>
      </w:r>
      <w:r>
        <w:rPr>
          <w:rFonts w:ascii="方正仿宋_GBK" w:hAnsi="Calibri" w:eastAsia="方正仿宋_GBK"/>
          <w:kern w:val="2"/>
          <w:sz w:val="32"/>
          <w:szCs w:val="32"/>
        </w:rPr>
        <w:t>万元，占</w:t>
      </w:r>
      <w:r>
        <w:rPr>
          <w:rFonts w:hint="eastAsia" w:ascii="方正仿宋_GBK" w:hAnsi="Calibri" w:eastAsia="方正仿宋_GBK"/>
          <w:kern w:val="2"/>
          <w:sz w:val="32"/>
          <w:szCs w:val="32"/>
        </w:rPr>
        <w:t>31.5</w:t>
      </w:r>
      <w:r>
        <w:rPr>
          <w:rFonts w:ascii="方正仿宋_GBK" w:hAnsi="Calibri" w:eastAsia="方正仿宋_GBK"/>
          <w:kern w:val="2"/>
          <w:sz w:val="32"/>
          <w:szCs w:val="32"/>
        </w:rPr>
        <w:t>%，较年初预算数增加</w:t>
      </w:r>
      <w:r>
        <w:rPr>
          <w:rFonts w:hint="eastAsia" w:ascii="方正仿宋_GBK" w:hAnsi="Calibri" w:eastAsia="方正仿宋_GBK"/>
          <w:kern w:val="2"/>
          <w:sz w:val="32"/>
          <w:szCs w:val="32"/>
        </w:rPr>
        <w:t>128.23</w:t>
      </w:r>
      <w:r>
        <w:rPr>
          <w:rFonts w:ascii="方正仿宋_GBK" w:hAnsi="Calibri" w:eastAsia="方正仿宋_GBK"/>
          <w:kern w:val="2"/>
          <w:sz w:val="32"/>
          <w:szCs w:val="32"/>
        </w:rPr>
        <w:t>万元，增长</w:t>
      </w:r>
      <w:r>
        <w:rPr>
          <w:rFonts w:hint="eastAsia" w:ascii="方正仿宋_GBK" w:hAnsi="Calibri" w:eastAsia="方正仿宋_GBK"/>
          <w:kern w:val="2"/>
          <w:sz w:val="32"/>
          <w:szCs w:val="32"/>
        </w:rPr>
        <w:t>17</w:t>
      </w:r>
      <w:r>
        <w:rPr>
          <w:rFonts w:hint="eastAsia" w:ascii="方正仿宋_GBK" w:hAnsi="Calibri" w:eastAsia="方正仿宋_GBK"/>
          <w:kern w:val="2"/>
          <w:sz w:val="32"/>
          <w:szCs w:val="32"/>
          <w:lang w:val="en-US" w:eastAsia="zh-CN"/>
        </w:rPr>
        <w:t>.0</w:t>
      </w:r>
      <w:r>
        <w:rPr>
          <w:rFonts w:ascii="方正仿宋_GBK" w:hAnsi="Calibri" w:eastAsia="方正仿宋_GBK"/>
          <w:kern w:val="2"/>
          <w:sz w:val="32"/>
          <w:szCs w:val="32"/>
        </w:rPr>
        <w:t>%，</w:t>
      </w:r>
      <w:r>
        <w:rPr>
          <w:rFonts w:hint="eastAsia" w:ascii="方正仿宋_GBK" w:hAnsi="Calibri" w:eastAsia="方正仿宋_GBK"/>
          <w:kern w:val="2"/>
          <w:sz w:val="32"/>
          <w:szCs w:val="32"/>
        </w:rPr>
        <w:t>主要原因是本年度调资增加，物价上涨导致公用经费有一定增加。</w:t>
      </w:r>
    </w:p>
    <w:p>
      <w:pPr>
        <w:pStyle w:val="12"/>
        <w:widowControl w:val="0"/>
        <w:shd w:val="clear" w:color="auto" w:fill="FFFFFF"/>
        <w:autoSpaceDN w:val="0"/>
        <w:spacing w:line="560" w:lineRule="exact"/>
        <w:ind w:firstLine="640" w:firstLineChars="200"/>
        <w:jc w:val="both"/>
        <w:rPr>
          <w:rFonts w:ascii="方正仿宋_GBK" w:hAnsi="Calibri" w:eastAsia="方正仿宋_GBK"/>
          <w:kern w:val="2"/>
          <w:sz w:val="32"/>
          <w:szCs w:val="32"/>
        </w:rPr>
      </w:pPr>
      <w:r>
        <w:rPr>
          <w:rFonts w:ascii="方正仿宋_GBK" w:hAnsi="Calibri" w:eastAsia="方正仿宋_GBK"/>
          <w:kern w:val="2"/>
          <w:sz w:val="32"/>
          <w:szCs w:val="32"/>
        </w:rPr>
        <w:t>（2）</w:t>
      </w:r>
      <w:r>
        <w:rPr>
          <w:rFonts w:hint="eastAsia" w:ascii="方正仿宋_GBK" w:hAnsi="Calibri" w:eastAsia="方正仿宋_GBK"/>
          <w:kern w:val="2"/>
          <w:sz w:val="32"/>
          <w:szCs w:val="32"/>
        </w:rPr>
        <w:t>文化旅游体育与传媒</w:t>
      </w:r>
      <w:r>
        <w:rPr>
          <w:rFonts w:ascii="方正仿宋_GBK" w:hAnsi="Calibri" w:eastAsia="方正仿宋_GBK"/>
          <w:kern w:val="2"/>
          <w:sz w:val="32"/>
          <w:szCs w:val="32"/>
        </w:rPr>
        <w:t>支出</w:t>
      </w:r>
      <w:r>
        <w:rPr>
          <w:rFonts w:hint="eastAsia" w:ascii="方正仿宋_GBK" w:hAnsi="Calibri" w:eastAsia="方正仿宋_GBK"/>
          <w:kern w:val="2"/>
          <w:sz w:val="32"/>
          <w:szCs w:val="32"/>
        </w:rPr>
        <w:t>47.03</w:t>
      </w:r>
      <w:r>
        <w:rPr>
          <w:rFonts w:ascii="方正仿宋_GBK" w:hAnsi="Calibri" w:eastAsia="方正仿宋_GBK"/>
          <w:kern w:val="2"/>
          <w:sz w:val="32"/>
          <w:szCs w:val="32"/>
        </w:rPr>
        <w:t>万元，占</w:t>
      </w:r>
      <w:r>
        <w:rPr>
          <w:rFonts w:hint="eastAsia" w:ascii="方正仿宋_GBK" w:hAnsi="Calibri" w:eastAsia="方正仿宋_GBK"/>
          <w:kern w:val="2"/>
          <w:sz w:val="32"/>
          <w:szCs w:val="32"/>
        </w:rPr>
        <w:t>1.6</w:t>
      </w:r>
      <w:r>
        <w:rPr>
          <w:rFonts w:ascii="方正仿宋_GBK" w:hAnsi="Calibri" w:eastAsia="方正仿宋_GBK"/>
          <w:kern w:val="2"/>
          <w:sz w:val="32"/>
          <w:szCs w:val="32"/>
        </w:rPr>
        <w:t>%，较年初预算数增加</w:t>
      </w:r>
      <w:r>
        <w:rPr>
          <w:rFonts w:hint="eastAsia" w:ascii="方正仿宋_GBK" w:hAnsi="Calibri" w:eastAsia="方正仿宋_GBK"/>
          <w:kern w:val="2"/>
          <w:sz w:val="32"/>
          <w:szCs w:val="32"/>
        </w:rPr>
        <w:t>41.03</w:t>
      </w:r>
      <w:r>
        <w:rPr>
          <w:rFonts w:ascii="方正仿宋_GBK" w:hAnsi="Calibri" w:eastAsia="方正仿宋_GBK"/>
          <w:kern w:val="2"/>
          <w:sz w:val="32"/>
          <w:szCs w:val="32"/>
        </w:rPr>
        <w:t>万元，增长</w:t>
      </w:r>
      <w:r>
        <w:rPr>
          <w:rFonts w:hint="eastAsia" w:ascii="方正仿宋_GBK" w:hAnsi="Calibri" w:eastAsia="方正仿宋_GBK"/>
          <w:kern w:val="2"/>
          <w:sz w:val="32"/>
          <w:szCs w:val="32"/>
        </w:rPr>
        <w:t>683.8</w:t>
      </w:r>
      <w:r>
        <w:rPr>
          <w:rFonts w:ascii="方正仿宋_GBK" w:hAnsi="Calibri" w:eastAsia="方正仿宋_GBK"/>
          <w:kern w:val="2"/>
          <w:sz w:val="32"/>
          <w:szCs w:val="32"/>
        </w:rPr>
        <w:t>%，</w:t>
      </w:r>
      <w:r>
        <w:rPr>
          <w:rFonts w:hint="eastAsia" w:ascii="方正仿宋_GBK" w:hAnsi="Calibri" w:eastAsia="方正仿宋_GBK"/>
          <w:kern w:val="2"/>
          <w:sz w:val="32"/>
          <w:szCs w:val="32"/>
        </w:rPr>
        <w:t>主要原因是本年度调资增加，物价上涨导致公用经费有一定增加。</w:t>
      </w:r>
    </w:p>
    <w:p>
      <w:pPr>
        <w:pStyle w:val="12"/>
        <w:widowControl w:val="0"/>
        <w:shd w:val="clear" w:color="auto" w:fill="FFFFFF"/>
        <w:autoSpaceDN w:val="0"/>
        <w:spacing w:line="560" w:lineRule="exact"/>
        <w:ind w:firstLine="640" w:firstLineChars="200"/>
        <w:jc w:val="both"/>
        <w:rPr>
          <w:rFonts w:ascii="方正仿宋_GBK" w:hAnsi="Calibri" w:eastAsia="方正仿宋_GBK"/>
          <w:kern w:val="2"/>
          <w:sz w:val="32"/>
          <w:szCs w:val="32"/>
        </w:rPr>
      </w:pPr>
      <w:r>
        <w:rPr>
          <w:rFonts w:ascii="方正仿宋_GBK" w:hAnsi="Calibri" w:eastAsia="方正仿宋_GBK"/>
          <w:kern w:val="2"/>
          <w:sz w:val="32"/>
          <w:szCs w:val="32"/>
        </w:rPr>
        <w:t>（3）</w:t>
      </w:r>
      <w:r>
        <w:rPr>
          <w:rFonts w:hint="eastAsia" w:ascii="方正仿宋_GBK" w:hAnsi="Calibri" w:eastAsia="方正仿宋_GBK"/>
          <w:kern w:val="2"/>
          <w:sz w:val="32"/>
          <w:szCs w:val="32"/>
        </w:rPr>
        <w:t>社会保障和就业</w:t>
      </w:r>
      <w:r>
        <w:rPr>
          <w:rFonts w:ascii="方正仿宋_GBK" w:hAnsi="Calibri" w:eastAsia="方正仿宋_GBK"/>
          <w:kern w:val="2"/>
          <w:sz w:val="32"/>
          <w:szCs w:val="32"/>
        </w:rPr>
        <w:t>支出</w:t>
      </w:r>
      <w:r>
        <w:rPr>
          <w:rFonts w:hint="eastAsia" w:ascii="方正仿宋_GBK" w:hAnsi="Calibri" w:eastAsia="方正仿宋_GBK"/>
          <w:kern w:val="2"/>
          <w:sz w:val="32"/>
          <w:szCs w:val="32"/>
        </w:rPr>
        <w:t>318.64</w:t>
      </w:r>
      <w:r>
        <w:rPr>
          <w:rFonts w:ascii="方正仿宋_GBK" w:hAnsi="Calibri" w:eastAsia="方正仿宋_GBK"/>
          <w:kern w:val="2"/>
          <w:sz w:val="32"/>
          <w:szCs w:val="32"/>
        </w:rPr>
        <w:t>万元，占</w:t>
      </w:r>
      <w:r>
        <w:rPr>
          <w:rFonts w:hint="eastAsia" w:ascii="方正仿宋_GBK" w:hAnsi="Calibri" w:eastAsia="方正仿宋_GBK"/>
          <w:kern w:val="2"/>
          <w:sz w:val="32"/>
          <w:szCs w:val="32"/>
        </w:rPr>
        <w:t>11.4</w:t>
      </w:r>
      <w:r>
        <w:rPr>
          <w:rFonts w:ascii="方正仿宋_GBK" w:hAnsi="Calibri" w:eastAsia="方正仿宋_GBK"/>
          <w:kern w:val="2"/>
          <w:sz w:val="32"/>
          <w:szCs w:val="32"/>
        </w:rPr>
        <w:t>%，较年初预算数增加</w:t>
      </w:r>
      <w:r>
        <w:rPr>
          <w:rFonts w:hint="eastAsia" w:ascii="方正仿宋_GBK" w:hAnsi="Calibri" w:eastAsia="方正仿宋_GBK"/>
          <w:kern w:val="2"/>
          <w:sz w:val="32"/>
          <w:szCs w:val="32"/>
        </w:rPr>
        <w:t>153.22</w:t>
      </w:r>
      <w:r>
        <w:rPr>
          <w:rFonts w:ascii="方正仿宋_GBK" w:hAnsi="Calibri" w:eastAsia="方正仿宋_GBK"/>
          <w:kern w:val="2"/>
          <w:sz w:val="32"/>
          <w:szCs w:val="32"/>
        </w:rPr>
        <w:t>万元，增长</w:t>
      </w:r>
      <w:r>
        <w:rPr>
          <w:rFonts w:hint="eastAsia" w:ascii="方正仿宋_GBK" w:hAnsi="Calibri" w:eastAsia="方正仿宋_GBK"/>
          <w:kern w:val="2"/>
          <w:sz w:val="32"/>
          <w:szCs w:val="32"/>
        </w:rPr>
        <w:t>92.6</w:t>
      </w:r>
      <w:r>
        <w:rPr>
          <w:rFonts w:ascii="方正仿宋_GBK" w:hAnsi="Calibri" w:eastAsia="方正仿宋_GBK"/>
          <w:kern w:val="2"/>
          <w:sz w:val="32"/>
          <w:szCs w:val="32"/>
        </w:rPr>
        <w:t>%，</w:t>
      </w:r>
      <w:r>
        <w:rPr>
          <w:rFonts w:hint="eastAsia" w:ascii="方正仿宋_GBK" w:hAnsi="Calibri" w:eastAsia="方正仿宋_GBK"/>
          <w:kern w:val="2"/>
          <w:sz w:val="32"/>
          <w:szCs w:val="32"/>
        </w:rPr>
        <w:t>主要原因是本年度调资增加，社保缴费增加。</w:t>
      </w:r>
    </w:p>
    <w:p>
      <w:pPr>
        <w:pStyle w:val="12"/>
        <w:widowControl w:val="0"/>
        <w:shd w:val="clear" w:color="auto" w:fill="FFFFFF"/>
        <w:autoSpaceDN w:val="0"/>
        <w:spacing w:line="560" w:lineRule="exact"/>
        <w:ind w:firstLine="640" w:firstLineChars="200"/>
        <w:jc w:val="both"/>
        <w:rPr>
          <w:rFonts w:ascii="方正仿宋_GBK" w:hAnsi="Calibri" w:eastAsia="方正仿宋_GBK"/>
          <w:kern w:val="2"/>
          <w:sz w:val="32"/>
          <w:szCs w:val="32"/>
        </w:rPr>
      </w:pPr>
      <w:r>
        <w:rPr>
          <w:rFonts w:ascii="方正仿宋_GBK" w:hAnsi="Calibri" w:eastAsia="方正仿宋_GBK"/>
          <w:kern w:val="2"/>
          <w:sz w:val="32"/>
          <w:szCs w:val="32"/>
        </w:rPr>
        <w:t>（4）</w:t>
      </w:r>
      <w:r>
        <w:rPr>
          <w:rFonts w:hint="eastAsia" w:ascii="方正仿宋_GBK" w:hAnsi="Calibri" w:eastAsia="方正仿宋_GBK"/>
          <w:kern w:val="2"/>
          <w:sz w:val="32"/>
          <w:szCs w:val="32"/>
        </w:rPr>
        <w:t>卫生健康</w:t>
      </w:r>
      <w:r>
        <w:rPr>
          <w:rFonts w:ascii="方正仿宋_GBK" w:hAnsi="Calibri" w:eastAsia="方正仿宋_GBK"/>
          <w:kern w:val="2"/>
          <w:sz w:val="32"/>
          <w:szCs w:val="32"/>
        </w:rPr>
        <w:t>支出</w:t>
      </w:r>
      <w:r>
        <w:rPr>
          <w:rFonts w:hint="eastAsia" w:ascii="方正仿宋_GBK" w:hAnsi="Calibri" w:eastAsia="方正仿宋_GBK"/>
          <w:kern w:val="2"/>
          <w:sz w:val="32"/>
          <w:szCs w:val="32"/>
        </w:rPr>
        <w:t>123.49</w:t>
      </w:r>
      <w:r>
        <w:rPr>
          <w:rFonts w:ascii="方正仿宋_GBK" w:hAnsi="Calibri" w:eastAsia="方正仿宋_GBK"/>
          <w:kern w:val="2"/>
          <w:sz w:val="32"/>
          <w:szCs w:val="32"/>
        </w:rPr>
        <w:t>万元，占</w:t>
      </w:r>
      <w:r>
        <w:rPr>
          <w:rFonts w:hint="eastAsia" w:ascii="方正仿宋_GBK" w:hAnsi="Calibri" w:eastAsia="方正仿宋_GBK"/>
          <w:kern w:val="2"/>
          <w:sz w:val="32"/>
          <w:szCs w:val="32"/>
        </w:rPr>
        <w:t>4.4</w:t>
      </w:r>
      <w:r>
        <w:rPr>
          <w:rFonts w:ascii="方正仿宋_GBK" w:hAnsi="Calibri" w:eastAsia="方正仿宋_GBK"/>
          <w:kern w:val="2"/>
          <w:sz w:val="32"/>
          <w:szCs w:val="32"/>
        </w:rPr>
        <w:t>%，较年初预算数增加</w:t>
      </w:r>
      <w:r>
        <w:rPr>
          <w:rFonts w:hint="eastAsia" w:ascii="方正仿宋_GBK" w:hAnsi="Calibri" w:eastAsia="方正仿宋_GBK"/>
          <w:kern w:val="2"/>
          <w:sz w:val="32"/>
          <w:szCs w:val="32"/>
        </w:rPr>
        <w:t>15.98</w:t>
      </w:r>
      <w:r>
        <w:rPr>
          <w:rFonts w:ascii="方正仿宋_GBK" w:hAnsi="Calibri" w:eastAsia="方正仿宋_GBK"/>
          <w:kern w:val="2"/>
          <w:sz w:val="32"/>
          <w:szCs w:val="32"/>
        </w:rPr>
        <w:t>万元，增长</w:t>
      </w:r>
      <w:r>
        <w:rPr>
          <w:rFonts w:hint="eastAsia" w:ascii="方正仿宋_GBK" w:hAnsi="Calibri" w:eastAsia="方正仿宋_GBK"/>
          <w:kern w:val="2"/>
          <w:sz w:val="32"/>
          <w:szCs w:val="32"/>
        </w:rPr>
        <w:t>14.9</w:t>
      </w:r>
      <w:r>
        <w:rPr>
          <w:rFonts w:ascii="方正仿宋_GBK" w:hAnsi="Calibri" w:eastAsia="方正仿宋_GBK"/>
          <w:kern w:val="2"/>
          <w:sz w:val="32"/>
          <w:szCs w:val="32"/>
        </w:rPr>
        <w:t>%，</w:t>
      </w:r>
      <w:r>
        <w:rPr>
          <w:rFonts w:hint="eastAsia" w:ascii="方正仿宋_GBK" w:hAnsi="Calibri" w:eastAsia="方正仿宋_GBK"/>
          <w:kern w:val="2"/>
          <w:sz w:val="32"/>
          <w:szCs w:val="32"/>
        </w:rPr>
        <w:t>主要原因是本年度调资增加，医疗保障相应增加。</w:t>
      </w:r>
    </w:p>
    <w:p>
      <w:pPr>
        <w:pStyle w:val="12"/>
        <w:widowControl w:val="0"/>
        <w:shd w:val="clear" w:color="auto" w:fill="FFFFFF"/>
        <w:autoSpaceDN w:val="0"/>
        <w:spacing w:line="560" w:lineRule="exact"/>
        <w:ind w:firstLine="640" w:firstLineChars="200"/>
        <w:jc w:val="both"/>
        <w:rPr>
          <w:rFonts w:ascii="方正仿宋_GBK" w:hAnsi="Calibri" w:eastAsia="方正仿宋_GBK"/>
          <w:kern w:val="2"/>
          <w:sz w:val="32"/>
          <w:szCs w:val="32"/>
        </w:rPr>
      </w:pPr>
      <w:r>
        <w:rPr>
          <w:rFonts w:ascii="方正仿宋_GBK" w:hAnsi="Calibri" w:eastAsia="方正仿宋_GBK"/>
          <w:kern w:val="2"/>
          <w:sz w:val="32"/>
          <w:szCs w:val="32"/>
        </w:rPr>
        <w:t>（</w:t>
      </w:r>
      <w:r>
        <w:rPr>
          <w:rFonts w:hint="eastAsia" w:ascii="方正仿宋_GBK" w:hAnsi="Calibri" w:eastAsia="方正仿宋_GBK"/>
          <w:kern w:val="2"/>
          <w:sz w:val="32"/>
          <w:szCs w:val="32"/>
        </w:rPr>
        <w:t>5</w:t>
      </w:r>
      <w:r>
        <w:rPr>
          <w:rFonts w:ascii="方正仿宋_GBK" w:hAnsi="Calibri" w:eastAsia="方正仿宋_GBK"/>
          <w:kern w:val="2"/>
          <w:sz w:val="32"/>
          <w:szCs w:val="32"/>
        </w:rPr>
        <w:t>）</w:t>
      </w:r>
      <w:r>
        <w:rPr>
          <w:rFonts w:hint="eastAsia" w:ascii="方正仿宋_GBK" w:hAnsi="Calibri" w:eastAsia="方正仿宋_GBK"/>
          <w:kern w:val="2"/>
          <w:sz w:val="32"/>
          <w:szCs w:val="32"/>
        </w:rPr>
        <w:t>节能环保</w:t>
      </w:r>
      <w:r>
        <w:rPr>
          <w:rFonts w:ascii="方正仿宋_GBK" w:hAnsi="Calibri" w:eastAsia="方正仿宋_GBK"/>
          <w:kern w:val="2"/>
          <w:sz w:val="32"/>
          <w:szCs w:val="32"/>
        </w:rPr>
        <w:t>支出</w:t>
      </w:r>
      <w:r>
        <w:rPr>
          <w:rFonts w:hint="eastAsia" w:ascii="方正仿宋_GBK" w:hAnsi="Calibri" w:eastAsia="方正仿宋_GBK"/>
          <w:kern w:val="2"/>
          <w:sz w:val="32"/>
          <w:szCs w:val="32"/>
        </w:rPr>
        <w:t>120.17</w:t>
      </w:r>
      <w:r>
        <w:rPr>
          <w:rFonts w:ascii="方正仿宋_GBK" w:hAnsi="Calibri" w:eastAsia="方正仿宋_GBK"/>
          <w:kern w:val="2"/>
          <w:sz w:val="32"/>
          <w:szCs w:val="32"/>
        </w:rPr>
        <w:t>万元，占</w:t>
      </w:r>
      <w:r>
        <w:rPr>
          <w:rFonts w:hint="eastAsia" w:ascii="方正仿宋_GBK" w:hAnsi="Calibri" w:eastAsia="方正仿宋_GBK"/>
          <w:kern w:val="2"/>
          <w:sz w:val="32"/>
          <w:szCs w:val="32"/>
        </w:rPr>
        <w:t>4.3</w:t>
      </w:r>
      <w:r>
        <w:rPr>
          <w:rFonts w:ascii="方正仿宋_GBK" w:hAnsi="Calibri" w:eastAsia="方正仿宋_GBK"/>
          <w:kern w:val="2"/>
          <w:sz w:val="32"/>
          <w:szCs w:val="32"/>
        </w:rPr>
        <w:t>%，较年初预算数增加</w:t>
      </w:r>
      <w:r>
        <w:rPr>
          <w:rFonts w:hint="eastAsia" w:ascii="方正仿宋_GBK" w:hAnsi="Calibri" w:eastAsia="方正仿宋_GBK"/>
          <w:kern w:val="2"/>
          <w:sz w:val="32"/>
          <w:szCs w:val="32"/>
        </w:rPr>
        <w:t>25.17</w:t>
      </w:r>
      <w:r>
        <w:rPr>
          <w:rFonts w:ascii="方正仿宋_GBK" w:hAnsi="Calibri" w:eastAsia="方正仿宋_GBK"/>
          <w:kern w:val="2"/>
          <w:sz w:val="32"/>
          <w:szCs w:val="32"/>
        </w:rPr>
        <w:t>万元，增长</w:t>
      </w:r>
      <w:r>
        <w:rPr>
          <w:rFonts w:hint="eastAsia" w:ascii="方正仿宋_GBK" w:hAnsi="Calibri" w:eastAsia="方正仿宋_GBK"/>
          <w:kern w:val="2"/>
          <w:sz w:val="32"/>
          <w:szCs w:val="32"/>
        </w:rPr>
        <w:t>26.5</w:t>
      </w:r>
      <w:r>
        <w:rPr>
          <w:rFonts w:ascii="方正仿宋_GBK" w:hAnsi="Calibri" w:eastAsia="方正仿宋_GBK"/>
          <w:kern w:val="2"/>
          <w:sz w:val="32"/>
          <w:szCs w:val="32"/>
        </w:rPr>
        <w:t>%，</w:t>
      </w:r>
      <w:r>
        <w:rPr>
          <w:rFonts w:hint="eastAsia" w:ascii="方正仿宋_GBK" w:hAnsi="Calibri" w:eastAsia="方正仿宋_GBK"/>
          <w:kern w:val="2"/>
          <w:sz w:val="32"/>
          <w:szCs w:val="32"/>
        </w:rPr>
        <w:t>主要原因是节能环保安排项目支出增加。</w:t>
      </w:r>
    </w:p>
    <w:p>
      <w:pPr>
        <w:pStyle w:val="12"/>
        <w:widowControl w:val="0"/>
        <w:shd w:val="clear" w:color="auto" w:fill="FFFFFF"/>
        <w:autoSpaceDN w:val="0"/>
        <w:spacing w:line="560" w:lineRule="exact"/>
        <w:ind w:firstLine="640" w:firstLineChars="200"/>
        <w:jc w:val="both"/>
        <w:rPr>
          <w:rFonts w:ascii="方正仿宋_GBK" w:hAnsi="Calibri" w:eastAsia="方正仿宋_GBK"/>
          <w:kern w:val="2"/>
          <w:sz w:val="32"/>
          <w:szCs w:val="32"/>
        </w:rPr>
      </w:pPr>
      <w:r>
        <w:rPr>
          <w:rFonts w:ascii="方正仿宋_GBK" w:hAnsi="Calibri" w:eastAsia="方正仿宋_GBK"/>
          <w:kern w:val="2"/>
          <w:sz w:val="32"/>
          <w:szCs w:val="32"/>
        </w:rPr>
        <w:t>（</w:t>
      </w:r>
      <w:r>
        <w:rPr>
          <w:rFonts w:hint="eastAsia" w:ascii="方正仿宋_GBK" w:hAnsi="Calibri" w:eastAsia="方正仿宋_GBK"/>
          <w:kern w:val="2"/>
          <w:sz w:val="32"/>
          <w:szCs w:val="32"/>
        </w:rPr>
        <w:t>6</w:t>
      </w:r>
      <w:r>
        <w:rPr>
          <w:rFonts w:ascii="方正仿宋_GBK" w:hAnsi="Calibri" w:eastAsia="方正仿宋_GBK"/>
          <w:kern w:val="2"/>
          <w:sz w:val="32"/>
          <w:szCs w:val="32"/>
        </w:rPr>
        <w:t>）</w:t>
      </w:r>
      <w:r>
        <w:rPr>
          <w:rFonts w:hint="eastAsia" w:ascii="方正仿宋_GBK" w:hAnsi="Calibri" w:eastAsia="方正仿宋_GBK"/>
          <w:kern w:val="2"/>
          <w:sz w:val="32"/>
          <w:szCs w:val="32"/>
        </w:rPr>
        <w:t>城乡社区</w:t>
      </w:r>
      <w:r>
        <w:rPr>
          <w:rFonts w:ascii="方正仿宋_GBK" w:hAnsi="Calibri" w:eastAsia="方正仿宋_GBK"/>
          <w:kern w:val="2"/>
          <w:sz w:val="32"/>
          <w:szCs w:val="32"/>
        </w:rPr>
        <w:t>支出</w:t>
      </w:r>
      <w:r>
        <w:rPr>
          <w:rFonts w:hint="eastAsia" w:ascii="方正仿宋_GBK" w:hAnsi="Calibri" w:eastAsia="方正仿宋_GBK"/>
          <w:kern w:val="2"/>
          <w:sz w:val="32"/>
          <w:szCs w:val="32"/>
        </w:rPr>
        <w:t>68.01</w:t>
      </w:r>
      <w:r>
        <w:rPr>
          <w:rFonts w:ascii="方正仿宋_GBK" w:hAnsi="Calibri" w:eastAsia="方正仿宋_GBK"/>
          <w:kern w:val="2"/>
          <w:sz w:val="32"/>
          <w:szCs w:val="32"/>
        </w:rPr>
        <w:t>万元，占</w:t>
      </w:r>
      <w:r>
        <w:rPr>
          <w:rFonts w:hint="eastAsia" w:ascii="方正仿宋_GBK" w:hAnsi="Calibri" w:eastAsia="方正仿宋_GBK"/>
          <w:kern w:val="2"/>
          <w:sz w:val="32"/>
          <w:szCs w:val="32"/>
        </w:rPr>
        <w:t>2.4</w:t>
      </w:r>
      <w:r>
        <w:rPr>
          <w:rFonts w:ascii="方正仿宋_GBK" w:hAnsi="Calibri" w:eastAsia="方正仿宋_GBK"/>
          <w:kern w:val="2"/>
          <w:sz w:val="32"/>
          <w:szCs w:val="32"/>
        </w:rPr>
        <w:t>%，较年初预算数</w:t>
      </w:r>
      <w:r>
        <w:rPr>
          <w:rFonts w:hint="eastAsia" w:ascii="方正仿宋_GBK" w:hAnsi="Calibri" w:eastAsia="方正仿宋_GBK"/>
          <w:kern w:val="2"/>
          <w:sz w:val="32"/>
          <w:szCs w:val="32"/>
        </w:rPr>
        <w:t>减少6.99</w:t>
      </w:r>
      <w:r>
        <w:rPr>
          <w:rFonts w:ascii="方正仿宋_GBK" w:hAnsi="Calibri" w:eastAsia="方正仿宋_GBK"/>
          <w:kern w:val="2"/>
          <w:sz w:val="32"/>
          <w:szCs w:val="32"/>
        </w:rPr>
        <w:t>万元，</w:t>
      </w:r>
      <w:r>
        <w:rPr>
          <w:rFonts w:hint="eastAsia" w:ascii="方正仿宋_GBK" w:hAnsi="Calibri" w:eastAsia="方正仿宋_GBK"/>
          <w:kern w:val="2"/>
          <w:sz w:val="32"/>
          <w:szCs w:val="32"/>
        </w:rPr>
        <w:t>降低9.3</w:t>
      </w:r>
      <w:r>
        <w:rPr>
          <w:rFonts w:ascii="方正仿宋_GBK" w:hAnsi="Calibri" w:eastAsia="方正仿宋_GBK"/>
          <w:kern w:val="2"/>
          <w:sz w:val="32"/>
          <w:szCs w:val="32"/>
        </w:rPr>
        <w:t>%，</w:t>
      </w:r>
      <w:r>
        <w:rPr>
          <w:rFonts w:hint="eastAsia" w:ascii="方正仿宋_GBK" w:hAnsi="Calibri" w:eastAsia="方正仿宋_GBK"/>
          <w:kern w:val="2"/>
          <w:sz w:val="32"/>
          <w:szCs w:val="32"/>
        </w:rPr>
        <w:t>主要原因是城乡社区安排项目支出减少。</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7</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农林水</w:t>
      </w:r>
      <w:r>
        <w:rPr>
          <w:rFonts w:ascii="方正仿宋_GBK" w:hAnsi="Calibri" w:eastAsia="方正仿宋_GBK" w:cs="Times New Roman"/>
          <w:kern w:val="2"/>
          <w:sz w:val="32"/>
          <w:szCs w:val="32"/>
        </w:rPr>
        <w:t>支出</w:t>
      </w:r>
      <w:r>
        <w:rPr>
          <w:rFonts w:hint="eastAsia" w:ascii="方正仿宋_GBK" w:hAnsi="Calibri" w:eastAsia="方正仿宋_GBK" w:cs="Times New Roman"/>
          <w:kern w:val="2"/>
          <w:sz w:val="32"/>
          <w:szCs w:val="32"/>
        </w:rPr>
        <w:t>917.70</w:t>
      </w:r>
      <w:r>
        <w:rPr>
          <w:rFonts w:ascii="方正仿宋_GBK" w:hAnsi="Calibri" w:eastAsia="方正仿宋_GBK" w:cs="Times New Roman"/>
          <w:kern w:val="2"/>
          <w:sz w:val="32"/>
          <w:szCs w:val="32"/>
        </w:rPr>
        <w:t>万元，占</w:t>
      </w:r>
      <w:r>
        <w:rPr>
          <w:rFonts w:hint="eastAsia" w:ascii="方正仿宋_GBK" w:hAnsi="Calibri" w:eastAsia="方正仿宋_GBK" w:cs="Times New Roman"/>
          <w:kern w:val="2"/>
          <w:sz w:val="32"/>
          <w:szCs w:val="32"/>
        </w:rPr>
        <w:t>32.8</w:t>
      </w:r>
      <w:r>
        <w:rPr>
          <w:rFonts w:ascii="方正仿宋_GBK" w:hAnsi="Calibri" w:eastAsia="方正仿宋_GBK" w:cs="Times New Roman"/>
          <w:kern w:val="2"/>
          <w:sz w:val="32"/>
          <w:szCs w:val="32"/>
        </w:rPr>
        <w:t>%，较年初预算数</w:t>
      </w:r>
      <w:r>
        <w:rPr>
          <w:rFonts w:hint="eastAsia" w:ascii="方正仿宋_GBK" w:hAnsi="Calibri" w:eastAsia="方正仿宋_GBK" w:cs="Times New Roman"/>
          <w:kern w:val="2"/>
          <w:sz w:val="32"/>
          <w:szCs w:val="32"/>
        </w:rPr>
        <w:t>减少201.66</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降低18.0</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主要原因是农林水安排项目支出减少。</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8</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交通运输</w:t>
      </w:r>
      <w:r>
        <w:rPr>
          <w:rFonts w:ascii="方正仿宋_GBK" w:hAnsi="Calibri" w:eastAsia="方正仿宋_GBK" w:cs="Times New Roman"/>
          <w:kern w:val="2"/>
          <w:sz w:val="32"/>
          <w:szCs w:val="32"/>
        </w:rPr>
        <w:t>支出</w:t>
      </w:r>
      <w:r>
        <w:rPr>
          <w:rFonts w:hint="eastAsia" w:ascii="方正仿宋_GBK" w:hAnsi="Calibri" w:eastAsia="方正仿宋_GBK" w:cs="Times New Roman"/>
          <w:kern w:val="2"/>
          <w:sz w:val="32"/>
          <w:szCs w:val="32"/>
        </w:rPr>
        <w:t>261.72</w:t>
      </w:r>
      <w:r>
        <w:rPr>
          <w:rFonts w:ascii="方正仿宋_GBK" w:hAnsi="Calibri" w:eastAsia="方正仿宋_GBK" w:cs="Times New Roman"/>
          <w:kern w:val="2"/>
          <w:sz w:val="32"/>
          <w:szCs w:val="32"/>
        </w:rPr>
        <w:t>万元，占</w:t>
      </w:r>
      <w:r>
        <w:rPr>
          <w:rFonts w:hint="eastAsia" w:ascii="方正仿宋_GBK" w:hAnsi="Calibri" w:eastAsia="方正仿宋_GBK" w:cs="Times New Roman"/>
          <w:kern w:val="2"/>
          <w:sz w:val="32"/>
          <w:szCs w:val="32"/>
        </w:rPr>
        <w:t>9.4</w:t>
      </w:r>
      <w:r>
        <w:rPr>
          <w:rFonts w:ascii="方正仿宋_GBK" w:hAnsi="Calibri" w:eastAsia="方正仿宋_GBK" w:cs="Times New Roman"/>
          <w:kern w:val="2"/>
          <w:sz w:val="32"/>
          <w:szCs w:val="32"/>
        </w:rPr>
        <w:t>%，较年初预算数增加</w:t>
      </w:r>
      <w:r>
        <w:rPr>
          <w:rFonts w:hint="eastAsia" w:ascii="方正仿宋_GBK" w:hAnsi="Calibri" w:eastAsia="方正仿宋_GBK" w:cs="Times New Roman"/>
          <w:kern w:val="2"/>
          <w:sz w:val="32"/>
          <w:szCs w:val="32"/>
        </w:rPr>
        <w:t>226.72</w:t>
      </w:r>
      <w:r>
        <w:rPr>
          <w:rFonts w:ascii="方正仿宋_GBK" w:hAnsi="Calibri" w:eastAsia="方正仿宋_GBK" w:cs="Times New Roman"/>
          <w:kern w:val="2"/>
          <w:sz w:val="32"/>
          <w:szCs w:val="32"/>
        </w:rPr>
        <w:t>万元，增长</w:t>
      </w:r>
      <w:r>
        <w:rPr>
          <w:rFonts w:hint="eastAsia" w:ascii="方正仿宋_GBK" w:hAnsi="Calibri" w:eastAsia="方正仿宋_GBK" w:cs="Times New Roman"/>
          <w:kern w:val="2"/>
          <w:sz w:val="32"/>
          <w:szCs w:val="32"/>
        </w:rPr>
        <w:t>647.8</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主要原因是四好公路项目增加。</w:t>
      </w:r>
    </w:p>
    <w:p>
      <w:pPr>
        <w:pStyle w:val="12"/>
        <w:widowControl w:val="0"/>
        <w:shd w:val="clear" w:color="auto" w:fill="FFFFFF"/>
        <w:autoSpaceDN w:val="0"/>
        <w:spacing w:line="560" w:lineRule="exact"/>
        <w:ind w:firstLine="640" w:firstLineChars="200"/>
        <w:jc w:val="both"/>
        <w:rPr>
          <w:rFonts w:ascii="方正仿宋_GBK" w:hAnsi="Calibri" w:eastAsia="方正仿宋_GBK"/>
          <w:kern w:val="2"/>
          <w:sz w:val="32"/>
          <w:szCs w:val="32"/>
        </w:rPr>
      </w:pPr>
      <w:r>
        <w:rPr>
          <w:rFonts w:ascii="方正仿宋_GBK" w:hAnsi="Calibri" w:eastAsia="方正仿宋_GBK"/>
          <w:kern w:val="2"/>
          <w:sz w:val="32"/>
          <w:szCs w:val="32"/>
        </w:rPr>
        <w:t>（</w:t>
      </w:r>
      <w:r>
        <w:rPr>
          <w:rFonts w:hint="eastAsia" w:ascii="方正仿宋_GBK" w:hAnsi="Calibri" w:eastAsia="方正仿宋_GBK"/>
          <w:kern w:val="2"/>
          <w:sz w:val="32"/>
          <w:szCs w:val="32"/>
        </w:rPr>
        <w:t>9</w:t>
      </w:r>
      <w:r>
        <w:rPr>
          <w:rFonts w:ascii="方正仿宋_GBK" w:hAnsi="Calibri" w:eastAsia="方正仿宋_GBK"/>
          <w:kern w:val="2"/>
          <w:sz w:val="32"/>
          <w:szCs w:val="32"/>
        </w:rPr>
        <w:t>）</w:t>
      </w:r>
      <w:r>
        <w:rPr>
          <w:rFonts w:hint="eastAsia" w:ascii="方正仿宋_GBK" w:hAnsi="Calibri" w:eastAsia="方正仿宋_GBK"/>
          <w:kern w:val="2"/>
          <w:sz w:val="32"/>
          <w:szCs w:val="32"/>
        </w:rPr>
        <w:t>住房保障</w:t>
      </w:r>
      <w:r>
        <w:rPr>
          <w:rFonts w:ascii="方正仿宋_GBK" w:hAnsi="Calibri" w:eastAsia="方正仿宋_GBK"/>
          <w:kern w:val="2"/>
          <w:sz w:val="32"/>
          <w:szCs w:val="32"/>
        </w:rPr>
        <w:t>支出</w:t>
      </w:r>
      <w:r>
        <w:rPr>
          <w:rFonts w:hint="eastAsia" w:ascii="方正仿宋_GBK" w:hAnsi="Calibri" w:eastAsia="方正仿宋_GBK"/>
          <w:kern w:val="2"/>
          <w:sz w:val="32"/>
          <w:szCs w:val="32"/>
        </w:rPr>
        <w:t>60.21</w:t>
      </w:r>
      <w:r>
        <w:rPr>
          <w:rFonts w:ascii="方正仿宋_GBK" w:hAnsi="Calibri" w:eastAsia="方正仿宋_GBK"/>
          <w:kern w:val="2"/>
          <w:sz w:val="32"/>
          <w:szCs w:val="32"/>
        </w:rPr>
        <w:t>万元，占</w:t>
      </w:r>
      <w:r>
        <w:rPr>
          <w:rFonts w:hint="eastAsia" w:ascii="方正仿宋_GBK" w:hAnsi="Calibri" w:eastAsia="方正仿宋_GBK"/>
          <w:kern w:val="2"/>
          <w:sz w:val="32"/>
          <w:szCs w:val="32"/>
        </w:rPr>
        <w:t>2.2</w:t>
      </w:r>
      <w:r>
        <w:rPr>
          <w:rFonts w:ascii="方正仿宋_GBK" w:hAnsi="Calibri" w:eastAsia="方正仿宋_GBK"/>
          <w:kern w:val="2"/>
          <w:sz w:val="32"/>
          <w:szCs w:val="32"/>
        </w:rPr>
        <w:t>%，较年初预算数增加</w:t>
      </w:r>
      <w:r>
        <w:rPr>
          <w:rFonts w:hint="eastAsia" w:ascii="方正仿宋_GBK" w:hAnsi="Calibri" w:eastAsia="方正仿宋_GBK"/>
          <w:kern w:val="2"/>
          <w:sz w:val="32"/>
          <w:szCs w:val="32"/>
        </w:rPr>
        <w:t>0</w:t>
      </w:r>
      <w:r>
        <w:rPr>
          <w:rFonts w:ascii="方正仿宋_GBK" w:hAnsi="Calibri" w:eastAsia="方正仿宋_GBK"/>
          <w:kern w:val="2"/>
          <w:sz w:val="32"/>
          <w:szCs w:val="32"/>
        </w:rPr>
        <w:t>万元，增长</w:t>
      </w:r>
      <w:r>
        <w:rPr>
          <w:rFonts w:hint="eastAsia" w:ascii="方正仿宋_GBK" w:hAnsi="Calibri" w:eastAsia="方正仿宋_GBK"/>
          <w:kern w:val="2"/>
          <w:sz w:val="32"/>
          <w:szCs w:val="32"/>
        </w:rPr>
        <w:t>0.0</w:t>
      </w:r>
      <w:r>
        <w:rPr>
          <w:rFonts w:ascii="方正仿宋_GBK" w:hAnsi="Calibri" w:eastAsia="方正仿宋_GBK"/>
          <w:kern w:val="2"/>
          <w:sz w:val="32"/>
          <w:szCs w:val="32"/>
        </w:rPr>
        <w:t>%，</w:t>
      </w:r>
      <w:r>
        <w:rPr>
          <w:rFonts w:hint="eastAsia" w:ascii="方正仿宋_GBK" w:hAnsi="Calibri" w:eastAsia="方正仿宋_GBK"/>
          <w:kern w:val="2"/>
          <w:sz w:val="32"/>
          <w:szCs w:val="32"/>
        </w:rPr>
        <w:t>主要原因是本年度人员增加，调资增加，住房公积金增加。</w:t>
      </w:r>
    </w:p>
    <w:p>
      <w:pPr>
        <w:pStyle w:val="6"/>
        <w:spacing w:line="560" w:lineRule="exact"/>
        <w:ind w:firstLine="640" w:firstLineChars="200"/>
        <w:rPr>
          <w:rFonts w:ascii="方正仿宋_GBK" w:hAnsi="Calibri" w:eastAsia="方正仿宋_GBK" w:cs="Times New Roman"/>
          <w:kern w:val="2"/>
          <w:sz w:val="32"/>
          <w:szCs w:val="32"/>
        </w:rPr>
      </w:pPr>
      <w:r>
        <w:rPr>
          <w:rFonts w:ascii="方正楷体_GBK" w:hAnsi="Calibri" w:eastAsia="方正楷体_GBK" w:cs="Times New Roman"/>
          <w:kern w:val="2"/>
          <w:sz w:val="32"/>
          <w:szCs w:val="32"/>
        </w:rPr>
        <w:t>（四）一般公共预算财政拨款基本支出决算情况说明</w:t>
      </w:r>
    </w:p>
    <w:p>
      <w:pPr>
        <w:pStyle w:val="6"/>
        <w:spacing w:line="560" w:lineRule="exact"/>
        <w:ind w:firstLine="640" w:firstLineChars="200"/>
        <w:rPr>
          <w:rFonts w:ascii="方正仿宋_GBK" w:hAnsi="Calibri" w:cs="Times New Roman"/>
          <w:bCs/>
          <w:kern w:val="2"/>
        </w:rPr>
      </w:pPr>
      <w:r>
        <w:rPr>
          <w:rFonts w:ascii="方正仿宋_GBK" w:hAnsi="Calibri" w:eastAsia="方正仿宋_GBK" w:cs="Times New Roman"/>
          <w:kern w:val="2"/>
          <w:sz w:val="32"/>
          <w:szCs w:val="32"/>
        </w:rPr>
        <w:t>2022年度一般公共预算财政拨款基本支出</w:t>
      </w:r>
      <w:r>
        <w:rPr>
          <w:rFonts w:hint="eastAsia" w:ascii="方正仿宋_GBK" w:hAnsi="Calibri" w:eastAsia="方正仿宋_GBK" w:cs="Times New Roman"/>
          <w:kern w:val="2"/>
          <w:sz w:val="32"/>
          <w:szCs w:val="32"/>
        </w:rPr>
        <w:t>1753.35</w:t>
      </w:r>
      <w:r>
        <w:rPr>
          <w:rFonts w:ascii="方正仿宋_GBK" w:hAnsi="Calibri" w:eastAsia="方正仿宋_GBK" w:cs="Times New Roman"/>
          <w:kern w:val="2"/>
          <w:sz w:val="32"/>
          <w:szCs w:val="32"/>
        </w:rPr>
        <w:t>万元。其中：人员经费</w:t>
      </w:r>
      <w:r>
        <w:rPr>
          <w:rFonts w:hint="eastAsia" w:ascii="方正仿宋_GBK" w:hAnsi="Calibri" w:eastAsia="方正仿宋_GBK" w:cs="Times New Roman"/>
          <w:kern w:val="2"/>
          <w:sz w:val="32"/>
          <w:szCs w:val="32"/>
        </w:rPr>
        <w:t>1336.98</w:t>
      </w:r>
      <w:r>
        <w:rPr>
          <w:rFonts w:ascii="方正仿宋_GBK" w:hAnsi="Calibri" w:eastAsia="方正仿宋_GBK" w:cs="Times New Roman"/>
          <w:kern w:val="2"/>
          <w:sz w:val="32"/>
          <w:szCs w:val="32"/>
        </w:rPr>
        <w:t>万元，较上年决算数</w:t>
      </w:r>
      <w:r>
        <w:rPr>
          <w:rFonts w:hint="eastAsia" w:ascii="方正仿宋_GBK" w:hAnsi="Calibri" w:eastAsia="方正仿宋_GBK" w:cs="Times New Roman"/>
          <w:kern w:val="2"/>
          <w:sz w:val="32"/>
          <w:szCs w:val="32"/>
        </w:rPr>
        <w:t>减少64.77</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降低4.6</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主要原因是人员减少，导致人员经费减少</w:t>
      </w:r>
      <w:r>
        <w:rPr>
          <w:rFonts w:ascii="方正仿宋_GBK" w:hAnsi="Calibri" w:eastAsia="方正仿宋_GBK" w:cs="Times New Roman"/>
          <w:kern w:val="2"/>
          <w:sz w:val="32"/>
          <w:szCs w:val="32"/>
        </w:rPr>
        <w:t>。人员经费用途主要包括</w:t>
      </w:r>
      <w:r>
        <w:rPr>
          <w:rFonts w:hint="eastAsia" w:ascii="方正仿宋_GBK" w:hAnsi="Calibri" w:eastAsia="方正仿宋_GBK" w:cs="Times New Roman"/>
          <w:kern w:val="2"/>
          <w:sz w:val="32"/>
          <w:szCs w:val="32"/>
        </w:rPr>
        <w:t>基本工资、津贴补贴、绩效工资、奖金、社会保障缴费、住房公积金、应休未休假报酬等</w:t>
      </w:r>
      <w:r>
        <w:rPr>
          <w:rFonts w:ascii="方正仿宋_GBK" w:hAnsi="Calibri" w:eastAsia="方正仿宋_GBK" w:cs="Times New Roman"/>
          <w:kern w:val="2"/>
          <w:sz w:val="32"/>
          <w:szCs w:val="32"/>
        </w:rPr>
        <w:t>。公用经费</w:t>
      </w:r>
      <w:r>
        <w:rPr>
          <w:rFonts w:hint="eastAsia" w:ascii="方正仿宋_GBK" w:hAnsi="Calibri" w:eastAsia="方正仿宋_GBK" w:cs="Times New Roman"/>
          <w:kern w:val="2"/>
          <w:sz w:val="32"/>
          <w:szCs w:val="32"/>
        </w:rPr>
        <w:t>416.37</w:t>
      </w:r>
      <w:r>
        <w:rPr>
          <w:rFonts w:ascii="方正仿宋_GBK" w:hAnsi="Calibri" w:eastAsia="方正仿宋_GBK" w:cs="Times New Roman"/>
          <w:kern w:val="2"/>
          <w:sz w:val="32"/>
          <w:szCs w:val="32"/>
        </w:rPr>
        <w:t>万元，较上年决算数增加</w:t>
      </w:r>
      <w:r>
        <w:rPr>
          <w:rFonts w:hint="eastAsia" w:ascii="方正仿宋_GBK" w:hAnsi="Calibri" w:eastAsia="方正仿宋_GBK" w:cs="Times New Roman"/>
          <w:kern w:val="2"/>
          <w:sz w:val="32"/>
          <w:szCs w:val="32"/>
        </w:rPr>
        <w:t>54.07</w:t>
      </w:r>
      <w:r>
        <w:rPr>
          <w:rFonts w:ascii="方正仿宋_GBK" w:hAnsi="Calibri" w:eastAsia="方正仿宋_GBK" w:cs="Times New Roman"/>
          <w:kern w:val="2"/>
          <w:sz w:val="32"/>
          <w:szCs w:val="32"/>
        </w:rPr>
        <w:t>万元，增长</w:t>
      </w:r>
      <w:r>
        <w:rPr>
          <w:rFonts w:hint="eastAsia" w:ascii="方正仿宋_GBK" w:hAnsi="Calibri" w:eastAsia="方正仿宋_GBK" w:cs="Times New Roman"/>
          <w:kern w:val="2"/>
          <w:sz w:val="32"/>
          <w:szCs w:val="32"/>
        </w:rPr>
        <w:t>14.9</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主要原因是物价上涨，虽然厉行节约，但是公用经费在上年决算数基础上有所增加</w:t>
      </w:r>
      <w:r>
        <w:rPr>
          <w:rFonts w:ascii="方正仿宋_GBK" w:hAnsi="Calibri" w:eastAsia="方正仿宋_GBK" w:cs="Times New Roman"/>
          <w:kern w:val="2"/>
          <w:sz w:val="32"/>
          <w:szCs w:val="32"/>
        </w:rPr>
        <w:t>。公用经费用途主要包括</w:t>
      </w:r>
      <w:r>
        <w:rPr>
          <w:rFonts w:hint="eastAsia" w:ascii="方正仿宋_GBK" w:hAnsi="Calibri" w:eastAsia="方正仿宋_GBK" w:cs="Times New Roman"/>
          <w:kern w:val="2"/>
          <w:sz w:val="32"/>
          <w:szCs w:val="32"/>
        </w:rPr>
        <w:t>办公费、印刷费、咨询费、水费、电费、邮电费、差旅费、维修（护）费、公务接待费、劳务费、工会经费、其他交通费等。</w:t>
      </w:r>
    </w:p>
    <w:p>
      <w:pPr>
        <w:pStyle w:val="6"/>
        <w:spacing w:line="560" w:lineRule="exact"/>
        <w:ind w:firstLine="640" w:firstLineChars="200"/>
        <w:rPr>
          <w:rFonts w:ascii="方正仿宋_GBK" w:hAnsi="Calibri" w:cs="Times New Roman"/>
          <w:bCs/>
          <w:kern w:val="2"/>
        </w:rPr>
      </w:pPr>
      <w:r>
        <w:rPr>
          <w:rFonts w:ascii="方正楷体_GBK" w:hAnsi="Calibri" w:eastAsia="方正楷体_GBK" w:cs="Times New Roman"/>
          <w:kern w:val="2"/>
          <w:sz w:val="32"/>
          <w:szCs w:val="32"/>
        </w:rPr>
        <w:t>（五）政府性基金预算收支决算情况说明</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2022年度政府性基金预算财政拨款年初结转结余</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万元，年末结转结余</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万元。本年收入</w:t>
      </w:r>
      <w:r>
        <w:rPr>
          <w:rFonts w:hint="eastAsia" w:ascii="方正仿宋_GBK" w:hAnsi="Calibri" w:eastAsia="方正仿宋_GBK" w:cs="Times New Roman"/>
          <w:kern w:val="2"/>
          <w:sz w:val="32"/>
          <w:szCs w:val="32"/>
        </w:rPr>
        <w:t>601.48</w:t>
      </w:r>
      <w:r>
        <w:rPr>
          <w:rFonts w:ascii="方正仿宋_GBK" w:hAnsi="Calibri" w:eastAsia="方正仿宋_GBK" w:cs="Times New Roman"/>
          <w:kern w:val="2"/>
          <w:sz w:val="32"/>
          <w:szCs w:val="32"/>
        </w:rPr>
        <w:t>万元，较上年决算数增加</w:t>
      </w:r>
      <w:r>
        <w:rPr>
          <w:rFonts w:hint="eastAsia" w:ascii="方正仿宋_GBK" w:hAnsi="Calibri" w:eastAsia="方正仿宋_GBK" w:cs="Times New Roman"/>
          <w:kern w:val="2"/>
          <w:sz w:val="32"/>
          <w:szCs w:val="32"/>
        </w:rPr>
        <w:t>434.01</w:t>
      </w:r>
      <w:r>
        <w:rPr>
          <w:rFonts w:ascii="方正仿宋_GBK" w:hAnsi="Calibri" w:eastAsia="方正仿宋_GBK" w:cs="Times New Roman"/>
          <w:kern w:val="2"/>
          <w:sz w:val="32"/>
          <w:szCs w:val="32"/>
        </w:rPr>
        <w:t>万元，增长</w:t>
      </w:r>
      <w:r>
        <w:rPr>
          <w:rFonts w:hint="eastAsia" w:ascii="方正仿宋_GBK" w:hAnsi="Calibri" w:eastAsia="方正仿宋_GBK" w:cs="Times New Roman"/>
          <w:kern w:val="2"/>
          <w:sz w:val="32"/>
          <w:szCs w:val="32"/>
        </w:rPr>
        <w:t>259.2</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主要原因是特色小城镇项目、脱贫攻坚与乡村振兴有效衔接项目增加</w:t>
      </w:r>
      <w:r>
        <w:rPr>
          <w:rFonts w:ascii="方正仿宋_GBK" w:hAnsi="Calibri" w:eastAsia="方正仿宋_GBK" w:cs="Times New Roman"/>
          <w:kern w:val="2"/>
          <w:sz w:val="32"/>
          <w:szCs w:val="32"/>
        </w:rPr>
        <w:t>。本年支出</w:t>
      </w:r>
      <w:r>
        <w:rPr>
          <w:rFonts w:hint="eastAsia" w:ascii="方正仿宋_GBK" w:hAnsi="Calibri" w:eastAsia="方正仿宋_GBK" w:cs="Times New Roman"/>
          <w:kern w:val="2"/>
          <w:sz w:val="32"/>
          <w:szCs w:val="32"/>
        </w:rPr>
        <w:t>601.48</w:t>
      </w:r>
      <w:r>
        <w:rPr>
          <w:rFonts w:ascii="方正仿宋_GBK" w:hAnsi="Calibri" w:eastAsia="方正仿宋_GBK" w:cs="Times New Roman"/>
          <w:kern w:val="2"/>
          <w:sz w:val="32"/>
          <w:szCs w:val="32"/>
        </w:rPr>
        <w:t>万元，较上年决算数增加</w:t>
      </w:r>
      <w:r>
        <w:rPr>
          <w:rFonts w:hint="eastAsia" w:ascii="方正仿宋_GBK" w:hAnsi="Calibri" w:eastAsia="方正仿宋_GBK" w:cs="Times New Roman"/>
          <w:kern w:val="2"/>
          <w:sz w:val="32"/>
          <w:szCs w:val="32"/>
        </w:rPr>
        <w:t>434.01</w:t>
      </w:r>
      <w:r>
        <w:rPr>
          <w:rFonts w:ascii="方正仿宋_GBK" w:hAnsi="Calibri" w:eastAsia="方正仿宋_GBK" w:cs="Times New Roman"/>
          <w:kern w:val="2"/>
          <w:sz w:val="32"/>
          <w:szCs w:val="32"/>
        </w:rPr>
        <w:t>万元，增长</w:t>
      </w:r>
      <w:r>
        <w:rPr>
          <w:rFonts w:hint="eastAsia" w:ascii="方正仿宋_GBK" w:hAnsi="Calibri" w:eastAsia="方正仿宋_GBK" w:cs="Times New Roman"/>
          <w:kern w:val="2"/>
          <w:sz w:val="32"/>
          <w:szCs w:val="32"/>
        </w:rPr>
        <w:t>259.2</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主要原因是特色小城镇项目、脱贫攻坚与乡村振兴有效衔接项目增加</w:t>
      </w:r>
      <w:r>
        <w:rPr>
          <w:rFonts w:ascii="方正仿宋_GBK" w:hAnsi="Calibri" w:eastAsia="方正仿宋_GBK" w:cs="Times New Roman"/>
          <w:kern w:val="2"/>
          <w:sz w:val="32"/>
          <w:szCs w:val="32"/>
        </w:rPr>
        <w:t>。</w:t>
      </w:r>
    </w:p>
    <w:p>
      <w:pPr>
        <w:pStyle w:val="6"/>
        <w:spacing w:line="560" w:lineRule="exact"/>
        <w:ind w:firstLine="640" w:firstLineChars="200"/>
        <w:rPr>
          <w:rFonts w:ascii="方正楷体_GBK" w:hAnsi="Calibri" w:eastAsia="方正楷体_GBK" w:cs="Times New Roman"/>
          <w:kern w:val="2"/>
          <w:sz w:val="32"/>
          <w:szCs w:val="32"/>
        </w:rPr>
      </w:pPr>
      <w:r>
        <w:rPr>
          <w:rFonts w:ascii="方正楷体_GBK" w:hAnsi="Calibri" w:eastAsia="方正楷体_GBK" w:cs="Times New Roman"/>
          <w:kern w:val="2"/>
          <w:sz w:val="32"/>
          <w:szCs w:val="32"/>
        </w:rPr>
        <w:t>（六）国有资本经营预算财政拨款支出决算情况说明。</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本</w:t>
      </w:r>
      <w:r>
        <w:rPr>
          <w:rFonts w:hint="eastAsia" w:ascii="方正仿宋_GBK" w:hAnsi="Calibri" w:eastAsia="方正仿宋_GBK" w:cs="Times New Roman"/>
          <w:kern w:val="2"/>
          <w:sz w:val="32"/>
          <w:szCs w:val="32"/>
        </w:rPr>
        <w:t>单位</w:t>
      </w:r>
      <w:r>
        <w:rPr>
          <w:rFonts w:ascii="方正仿宋_GBK" w:hAnsi="Calibri" w:eastAsia="方正仿宋_GBK" w:cs="Times New Roman"/>
          <w:kern w:val="2"/>
          <w:sz w:val="32"/>
          <w:szCs w:val="32"/>
        </w:rPr>
        <w:t>2022年度无国有资本经营预算财政拨款支出。</w:t>
      </w:r>
    </w:p>
    <w:p>
      <w:pPr>
        <w:pStyle w:val="6"/>
        <w:spacing w:line="560" w:lineRule="exact"/>
        <w:ind w:firstLine="640" w:firstLineChars="200"/>
        <w:rPr>
          <w:rFonts w:ascii="方正仿宋_GBK" w:eastAsia="方正仿宋_GBK"/>
          <w:sz w:val="32"/>
          <w:szCs w:val="32"/>
        </w:rPr>
      </w:pPr>
      <w:r>
        <w:rPr>
          <w:rFonts w:hint="eastAsia" w:ascii="方正黑体_GBK" w:eastAsia="方正黑体_GBK"/>
          <w:sz w:val="32"/>
          <w:szCs w:val="32"/>
        </w:rPr>
        <w:t>三、“三公”经费情况说明</w:t>
      </w:r>
      <w:r>
        <w:rPr>
          <w:rFonts w:hint="eastAsia" w:ascii="方正仿宋_GBK" w:eastAsia="方正仿宋_GBK"/>
          <w:sz w:val="32"/>
          <w:szCs w:val="32"/>
        </w:rPr>
        <w:t xml:space="preserve"> </w:t>
      </w:r>
    </w:p>
    <w:p>
      <w:pPr>
        <w:pStyle w:val="6"/>
        <w:spacing w:line="560" w:lineRule="exact"/>
        <w:ind w:firstLine="640" w:firstLineChars="200"/>
        <w:rPr>
          <w:rFonts w:ascii="方正楷体_GBK" w:eastAsia="方正楷体_GBK"/>
          <w:sz w:val="32"/>
          <w:szCs w:val="32"/>
        </w:rPr>
      </w:pPr>
      <w:r>
        <w:rPr>
          <w:rFonts w:ascii="方正楷体_GBK" w:eastAsia="方正楷体_GBK"/>
          <w:sz w:val="32"/>
          <w:szCs w:val="32"/>
        </w:rPr>
        <w:t>（一）“三公”经费支出总体情况说明</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2022年度“三公”经费支出共计</w:t>
      </w:r>
      <w:r>
        <w:rPr>
          <w:rFonts w:hint="eastAsia" w:ascii="方正仿宋_GBK" w:eastAsia="方正仿宋_GBK"/>
          <w:sz w:val="32"/>
          <w:szCs w:val="32"/>
        </w:rPr>
        <w:t>11.17</w:t>
      </w:r>
      <w:r>
        <w:rPr>
          <w:rFonts w:ascii="方正仿宋_GBK" w:eastAsia="方正仿宋_GBK"/>
          <w:sz w:val="32"/>
          <w:szCs w:val="32"/>
        </w:rPr>
        <w:t>万元，较年初预算数</w:t>
      </w:r>
      <w:r>
        <w:rPr>
          <w:rFonts w:hint="eastAsia" w:ascii="方正仿宋_GBK" w:eastAsia="方正仿宋_GBK"/>
          <w:sz w:val="32"/>
          <w:szCs w:val="32"/>
        </w:rPr>
        <w:t>减少1.63</w:t>
      </w:r>
      <w:r>
        <w:rPr>
          <w:rFonts w:ascii="方正仿宋_GBK" w:eastAsia="方正仿宋_GBK"/>
          <w:sz w:val="32"/>
          <w:szCs w:val="32"/>
        </w:rPr>
        <w:t>万元，</w:t>
      </w:r>
      <w:r>
        <w:rPr>
          <w:rFonts w:hint="eastAsia" w:ascii="方正仿宋_GBK" w:eastAsia="方正仿宋_GBK"/>
          <w:sz w:val="32"/>
          <w:szCs w:val="32"/>
        </w:rPr>
        <w:t>降低1.3</w:t>
      </w:r>
      <w:r>
        <w:rPr>
          <w:rFonts w:ascii="方正仿宋_GBK" w:eastAsia="方正仿宋_GBK"/>
          <w:sz w:val="32"/>
          <w:szCs w:val="32"/>
        </w:rPr>
        <w:t>%，</w:t>
      </w:r>
      <w:r>
        <w:rPr>
          <w:rFonts w:hint="eastAsia" w:ascii="方正仿宋_GBK" w:eastAsia="方正仿宋_GBK"/>
          <w:sz w:val="32"/>
          <w:szCs w:val="32"/>
        </w:rPr>
        <w:t>主要原因是厉行节约，压缩了“三公”经费。</w:t>
      </w:r>
      <w:r>
        <w:rPr>
          <w:rFonts w:ascii="方正仿宋_GBK" w:eastAsia="方正仿宋_GBK"/>
          <w:sz w:val="32"/>
          <w:szCs w:val="32"/>
        </w:rPr>
        <w:t>较上年支出数</w:t>
      </w:r>
      <w:r>
        <w:rPr>
          <w:rFonts w:hint="eastAsia" w:ascii="方正仿宋_GBK" w:eastAsia="方正仿宋_GBK"/>
          <w:sz w:val="32"/>
          <w:szCs w:val="32"/>
        </w:rPr>
        <w:t>减少21.59</w:t>
      </w:r>
      <w:r>
        <w:rPr>
          <w:rFonts w:ascii="方正仿宋_GBK" w:eastAsia="方正仿宋_GBK"/>
          <w:sz w:val="32"/>
          <w:szCs w:val="32"/>
        </w:rPr>
        <w:t>万元，</w:t>
      </w:r>
      <w:r>
        <w:rPr>
          <w:rFonts w:hint="eastAsia" w:ascii="方正仿宋_GBK" w:eastAsia="方正仿宋_GBK"/>
          <w:sz w:val="32"/>
          <w:szCs w:val="32"/>
        </w:rPr>
        <w:t>降低65.9</w:t>
      </w:r>
      <w:r>
        <w:rPr>
          <w:rFonts w:ascii="方正仿宋_GBK" w:eastAsia="方正仿宋_GBK"/>
          <w:sz w:val="32"/>
          <w:szCs w:val="32"/>
        </w:rPr>
        <w:t>%，</w:t>
      </w:r>
      <w:r>
        <w:rPr>
          <w:rFonts w:hint="eastAsia" w:ascii="方正仿宋_GBK" w:eastAsia="方正仿宋_GBK"/>
          <w:sz w:val="32"/>
          <w:szCs w:val="32"/>
        </w:rPr>
        <w:t>主要原因是厉行节约，压缩了“三公”经费。</w:t>
      </w:r>
    </w:p>
    <w:p>
      <w:pPr>
        <w:pStyle w:val="6"/>
        <w:spacing w:line="560" w:lineRule="exact"/>
        <w:ind w:firstLine="640" w:firstLineChars="200"/>
        <w:rPr>
          <w:rFonts w:ascii="方正楷体_GBK" w:hAnsi="Calibri" w:eastAsia="方正楷体_GBK" w:cs="Times New Roman"/>
          <w:kern w:val="2"/>
          <w:sz w:val="32"/>
          <w:szCs w:val="32"/>
        </w:rPr>
      </w:pPr>
      <w:r>
        <w:rPr>
          <w:rFonts w:ascii="方正楷体_GBK" w:hAnsi="Calibri" w:eastAsia="方正楷体_GBK" w:cs="Times New Roman"/>
          <w:kern w:val="2"/>
          <w:sz w:val="32"/>
          <w:szCs w:val="32"/>
        </w:rPr>
        <w:t>（二）“三公”经费分项支出情况</w:t>
      </w:r>
    </w:p>
    <w:p>
      <w:pPr>
        <w:pStyle w:val="6"/>
        <w:spacing w:line="560" w:lineRule="exact"/>
        <w:ind w:firstLine="640" w:firstLineChars="200"/>
        <w:rPr>
          <w:rFonts w:ascii="方正楷体_GBK" w:hAnsi="Calibri" w:eastAsia="方正楷体_GBK" w:cs="Times New Roman"/>
          <w:kern w:val="2"/>
          <w:sz w:val="32"/>
          <w:szCs w:val="32"/>
        </w:rPr>
      </w:pPr>
      <w:r>
        <w:rPr>
          <w:rFonts w:hint="eastAsia" w:ascii="方正仿宋_GBK" w:hAnsi="方正仿宋_GBK" w:eastAsia="方正仿宋_GBK" w:cs="方正仿宋_GBK"/>
          <w:kern w:val="2"/>
          <w:sz w:val="32"/>
          <w:szCs w:val="32"/>
          <w:lang w:val="en-US" w:eastAsia="zh-CN" w:bidi="ar"/>
        </w:rPr>
        <w:t>2022年度本单位因公出国（境）费用0万元，费用支出较年初预算数增加0万元，增长0.0%。较上年支出数增加0万元，增长0.0%。2022年度我单位无因公出国（境）支出，与上年度决算数持平</w:t>
      </w:r>
      <w:r>
        <w:rPr>
          <w:rFonts w:hint="eastAsia" w:ascii="方正仿宋_GBK" w:hAnsi="Calibri" w:eastAsia="方正仿宋_GBK" w:cs="Times New Roman"/>
          <w:kern w:val="2"/>
          <w:sz w:val="32"/>
          <w:szCs w:val="32"/>
        </w:rPr>
        <w:t>。</w:t>
      </w:r>
    </w:p>
    <w:p>
      <w:pPr>
        <w:pStyle w:val="12"/>
        <w:widowControl w:val="0"/>
        <w:shd w:val="clear" w:color="auto" w:fill="FFFFFF"/>
        <w:autoSpaceDN w:val="0"/>
        <w:spacing w:line="560" w:lineRule="exact"/>
        <w:ind w:firstLine="640" w:firstLineChars="200"/>
        <w:jc w:val="both"/>
        <w:rPr>
          <w:rFonts w:ascii="方正仿宋_GBK" w:hAnsi="Calibri" w:eastAsia="方正仿宋_GBK"/>
          <w:kern w:val="2"/>
          <w:sz w:val="32"/>
          <w:szCs w:val="32"/>
        </w:rPr>
      </w:pPr>
      <w:r>
        <w:rPr>
          <w:rFonts w:ascii="方正仿宋_GBK" w:hAnsi="Calibri" w:eastAsia="方正仿宋_GBK"/>
          <w:kern w:val="2"/>
          <w:sz w:val="32"/>
          <w:szCs w:val="32"/>
        </w:rPr>
        <w:t>本单位2022年度未发生</w:t>
      </w:r>
      <w:r>
        <w:rPr>
          <w:rFonts w:hint="eastAsia" w:ascii="方正仿宋_GBK" w:hAnsi="Calibri" w:eastAsia="方正仿宋_GBK"/>
          <w:kern w:val="2"/>
          <w:sz w:val="32"/>
          <w:szCs w:val="32"/>
          <w:lang w:eastAsia="zh-CN"/>
        </w:rPr>
        <w:t>公务用车</w:t>
      </w:r>
      <w:r>
        <w:rPr>
          <w:rFonts w:ascii="方正仿宋_GBK" w:hAnsi="Calibri" w:eastAsia="方正仿宋_GBK"/>
          <w:kern w:val="2"/>
          <w:sz w:val="32"/>
          <w:szCs w:val="32"/>
        </w:rPr>
        <w:t>购置支出</w:t>
      </w:r>
      <w:r>
        <w:rPr>
          <w:rFonts w:hint="eastAsia" w:ascii="方正仿宋_GBK" w:hAnsi="Calibri" w:eastAsia="方正仿宋_GBK"/>
          <w:kern w:val="2"/>
          <w:sz w:val="32"/>
          <w:szCs w:val="32"/>
        </w:rPr>
        <w:t>，与</w:t>
      </w:r>
      <w:r>
        <w:rPr>
          <w:rFonts w:ascii="方正仿宋_GBK" w:hAnsi="Calibri" w:eastAsia="方正仿宋_GBK"/>
          <w:kern w:val="2"/>
          <w:sz w:val="32"/>
          <w:szCs w:val="32"/>
        </w:rPr>
        <w:t>年初预算数</w:t>
      </w:r>
      <w:r>
        <w:rPr>
          <w:rFonts w:hint="eastAsia" w:ascii="方正仿宋_GBK" w:hAnsi="Calibri" w:eastAsia="方正仿宋_GBK"/>
          <w:kern w:val="2"/>
          <w:sz w:val="32"/>
          <w:szCs w:val="32"/>
        </w:rPr>
        <w:t>持平。</w:t>
      </w:r>
      <w:r>
        <w:rPr>
          <w:rFonts w:ascii="方正仿宋_GBK" w:hAnsi="Calibri" w:eastAsia="方正仿宋_GBK"/>
          <w:kern w:val="2"/>
          <w:sz w:val="32"/>
          <w:szCs w:val="32"/>
        </w:rPr>
        <w:t>较上年支出数</w:t>
      </w:r>
      <w:r>
        <w:rPr>
          <w:rFonts w:hint="eastAsia" w:ascii="方正仿宋_GBK" w:hAnsi="Calibri" w:eastAsia="方正仿宋_GBK"/>
          <w:kern w:val="2"/>
          <w:sz w:val="32"/>
          <w:szCs w:val="32"/>
        </w:rPr>
        <w:t>减少16.78</w:t>
      </w:r>
      <w:r>
        <w:rPr>
          <w:rFonts w:ascii="方正仿宋_GBK" w:hAnsi="Calibri" w:eastAsia="方正仿宋_GBK"/>
          <w:kern w:val="2"/>
          <w:sz w:val="32"/>
          <w:szCs w:val="32"/>
        </w:rPr>
        <w:t>万元，</w:t>
      </w:r>
      <w:r>
        <w:rPr>
          <w:rFonts w:hint="eastAsia" w:ascii="方正仿宋_GBK" w:hAnsi="Calibri" w:eastAsia="方正仿宋_GBK"/>
          <w:kern w:val="2"/>
          <w:sz w:val="32"/>
          <w:szCs w:val="32"/>
        </w:rPr>
        <w:t>降低100.0</w:t>
      </w:r>
      <w:r>
        <w:rPr>
          <w:rFonts w:ascii="方正仿宋_GBK" w:hAnsi="Calibri" w:eastAsia="方正仿宋_GBK"/>
          <w:kern w:val="2"/>
          <w:sz w:val="32"/>
          <w:szCs w:val="32"/>
        </w:rPr>
        <w:t>%，主要原因是</w:t>
      </w:r>
      <w:r>
        <w:rPr>
          <w:rFonts w:hint="eastAsia" w:ascii="方正仿宋_GBK" w:hAnsi="Calibri" w:eastAsia="方正仿宋_GBK"/>
          <w:kern w:val="2"/>
          <w:sz w:val="32"/>
          <w:szCs w:val="32"/>
        </w:rPr>
        <w:t>上年度经上级批准，购置</w:t>
      </w:r>
      <w:r>
        <w:rPr>
          <w:rFonts w:hint="eastAsia" w:ascii="方正仿宋_GBK" w:hAnsi="Calibri" w:eastAsia="方正仿宋_GBK"/>
          <w:kern w:val="2"/>
          <w:sz w:val="32"/>
          <w:szCs w:val="32"/>
          <w:lang w:eastAsia="zh-CN"/>
        </w:rPr>
        <w:t>公务用车</w:t>
      </w:r>
      <w:r>
        <w:rPr>
          <w:rFonts w:hint="eastAsia" w:ascii="方正仿宋_GBK" w:hAnsi="Calibri" w:eastAsia="方正仿宋_GBK"/>
          <w:kern w:val="2"/>
          <w:sz w:val="32"/>
          <w:szCs w:val="32"/>
        </w:rPr>
        <w:t>一辆，本年度未购置</w:t>
      </w:r>
      <w:r>
        <w:rPr>
          <w:rFonts w:hint="eastAsia" w:ascii="方正仿宋_GBK" w:hAnsi="Calibri" w:eastAsia="方正仿宋_GBK"/>
          <w:kern w:val="2"/>
          <w:sz w:val="32"/>
          <w:szCs w:val="32"/>
          <w:lang w:eastAsia="zh-CN"/>
        </w:rPr>
        <w:t>公务用车</w:t>
      </w:r>
      <w:r>
        <w:rPr>
          <w:rFonts w:hint="eastAsia" w:ascii="方正仿宋_GBK" w:hAnsi="Calibri" w:eastAsia="方正仿宋_GBK"/>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lang w:eastAsia="zh-CN"/>
        </w:rPr>
        <w:t>公务用车</w:t>
      </w:r>
      <w:r>
        <w:rPr>
          <w:rFonts w:ascii="方正仿宋_GBK" w:hAnsi="Calibri" w:eastAsia="方正仿宋_GBK" w:cs="Times New Roman"/>
          <w:kern w:val="2"/>
          <w:sz w:val="32"/>
          <w:szCs w:val="32"/>
        </w:rPr>
        <w:t>运行维护费</w:t>
      </w:r>
      <w:r>
        <w:rPr>
          <w:rFonts w:hint="eastAsia" w:ascii="方正仿宋_GBK" w:hAnsi="Calibri" w:eastAsia="方正仿宋_GBK" w:cs="Times New Roman"/>
          <w:kern w:val="2"/>
          <w:sz w:val="32"/>
          <w:szCs w:val="32"/>
        </w:rPr>
        <w:t>10.72</w:t>
      </w:r>
      <w:r>
        <w:rPr>
          <w:rFonts w:ascii="方正仿宋_GBK" w:hAnsi="Calibri" w:eastAsia="方正仿宋_GBK" w:cs="Times New Roman"/>
          <w:kern w:val="2"/>
          <w:sz w:val="32"/>
          <w:szCs w:val="32"/>
        </w:rPr>
        <w:t>万元，主要用于</w:t>
      </w:r>
      <w:r>
        <w:rPr>
          <w:rFonts w:hint="eastAsia" w:ascii="方正仿宋_GBK" w:hAnsi="Calibri" w:eastAsia="方正仿宋_GBK" w:cs="Times New Roman"/>
          <w:kern w:val="2"/>
          <w:sz w:val="32"/>
          <w:szCs w:val="32"/>
        </w:rPr>
        <w:t>机要文件交换、区内因公出行、各种业务检查、应急处突等工作所需车辆的燃料费、维修费、过桥过路费、洗车停车费、保险费等</w:t>
      </w:r>
      <w:r>
        <w:rPr>
          <w:rFonts w:ascii="方正仿宋_GBK" w:hAnsi="Calibri" w:eastAsia="方正仿宋_GBK" w:cs="Times New Roman"/>
          <w:kern w:val="2"/>
          <w:sz w:val="32"/>
          <w:szCs w:val="32"/>
        </w:rPr>
        <w:t>。费用支出较年初预算数</w:t>
      </w:r>
      <w:r>
        <w:rPr>
          <w:rFonts w:hint="eastAsia" w:ascii="方正仿宋_GBK" w:hAnsi="Calibri" w:eastAsia="方正仿宋_GBK" w:cs="Times New Roman"/>
          <w:kern w:val="2"/>
          <w:sz w:val="32"/>
          <w:szCs w:val="32"/>
        </w:rPr>
        <w:t>减少0.08</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降低0.7</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rPr>
        <w:t>主要原因是厉行节约，压缩了</w:t>
      </w:r>
      <w:r>
        <w:rPr>
          <w:rFonts w:hint="eastAsia" w:ascii="方正仿宋_GBK" w:hAnsi="Calibri" w:eastAsia="方正仿宋_GBK" w:cs="Times New Roman"/>
          <w:kern w:val="2"/>
          <w:sz w:val="32"/>
          <w:szCs w:val="32"/>
          <w:lang w:eastAsia="zh-CN"/>
        </w:rPr>
        <w:t>公务用车</w:t>
      </w:r>
      <w:r>
        <w:rPr>
          <w:rFonts w:hint="eastAsia" w:ascii="方正仿宋_GBK" w:hAnsi="Calibri" w:eastAsia="方正仿宋_GBK" w:cs="Times New Roman"/>
          <w:kern w:val="2"/>
          <w:sz w:val="32"/>
          <w:szCs w:val="32"/>
        </w:rPr>
        <w:t>运行维护费。</w:t>
      </w:r>
      <w:r>
        <w:rPr>
          <w:rFonts w:ascii="方正仿宋_GBK" w:hAnsi="Calibri" w:eastAsia="方正仿宋_GBK" w:cs="Times New Roman"/>
          <w:kern w:val="2"/>
          <w:sz w:val="32"/>
          <w:szCs w:val="32"/>
        </w:rPr>
        <w:t>较上年支出数</w:t>
      </w:r>
      <w:r>
        <w:rPr>
          <w:rFonts w:hint="eastAsia" w:ascii="方正仿宋_GBK" w:hAnsi="Calibri" w:eastAsia="方正仿宋_GBK" w:cs="Times New Roman"/>
          <w:kern w:val="2"/>
          <w:sz w:val="32"/>
          <w:szCs w:val="32"/>
        </w:rPr>
        <w:t>减少5.26</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降低32.9</w:t>
      </w:r>
      <w:r>
        <w:rPr>
          <w:rFonts w:ascii="方正仿宋_GBK" w:hAnsi="Calibri" w:eastAsia="方正仿宋_GBK" w:cs="Times New Roman"/>
          <w:kern w:val="2"/>
          <w:sz w:val="32"/>
          <w:szCs w:val="32"/>
        </w:rPr>
        <w:t>%，主要原因是</w:t>
      </w:r>
      <w:r>
        <w:rPr>
          <w:rFonts w:hint="eastAsia" w:ascii="方正仿宋_GBK" w:hAnsi="Calibri" w:eastAsia="方正仿宋_GBK" w:cs="Times New Roman"/>
          <w:kern w:val="2"/>
          <w:sz w:val="32"/>
          <w:szCs w:val="32"/>
        </w:rPr>
        <w:t>上年度垃圾车作为公务用车纳入预算，本年度垃圾车不作为公务用车纳入年初预算</w:t>
      </w:r>
      <w:r>
        <w:rPr>
          <w:rFonts w:ascii="方正仿宋_GBK" w:hAnsi="Calibri" w:eastAsia="方正仿宋_GBK" w:cs="Times New Roman"/>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公务接待费</w:t>
      </w:r>
      <w:r>
        <w:rPr>
          <w:rFonts w:hint="eastAsia" w:ascii="方正仿宋_GBK" w:hAnsi="Calibri" w:eastAsia="方正仿宋_GBK" w:cs="Times New Roman"/>
          <w:kern w:val="2"/>
          <w:sz w:val="32"/>
          <w:szCs w:val="32"/>
        </w:rPr>
        <w:t>0.45</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主要用于按照区级布置，安排公务接待。</w:t>
      </w:r>
      <w:r>
        <w:rPr>
          <w:rFonts w:ascii="方正仿宋_GBK" w:hAnsi="Calibri" w:eastAsia="方正仿宋_GBK" w:cs="Times New Roman"/>
          <w:kern w:val="2"/>
          <w:sz w:val="32"/>
          <w:szCs w:val="32"/>
        </w:rPr>
        <w:t>费用支出较年初预算数</w:t>
      </w:r>
      <w:r>
        <w:rPr>
          <w:rFonts w:hint="eastAsia" w:ascii="方正仿宋_GBK" w:hAnsi="Calibri" w:eastAsia="方正仿宋_GBK" w:cs="Times New Roman"/>
          <w:kern w:val="2"/>
          <w:sz w:val="32"/>
          <w:szCs w:val="32"/>
        </w:rPr>
        <w:t>减少1.55</w:t>
      </w:r>
      <w:r>
        <w:rPr>
          <w:rFonts w:ascii="方正仿宋_GBK" w:hAnsi="Calibri" w:eastAsia="方正仿宋_GBK" w:cs="Times New Roman"/>
          <w:kern w:val="2"/>
          <w:sz w:val="32"/>
          <w:szCs w:val="32"/>
        </w:rPr>
        <w:t>万元，</w:t>
      </w:r>
      <w:r>
        <w:rPr>
          <w:rFonts w:hint="eastAsia" w:ascii="方正仿宋_GBK" w:hAnsi="Calibri" w:eastAsia="方正仿宋_GBK" w:cs="Times New Roman"/>
          <w:kern w:val="2"/>
          <w:sz w:val="32"/>
          <w:szCs w:val="32"/>
        </w:rPr>
        <w:t>降低77.5</w:t>
      </w:r>
      <w:r>
        <w:rPr>
          <w:rFonts w:ascii="方正仿宋_GBK" w:hAnsi="Calibri" w:eastAsia="方正仿宋_GBK" w:cs="Times New Roman"/>
          <w:kern w:val="2"/>
          <w:sz w:val="32"/>
          <w:szCs w:val="32"/>
        </w:rPr>
        <w:t>%，主要原因</w:t>
      </w:r>
      <w:r>
        <w:rPr>
          <w:rFonts w:hint="eastAsia" w:ascii="方正仿宋_GBK" w:hAnsi="Calibri" w:eastAsia="方正仿宋_GBK" w:cs="Times New Roman"/>
          <w:kern w:val="2"/>
          <w:sz w:val="32"/>
          <w:szCs w:val="32"/>
        </w:rPr>
        <w:t>是厉行节约，严控公务接待支出</w:t>
      </w:r>
      <w:r>
        <w:rPr>
          <w:rFonts w:ascii="方正仿宋_GBK" w:hAnsi="Calibri" w:eastAsia="方正仿宋_GBK" w:cs="Times New Roman"/>
          <w:kern w:val="2"/>
          <w:sz w:val="32"/>
          <w:szCs w:val="32"/>
        </w:rPr>
        <w:t>。较上年支出数增加</w:t>
      </w:r>
      <w:r>
        <w:rPr>
          <w:rFonts w:hint="eastAsia" w:ascii="方正仿宋_GBK" w:hAnsi="Calibri" w:eastAsia="方正仿宋_GBK" w:cs="Times New Roman"/>
          <w:kern w:val="2"/>
          <w:sz w:val="32"/>
          <w:szCs w:val="32"/>
        </w:rPr>
        <w:t>0.45</w:t>
      </w:r>
      <w:r>
        <w:rPr>
          <w:rFonts w:ascii="方正仿宋_GBK" w:hAnsi="Calibri" w:eastAsia="方正仿宋_GBK" w:cs="Times New Roman"/>
          <w:kern w:val="2"/>
          <w:sz w:val="32"/>
          <w:szCs w:val="32"/>
        </w:rPr>
        <w:t>万元，增长</w:t>
      </w:r>
      <w:r>
        <w:rPr>
          <w:rFonts w:hint="eastAsia" w:ascii="方正仿宋_GBK" w:hAnsi="Calibri" w:eastAsia="方正仿宋_GBK" w:cs="Times New Roman"/>
          <w:kern w:val="2"/>
          <w:sz w:val="32"/>
          <w:szCs w:val="32"/>
        </w:rPr>
        <w:t>100.0</w:t>
      </w:r>
      <w:r>
        <w:rPr>
          <w:rFonts w:ascii="方正仿宋_GBK" w:hAnsi="Calibri" w:eastAsia="方正仿宋_GBK" w:cs="Times New Roman"/>
          <w:kern w:val="2"/>
          <w:sz w:val="32"/>
          <w:szCs w:val="32"/>
        </w:rPr>
        <w:t>%，主要原因是</w:t>
      </w:r>
      <w:r>
        <w:rPr>
          <w:rFonts w:hint="eastAsia" w:ascii="方正仿宋_GBK" w:hAnsi="Calibri" w:eastAsia="方正仿宋_GBK" w:cs="Times New Roman"/>
          <w:kern w:val="2"/>
          <w:sz w:val="32"/>
          <w:szCs w:val="32"/>
        </w:rPr>
        <w:t>年初预算公务接待费，上年度未安排公务接待，本年度按照区级指示，安排公务接待</w:t>
      </w:r>
      <w:r>
        <w:rPr>
          <w:rFonts w:ascii="方正仿宋_GBK" w:hAnsi="Calibri" w:eastAsia="方正仿宋_GBK" w:cs="Times New Roman"/>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ascii="方正楷体_GBK" w:hAnsi="Calibri" w:eastAsia="方正楷体_GBK" w:cs="Times New Roman"/>
          <w:kern w:val="2"/>
          <w:sz w:val="32"/>
          <w:szCs w:val="32"/>
        </w:rPr>
        <w:t>（三）“三公”经费实物量情况</w:t>
      </w:r>
    </w:p>
    <w:p>
      <w:pPr>
        <w:spacing w:line="560" w:lineRule="exact"/>
        <w:ind w:firstLine="640" w:firstLineChars="200"/>
        <w:rPr>
          <w:rFonts w:ascii="方正仿宋_GBK" w:hAnsi="Calibri" w:eastAsia="方正仿宋_GBK"/>
          <w:sz w:val="32"/>
          <w:szCs w:val="32"/>
        </w:rPr>
      </w:pPr>
      <w:r>
        <w:rPr>
          <w:rFonts w:ascii="方正仿宋_GBK" w:hAnsi="Calibri" w:eastAsia="方正仿宋_GBK"/>
          <w:sz w:val="32"/>
          <w:szCs w:val="32"/>
        </w:rPr>
        <w:t>2022年度本</w:t>
      </w:r>
      <w:r>
        <w:rPr>
          <w:rFonts w:hint="eastAsia" w:ascii="方正仿宋_GBK" w:hAnsi="Calibri" w:eastAsia="方正仿宋_GBK"/>
          <w:sz w:val="32"/>
          <w:szCs w:val="32"/>
        </w:rPr>
        <w:t>单位</w:t>
      </w:r>
      <w:r>
        <w:rPr>
          <w:rFonts w:ascii="方正仿宋_GBK" w:hAnsi="Calibri" w:eastAsia="方正仿宋_GBK"/>
          <w:sz w:val="32"/>
          <w:szCs w:val="32"/>
        </w:rPr>
        <w:t>因公出国（境）共计</w:t>
      </w:r>
      <w:r>
        <w:rPr>
          <w:rFonts w:hint="eastAsia" w:ascii="方正仿宋_GBK" w:hAnsi="Calibri" w:eastAsia="方正仿宋_GBK"/>
          <w:sz w:val="32"/>
          <w:szCs w:val="32"/>
        </w:rPr>
        <w:t>0</w:t>
      </w:r>
      <w:r>
        <w:rPr>
          <w:rFonts w:ascii="方正仿宋_GBK" w:hAnsi="Calibri" w:eastAsia="方正仿宋_GBK"/>
          <w:sz w:val="32"/>
          <w:szCs w:val="32"/>
        </w:rPr>
        <w:t>个团组，</w:t>
      </w:r>
      <w:r>
        <w:rPr>
          <w:rFonts w:hint="eastAsia" w:ascii="方正仿宋_GBK" w:hAnsi="Calibri" w:eastAsia="方正仿宋_GBK"/>
          <w:sz w:val="32"/>
          <w:szCs w:val="32"/>
        </w:rPr>
        <w:t>0</w:t>
      </w:r>
      <w:r>
        <w:rPr>
          <w:rFonts w:ascii="方正仿宋_GBK" w:hAnsi="Calibri" w:eastAsia="方正仿宋_GBK"/>
          <w:sz w:val="32"/>
          <w:szCs w:val="32"/>
        </w:rPr>
        <w:t>人；公务用车购置</w:t>
      </w:r>
      <w:r>
        <w:rPr>
          <w:rFonts w:hint="eastAsia" w:ascii="方正仿宋_GBK" w:hAnsi="Calibri" w:eastAsia="方正仿宋_GBK"/>
          <w:sz w:val="32"/>
          <w:szCs w:val="32"/>
        </w:rPr>
        <w:t>0</w:t>
      </w:r>
      <w:r>
        <w:rPr>
          <w:rFonts w:ascii="方正仿宋_GBK" w:hAnsi="Calibri" w:eastAsia="方正仿宋_GBK"/>
          <w:sz w:val="32"/>
          <w:szCs w:val="32"/>
        </w:rPr>
        <w:t>辆，</w:t>
      </w:r>
      <w:r>
        <w:rPr>
          <w:rFonts w:hint="eastAsia" w:ascii="方正仿宋_GBK" w:hAnsi="Calibri" w:eastAsia="方正仿宋_GBK"/>
          <w:sz w:val="32"/>
          <w:szCs w:val="32"/>
          <w:lang w:eastAsia="zh-CN"/>
        </w:rPr>
        <w:t>公务用车</w:t>
      </w:r>
      <w:r>
        <w:rPr>
          <w:rFonts w:ascii="方正仿宋_GBK" w:hAnsi="Calibri" w:eastAsia="方正仿宋_GBK"/>
          <w:sz w:val="32"/>
          <w:szCs w:val="32"/>
        </w:rPr>
        <w:t>保有量为</w:t>
      </w:r>
      <w:r>
        <w:rPr>
          <w:rFonts w:hint="eastAsia" w:ascii="方正仿宋_GBK" w:hAnsi="Calibri" w:eastAsia="方正仿宋_GBK"/>
          <w:sz w:val="32"/>
          <w:szCs w:val="32"/>
        </w:rPr>
        <w:t>4</w:t>
      </w:r>
      <w:r>
        <w:rPr>
          <w:rFonts w:ascii="方正仿宋_GBK" w:hAnsi="Calibri" w:eastAsia="方正仿宋_GBK"/>
          <w:sz w:val="32"/>
          <w:szCs w:val="32"/>
        </w:rPr>
        <w:t>辆；国内公务接待</w:t>
      </w:r>
      <w:r>
        <w:rPr>
          <w:rFonts w:hint="eastAsia" w:ascii="方正仿宋_GBK" w:hAnsi="Calibri" w:eastAsia="方正仿宋_GBK"/>
          <w:sz w:val="32"/>
          <w:szCs w:val="32"/>
        </w:rPr>
        <w:t>1</w:t>
      </w:r>
      <w:r>
        <w:rPr>
          <w:rFonts w:ascii="方正仿宋_GBK" w:hAnsi="Calibri" w:eastAsia="方正仿宋_GBK"/>
          <w:sz w:val="32"/>
          <w:szCs w:val="32"/>
        </w:rPr>
        <w:t>批次</w:t>
      </w:r>
      <w:r>
        <w:rPr>
          <w:rFonts w:hint="eastAsia" w:ascii="方正仿宋_GBK" w:hAnsi="Calibri" w:eastAsia="方正仿宋_GBK"/>
          <w:sz w:val="32"/>
          <w:szCs w:val="32"/>
        </w:rPr>
        <w:t>41</w:t>
      </w:r>
      <w:r>
        <w:rPr>
          <w:rFonts w:ascii="方正仿宋_GBK" w:hAnsi="Calibri" w:eastAsia="方正仿宋_GBK"/>
          <w:sz w:val="32"/>
          <w:szCs w:val="32"/>
        </w:rPr>
        <w:t>人，其中：国内外事接待</w:t>
      </w:r>
      <w:r>
        <w:rPr>
          <w:rFonts w:hint="eastAsia" w:ascii="方正仿宋_GBK" w:hAnsi="Calibri" w:eastAsia="方正仿宋_GBK"/>
          <w:sz w:val="32"/>
          <w:szCs w:val="32"/>
        </w:rPr>
        <w:t>1</w:t>
      </w:r>
      <w:r>
        <w:rPr>
          <w:rFonts w:ascii="方正仿宋_GBK" w:hAnsi="Calibri" w:eastAsia="方正仿宋_GBK"/>
          <w:sz w:val="32"/>
          <w:szCs w:val="32"/>
        </w:rPr>
        <w:t>批次，</w:t>
      </w:r>
      <w:r>
        <w:rPr>
          <w:rFonts w:hint="eastAsia" w:ascii="方正仿宋_GBK" w:hAnsi="Calibri" w:eastAsia="方正仿宋_GBK"/>
          <w:sz w:val="32"/>
          <w:szCs w:val="32"/>
        </w:rPr>
        <w:t>41</w:t>
      </w:r>
      <w:r>
        <w:rPr>
          <w:rFonts w:ascii="方正仿宋_GBK" w:hAnsi="Calibri" w:eastAsia="方正仿宋_GBK"/>
          <w:sz w:val="32"/>
          <w:szCs w:val="32"/>
        </w:rPr>
        <w:t>人；国（境）外公务接待</w:t>
      </w:r>
      <w:r>
        <w:rPr>
          <w:rFonts w:hint="eastAsia" w:ascii="方正仿宋_GBK" w:hAnsi="Calibri" w:eastAsia="方正仿宋_GBK"/>
          <w:sz w:val="32"/>
          <w:szCs w:val="32"/>
        </w:rPr>
        <w:t>0</w:t>
      </w:r>
      <w:r>
        <w:rPr>
          <w:rFonts w:ascii="方正仿宋_GBK" w:hAnsi="Calibri" w:eastAsia="方正仿宋_GBK"/>
          <w:sz w:val="32"/>
          <w:szCs w:val="32"/>
        </w:rPr>
        <w:t>批次，</w:t>
      </w:r>
      <w:r>
        <w:rPr>
          <w:rFonts w:hint="eastAsia" w:ascii="方正仿宋_GBK" w:hAnsi="Calibri" w:eastAsia="方正仿宋_GBK"/>
          <w:sz w:val="32"/>
          <w:szCs w:val="32"/>
        </w:rPr>
        <w:t>0</w:t>
      </w:r>
      <w:r>
        <w:rPr>
          <w:rFonts w:ascii="方正仿宋_GBK" w:hAnsi="Calibri" w:eastAsia="方正仿宋_GBK"/>
          <w:sz w:val="32"/>
          <w:szCs w:val="32"/>
        </w:rPr>
        <w:t>人。2022年本</w:t>
      </w:r>
      <w:r>
        <w:rPr>
          <w:rFonts w:hint="eastAsia" w:ascii="方正仿宋_GBK" w:hAnsi="Calibri" w:eastAsia="方正仿宋_GBK"/>
          <w:sz w:val="32"/>
          <w:szCs w:val="32"/>
        </w:rPr>
        <w:t>单位</w:t>
      </w:r>
      <w:r>
        <w:rPr>
          <w:rFonts w:ascii="方正仿宋_GBK" w:hAnsi="Calibri" w:eastAsia="方正仿宋_GBK"/>
          <w:sz w:val="32"/>
          <w:szCs w:val="32"/>
        </w:rPr>
        <w:t>人均接待费</w:t>
      </w:r>
      <w:r>
        <w:rPr>
          <w:rFonts w:hint="eastAsia" w:ascii="方正仿宋_GBK" w:hAnsi="Calibri" w:eastAsia="方正仿宋_GBK"/>
          <w:sz w:val="32"/>
          <w:szCs w:val="32"/>
        </w:rPr>
        <w:t>98</w:t>
      </w:r>
      <w:r>
        <w:rPr>
          <w:rFonts w:ascii="方正仿宋_GBK" w:hAnsi="Calibri" w:eastAsia="方正仿宋_GBK"/>
          <w:sz w:val="32"/>
          <w:szCs w:val="32"/>
        </w:rPr>
        <w:t>元，车均购置费</w:t>
      </w:r>
      <w:r>
        <w:rPr>
          <w:rFonts w:hint="eastAsia" w:ascii="方正仿宋_GBK" w:hAnsi="Calibri" w:eastAsia="方正仿宋_GBK"/>
          <w:sz w:val="32"/>
          <w:szCs w:val="32"/>
        </w:rPr>
        <w:t>0</w:t>
      </w:r>
      <w:r>
        <w:rPr>
          <w:rFonts w:ascii="方正仿宋_GBK" w:hAnsi="Calibri" w:eastAsia="方正仿宋_GBK"/>
          <w:sz w:val="32"/>
          <w:szCs w:val="32"/>
        </w:rPr>
        <w:t>万元，车均维护费</w:t>
      </w:r>
      <w:r>
        <w:rPr>
          <w:rFonts w:hint="eastAsia" w:ascii="方正仿宋_GBK" w:hAnsi="Calibri" w:eastAsia="方正仿宋_GBK"/>
          <w:sz w:val="32"/>
          <w:szCs w:val="32"/>
        </w:rPr>
        <w:t>2.68</w:t>
      </w:r>
      <w:r>
        <w:rPr>
          <w:rFonts w:ascii="方正仿宋_GBK" w:hAnsi="Calibri" w:eastAsia="方正仿宋_GBK"/>
          <w:sz w:val="32"/>
          <w:szCs w:val="32"/>
        </w:rPr>
        <w:t>万元。</w:t>
      </w:r>
    </w:p>
    <w:p>
      <w:pPr>
        <w:pStyle w:val="6"/>
        <w:spacing w:line="560" w:lineRule="exact"/>
        <w:ind w:firstLine="640" w:firstLineChars="200"/>
        <w:rPr>
          <w:rFonts w:ascii="方正楷体_GBK" w:eastAsia="方正楷体_GBK"/>
          <w:sz w:val="32"/>
          <w:szCs w:val="32"/>
        </w:rPr>
      </w:pPr>
      <w:r>
        <w:rPr>
          <w:rFonts w:hint="eastAsia" w:ascii="方正黑体_GBK" w:eastAsia="方正黑体_GBK"/>
          <w:sz w:val="32"/>
          <w:szCs w:val="32"/>
        </w:rPr>
        <w:t>四、其他需要说明的事项</w:t>
      </w:r>
    </w:p>
    <w:p>
      <w:pPr>
        <w:spacing w:line="560" w:lineRule="exact"/>
        <w:ind w:left="420" w:leftChars="200"/>
        <w:rPr>
          <w:rFonts w:ascii="方正楷体_GBK" w:eastAsia="方正楷体_GBK"/>
          <w:sz w:val="32"/>
          <w:szCs w:val="32"/>
        </w:rPr>
      </w:pPr>
      <w:r>
        <w:rPr>
          <w:rFonts w:hint="eastAsia" w:ascii="方正楷体_GBK" w:eastAsia="方正楷体_GBK"/>
          <w:sz w:val="32"/>
          <w:szCs w:val="32"/>
        </w:rPr>
        <w:t>（一）</w:t>
      </w:r>
      <w:r>
        <w:rPr>
          <w:rFonts w:ascii="方正楷体_GBK" w:eastAsia="方正楷体_GBK"/>
          <w:sz w:val="32"/>
          <w:szCs w:val="32"/>
        </w:rPr>
        <w:t>财政拨款会议费和培训费情况说明</w:t>
      </w:r>
    </w:p>
    <w:p>
      <w:pPr>
        <w:spacing w:line="560" w:lineRule="exact"/>
        <w:ind w:firstLine="640" w:firstLineChars="200"/>
        <w:rPr>
          <w:rFonts w:ascii="方正楷体_GBK" w:eastAsia="方正楷体_GBK"/>
          <w:sz w:val="32"/>
          <w:szCs w:val="32"/>
        </w:rPr>
      </w:pPr>
      <w:r>
        <w:rPr>
          <w:rFonts w:ascii="方正仿宋_GBK" w:eastAsia="方正仿宋_GBK"/>
          <w:sz w:val="32"/>
          <w:szCs w:val="32"/>
        </w:rPr>
        <w:t>本单位2022年度未发生会议费</w:t>
      </w:r>
      <w:r>
        <w:rPr>
          <w:rFonts w:hint="eastAsia" w:ascii="方正仿宋_GBK" w:eastAsia="方正仿宋_GBK"/>
          <w:sz w:val="32"/>
          <w:szCs w:val="32"/>
        </w:rPr>
        <w:t>、</w:t>
      </w:r>
      <w:r>
        <w:rPr>
          <w:rFonts w:ascii="方正仿宋_GBK" w:eastAsia="方正仿宋_GBK"/>
          <w:sz w:val="32"/>
          <w:szCs w:val="32"/>
        </w:rPr>
        <w:t>培训费支出</w:t>
      </w:r>
      <w:r>
        <w:rPr>
          <w:rFonts w:hint="eastAsia" w:ascii="方正仿宋_GBK" w:eastAsia="方正仿宋_GBK"/>
          <w:sz w:val="32"/>
          <w:szCs w:val="32"/>
        </w:rPr>
        <w:t>。</w:t>
      </w:r>
    </w:p>
    <w:p>
      <w:pPr>
        <w:spacing w:line="560" w:lineRule="exact"/>
        <w:ind w:left="420" w:leftChars="200"/>
        <w:rPr>
          <w:rFonts w:ascii="方正仿宋_GBK" w:eastAsia="方正仿宋_GBK"/>
          <w:sz w:val="32"/>
          <w:szCs w:val="32"/>
        </w:rPr>
      </w:pPr>
      <w:r>
        <w:rPr>
          <w:rFonts w:hint="eastAsia" w:ascii="方正楷体_GBK" w:eastAsia="方正楷体_GBK"/>
          <w:sz w:val="32"/>
          <w:szCs w:val="32"/>
        </w:rPr>
        <w:t>（二）机关运行经费支出情况说明</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2022年度本</w:t>
      </w:r>
      <w:r>
        <w:rPr>
          <w:rFonts w:hint="eastAsia" w:ascii="方正仿宋_GBK" w:hAnsi="Calibri" w:eastAsia="方正仿宋_GBK" w:cs="Times New Roman"/>
          <w:kern w:val="2"/>
          <w:sz w:val="32"/>
          <w:szCs w:val="32"/>
        </w:rPr>
        <w:t>单位</w:t>
      </w:r>
      <w:r>
        <w:rPr>
          <w:rFonts w:ascii="方正仿宋_GBK" w:hAnsi="Calibri" w:eastAsia="方正仿宋_GBK" w:cs="Times New Roman"/>
          <w:kern w:val="2"/>
          <w:sz w:val="32"/>
          <w:szCs w:val="32"/>
        </w:rPr>
        <w:t>机关运行经费支出</w:t>
      </w:r>
      <w:r>
        <w:rPr>
          <w:rFonts w:hint="eastAsia" w:ascii="方正仿宋_GBK" w:hAnsi="Calibri" w:eastAsia="方正仿宋_GBK" w:cs="Times New Roman"/>
          <w:kern w:val="2"/>
          <w:sz w:val="32"/>
          <w:szCs w:val="32"/>
        </w:rPr>
        <w:t>315.61</w:t>
      </w:r>
      <w:r>
        <w:rPr>
          <w:rFonts w:ascii="方正仿宋_GBK" w:hAnsi="Calibri" w:eastAsia="方正仿宋_GBK" w:cs="Times New Roman"/>
          <w:kern w:val="2"/>
          <w:sz w:val="32"/>
          <w:szCs w:val="32"/>
        </w:rPr>
        <w:t>万元，主要用于开支</w:t>
      </w:r>
      <w:r>
        <w:rPr>
          <w:rFonts w:hint="eastAsia" w:ascii="方正仿宋_GBK" w:hAnsi="Calibri" w:eastAsia="方正仿宋_GBK" w:cs="Times New Roman"/>
          <w:kern w:val="2"/>
          <w:sz w:val="32"/>
          <w:szCs w:val="32"/>
        </w:rPr>
        <w:t>办公费、印刷费、咨询费、水费、电费、邮电费、差旅费、维修（护）费、公务接待费、劳务费、工会经费、其他交通费等。</w:t>
      </w:r>
      <w:r>
        <w:rPr>
          <w:rFonts w:ascii="方正仿宋_GBK" w:hAnsi="Calibri" w:eastAsia="方正仿宋_GBK" w:cs="Times New Roman"/>
          <w:kern w:val="2"/>
          <w:sz w:val="32"/>
          <w:szCs w:val="32"/>
        </w:rPr>
        <w:t>机关运行经费较上年决算数增加</w:t>
      </w:r>
      <w:r>
        <w:rPr>
          <w:rFonts w:hint="eastAsia" w:ascii="方正仿宋_GBK" w:hAnsi="Calibri" w:eastAsia="方正仿宋_GBK" w:cs="Times New Roman"/>
          <w:kern w:val="2"/>
          <w:sz w:val="32"/>
          <w:szCs w:val="32"/>
        </w:rPr>
        <w:t>36.9</w:t>
      </w:r>
      <w:r>
        <w:rPr>
          <w:rFonts w:ascii="方正仿宋_GBK" w:hAnsi="Calibri" w:eastAsia="方正仿宋_GBK" w:cs="Times New Roman"/>
          <w:kern w:val="2"/>
          <w:sz w:val="32"/>
          <w:szCs w:val="32"/>
        </w:rPr>
        <w:t>万元，增长</w:t>
      </w:r>
      <w:r>
        <w:rPr>
          <w:rFonts w:hint="eastAsia" w:ascii="方正仿宋_GBK" w:hAnsi="Calibri" w:eastAsia="方正仿宋_GBK" w:cs="Times New Roman"/>
          <w:kern w:val="2"/>
          <w:sz w:val="32"/>
          <w:szCs w:val="32"/>
        </w:rPr>
        <w:t>13.2</w:t>
      </w:r>
      <w:r>
        <w:rPr>
          <w:rFonts w:ascii="方正仿宋_GBK" w:hAnsi="Calibri" w:eastAsia="方正仿宋_GBK" w:cs="Times New Roman"/>
          <w:kern w:val="2"/>
          <w:sz w:val="32"/>
          <w:szCs w:val="32"/>
        </w:rPr>
        <w:t>%，主要原因是</w:t>
      </w:r>
      <w:r>
        <w:rPr>
          <w:rFonts w:hint="eastAsia" w:ascii="方正仿宋_GBK" w:hAnsi="Calibri" w:eastAsia="方正仿宋_GBK" w:cs="Times New Roman"/>
          <w:kern w:val="2"/>
          <w:sz w:val="32"/>
          <w:szCs w:val="32"/>
        </w:rPr>
        <w:t>本年度人员增加，物价上涨，同时因为疫情等原因，导致工作人员工作量大量增加</w:t>
      </w:r>
      <w:r>
        <w:rPr>
          <w:rFonts w:ascii="方正仿宋_GBK" w:hAnsi="Calibri" w:eastAsia="方正仿宋_GBK" w:cs="Times New Roman"/>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楷体_GBK" w:hAnsi="Calibri" w:eastAsia="方正楷体_GBK" w:cs="Times New Roman"/>
          <w:kern w:val="2"/>
          <w:sz w:val="32"/>
          <w:szCs w:val="32"/>
        </w:rPr>
        <w:t>（三）国有资产占用情况说明</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截至2022年12月31日，本</w:t>
      </w:r>
      <w:r>
        <w:rPr>
          <w:rFonts w:hint="eastAsia" w:ascii="方正仿宋_GBK" w:hAnsi="Calibri" w:eastAsia="方正仿宋_GBK" w:cs="Times New Roman"/>
          <w:kern w:val="2"/>
          <w:sz w:val="32"/>
          <w:szCs w:val="32"/>
        </w:rPr>
        <w:t>单位</w:t>
      </w:r>
      <w:r>
        <w:rPr>
          <w:rFonts w:ascii="方正仿宋_GBK" w:hAnsi="Calibri" w:eastAsia="方正仿宋_GBK" w:cs="Times New Roman"/>
          <w:kern w:val="2"/>
          <w:sz w:val="32"/>
          <w:szCs w:val="32"/>
        </w:rPr>
        <w:t>共有车辆</w:t>
      </w:r>
      <w:r>
        <w:rPr>
          <w:rFonts w:hint="eastAsia" w:ascii="方正仿宋_GBK" w:hAnsi="Calibri" w:eastAsia="方正仿宋_GBK" w:cs="Times New Roman"/>
          <w:kern w:val="2"/>
          <w:sz w:val="32"/>
          <w:szCs w:val="32"/>
        </w:rPr>
        <w:t>4</w:t>
      </w:r>
      <w:r>
        <w:rPr>
          <w:rFonts w:ascii="方正仿宋_GBK" w:hAnsi="Calibri" w:eastAsia="方正仿宋_GBK" w:cs="Times New Roman"/>
          <w:kern w:val="2"/>
          <w:sz w:val="32"/>
          <w:szCs w:val="32"/>
        </w:rPr>
        <w:t>辆，其中，副部（省）级及以上领导用车</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辆、主要领导干部用车</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辆、机要通信用车</w:t>
      </w:r>
      <w:r>
        <w:rPr>
          <w:rFonts w:hint="eastAsia" w:ascii="方正仿宋_GBK" w:hAnsi="Calibri" w:eastAsia="方正仿宋_GBK" w:cs="Times New Roman"/>
          <w:kern w:val="2"/>
          <w:sz w:val="32"/>
          <w:szCs w:val="32"/>
        </w:rPr>
        <w:t>1</w:t>
      </w:r>
      <w:r>
        <w:rPr>
          <w:rFonts w:ascii="方正仿宋_GBK" w:hAnsi="Calibri" w:eastAsia="方正仿宋_GBK" w:cs="Times New Roman"/>
          <w:kern w:val="2"/>
          <w:sz w:val="32"/>
          <w:szCs w:val="32"/>
        </w:rPr>
        <w:t>辆、应急保障用车</w:t>
      </w:r>
      <w:r>
        <w:rPr>
          <w:rFonts w:hint="eastAsia" w:ascii="方正仿宋_GBK" w:hAnsi="Calibri" w:eastAsia="方正仿宋_GBK" w:cs="Times New Roman"/>
          <w:kern w:val="2"/>
          <w:sz w:val="32"/>
          <w:szCs w:val="32"/>
        </w:rPr>
        <w:t>1</w:t>
      </w:r>
      <w:r>
        <w:rPr>
          <w:rFonts w:ascii="方正仿宋_GBK" w:hAnsi="Calibri" w:eastAsia="方正仿宋_GBK" w:cs="Times New Roman"/>
          <w:kern w:val="2"/>
          <w:sz w:val="32"/>
          <w:szCs w:val="32"/>
        </w:rPr>
        <w:t>辆、执法执勤用车</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辆，特种专业技术用车</w:t>
      </w:r>
      <w:r>
        <w:rPr>
          <w:rFonts w:hint="eastAsia" w:ascii="方正仿宋_GBK" w:hAnsi="Calibri" w:eastAsia="方正仿宋_GBK" w:cs="Times New Roman"/>
          <w:kern w:val="2"/>
          <w:sz w:val="32"/>
          <w:szCs w:val="32"/>
        </w:rPr>
        <w:t>2</w:t>
      </w:r>
      <w:r>
        <w:rPr>
          <w:rFonts w:ascii="方正仿宋_GBK" w:hAnsi="Calibri" w:eastAsia="方正仿宋_GBK" w:cs="Times New Roman"/>
          <w:kern w:val="2"/>
          <w:sz w:val="32"/>
          <w:szCs w:val="32"/>
        </w:rPr>
        <w:t>辆，离退休干部用车</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辆，其他用车</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辆。单价100万元（含）以上设备（不含车辆）</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台（套）。</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楷体_GBK" w:hAnsi="Calibri" w:eastAsia="方正楷体_GBK" w:cs="Times New Roman"/>
          <w:kern w:val="2"/>
          <w:sz w:val="32"/>
          <w:szCs w:val="32"/>
        </w:rPr>
        <w:t>（四）政府采购支出说明</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2022年度本</w:t>
      </w:r>
      <w:r>
        <w:rPr>
          <w:rFonts w:hint="eastAsia" w:ascii="方正仿宋_GBK" w:hAnsi="Calibri" w:eastAsia="方正仿宋_GBK" w:cs="Times New Roman"/>
          <w:kern w:val="2"/>
          <w:sz w:val="32"/>
          <w:szCs w:val="32"/>
        </w:rPr>
        <w:t>单位</w:t>
      </w:r>
      <w:r>
        <w:rPr>
          <w:rFonts w:ascii="方正仿宋_GBK" w:hAnsi="Calibri" w:eastAsia="方正仿宋_GBK" w:cs="Times New Roman"/>
          <w:kern w:val="2"/>
          <w:sz w:val="32"/>
          <w:szCs w:val="32"/>
        </w:rPr>
        <w:t>政府采购支出总额</w:t>
      </w:r>
      <w:r>
        <w:rPr>
          <w:rFonts w:hint="eastAsia" w:ascii="方正仿宋_GBK" w:hAnsi="Calibri" w:eastAsia="方正仿宋_GBK" w:cs="Times New Roman"/>
          <w:kern w:val="2"/>
          <w:sz w:val="32"/>
          <w:szCs w:val="32"/>
        </w:rPr>
        <w:t>1080.82</w:t>
      </w:r>
      <w:r>
        <w:rPr>
          <w:rFonts w:ascii="方正仿宋_GBK" w:hAnsi="Calibri" w:eastAsia="方正仿宋_GBK" w:cs="Times New Roman"/>
          <w:kern w:val="2"/>
          <w:sz w:val="32"/>
          <w:szCs w:val="32"/>
        </w:rPr>
        <w:t>万元，其中：政府采购货物支出</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万元、政府采购工程支出</w:t>
      </w:r>
      <w:r>
        <w:rPr>
          <w:rFonts w:hint="eastAsia" w:ascii="方正仿宋_GBK" w:hAnsi="Calibri" w:eastAsia="方正仿宋_GBK" w:cs="Times New Roman"/>
          <w:kern w:val="2"/>
          <w:sz w:val="32"/>
          <w:szCs w:val="32"/>
        </w:rPr>
        <w:t>1080.82</w:t>
      </w:r>
      <w:r>
        <w:rPr>
          <w:rFonts w:ascii="方正仿宋_GBK" w:hAnsi="Calibri" w:eastAsia="方正仿宋_GBK" w:cs="Times New Roman"/>
          <w:kern w:val="2"/>
          <w:sz w:val="32"/>
          <w:szCs w:val="32"/>
        </w:rPr>
        <w:t>万元、政府采购服务支出</w:t>
      </w:r>
      <w:r>
        <w:rPr>
          <w:rFonts w:hint="eastAsia" w:ascii="方正仿宋_GBK" w:hAnsi="Calibri" w:eastAsia="方正仿宋_GBK" w:cs="Times New Roman"/>
          <w:kern w:val="2"/>
          <w:sz w:val="32"/>
          <w:szCs w:val="32"/>
        </w:rPr>
        <w:t>0</w:t>
      </w:r>
      <w:r>
        <w:rPr>
          <w:rFonts w:ascii="方正仿宋_GBK" w:hAnsi="Calibri" w:eastAsia="方正仿宋_GBK" w:cs="Times New Roman"/>
          <w:kern w:val="2"/>
          <w:sz w:val="32"/>
          <w:szCs w:val="32"/>
        </w:rPr>
        <w:t>万元。授予中小企业合同金额</w:t>
      </w:r>
      <w:r>
        <w:rPr>
          <w:rFonts w:hint="eastAsia" w:ascii="方正仿宋_GBK" w:hAnsi="Calibri" w:eastAsia="方正仿宋_GBK" w:cs="Times New Roman"/>
          <w:kern w:val="2"/>
          <w:sz w:val="32"/>
          <w:szCs w:val="32"/>
        </w:rPr>
        <w:t>1080.82</w:t>
      </w:r>
      <w:r>
        <w:rPr>
          <w:rFonts w:ascii="方正仿宋_GBK" w:hAnsi="Calibri" w:eastAsia="方正仿宋_GBK" w:cs="Times New Roman"/>
          <w:kern w:val="2"/>
          <w:sz w:val="32"/>
          <w:szCs w:val="32"/>
        </w:rPr>
        <w:t>万元，占政府采购支出总额的</w:t>
      </w:r>
      <w:r>
        <w:rPr>
          <w:rFonts w:hint="eastAsia" w:ascii="方正仿宋_GBK" w:hAnsi="Calibri" w:eastAsia="方正仿宋_GBK" w:cs="Times New Roman"/>
          <w:kern w:val="2"/>
          <w:sz w:val="32"/>
          <w:szCs w:val="32"/>
        </w:rPr>
        <w:t>100.0</w:t>
      </w:r>
      <w:r>
        <w:rPr>
          <w:rFonts w:ascii="方正仿宋_GBK" w:hAnsi="Calibri" w:eastAsia="方正仿宋_GBK" w:cs="Times New Roman"/>
          <w:kern w:val="2"/>
          <w:sz w:val="32"/>
          <w:szCs w:val="32"/>
        </w:rPr>
        <w:t>%，其中：授予小微企业合同金额</w:t>
      </w:r>
      <w:r>
        <w:rPr>
          <w:rFonts w:hint="eastAsia" w:ascii="方正仿宋_GBK" w:hAnsi="Calibri" w:eastAsia="方正仿宋_GBK" w:cs="Times New Roman"/>
          <w:kern w:val="2"/>
          <w:sz w:val="32"/>
          <w:szCs w:val="32"/>
        </w:rPr>
        <w:t>776.71</w:t>
      </w:r>
      <w:r>
        <w:rPr>
          <w:rFonts w:ascii="方正仿宋_GBK" w:hAnsi="Calibri" w:eastAsia="方正仿宋_GBK" w:cs="Times New Roman"/>
          <w:kern w:val="2"/>
          <w:sz w:val="32"/>
          <w:szCs w:val="32"/>
        </w:rPr>
        <w:t>万元，占政府采购支出总额的</w:t>
      </w:r>
      <w:r>
        <w:rPr>
          <w:rFonts w:hint="eastAsia" w:ascii="方正仿宋_GBK" w:hAnsi="Calibri" w:eastAsia="方正仿宋_GBK" w:cs="Times New Roman"/>
          <w:kern w:val="2"/>
          <w:sz w:val="32"/>
          <w:szCs w:val="32"/>
        </w:rPr>
        <w:t>71.9</w:t>
      </w:r>
      <w:r>
        <w:rPr>
          <w:rFonts w:ascii="方正仿宋_GBK" w:hAnsi="Calibri" w:eastAsia="方正仿宋_GBK" w:cs="Times New Roman"/>
          <w:kern w:val="2"/>
          <w:sz w:val="32"/>
          <w:szCs w:val="32"/>
        </w:rPr>
        <w:t>%。主要用于</w:t>
      </w:r>
      <w:r>
        <w:rPr>
          <w:rFonts w:hint="eastAsia" w:ascii="方正仿宋_GBK" w:hAnsi="Calibri" w:eastAsia="方正仿宋_GBK" w:cs="Times New Roman"/>
          <w:kern w:val="2"/>
          <w:sz w:val="32"/>
          <w:szCs w:val="32"/>
        </w:rPr>
        <w:t>特色小城镇、农村联网路工程项目类采购</w:t>
      </w:r>
      <w:r>
        <w:rPr>
          <w:rFonts w:ascii="方正仿宋_GBK" w:hAnsi="Calibri" w:eastAsia="方正仿宋_GBK" w:cs="Times New Roman"/>
          <w:kern w:val="2"/>
          <w:sz w:val="32"/>
          <w:szCs w:val="32"/>
        </w:rPr>
        <w:t>。</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五、预算绩效管理情况说明</w:t>
      </w:r>
    </w:p>
    <w:p>
      <w:pPr>
        <w:pStyle w:val="6"/>
        <w:spacing w:line="560" w:lineRule="exact"/>
        <w:ind w:firstLine="640" w:firstLineChars="200"/>
        <w:rPr>
          <w:rFonts w:ascii="方正楷体_GBK" w:hAnsi="Calibri" w:eastAsia="方正楷体_GBK" w:cs="Times New Roman"/>
          <w:kern w:val="2"/>
          <w:sz w:val="32"/>
          <w:szCs w:val="32"/>
        </w:rPr>
      </w:pPr>
      <w:r>
        <w:rPr>
          <w:rFonts w:ascii="方正楷体_GBK" w:hAnsi="Calibri" w:eastAsia="方正楷体_GBK" w:cs="Times New Roman"/>
          <w:kern w:val="2"/>
          <w:sz w:val="32"/>
          <w:szCs w:val="32"/>
        </w:rPr>
        <w:t>（一）预算绩效管理工作开展情况</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根据预算绩效管理要求，我</w:t>
      </w:r>
      <w:r>
        <w:rPr>
          <w:rFonts w:hint="eastAsia" w:ascii="方正仿宋_GBK" w:hAnsi="Calibri" w:eastAsia="方正仿宋_GBK" w:cs="Times New Roman"/>
          <w:kern w:val="2"/>
          <w:sz w:val="32"/>
          <w:szCs w:val="32"/>
        </w:rPr>
        <w:t>单位</w:t>
      </w:r>
      <w:r>
        <w:rPr>
          <w:rFonts w:ascii="方正仿宋_GBK" w:hAnsi="Calibri" w:eastAsia="方正仿宋_GBK" w:cs="Times New Roman"/>
          <w:kern w:val="2"/>
          <w:sz w:val="32"/>
          <w:szCs w:val="32"/>
        </w:rPr>
        <w:t>对部门整体和</w:t>
      </w:r>
      <w:r>
        <w:rPr>
          <w:rFonts w:hint="eastAsia" w:ascii="方正仿宋_GBK" w:hAnsi="Calibri" w:eastAsia="方正仿宋_GBK" w:cs="Times New Roman"/>
          <w:kern w:val="2"/>
          <w:sz w:val="32"/>
          <w:szCs w:val="32"/>
        </w:rPr>
        <w:t>36</w:t>
      </w:r>
      <w:r>
        <w:rPr>
          <w:rFonts w:ascii="方正仿宋_GBK" w:hAnsi="Calibri" w:eastAsia="方正仿宋_GBK" w:cs="Times New Roman"/>
          <w:kern w:val="2"/>
          <w:sz w:val="32"/>
          <w:szCs w:val="32"/>
        </w:rPr>
        <w:t>个项目开展了绩效自评，其中，以填报自评表形式开展自评</w:t>
      </w:r>
      <w:r>
        <w:rPr>
          <w:rFonts w:hint="eastAsia" w:ascii="方正仿宋_GBK" w:hAnsi="Calibri" w:eastAsia="方正仿宋_GBK" w:cs="Times New Roman"/>
          <w:kern w:val="2"/>
          <w:sz w:val="32"/>
          <w:szCs w:val="32"/>
        </w:rPr>
        <w:t>36</w:t>
      </w:r>
      <w:r>
        <w:rPr>
          <w:rFonts w:ascii="方正仿宋_GBK" w:hAnsi="Calibri" w:eastAsia="方正仿宋_GBK" w:cs="Times New Roman"/>
          <w:kern w:val="2"/>
          <w:sz w:val="32"/>
          <w:szCs w:val="32"/>
        </w:rPr>
        <w:t>项，涉及资金</w:t>
      </w:r>
      <w:r>
        <w:rPr>
          <w:rFonts w:hint="eastAsia" w:ascii="方正仿宋_GBK" w:hAnsi="Calibri" w:eastAsia="方正仿宋_GBK" w:cs="Times New Roman"/>
          <w:kern w:val="2"/>
          <w:sz w:val="32"/>
          <w:szCs w:val="32"/>
        </w:rPr>
        <w:t>1648.64</w:t>
      </w:r>
      <w:r>
        <w:rPr>
          <w:rFonts w:ascii="方正仿宋_GBK" w:hAnsi="Calibri" w:eastAsia="方正仿宋_GBK" w:cs="Times New Roman"/>
          <w:kern w:val="2"/>
          <w:sz w:val="32"/>
          <w:szCs w:val="32"/>
        </w:rPr>
        <w:t>万元。</w:t>
      </w:r>
    </w:p>
    <w:p>
      <w:pPr>
        <w:pStyle w:val="6"/>
        <w:spacing w:line="560" w:lineRule="exact"/>
        <w:ind w:firstLine="640" w:firstLineChars="200"/>
        <w:rPr>
          <w:rFonts w:ascii="方正仿宋_GBK" w:hAnsi="Calibri" w:eastAsia="方正仿宋_GBK" w:cs="Times New Roman"/>
          <w:kern w:val="2"/>
          <w:sz w:val="32"/>
          <w:szCs w:val="32"/>
        </w:rPr>
      </w:pPr>
      <w:r>
        <w:rPr>
          <w:rFonts w:ascii="方正楷体_GBK" w:hAnsi="Calibri" w:eastAsia="方正楷体_GBK" w:cs="Times New Roman"/>
          <w:kern w:val="2"/>
          <w:sz w:val="32"/>
          <w:szCs w:val="32"/>
        </w:rPr>
        <w:t>（二）绩效自评结果</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1.绩效目标自评表。</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（1）部门整体绩效自评表。</w:t>
      </w:r>
    </w:p>
    <w:p>
      <w:pPr>
        <w:pStyle w:val="6"/>
        <w:spacing w:line="560" w:lineRule="exact"/>
        <w:ind w:firstLine="640" w:firstLineChars="200"/>
        <w:rPr>
          <w:rFonts w:hint="eastAsia" w:ascii="方正仿宋_GBK" w:hAnsi="Calibri" w:eastAsia="方正仿宋_GBK" w:cs="Times New Roman"/>
          <w:kern w:val="2"/>
          <w:sz w:val="32"/>
          <w:szCs w:val="32"/>
          <w:lang w:eastAsia="zh-CN"/>
        </w:rPr>
      </w:pPr>
      <w:r>
        <w:rPr>
          <w:rFonts w:hint="eastAsia" w:ascii="方正仿宋_GBK" w:hAnsi="Calibri" w:eastAsia="方正仿宋_GBK" w:cs="Times New Roman"/>
          <w:kern w:val="2"/>
          <w:sz w:val="32"/>
          <w:szCs w:val="32"/>
          <w:lang w:eastAsia="zh-CN"/>
        </w:rPr>
        <w:t>详</w:t>
      </w:r>
      <w:r>
        <w:rPr>
          <w:rFonts w:hint="eastAsia" w:ascii="方正仿宋_GBK" w:hAnsi="Calibri" w:eastAsia="方正仿宋_GBK" w:cs="Times New Roman"/>
          <w:kern w:val="2"/>
          <w:sz w:val="32"/>
          <w:szCs w:val="32"/>
        </w:rPr>
        <w:t>见附件重庆市铜梁区太平镇人民政府2022年度部门整体绩效自评表</w:t>
      </w:r>
      <w:r>
        <w:rPr>
          <w:rFonts w:hint="eastAsia" w:ascii="方正仿宋_GBK" w:hAnsi="Calibri" w:eastAsia="方正仿宋_GBK" w:cs="Times New Roman"/>
          <w:kern w:val="2"/>
          <w:sz w:val="32"/>
          <w:szCs w:val="32"/>
          <w:lang w:eastAsia="zh-CN"/>
        </w:rPr>
        <w:t>。</w:t>
      </w:r>
    </w:p>
    <w:p>
      <w:pPr>
        <w:pStyle w:val="6"/>
        <w:numPr>
          <w:ilvl w:val="0"/>
          <w:numId w:val="1"/>
        </w:numPr>
        <w:spacing w:line="560" w:lineRule="exact"/>
        <w:ind w:firstLine="640" w:firstLineChars="200"/>
        <w:rPr>
          <w:rFonts w:hint="eastAsia"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项目绩效自评表。</w:t>
      </w:r>
    </w:p>
    <w:p>
      <w:pPr>
        <w:pStyle w:val="6"/>
        <w:spacing w:line="560" w:lineRule="exact"/>
        <w:ind w:firstLine="640" w:firstLineChars="200"/>
        <w:rPr>
          <w:rFonts w:hint="eastAsia" w:ascii="方正仿宋_GBK" w:hAnsi="Calibri" w:eastAsia="方正仿宋_GBK" w:cs="Times New Roman"/>
          <w:kern w:val="2"/>
          <w:sz w:val="32"/>
          <w:szCs w:val="32"/>
          <w:lang w:eastAsia="zh-CN"/>
        </w:rPr>
      </w:pPr>
      <w:r>
        <w:rPr>
          <w:rFonts w:hint="eastAsia" w:ascii="方正仿宋_GBK" w:hAnsi="Calibri" w:eastAsia="方正仿宋_GBK" w:cs="Times New Roman"/>
          <w:kern w:val="2"/>
          <w:sz w:val="32"/>
          <w:szCs w:val="32"/>
          <w:lang w:eastAsia="zh-CN"/>
        </w:rPr>
        <w:t>详</w:t>
      </w:r>
      <w:r>
        <w:rPr>
          <w:rFonts w:hint="eastAsia" w:ascii="方正仿宋_GBK" w:hAnsi="Calibri" w:eastAsia="方正仿宋_GBK" w:cs="Times New Roman"/>
          <w:kern w:val="2"/>
          <w:sz w:val="32"/>
          <w:szCs w:val="32"/>
        </w:rPr>
        <w:t>见附件重庆市铜梁区太平镇人民政府2022年度项目绩效自评表</w:t>
      </w:r>
      <w:r>
        <w:rPr>
          <w:rFonts w:hint="eastAsia" w:ascii="方正仿宋_GBK" w:hAnsi="Calibri" w:eastAsia="方正仿宋_GBK" w:cs="Times New Roman"/>
          <w:kern w:val="2"/>
          <w:sz w:val="32"/>
          <w:szCs w:val="32"/>
          <w:lang w:eastAsia="zh-CN"/>
        </w:rPr>
        <w:t>。</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2.绩效自评报告或案例。</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我单位未委托</w:t>
      </w:r>
      <w:r>
        <w:rPr>
          <w:rFonts w:ascii="方正仿宋_GBK" w:hAnsi="Calibri" w:eastAsia="方正仿宋_GBK" w:cs="Times New Roman"/>
          <w:kern w:val="2"/>
          <w:sz w:val="32"/>
          <w:szCs w:val="32"/>
        </w:rPr>
        <w:t>第三方开展绩效评价</w:t>
      </w:r>
      <w:r>
        <w:rPr>
          <w:rFonts w:hint="eastAsia" w:ascii="方正仿宋_GBK" w:hAnsi="Calibri" w:eastAsia="方正仿宋_GBK" w:cs="Times New Roman"/>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3.关于绩效自评结果的说明。</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我单位对36个项目进行绩效自评，其中36个已完成年度绩效目标，0个未完成年度绩效目标。</w:t>
      </w:r>
    </w:p>
    <w:p>
      <w:pPr>
        <w:pStyle w:val="6"/>
        <w:spacing w:line="560" w:lineRule="exact"/>
        <w:ind w:firstLine="640" w:firstLineChars="200"/>
        <w:rPr>
          <w:rFonts w:ascii="方正仿宋_GBK" w:hAnsi="Calibri" w:eastAsia="方正仿宋_GBK" w:cs="Times New Roman"/>
          <w:kern w:val="2"/>
          <w:sz w:val="32"/>
          <w:szCs w:val="32"/>
        </w:rPr>
      </w:pPr>
      <w:r>
        <w:rPr>
          <w:rFonts w:ascii="方正楷体_GBK" w:hAnsi="Calibri" w:eastAsia="方正楷体_GBK" w:cs="Times New Roman"/>
          <w:kern w:val="2"/>
          <w:sz w:val="32"/>
          <w:szCs w:val="32"/>
        </w:rPr>
        <w:t>（三）重点绩效评价结果</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我单位未开展</w:t>
      </w:r>
      <w:r>
        <w:rPr>
          <w:rFonts w:ascii="方正仿宋_GBK" w:hAnsi="Calibri" w:eastAsia="方正仿宋_GBK" w:cs="Times New Roman"/>
          <w:kern w:val="2"/>
          <w:sz w:val="32"/>
          <w:szCs w:val="32"/>
        </w:rPr>
        <w:t>重点绩效评价</w:t>
      </w:r>
      <w:r>
        <w:rPr>
          <w:rFonts w:hint="eastAsia" w:ascii="方正仿宋_GBK" w:hAnsi="Calibri" w:eastAsia="方正仿宋_GBK" w:cs="Times New Roman"/>
          <w:kern w:val="2"/>
          <w:sz w:val="32"/>
          <w:szCs w:val="32"/>
        </w:rPr>
        <w:t>。</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黑体_GBK" w:hAnsi="Calibri" w:eastAsia="方正黑体_GBK"/>
          <w:sz w:val="32"/>
          <w:szCs w:val="32"/>
        </w:rPr>
        <w:t>六、专业名词解释</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（一）财政拨款收入：</w:t>
      </w:r>
      <w:r>
        <w:rPr>
          <w:rFonts w:ascii="方正仿宋_GBK" w:hAnsi="Calibri" w:eastAsia="方正仿宋_GBK" w:cs="Times New Roman"/>
          <w:kern w:val="2"/>
          <w:sz w:val="32"/>
          <w:szCs w:val="32"/>
        </w:rPr>
        <w:t>指本年度从本级财政部门取得的财政拨款，包括一般公共预算财政拨款和政府性基金预算财政拨款。</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（二）事业收入：</w:t>
      </w:r>
      <w:r>
        <w:rPr>
          <w:rFonts w:ascii="方正仿宋_GBK" w:hAnsi="Calibri" w:eastAsia="方正仿宋_GBK" w:cs="Times New Roman"/>
          <w:kern w:val="2"/>
          <w:sz w:val="32"/>
          <w:szCs w:val="32"/>
        </w:rPr>
        <w:t>指事业单位开展专业业务活动及其辅助活动取得的现金流入；事业单位收到的财政专户实际核拨的教育收费等资金在此反映。</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（三）经营收入：</w:t>
      </w:r>
      <w:r>
        <w:rPr>
          <w:rFonts w:ascii="方正仿宋_GBK" w:hAnsi="Calibri" w:eastAsia="方正仿宋_GBK" w:cs="Times New Roman"/>
          <w:kern w:val="2"/>
          <w:sz w:val="32"/>
          <w:szCs w:val="32"/>
        </w:rPr>
        <w:t>指事业单位在专业业务活动及其辅助活动之外开展非独立核算经营活动取得的现金流入。</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（四）其他收入：</w:t>
      </w:r>
      <w:r>
        <w:rPr>
          <w:rFonts w:ascii="方正仿宋_GBK" w:hAnsi="Calibri" w:eastAsia="方正仿宋_GBK" w:cs="Times New Roman"/>
          <w:kern w:val="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（五）使用非财政拨款结余：</w:t>
      </w:r>
      <w:r>
        <w:rPr>
          <w:rFonts w:ascii="方正仿宋_GBK" w:hAnsi="Calibri" w:eastAsia="方正仿宋_GBK" w:cs="Times New Roman"/>
          <w:kern w:val="2"/>
          <w:sz w:val="32"/>
          <w:szCs w:val="32"/>
        </w:rPr>
        <w:t>指单位在当年的“财政拨款收入”、“事业收入”、“经营收入”、“其他收入”等不足以安排当年支出的情况下，使用以前年度积累的非财政拨款结余弥补本年度收支缺口的资金。</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（六）年初结转和结余：</w:t>
      </w:r>
      <w:r>
        <w:rPr>
          <w:rFonts w:ascii="方正仿宋_GBK" w:hAnsi="Calibri" w:eastAsia="方正仿宋_GBK" w:cs="Times New Roman"/>
          <w:kern w:val="2"/>
          <w:sz w:val="32"/>
          <w:szCs w:val="32"/>
        </w:rPr>
        <w:t>指单位上年结转本年使用的基本支出结转、项目支出结转和结余、经营结余。</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（七）结余分配：</w:t>
      </w:r>
      <w:r>
        <w:rPr>
          <w:rFonts w:ascii="方正仿宋_GBK" w:hAnsi="Calibri" w:eastAsia="方正仿宋_GBK" w:cs="Times New Roman"/>
          <w:kern w:val="2"/>
          <w:sz w:val="32"/>
          <w:szCs w:val="32"/>
        </w:rPr>
        <w:t>指单位按照国家有关规定，缴纳所得税、提取专用基金、转入非财政拨款结余等当年结余的分配情况。</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（八）年末结转和结余：</w:t>
      </w:r>
      <w:r>
        <w:rPr>
          <w:rFonts w:ascii="方正仿宋_GBK" w:hAnsi="Calibri" w:eastAsia="方正仿宋_GBK" w:cs="Times New Roman"/>
          <w:kern w:val="2"/>
          <w:sz w:val="32"/>
          <w:szCs w:val="32"/>
        </w:rPr>
        <w:t>指单位结转下年的基本支出结转、项目支出结转和结余、经营结余。</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（九）基本支出：</w:t>
      </w:r>
      <w:r>
        <w:rPr>
          <w:rFonts w:ascii="方正仿宋_GBK" w:hAnsi="Calibri" w:eastAsia="方正仿宋_GBK" w:cs="Times New Roman"/>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（十）项目支出：</w:t>
      </w:r>
      <w:r>
        <w:rPr>
          <w:rFonts w:ascii="方正仿宋_GBK" w:hAnsi="Calibri" w:eastAsia="方正仿宋_GBK" w:cs="Times New Roman"/>
          <w:kern w:val="2"/>
          <w:sz w:val="32"/>
          <w:szCs w:val="32"/>
        </w:rPr>
        <w:t>指在基本支出之外为完成特定行政任务和事业发展目标所发生的支出。</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（十一）经营支出：</w:t>
      </w:r>
      <w:r>
        <w:rPr>
          <w:rFonts w:ascii="方正仿宋_GBK" w:hAnsi="Calibri" w:eastAsia="方正仿宋_GBK" w:cs="Times New Roman"/>
          <w:kern w:val="2"/>
          <w:sz w:val="32"/>
          <w:szCs w:val="32"/>
        </w:rPr>
        <w:t>指事业单位在专业业务活动及其辅助活动之外开展非独立核算经营活动发生的支出。</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（十二）“三公”经费：</w:t>
      </w:r>
      <w:r>
        <w:rPr>
          <w:rFonts w:ascii="方正仿宋_GBK" w:hAnsi="Calibri" w:eastAsia="方正仿宋_GBK" w:cs="Times New Roman"/>
          <w:kern w:val="2"/>
          <w:sz w:val="32"/>
          <w:szCs w:val="32"/>
        </w:rPr>
        <w:t>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（十三）机关运行经费：</w:t>
      </w:r>
      <w:r>
        <w:rPr>
          <w:rFonts w:ascii="方正仿宋_GBK" w:hAnsi="Calibri" w:eastAsia="方正仿宋_GBK" w:cs="Times New Roman"/>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（十四）工资福利支出（支出经济分类科目类级）：</w:t>
      </w:r>
      <w:r>
        <w:rPr>
          <w:rFonts w:ascii="方正仿宋_GBK" w:hAnsi="Calibri" w:eastAsia="方正仿宋_GBK" w:cs="Times New Roman"/>
          <w:kern w:val="2"/>
          <w:sz w:val="32"/>
          <w:szCs w:val="32"/>
        </w:rPr>
        <w:t>反映单位开支的在职职工和编制外长期聘用人员的各类劳动报酬，以及为上述人员缴纳的各项社会保险费等。</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（十五）商品和服务支出（支出经济分类科目类级）：</w:t>
      </w:r>
      <w:r>
        <w:rPr>
          <w:rFonts w:ascii="方正仿宋_GBK" w:hAnsi="Calibri" w:eastAsia="方正仿宋_GBK" w:cs="Times New Roman"/>
          <w:kern w:val="2"/>
          <w:sz w:val="32"/>
          <w:szCs w:val="32"/>
        </w:rPr>
        <w:t>反映单位购买商品和服务的支出（不包括用于购置固定资产的支出、战略性和应急储备支出）。</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（十六）对个人和家庭的补助（支出经济分类科目类级）：</w:t>
      </w:r>
      <w:r>
        <w:rPr>
          <w:rFonts w:ascii="方正仿宋_GBK" w:hAnsi="Calibri" w:eastAsia="方正仿宋_GBK" w:cs="Times New Roman"/>
          <w:kern w:val="2"/>
          <w:sz w:val="32"/>
          <w:szCs w:val="32"/>
        </w:rPr>
        <w:t>反映用于对个人和家庭的补助支出。</w:t>
      </w:r>
    </w:p>
    <w:p>
      <w:pPr>
        <w:pStyle w:val="6"/>
        <w:spacing w:line="560"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（十七）其他资本性支出（支出经济分类科目类级）：</w:t>
      </w:r>
      <w:r>
        <w:rPr>
          <w:rFonts w:ascii="方正仿宋_GBK" w:hAnsi="Calibri" w:eastAsia="方正仿宋_GBK" w:cs="Times New Roman"/>
          <w:kern w:val="2"/>
          <w:sz w:val="32"/>
          <w:szCs w:val="32"/>
        </w:rPr>
        <w:t>反映非各级发展与改革部门集中安排的用于购置固定资产、战略性和应急性储备、土地和无形资产，以及构建基础设施、大型修缮和财政支持企业更新改造所发生的支出。</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七、决算公开联系方式</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本单位决算公开信息反馈和联系方式：</w:t>
      </w:r>
      <w:r>
        <w:rPr>
          <w:rFonts w:hint="eastAsia" w:ascii="方正仿宋_GBK" w:eastAsia="方正仿宋_GBK"/>
          <w:sz w:val="32"/>
          <w:szCs w:val="32"/>
        </w:rPr>
        <w:t>向玖俊023-45620179</w:t>
      </w:r>
    </w:p>
    <w:p>
      <w:pPr>
        <w:spacing w:line="594" w:lineRule="exact"/>
        <w:jc w:val="center"/>
        <w:rPr>
          <w:rFonts w:eastAsia="方正小标宋_GBK"/>
          <w:color w:val="000000"/>
          <w:sz w:val="44"/>
          <w:szCs w:val="44"/>
        </w:rPr>
      </w:pPr>
    </w:p>
    <w:p>
      <w:pPr>
        <w:spacing w:line="594" w:lineRule="exact"/>
        <w:ind w:firstLine="640" w:firstLineChars="200"/>
        <w:rPr>
          <w:rFonts w:eastAsia="方正仿宋_GBK"/>
          <w:sz w:val="32"/>
          <w:szCs w:val="32"/>
        </w:rPr>
      </w:pPr>
    </w:p>
    <w:p>
      <w:pPr>
        <w:spacing w:line="594" w:lineRule="exact"/>
        <w:ind w:firstLine="640" w:firstLineChars="200"/>
        <w:rPr>
          <w:rFonts w:eastAsia="方正仿宋_GBK"/>
          <w:sz w:val="32"/>
          <w:szCs w:val="32"/>
        </w:rPr>
      </w:pPr>
    </w:p>
    <w:p>
      <w:pPr>
        <w:spacing w:line="594" w:lineRule="exact"/>
        <w:ind w:firstLine="640" w:firstLineChars="200"/>
        <w:rPr>
          <w:rFonts w:eastAsia="方正仿宋_GBK"/>
          <w:sz w:val="32"/>
          <w:szCs w:val="32"/>
        </w:rPr>
      </w:pPr>
    </w:p>
    <w:p>
      <w:pPr>
        <w:spacing w:line="594" w:lineRule="exact"/>
        <w:ind w:firstLine="640" w:firstLineChars="200"/>
        <w:rPr>
          <w:rFonts w:eastAsia="方正仿宋_GBK"/>
          <w:sz w:val="32"/>
          <w:szCs w:val="32"/>
        </w:rPr>
      </w:pPr>
    </w:p>
    <w:p>
      <w:pPr>
        <w:spacing w:line="594" w:lineRule="exact"/>
        <w:ind w:firstLine="640" w:firstLineChars="200"/>
        <w:rPr>
          <w:rFonts w:eastAsia="方正仿宋_GBK"/>
          <w:sz w:val="32"/>
          <w:szCs w:val="32"/>
        </w:rPr>
      </w:pPr>
    </w:p>
    <w:p>
      <w:pPr>
        <w:spacing w:line="594" w:lineRule="exact"/>
        <w:ind w:firstLine="640" w:firstLineChars="200"/>
        <w:rPr>
          <w:rFonts w:eastAsia="方正仿宋_GBK"/>
          <w:sz w:val="32"/>
          <w:szCs w:val="32"/>
        </w:rPr>
      </w:pPr>
    </w:p>
    <w:p>
      <w:pPr>
        <w:spacing w:line="594" w:lineRule="exact"/>
        <w:ind w:firstLine="640" w:firstLineChars="200"/>
        <w:rPr>
          <w:rFonts w:eastAsia="方正仿宋_GBK"/>
          <w:sz w:val="32"/>
          <w:szCs w:val="32"/>
        </w:rPr>
      </w:pPr>
    </w:p>
    <w:p>
      <w:pPr>
        <w:spacing w:line="594" w:lineRule="exact"/>
        <w:ind w:firstLine="640" w:firstLineChars="200"/>
        <w:rPr>
          <w:rFonts w:eastAsia="方正仿宋_GBK"/>
          <w:sz w:val="32"/>
          <w:szCs w:val="32"/>
        </w:rPr>
      </w:pPr>
    </w:p>
    <w:p>
      <w:pPr>
        <w:spacing w:line="594" w:lineRule="exact"/>
        <w:rPr>
          <w:rFonts w:eastAsia="方正仿宋_GBK"/>
          <w:sz w:val="32"/>
          <w:szCs w:val="32"/>
        </w:rPr>
      </w:pPr>
    </w:p>
    <w:sectPr>
      <w:footerReference r:id="rId3" w:type="default"/>
      <w:pgSz w:w="11906" w:h="16838"/>
      <w:pgMar w:top="2098" w:right="1474" w:bottom="1984" w:left="1587" w:header="851" w:footer="1474" w:gutter="0"/>
      <w:cols w:space="720" w:num="1"/>
      <w:docGrid w:type="lines" w:linePitch="314"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436">
      <wne:acd wne:acdName="acd1"/>
    </wne:keymap>
  </wne:keymaps>
  <wne:acds>
    <wne:acd wne:argValue="AQAAAAAA" wne:acdName="acd0" wne:fciIndexBasedOn="0065"/>
    <wne:acd wne:argValue="AQAAAC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t xml:space="preserve"> —</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tF/fXAQAAsgMAAA4AAAAAAAAAAQAgAAAA&#10;HgEAAGRycy9lMm9Eb2MueG1sUEsFBgAAAAAGAAYAWQEAAGcFAAAAAA==&#10;">
              <v:fill on="f" focussize="0,0"/>
              <v:stroke on="f"/>
              <v:imagedata o:title=""/>
              <o:lock v:ext="edit" aspectratio="f"/>
              <v:textbox inset="0mm,0mm,0mm,0mm" style="mso-fit-shape-to-text:t;">
                <w:txbxContent>
                  <w:p>
                    <w:pPr>
                      <w:snapToGrid w:val="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B3A17"/>
    <w:multiLevelType w:val="singleLevel"/>
    <w:tmpl w:val="0D4B3A1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NjBjNmRiMmFiMDkwNGQzYTY3ZjJiNmJkNTk0N2UifQ=="/>
  </w:docVars>
  <w:rsids>
    <w:rsidRoot w:val="00172A27"/>
    <w:rsid w:val="00020B89"/>
    <w:rsid w:val="00066EBC"/>
    <w:rsid w:val="00172A27"/>
    <w:rsid w:val="001847AA"/>
    <w:rsid w:val="001B0395"/>
    <w:rsid w:val="00237A4E"/>
    <w:rsid w:val="004075B1"/>
    <w:rsid w:val="00447AD2"/>
    <w:rsid w:val="00514510"/>
    <w:rsid w:val="00556FEA"/>
    <w:rsid w:val="00591C5A"/>
    <w:rsid w:val="005C34B2"/>
    <w:rsid w:val="00732764"/>
    <w:rsid w:val="00735D89"/>
    <w:rsid w:val="0075702C"/>
    <w:rsid w:val="007F206B"/>
    <w:rsid w:val="00913BAD"/>
    <w:rsid w:val="00946192"/>
    <w:rsid w:val="009A5D68"/>
    <w:rsid w:val="00AD7A17"/>
    <w:rsid w:val="00AF3E75"/>
    <w:rsid w:val="00B505D4"/>
    <w:rsid w:val="00E0792B"/>
    <w:rsid w:val="00E21228"/>
    <w:rsid w:val="00E46769"/>
    <w:rsid w:val="00F23BDA"/>
    <w:rsid w:val="01325CCF"/>
    <w:rsid w:val="013F699D"/>
    <w:rsid w:val="01C51855"/>
    <w:rsid w:val="01FE1351"/>
    <w:rsid w:val="027E23B8"/>
    <w:rsid w:val="02B741D5"/>
    <w:rsid w:val="034F3B3D"/>
    <w:rsid w:val="036C7203"/>
    <w:rsid w:val="04633A73"/>
    <w:rsid w:val="04E866E4"/>
    <w:rsid w:val="04F2561E"/>
    <w:rsid w:val="0529292D"/>
    <w:rsid w:val="054F4F41"/>
    <w:rsid w:val="056D2AA6"/>
    <w:rsid w:val="059127CD"/>
    <w:rsid w:val="068942F3"/>
    <w:rsid w:val="068B2A15"/>
    <w:rsid w:val="06A8721D"/>
    <w:rsid w:val="06B432AA"/>
    <w:rsid w:val="06C23411"/>
    <w:rsid w:val="06E52864"/>
    <w:rsid w:val="07222C59"/>
    <w:rsid w:val="07285934"/>
    <w:rsid w:val="074D7BAD"/>
    <w:rsid w:val="079E1095"/>
    <w:rsid w:val="07CF2546"/>
    <w:rsid w:val="080721DF"/>
    <w:rsid w:val="085113B7"/>
    <w:rsid w:val="087E5D03"/>
    <w:rsid w:val="08AB2917"/>
    <w:rsid w:val="08D253D5"/>
    <w:rsid w:val="08E13A3E"/>
    <w:rsid w:val="09892E64"/>
    <w:rsid w:val="09D91EAF"/>
    <w:rsid w:val="0B1A59A3"/>
    <w:rsid w:val="0B9C4F94"/>
    <w:rsid w:val="0BA720F5"/>
    <w:rsid w:val="0C6E15D1"/>
    <w:rsid w:val="0C817A71"/>
    <w:rsid w:val="0C8F3E99"/>
    <w:rsid w:val="0CF0584B"/>
    <w:rsid w:val="0DA4451E"/>
    <w:rsid w:val="0DA6627A"/>
    <w:rsid w:val="0DAF2196"/>
    <w:rsid w:val="0E1A3974"/>
    <w:rsid w:val="0E1B444B"/>
    <w:rsid w:val="0E3B4531"/>
    <w:rsid w:val="0E435BA0"/>
    <w:rsid w:val="0E820EE8"/>
    <w:rsid w:val="0E9D7813"/>
    <w:rsid w:val="0EA85577"/>
    <w:rsid w:val="0EB10465"/>
    <w:rsid w:val="0F0B05E2"/>
    <w:rsid w:val="0F3C5398"/>
    <w:rsid w:val="0F4E1DF2"/>
    <w:rsid w:val="0FA74741"/>
    <w:rsid w:val="10086AF3"/>
    <w:rsid w:val="100919D5"/>
    <w:rsid w:val="10546AC0"/>
    <w:rsid w:val="1059601F"/>
    <w:rsid w:val="1081692E"/>
    <w:rsid w:val="108F6A5A"/>
    <w:rsid w:val="109F2A65"/>
    <w:rsid w:val="10E96409"/>
    <w:rsid w:val="10EF3BF3"/>
    <w:rsid w:val="111901A4"/>
    <w:rsid w:val="113D1411"/>
    <w:rsid w:val="115E2A4E"/>
    <w:rsid w:val="117C2210"/>
    <w:rsid w:val="12006EB8"/>
    <w:rsid w:val="12457CA6"/>
    <w:rsid w:val="128247CE"/>
    <w:rsid w:val="13D93E87"/>
    <w:rsid w:val="13FD5F10"/>
    <w:rsid w:val="14073BB9"/>
    <w:rsid w:val="142622A2"/>
    <w:rsid w:val="14D54D5E"/>
    <w:rsid w:val="14F84E1C"/>
    <w:rsid w:val="150045F1"/>
    <w:rsid w:val="15B42F28"/>
    <w:rsid w:val="15CA270D"/>
    <w:rsid w:val="16092C8F"/>
    <w:rsid w:val="16254476"/>
    <w:rsid w:val="164202F6"/>
    <w:rsid w:val="16631D40"/>
    <w:rsid w:val="169E29A9"/>
    <w:rsid w:val="16F25087"/>
    <w:rsid w:val="17945AD8"/>
    <w:rsid w:val="17976381"/>
    <w:rsid w:val="17997FD8"/>
    <w:rsid w:val="17BD64EA"/>
    <w:rsid w:val="17BF5A54"/>
    <w:rsid w:val="17E850F8"/>
    <w:rsid w:val="184765A8"/>
    <w:rsid w:val="18564AFC"/>
    <w:rsid w:val="188120E6"/>
    <w:rsid w:val="188216E7"/>
    <w:rsid w:val="18B05181"/>
    <w:rsid w:val="18BD1E44"/>
    <w:rsid w:val="18BF7347"/>
    <w:rsid w:val="18EB1435"/>
    <w:rsid w:val="18F85EC5"/>
    <w:rsid w:val="19121B32"/>
    <w:rsid w:val="19143A50"/>
    <w:rsid w:val="19B200BB"/>
    <w:rsid w:val="19D83DD8"/>
    <w:rsid w:val="1AF93ED0"/>
    <w:rsid w:val="1B040052"/>
    <w:rsid w:val="1B10209B"/>
    <w:rsid w:val="1B7D29F6"/>
    <w:rsid w:val="1B9F39C4"/>
    <w:rsid w:val="1BF939BF"/>
    <w:rsid w:val="1C03288C"/>
    <w:rsid w:val="1C663183"/>
    <w:rsid w:val="1CBB5C3C"/>
    <w:rsid w:val="1CE032FD"/>
    <w:rsid w:val="1D0A6AD8"/>
    <w:rsid w:val="1D1858E5"/>
    <w:rsid w:val="1D2B6399"/>
    <w:rsid w:val="1DFF33E2"/>
    <w:rsid w:val="1E051A08"/>
    <w:rsid w:val="1E507D59"/>
    <w:rsid w:val="1E5636E5"/>
    <w:rsid w:val="1E9F6217"/>
    <w:rsid w:val="1EB4752F"/>
    <w:rsid w:val="1EF37564"/>
    <w:rsid w:val="1F1F44A7"/>
    <w:rsid w:val="1FD41174"/>
    <w:rsid w:val="200C6636"/>
    <w:rsid w:val="20360C07"/>
    <w:rsid w:val="20562B08"/>
    <w:rsid w:val="206C316C"/>
    <w:rsid w:val="209F050E"/>
    <w:rsid w:val="21C56F8D"/>
    <w:rsid w:val="222B07D9"/>
    <w:rsid w:val="225F31E3"/>
    <w:rsid w:val="228B60CA"/>
    <w:rsid w:val="231422D8"/>
    <w:rsid w:val="234A5211"/>
    <w:rsid w:val="23DE4D91"/>
    <w:rsid w:val="245E0DCB"/>
    <w:rsid w:val="24AA3207"/>
    <w:rsid w:val="24B66C3A"/>
    <w:rsid w:val="24EB6321"/>
    <w:rsid w:val="25553DFE"/>
    <w:rsid w:val="255B08D6"/>
    <w:rsid w:val="259B4C5C"/>
    <w:rsid w:val="25C36DFF"/>
    <w:rsid w:val="25DB1BD7"/>
    <w:rsid w:val="25E84DB5"/>
    <w:rsid w:val="26780F2E"/>
    <w:rsid w:val="27390E00"/>
    <w:rsid w:val="274E34CC"/>
    <w:rsid w:val="275D7A2B"/>
    <w:rsid w:val="27643C20"/>
    <w:rsid w:val="278A371B"/>
    <w:rsid w:val="281457A8"/>
    <w:rsid w:val="281D0FB9"/>
    <w:rsid w:val="281F21E8"/>
    <w:rsid w:val="284C48A8"/>
    <w:rsid w:val="28693C19"/>
    <w:rsid w:val="28765D95"/>
    <w:rsid w:val="28930D88"/>
    <w:rsid w:val="28A67F2A"/>
    <w:rsid w:val="28B1782B"/>
    <w:rsid w:val="28E03B9D"/>
    <w:rsid w:val="29A90667"/>
    <w:rsid w:val="29CB5E75"/>
    <w:rsid w:val="29D06907"/>
    <w:rsid w:val="29DD17C8"/>
    <w:rsid w:val="2A2703EB"/>
    <w:rsid w:val="2A3D4E8F"/>
    <w:rsid w:val="2AD2325C"/>
    <w:rsid w:val="2B2A5014"/>
    <w:rsid w:val="2B64206C"/>
    <w:rsid w:val="2B6F13A6"/>
    <w:rsid w:val="2B857E53"/>
    <w:rsid w:val="2BB06F0B"/>
    <w:rsid w:val="2C277E9F"/>
    <w:rsid w:val="2C38211A"/>
    <w:rsid w:val="2C45198D"/>
    <w:rsid w:val="2C8114FD"/>
    <w:rsid w:val="2C934CA6"/>
    <w:rsid w:val="2C947BA6"/>
    <w:rsid w:val="2C980B85"/>
    <w:rsid w:val="2C992E8E"/>
    <w:rsid w:val="2CB8318E"/>
    <w:rsid w:val="2D004ED3"/>
    <w:rsid w:val="2D1473A4"/>
    <w:rsid w:val="2D1E6135"/>
    <w:rsid w:val="2D2B3306"/>
    <w:rsid w:val="2D3B7DA3"/>
    <w:rsid w:val="2D421CCB"/>
    <w:rsid w:val="2D790AD6"/>
    <w:rsid w:val="2DBB55F8"/>
    <w:rsid w:val="2DF176E6"/>
    <w:rsid w:val="2E1B0DF0"/>
    <w:rsid w:val="2E306FC2"/>
    <w:rsid w:val="2E4603E6"/>
    <w:rsid w:val="2E48759E"/>
    <w:rsid w:val="2EAA73C2"/>
    <w:rsid w:val="2EB07359"/>
    <w:rsid w:val="2EEA3FE7"/>
    <w:rsid w:val="2F0D6930"/>
    <w:rsid w:val="2F5E26D9"/>
    <w:rsid w:val="2F691354"/>
    <w:rsid w:val="2FC8189D"/>
    <w:rsid w:val="30547E80"/>
    <w:rsid w:val="3104276F"/>
    <w:rsid w:val="314305F2"/>
    <w:rsid w:val="3143340E"/>
    <w:rsid w:val="31575BE3"/>
    <w:rsid w:val="31C43F6C"/>
    <w:rsid w:val="32225F29"/>
    <w:rsid w:val="32DF1E93"/>
    <w:rsid w:val="32FB34B3"/>
    <w:rsid w:val="330D5E93"/>
    <w:rsid w:val="34597999"/>
    <w:rsid w:val="347B15CA"/>
    <w:rsid w:val="35383C30"/>
    <w:rsid w:val="358F770E"/>
    <w:rsid w:val="35B47146"/>
    <w:rsid w:val="35B543F6"/>
    <w:rsid w:val="36232066"/>
    <w:rsid w:val="36373AA1"/>
    <w:rsid w:val="36887058"/>
    <w:rsid w:val="3697651B"/>
    <w:rsid w:val="37006A48"/>
    <w:rsid w:val="370F070C"/>
    <w:rsid w:val="371E74B8"/>
    <w:rsid w:val="37226758"/>
    <w:rsid w:val="372C4429"/>
    <w:rsid w:val="37550027"/>
    <w:rsid w:val="37EC4F53"/>
    <w:rsid w:val="38217CB2"/>
    <w:rsid w:val="382F193E"/>
    <w:rsid w:val="38631112"/>
    <w:rsid w:val="386771FC"/>
    <w:rsid w:val="38A3286A"/>
    <w:rsid w:val="38AB5EC0"/>
    <w:rsid w:val="39344537"/>
    <w:rsid w:val="399A7FB3"/>
    <w:rsid w:val="39B84EC6"/>
    <w:rsid w:val="39E0313F"/>
    <w:rsid w:val="39F317D6"/>
    <w:rsid w:val="3A002053"/>
    <w:rsid w:val="3A133359"/>
    <w:rsid w:val="3A2167E6"/>
    <w:rsid w:val="3A3F768B"/>
    <w:rsid w:val="3A5B2BF3"/>
    <w:rsid w:val="3B1C15F8"/>
    <w:rsid w:val="3B772B28"/>
    <w:rsid w:val="3BBE4B55"/>
    <w:rsid w:val="3BEE08D1"/>
    <w:rsid w:val="3C0D11BC"/>
    <w:rsid w:val="3C162FFB"/>
    <w:rsid w:val="3C356E09"/>
    <w:rsid w:val="3C594CE0"/>
    <w:rsid w:val="3C5F4CD7"/>
    <w:rsid w:val="3C6F65BB"/>
    <w:rsid w:val="3C807564"/>
    <w:rsid w:val="3D605032"/>
    <w:rsid w:val="3D916EAE"/>
    <w:rsid w:val="3DCA1939"/>
    <w:rsid w:val="3DE23F8D"/>
    <w:rsid w:val="3E027A49"/>
    <w:rsid w:val="3E253CD9"/>
    <w:rsid w:val="3E607FCA"/>
    <w:rsid w:val="3E645E7C"/>
    <w:rsid w:val="3E870B48"/>
    <w:rsid w:val="3E986B81"/>
    <w:rsid w:val="3EE556E8"/>
    <w:rsid w:val="3FB73F7F"/>
    <w:rsid w:val="40073597"/>
    <w:rsid w:val="40112A3A"/>
    <w:rsid w:val="40673E01"/>
    <w:rsid w:val="40D15C6D"/>
    <w:rsid w:val="411F470B"/>
    <w:rsid w:val="41413F4A"/>
    <w:rsid w:val="415736AE"/>
    <w:rsid w:val="416925E4"/>
    <w:rsid w:val="421727EF"/>
    <w:rsid w:val="42221985"/>
    <w:rsid w:val="422E579A"/>
    <w:rsid w:val="42581138"/>
    <w:rsid w:val="42AF07B2"/>
    <w:rsid w:val="43255197"/>
    <w:rsid w:val="435D1E02"/>
    <w:rsid w:val="437E5E67"/>
    <w:rsid w:val="43A3143A"/>
    <w:rsid w:val="43B20D0A"/>
    <w:rsid w:val="44024A36"/>
    <w:rsid w:val="442E7704"/>
    <w:rsid w:val="443B1BD6"/>
    <w:rsid w:val="44A73E98"/>
    <w:rsid w:val="44B1367E"/>
    <w:rsid w:val="44B34BA4"/>
    <w:rsid w:val="45082183"/>
    <w:rsid w:val="450F5383"/>
    <w:rsid w:val="450F7F92"/>
    <w:rsid w:val="45575328"/>
    <w:rsid w:val="4592069A"/>
    <w:rsid w:val="45E21F53"/>
    <w:rsid w:val="45E26F42"/>
    <w:rsid w:val="465558F0"/>
    <w:rsid w:val="471D388D"/>
    <w:rsid w:val="47266E34"/>
    <w:rsid w:val="477350C0"/>
    <w:rsid w:val="47E65B0A"/>
    <w:rsid w:val="48D13B92"/>
    <w:rsid w:val="48D65C40"/>
    <w:rsid w:val="494743FE"/>
    <w:rsid w:val="495D4785"/>
    <w:rsid w:val="497406E5"/>
    <w:rsid w:val="4987760D"/>
    <w:rsid w:val="49D12D21"/>
    <w:rsid w:val="49D96E7D"/>
    <w:rsid w:val="49EC3CFE"/>
    <w:rsid w:val="4A9452DE"/>
    <w:rsid w:val="4AA00D69"/>
    <w:rsid w:val="4AB61A8D"/>
    <w:rsid w:val="4B3E0FDC"/>
    <w:rsid w:val="4B690D4A"/>
    <w:rsid w:val="4B7A455C"/>
    <w:rsid w:val="4BA10E9C"/>
    <w:rsid w:val="4BD53FC7"/>
    <w:rsid w:val="4C330E5F"/>
    <w:rsid w:val="4C426FC4"/>
    <w:rsid w:val="4C650A0C"/>
    <w:rsid w:val="4C8E037F"/>
    <w:rsid w:val="4C923FFC"/>
    <w:rsid w:val="4CCD710B"/>
    <w:rsid w:val="4D1B0A9E"/>
    <w:rsid w:val="4D4940B7"/>
    <w:rsid w:val="4D761F38"/>
    <w:rsid w:val="4DFF7AFF"/>
    <w:rsid w:val="4E5E15B0"/>
    <w:rsid w:val="4E777C8B"/>
    <w:rsid w:val="4ED170F1"/>
    <w:rsid w:val="4ED65D74"/>
    <w:rsid w:val="4EDA4D6E"/>
    <w:rsid w:val="4FF9305D"/>
    <w:rsid w:val="508B0619"/>
    <w:rsid w:val="50B07A65"/>
    <w:rsid w:val="50DB5DC0"/>
    <w:rsid w:val="511866D9"/>
    <w:rsid w:val="51B959AB"/>
    <w:rsid w:val="52907675"/>
    <w:rsid w:val="52921794"/>
    <w:rsid w:val="52BE2D28"/>
    <w:rsid w:val="53810B34"/>
    <w:rsid w:val="53851A2E"/>
    <w:rsid w:val="539019D3"/>
    <w:rsid w:val="54087CC9"/>
    <w:rsid w:val="54375802"/>
    <w:rsid w:val="545843AB"/>
    <w:rsid w:val="54A71B51"/>
    <w:rsid w:val="54AA6709"/>
    <w:rsid w:val="54F63311"/>
    <w:rsid w:val="55245D92"/>
    <w:rsid w:val="554A166D"/>
    <w:rsid w:val="55626F3F"/>
    <w:rsid w:val="55AB0A48"/>
    <w:rsid w:val="55E97F83"/>
    <w:rsid w:val="56125655"/>
    <w:rsid w:val="5618301D"/>
    <w:rsid w:val="561D3E25"/>
    <w:rsid w:val="5667363B"/>
    <w:rsid w:val="56741CB9"/>
    <w:rsid w:val="56916C85"/>
    <w:rsid w:val="56A93D7D"/>
    <w:rsid w:val="571F0643"/>
    <w:rsid w:val="57355030"/>
    <w:rsid w:val="574D0A6E"/>
    <w:rsid w:val="57772F73"/>
    <w:rsid w:val="577B1B43"/>
    <w:rsid w:val="57945591"/>
    <w:rsid w:val="57D638D7"/>
    <w:rsid w:val="582B6F6D"/>
    <w:rsid w:val="58595D92"/>
    <w:rsid w:val="58617F2E"/>
    <w:rsid w:val="58710E84"/>
    <w:rsid w:val="58AE2C7F"/>
    <w:rsid w:val="58B553AA"/>
    <w:rsid w:val="58B858AC"/>
    <w:rsid w:val="58BA714F"/>
    <w:rsid w:val="58BC50D5"/>
    <w:rsid w:val="595212EA"/>
    <w:rsid w:val="595D5192"/>
    <w:rsid w:val="59662390"/>
    <w:rsid w:val="596F5A79"/>
    <w:rsid w:val="59CE7475"/>
    <w:rsid w:val="59F011EF"/>
    <w:rsid w:val="5A01618A"/>
    <w:rsid w:val="5A137840"/>
    <w:rsid w:val="5A2E7973"/>
    <w:rsid w:val="5A362C04"/>
    <w:rsid w:val="5AAA418E"/>
    <w:rsid w:val="5B1012B3"/>
    <w:rsid w:val="5BB86582"/>
    <w:rsid w:val="5BBC0D0C"/>
    <w:rsid w:val="5BC20DF5"/>
    <w:rsid w:val="5BCC104B"/>
    <w:rsid w:val="5BD03A2B"/>
    <w:rsid w:val="5BDD3D61"/>
    <w:rsid w:val="5C056010"/>
    <w:rsid w:val="5C764D4F"/>
    <w:rsid w:val="5C844BC4"/>
    <w:rsid w:val="5C925127"/>
    <w:rsid w:val="5C93400D"/>
    <w:rsid w:val="5CA24851"/>
    <w:rsid w:val="5CC22775"/>
    <w:rsid w:val="5CC318CC"/>
    <w:rsid w:val="5D274E86"/>
    <w:rsid w:val="5D6F07CF"/>
    <w:rsid w:val="5DEE0A8C"/>
    <w:rsid w:val="5E791AAB"/>
    <w:rsid w:val="5E954E3B"/>
    <w:rsid w:val="5EA41A44"/>
    <w:rsid w:val="5EB75883"/>
    <w:rsid w:val="5EBA0F71"/>
    <w:rsid w:val="5ED32BCF"/>
    <w:rsid w:val="5EFF1607"/>
    <w:rsid w:val="5F52381E"/>
    <w:rsid w:val="602356D1"/>
    <w:rsid w:val="60B164F7"/>
    <w:rsid w:val="60E043DB"/>
    <w:rsid w:val="60F876E6"/>
    <w:rsid w:val="611779E8"/>
    <w:rsid w:val="61347DF8"/>
    <w:rsid w:val="613E065A"/>
    <w:rsid w:val="61802FB0"/>
    <w:rsid w:val="61847424"/>
    <w:rsid w:val="61E54FAB"/>
    <w:rsid w:val="61EE3487"/>
    <w:rsid w:val="62095D4A"/>
    <w:rsid w:val="6219032A"/>
    <w:rsid w:val="6232081B"/>
    <w:rsid w:val="625C5FD3"/>
    <w:rsid w:val="6267264E"/>
    <w:rsid w:val="64015458"/>
    <w:rsid w:val="64032BC1"/>
    <w:rsid w:val="64075B86"/>
    <w:rsid w:val="64121FB9"/>
    <w:rsid w:val="643C0440"/>
    <w:rsid w:val="64664A05"/>
    <w:rsid w:val="64927816"/>
    <w:rsid w:val="64976DD4"/>
    <w:rsid w:val="64D3562B"/>
    <w:rsid w:val="657415C4"/>
    <w:rsid w:val="65851D3D"/>
    <w:rsid w:val="658B4507"/>
    <w:rsid w:val="65A848FA"/>
    <w:rsid w:val="65BD6B89"/>
    <w:rsid w:val="66026D98"/>
    <w:rsid w:val="664250F0"/>
    <w:rsid w:val="6660767F"/>
    <w:rsid w:val="66666499"/>
    <w:rsid w:val="66BE708C"/>
    <w:rsid w:val="675416D7"/>
    <w:rsid w:val="676E436E"/>
    <w:rsid w:val="679A16B3"/>
    <w:rsid w:val="682B425B"/>
    <w:rsid w:val="68345FBB"/>
    <w:rsid w:val="6855019B"/>
    <w:rsid w:val="687321E9"/>
    <w:rsid w:val="68A536F1"/>
    <w:rsid w:val="68CC3C16"/>
    <w:rsid w:val="68E178D4"/>
    <w:rsid w:val="69932C75"/>
    <w:rsid w:val="69A414CE"/>
    <w:rsid w:val="69F5554E"/>
    <w:rsid w:val="6A3921F8"/>
    <w:rsid w:val="6A46126F"/>
    <w:rsid w:val="6A76737F"/>
    <w:rsid w:val="6A8035CA"/>
    <w:rsid w:val="6AC055B7"/>
    <w:rsid w:val="6BB74574"/>
    <w:rsid w:val="6BC301DE"/>
    <w:rsid w:val="6BF14858"/>
    <w:rsid w:val="6C6E29AC"/>
    <w:rsid w:val="6CFB0C89"/>
    <w:rsid w:val="6CFE13F4"/>
    <w:rsid w:val="6D090CD7"/>
    <w:rsid w:val="6D31699C"/>
    <w:rsid w:val="6D3C2278"/>
    <w:rsid w:val="6D872D08"/>
    <w:rsid w:val="6D995441"/>
    <w:rsid w:val="6E1169CE"/>
    <w:rsid w:val="6E8253CC"/>
    <w:rsid w:val="6E850AB8"/>
    <w:rsid w:val="6E901DEA"/>
    <w:rsid w:val="6E961BF4"/>
    <w:rsid w:val="6EA54F9F"/>
    <w:rsid w:val="6EEF295B"/>
    <w:rsid w:val="6F04076A"/>
    <w:rsid w:val="6F946200"/>
    <w:rsid w:val="6FA54165"/>
    <w:rsid w:val="6FDC5AAF"/>
    <w:rsid w:val="70242706"/>
    <w:rsid w:val="706F35BC"/>
    <w:rsid w:val="709F53B6"/>
    <w:rsid w:val="715C06AF"/>
    <w:rsid w:val="71D101ED"/>
    <w:rsid w:val="71F64B07"/>
    <w:rsid w:val="722E13DB"/>
    <w:rsid w:val="72AF2449"/>
    <w:rsid w:val="72CB639B"/>
    <w:rsid w:val="73412AD8"/>
    <w:rsid w:val="73736B5A"/>
    <w:rsid w:val="73B61FB8"/>
    <w:rsid w:val="73B660D4"/>
    <w:rsid w:val="73D07F59"/>
    <w:rsid w:val="74303895"/>
    <w:rsid w:val="74631B08"/>
    <w:rsid w:val="746963C0"/>
    <w:rsid w:val="74B7788F"/>
    <w:rsid w:val="74BD2BAB"/>
    <w:rsid w:val="74DE4F7D"/>
    <w:rsid w:val="75242B18"/>
    <w:rsid w:val="759059B5"/>
    <w:rsid w:val="75B324CA"/>
    <w:rsid w:val="75E7406C"/>
    <w:rsid w:val="75F80076"/>
    <w:rsid w:val="75FE55F8"/>
    <w:rsid w:val="760067A0"/>
    <w:rsid w:val="76175AFB"/>
    <w:rsid w:val="763F2538"/>
    <w:rsid w:val="76B1342E"/>
    <w:rsid w:val="76D156BE"/>
    <w:rsid w:val="77295B2B"/>
    <w:rsid w:val="77447991"/>
    <w:rsid w:val="77EF3FC0"/>
    <w:rsid w:val="78B10451"/>
    <w:rsid w:val="78BC7EFC"/>
    <w:rsid w:val="78DE38B1"/>
    <w:rsid w:val="793004A9"/>
    <w:rsid w:val="798E656E"/>
    <w:rsid w:val="79FB013C"/>
    <w:rsid w:val="7A3D187E"/>
    <w:rsid w:val="7A7811EC"/>
    <w:rsid w:val="7B3C384C"/>
    <w:rsid w:val="7B5D18CE"/>
    <w:rsid w:val="7B751EF8"/>
    <w:rsid w:val="7BDE3157"/>
    <w:rsid w:val="7BE37BC9"/>
    <w:rsid w:val="7BF96FD1"/>
    <w:rsid w:val="7C2224C0"/>
    <w:rsid w:val="7C3D179D"/>
    <w:rsid w:val="7C6C04A0"/>
    <w:rsid w:val="7C892A28"/>
    <w:rsid w:val="7C9D3417"/>
    <w:rsid w:val="7CB55FA9"/>
    <w:rsid w:val="7CC01760"/>
    <w:rsid w:val="7CDC1100"/>
    <w:rsid w:val="7D082D10"/>
    <w:rsid w:val="7D4A78CD"/>
    <w:rsid w:val="7D5E45C7"/>
    <w:rsid w:val="7DE2005B"/>
    <w:rsid w:val="7DEE50A6"/>
    <w:rsid w:val="7E43737A"/>
    <w:rsid w:val="7E4530A7"/>
    <w:rsid w:val="7E480DCD"/>
    <w:rsid w:val="7E7C624B"/>
    <w:rsid w:val="7EA26CEE"/>
    <w:rsid w:val="7EB00205"/>
    <w:rsid w:val="7ED46E16"/>
    <w:rsid w:val="7F292E2B"/>
    <w:rsid w:val="7F513406"/>
    <w:rsid w:val="7FF8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unhideWhenUsed/>
    <w:qFormat/>
    <w:uiPriority w:val="99"/>
    <w:pPr>
      <w:ind w:firstLine="640" w:firstLineChars="200"/>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缩进）"/>
    <w:basedOn w:val="1"/>
    <w:qFormat/>
    <w:uiPriority w:val="0"/>
    <w:pPr>
      <w:spacing w:line="594" w:lineRule="exact"/>
      <w:ind w:firstLine="482"/>
    </w:pPr>
    <w:rPr>
      <w:rFonts w:eastAsia="方正仿宋_GBK"/>
      <w:sz w:val="32"/>
    </w:rPr>
  </w:style>
  <w:style w:type="paragraph" w:styleId="11">
    <w:name w:val="List Paragraph"/>
    <w:basedOn w:val="1"/>
    <w:qFormat/>
    <w:uiPriority w:val="0"/>
    <w:pPr>
      <w:ind w:firstLine="420" w:firstLineChars="200"/>
    </w:pPr>
  </w:style>
  <w:style w:type="paragraph" w:customStyle="1" w:styleId="12">
    <w:name w:val="p0"/>
    <w:basedOn w:val="1"/>
    <w:qFormat/>
    <w:uiPriority w:val="0"/>
    <w:pPr>
      <w:widowControl/>
      <w:jc w:val="left"/>
    </w:pPr>
    <w:rPr>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5556</Words>
  <Characters>6159</Characters>
  <Lines>5</Lines>
  <Paragraphs>12</Paragraphs>
  <TotalTime>14</TotalTime>
  <ScaleCrop>false</ScaleCrop>
  <LinksUpToDate>false</LinksUpToDate>
  <CharactersWithSpaces>6161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2019-07-22T03:39:00Z</dcterms:created>
  <dc:creator>Administrator</dc:creator>
  <cp:lastModifiedBy>TongLiang</cp:lastModifiedBy>
  <cp:lastPrinted>2019-02-21T07:29:00Z</cp:lastPrinted>
  <dcterms:modified xsi:type="dcterms:W3CDTF">2024-12-25T01:24:33Z</dcterms:modified>
  <dc:title>中共重庆市铜梁区委办公室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A006010BD7A34B91A35C4AA5071002C4_13</vt:lpwstr>
  </property>
</Properties>
</file>