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rPr>
          <w:rFonts w:hint="default" w:ascii="Times New Roman" w:hAnsi="Times New Roman" w:cs="Times New Roman"/>
          <w:b w:val="0"/>
          <w:bCs w:val="0"/>
        </w:rPr>
      </w:pPr>
    </w:p>
    <w:p>
      <w:pPr>
        <w:pStyle w:val="36"/>
        <w:rPr>
          <w:rFonts w:hint="default" w:ascii="Times New Roman" w:hAnsi="Times New Roman" w:cs="Times New Roman"/>
          <w:b w:val="0"/>
          <w:bCs w:val="0"/>
        </w:rPr>
      </w:pPr>
    </w:p>
    <w:p>
      <w:pPr>
        <w:pStyle w:val="36"/>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24</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35</w:t>
      </w:r>
      <w:r>
        <w:rPr>
          <w:rFonts w:hint="default" w:ascii="Times New Roman" w:hAnsi="Times New Roman" w:eastAsia="方正仿宋_GBK" w:cs="Times New Roman"/>
          <w:b w:val="0"/>
          <w:bCs w:val="0"/>
          <w:color w:val="auto"/>
          <w:sz w:val="32"/>
          <w:szCs w:val="32"/>
        </w:rPr>
        <w:t>号</w:t>
      </w: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关于印发《石鱼镇2024年耕地保护工作</w:t>
      </w: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br w:type="textWrapping"/>
      </w: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实施方案》的通知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trike w:val="0"/>
          <w:dstrike w:val="0"/>
          <w:sz w:val="32"/>
          <w:szCs w:val="32"/>
          <w:u w:val="none"/>
          <w:lang w:val="en-US" w:eastAsia="zh-CN"/>
        </w:rPr>
      </w:pPr>
      <w:r>
        <w:rPr>
          <w:rFonts w:hint="default" w:ascii="Times New Roman" w:hAnsi="Times New Roman" w:eastAsia="方正仿宋_GBK" w:cs="Times New Roman"/>
          <w:strike w:val="0"/>
          <w:dstrike w:val="0"/>
          <w:sz w:val="32"/>
          <w:szCs w:val="32"/>
          <w:u w:val="none"/>
          <w:lang w:val="en-US" w:eastAsia="zh-CN"/>
        </w:rPr>
        <w:t>镇属各板块、办公室（中心、大队），村（社区）：</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z w:val="32"/>
          <w:szCs w:val="32"/>
          <w:u w:val="none"/>
          <w:lang w:val="en-US" w:eastAsia="zh-CN"/>
        </w:rPr>
      </w:pPr>
      <w:r>
        <w:rPr>
          <w:rFonts w:hint="default" w:ascii="Times New Roman" w:hAnsi="Times New Roman" w:eastAsia="方正仿宋_GBK" w:cs="Times New Roman"/>
          <w:strike w:val="0"/>
          <w:dstrike w:val="0"/>
          <w:sz w:val="32"/>
          <w:szCs w:val="32"/>
          <w:u w:val="none"/>
          <w:lang w:val="en-US" w:eastAsia="zh-CN"/>
        </w:rPr>
        <w:t>《石鱼镇2024年耕地保护工作实施方案》已经镇委、镇政府同意，现印发给你们，请认真组织实施。</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z w:val="32"/>
          <w:szCs w:val="32"/>
          <w:u w:val="none"/>
          <w:lang w:eastAsia="zh-CN"/>
        </w:rPr>
      </w:pPr>
    </w:p>
    <w:p>
      <w:pPr>
        <w:wordWrap w:val="0"/>
        <w:spacing w:line="594"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bookmarkStart w:id="1" w:name="_GoBack"/>
      <w:bookmarkEnd w:id="1"/>
    </w:p>
    <w:p>
      <w:pPr>
        <w:spacing w:line="594" w:lineRule="exact"/>
        <w:ind w:firstLine="645"/>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pPr>
        <w:spacing w:line="594"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w:t>
      </w:r>
    </w:p>
    <w:p>
      <w:pPr>
        <w:spacing w:line="594"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spacing w:line="594" w:lineRule="exact"/>
        <w:ind w:firstLine="645"/>
        <w:rPr>
          <w:rFonts w:hint="default" w:ascii="Times New Roman" w:hAnsi="Times New Roman" w:eastAsia="方正仿宋_GBK" w:cs="Times New Roman"/>
          <w:sz w:val="32"/>
          <w:szCs w:val="32"/>
        </w:rPr>
      </w:pPr>
    </w:p>
    <w:p>
      <w:pPr>
        <w:spacing w:line="594" w:lineRule="exact"/>
        <w:ind w:firstLine="645"/>
        <w:rPr>
          <w:rFonts w:hint="default" w:ascii="Times New Roman" w:hAnsi="Times New Roman" w:eastAsia="方正仿宋_GBK" w:cs="Times New Roman"/>
          <w:sz w:val="32"/>
          <w:szCs w:val="32"/>
        </w:rPr>
      </w:pPr>
    </w:p>
    <w:p>
      <w:pPr>
        <w:spacing w:line="594" w:lineRule="exac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石鱼镇2024年耕地保护工作实施方案</w:t>
      </w:r>
    </w:p>
    <w:p>
      <w:pPr>
        <w:pStyle w:val="2"/>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为认真贯彻落实党中央、国务院关于加强耕地保护的重要决策部署，坚决落实最严格的耕地保护制度，切实扛起耕地保护政治责任，结合市委、市政府工作要求和区委、区政府工作安排，特制定本方案。</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一、工作目标</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严格落实区级下达的耕地保护年度目标任务，到2024年底全镇耕地保有量不低于20647亩；永久基本农田面积不低于19910亩；全年完成耕地恢复补足446亩以上；全年完成耕地存量“非粮化”核查整治349亩以上（含自然撂荒耕地核查整治338亩、种植结构调整耕地核查整治11亩）。</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二、组织领导</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组织成立石鱼镇耕地保护工作专班，由镇长骆辉任组长，分管产业发展服务中心、村镇建设服务中心工作的领导任副组长，镇纪委监委、党的建设办公室、经济发展办公室、村镇建设服务中心、产业发展服务中心、综合行政执法大队等单位负责人为成员，负责全镇耕地保护工作的统筹指挥与联系协调。工作专班下设办公室在村镇建设中心，办公室主任由村镇建设中心主任兼任。工作专班下设耕地恢复补足工作组、自然撂荒和种植结构调整耕地核查整治工作组、违法违规占用耕地专项整治工作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（一）耕地恢复补足工作组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耕地恢复补足工作组设在村镇建设中心，</w:t>
      </w:r>
      <w:r>
        <w:rPr>
          <w:rFonts w:hint="default" w:ascii="Times New Roman" w:hAnsi="Times New Roman" w:eastAsia="方正仿宋_GBK" w:cs="Times New Roman"/>
          <w:strike w:val="0"/>
          <w:dstrike w:val="0"/>
          <w:snapToGrid w:val="0"/>
          <w:kern w:val="0"/>
          <w:sz w:val="32"/>
          <w:szCs w:val="32"/>
          <w:u w:val="none"/>
          <w:lang w:eastAsia="zh-CN"/>
        </w:rPr>
        <w:t>由鲁黎任组长，</w:t>
      </w:r>
      <w:r>
        <w:rPr>
          <w:rFonts w:hint="default" w:ascii="Times New Roman" w:hAnsi="Times New Roman" w:eastAsia="方正仿宋_GBK" w:cs="Times New Roman"/>
          <w:strike w:val="0"/>
          <w:dstrike w:val="0"/>
          <w:snapToGrid w:val="0"/>
          <w:kern w:val="0"/>
          <w:sz w:val="32"/>
          <w:szCs w:val="32"/>
          <w:u w:val="none"/>
          <w:lang w:val="en-US" w:eastAsia="zh-CN"/>
        </w:rPr>
        <w:t>各</w:t>
      </w:r>
      <w:r>
        <w:rPr>
          <w:rFonts w:hint="default" w:ascii="Times New Roman" w:hAnsi="Times New Roman" w:eastAsia="方正仿宋_GBK" w:cs="Times New Roman"/>
          <w:strike w:val="0"/>
          <w:dstrike w:val="0"/>
          <w:snapToGrid w:val="0"/>
          <w:kern w:val="0"/>
          <w:sz w:val="32"/>
          <w:szCs w:val="32"/>
          <w:u w:val="none"/>
          <w:lang w:eastAsia="zh-CN"/>
        </w:rPr>
        <w:t>村民委员会主任为成员，</w:t>
      </w:r>
      <w:r>
        <w:rPr>
          <w:rFonts w:hint="default" w:ascii="Times New Roman" w:hAnsi="Times New Roman" w:eastAsia="方正仿宋_GBK" w:cs="Times New Roman"/>
          <w:strike w:val="0"/>
          <w:dstrike w:val="0"/>
          <w:snapToGrid w:val="0"/>
          <w:kern w:val="0"/>
          <w:sz w:val="32"/>
          <w:szCs w:val="32"/>
          <w:u w:val="none"/>
          <w:lang w:val="en-US" w:eastAsia="zh-CN"/>
        </w:rPr>
        <w:t>主要职责是统筹开展2024年度耕地恢复补足工作，协助区规划自然资源局集中选取耕地图斑实施耕地恢复补足，确保全年实现耕地恢复补足466亩以上。</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（二）自然撂荒和种植结构调整耕地核查整治工作组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自然撂荒和种植结构调整耕地核查整治工作组设在产业发展中心，由黎有玲任组长，鲁黎任副组长，各村民委员会主任为成员，主要职责是统筹开展自然撂荒和种植结构调整风险图斑核查整治工作，因地制宜、实事求是，科学推进复耕复种。</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（三）违法违规占用耕地专项整治工作组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违法违规占用耕地专项整治工作组设在村镇建设中心，由</w:t>
      </w:r>
      <w:r>
        <w:rPr>
          <w:rFonts w:hint="default" w:ascii="Times New Roman" w:hAnsi="Times New Roman" w:eastAsia="方正仿宋_GBK" w:cs="Times New Roman"/>
          <w:strike w:val="0"/>
          <w:dstrike w:val="0"/>
          <w:snapToGrid w:val="0"/>
          <w:kern w:val="0"/>
          <w:sz w:val="32"/>
          <w:szCs w:val="32"/>
          <w:u w:val="none"/>
          <w:lang w:eastAsia="zh-CN"/>
        </w:rPr>
        <w:t>鲁黎任组长，</w:t>
      </w:r>
      <w:r>
        <w:rPr>
          <w:rFonts w:hint="default" w:ascii="Times New Roman" w:hAnsi="Times New Roman" w:eastAsia="方正仿宋_GBK" w:cs="Times New Roman"/>
          <w:strike w:val="0"/>
          <w:dstrike w:val="0"/>
          <w:snapToGrid w:val="0"/>
          <w:kern w:val="0"/>
          <w:sz w:val="32"/>
          <w:szCs w:val="32"/>
          <w:u w:val="none"/>
          <w:lang w:val="en-US" w:eastAsia="zh-CN"/>
        </w:rPr>
        <w:t>村镇建设中心其余人员、各村民委员会主任为成员，主要职责是统筹开展违法违规占用耕地整治行动（农村宅基地除外），抓好国家自然资源督察、审计、巡察发现各类</w:t>
      </w:r>
      <w:r>
        <w:rPr>
          <w:rFonts w:hint="default" w:ascii="Times New Roman" w:hAnsi="Times New Roman" w:eastAsia="方正仿宋_GBK" w:cs="Times New Roman"/>
          <w:strike w:val="0"/>
          <w:dstrike w:val="0"/>
          <w:snapToGrid w:val="0"/>
          <w:kern w:val="0"/>
          <w:sz w:val="32"/>
          <w:szCs w:val="32"/>
          <w:u w:val="none"/>
        </w:rPr>
        <w:t>违法违规</w:t>
      </w:r>
      <w:r>
        <w:rPr>
          <w:rFonts w:hint="default" w:ascii="Times New Roman" w:hAnsi="Times New Roman" w:eastAsia="方正仿宋_GBK" w:cs="Times New Roman"/>
          <w:strike w:val="0"/>
          <w:dstrike w:val="0"/>
          <w:snapToGrid w:val="0"/>
          <w:kern w:val="0"/>
          <w:sz w:val="32"/>
          <w:szCs w:val="32"/>
          <w:u w:val="none"/>
          <w:lang w:val="en-US" w:eastAsia="zh-CN"/>
        </w:rPr>
        <w:t>占用耕地问题，加强耕地保护综合监测监管，</w:t>
      </w:r>
      <w:r>
        <w:rPr>
          <w:rFonts w:hint="default" w:ascii="Times New Roman" w:hAnsi="Times New Roman" w:eastAsia="方正仿宋_GBK" w:cs="Times New Roman"/>
          <w:strike w:val="0"/>
          <w:dstrike w:val="0"/>
          <w:snapToGrid w:val="0"/>
          <w:kern w:val="0"/>
          <w:sz w:val="32"/>
          <w:szCs w:val="32"/>
          <w:u w:val="none"/>
        </w:rPr>
        <w:t>切实维护</w:t>
      </w:r>
      <w:r>
        <w:rPr>
          <w:rFonts w:hint="default" w:ascii="Times New Roman" w:hAnsi="Times New Roman" w:eastAsia="方正仿宋_GBK" w:cs="Times New Roman"/>
          <w:strike w:val="0"/>
          <w:dstrike w:val="0"/>
          <w:snapToGrid w:val="0"/>
          <w:kern w:val="0"/>
          <w:sz w:val="32"/>
          <w:szCs w:val="32"/>
          <w:u w:val="none"/>
          <w:lang w:eastAsia="zh-CN"/>
        </w:rPr>
        <w:t>辖</w:t>
      </w:r>
      <w:r>
        <w:rPr>
          <w:rFonts w:hint="default" w:ascii="Times New Roman" w:hAnsi="Times New Roman" w:eastAsia="方正仿宋_GBK" w:cs="Times New Roman"/>
          <w:strike w:val="0"/>
          <w:dstrike w:val="0"/>
          <w:snapToGrid w:val="0"/>
          <w:kern w:val="0"/>
          <w:sz w:val="32"/>
          <w:szCs w:val="32"/>
          <w:u w:val="none"/>
          <w:lang w:val="en-US" w:eastAsia="zh-CN"/>
        </w:rPr>
        <w:t>区耕地保护良好</w:t>
      </w:r>
      <w:r>
        <w:rPr>
          <w:rFonts w:hint="default" w:ascii="Times New Roman" w:hAnsi="Times New Roman" w:eastAsia="方正仿宋_GBK" w:cs="Times New Roman"/>
          <w:strike w:val="0"/>
          <w:dstrike w:val="0"/>
          <w:snapToGrid w:val="0"/>
          <w:kern w:val="0"/>
          <w:sz w:val="32"/>
          <w:szCs w:val="32"/>
          <w:u w:val="none"/>
        </w:rPr>
        <w:t>秩序</w:t>
      </w:r>
      <w:r>
        <w:rPr>
          <w:rFonts w:hint="default" w:ascii="Times New Roman" w:hAnsi="Times New Roman" w:eastAsia="方正仿宋_GBK" w:cs="Times New Roman"/>
          <w:strike w:val="0"/>
          <w:dstrike w:val="0"/>
          <w:snapToGrid w:val="0"/>
          <w:kern w:val="0"/>
          <w:sz w:val="32"/>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三、工作内容</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（一）加强集中恢复，扎实做好耕地恢复补足</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1.工作目标：严格落实区级下达的</w:t>
      </w:r>
      <w:r>
        <w:rPr>
          <w:rFonts w:hint="default" w:ascii="Times New Roman" w:hAnsi="Times New Roman" w:eastAsia="方正仿宋_GBK" w:cs="Times New Roman"/>
          <w:strike w:val="0"/>
          <w:dstrike w:val="0"/>
          <w:snapToGrid w:val="0"/>
          <w:kern w:val="0"/>
          <w:sz w:val="32"/>
          <w:szCs w:val="32"/>
          <w:u w:val="none"/>
        </w:rPr>
        <w:t>耕地占补平衡和补充耕地任务</w:t>
      </w:r>
      <w:r>
        <w:rPr>
          <w:rFonts w:hint="default" w:ascii="Times New Roman" w:hAnsi="Times New Roman" w:eastAsia="方正仿宋_GBK" w:cs="Times New Roman"/>
          <w:strike w:val="0"/>
          <w:dstrike w:val="0"/>
          <w:snapToGrid w:val="0"/>
          <w:kern w:val="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2.工作措施：配合区规划自然资源局在全镇各村实施补充耕地项目，项目竣工后预计可实现补充耕地面积446亩以上。（牵头单位：村镇建设中心；责任单位：各村）</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 xml:space="preserve">（二）加强防控流出，扎实开展自然撂荒和种植结构调整耕地核查整治 </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1.工作目标：严格落实区级下达的自然撂荒和种植结构调整风险图斑核查整治任务，组织各村做好现场整改和数据上传。</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2.工作措施：在市级下发的存量图斑中选取不得低于349亩图斑进行自然撂荒、种植结构调整核查整治，其中自然撂荒类图斑面积不得低于338亩、种植结构调整类图斑面积不得低于11亩。（牵头单位：产业发展中心；责任单位：各村）</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（三）加强存量处置，扎实推进违法违规占用耕地专项整治行动</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1.工作目标：集中开展违法违规占用耕地专项整治，</w:t>
      </w:r>
      <w:r>
        <w:rPr>
          <w:rFonts w:hint="default" w:ascii="Times New Roman" w:hAnsi="Times New Roman" w:eastAsia="方正仿宋_GBK" w:cs="Times New Roman"/>
          <w:strike w:val="0"/>
          <w:dstrike w:val="0"/>
          <w:snapToGrid w:val="0"/>
          <w:kern w:val="0"/>
          <w:sz w:val="32"/>
          <w:szCs w:val="32"/>
          <w:u w:val="none"/>
        </w:rPr>
        <w:t>严禁新增农村乱占耕地建房</w:t>
      </w:r>
      <w:r>
        <w:rPr>
          <w:rFonts w:hint="default" w:ascii="Times New Roman" w:hAnsi="Times New Roman" w:eastAsia="方正仿宋_GBK" w:cs="Times New Roman"/>
          <w:strike w:val="0"/>
          <w:dstrike w:val="0"/>
          <w:snapToGrid w:val="0"/>
          <w:kern w:val="0"/>
          <w:sz w:val="32"/>
          <w:szCs w:val="32"/>
          <w:u w:val="none"/>
          <w:lang w:eastAsia="zh-CN"/>
        </w:rPr>
        <w:t>，强化临时用地</w:t>
      </w:r>
      <w:r>
        <w:rPr>
          <w:rFonts w:hint="default" w:ascii="Times New Roman" w:hAnsi="Times New Roman" w:eastAsia="方正仿宋_GBK" w:cs="Times New Roman"/>
          <w:strike w:val="0"/>
          <w:dstrike w:val="0"/>
          <w:snapToGrid w:val="0"/>
          <w:kern w:val="0"/>
          <w:sz w:val="32"/>
          <w:szCs w:val="32"/>
          <w:u w:val="none"/>
          <w:lang w:val="en-US" w:eastAsia="zh-CN"/>
        </w:rPr>
        <w:t>和设施农用地使用</w:t>
      </w:r>
      <w:r>
        <w:rPr>
          <w:rFonts w:hint="default" w:ascii="Times New Roman" w:hAnsi="Times New Roman" w:eastAsia="方正仿宋_GBK" w:cs="Times New Roman"/>
          <w:strike w:val="0"/>
          <w:dstrike w:val="0"/>
          <w:snapToGrid w:val="0"/>
          <w:kern w:val="0"/>
          <w:sz w:val="32"/>
          <w:szCs w:val="32"/>
          <w:u w:val="none"/>
          <w:lang w:eastAsia="zh-CN"/>
        </w:rPr>
        <w:t>监管</w:t>
      </w:r>
      <w:r>
        <w:rPr>
          <w:rFonts w:hint="default" w:ascii="Times New Roman" w:hAnsi="Times New Roman" w:eastAsia="方正仿宋_GBK" w:cs="Times New Roman"/>
          <w:strike w:val="0"/>
          <w:dstrike w:val="0"/>
          <w:snapToGrid w:val="0"/>
          <w:kern w:val="0"/>
          <w:sz w:val="32"/>
          <w:szCs w:val="32"/>
          <w:u w:val="none"/>
          <w:lang w:val="en-US" w:eastAsia="zh-CN"/>
        </w:rPr>
        <w:t>，坚决遏制新增违法占用耕地行为。</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2.工作措施：坚持以卫片执法、国家自然资源督察、审计、巡察发现的问题为线索，大力开展违法违规占用耕地专项整治，有效防范项目程序性违法、新增农村乱占耕地建房、违法违规占用耕地绿化造景等问题发生。（牵头单位：村镇建设中心；责任单位：各村）</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四、工作安排</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（一）第一阶段（即日起至2024年11月30日）</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一是由村镇建设中心协调各村在区规划自然资源局的统筹安排下，实施占补平衡补充耕地和“非粮化”流出自平衡耕地恢复补足，在10月31日前完成地块平整及农作物种植，在11月30日前使用“国土调查云”APP举证上传，确保达到新增耕地认定条件。</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二是由产业发展中心统筹，组织各村对照市级下发图斑进行逐一核对，选取不得低于349亩图斑进行自然撂荒和种植结构核查整治（自然撂荒类图斑面积不得低于338亩、种植结构调整类图斑面积不得低于11亩），在10月31日前通过清杂、疏苗、间作或套作等方式完成地块整治及农作物种植，在11月30日前使用“国土调查云”APP举证上传，确保达到耕地认定条件。</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（二）第二阶段（2024年11月30日2024年12月31日）</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由区耕保专班统筹，村镇建设中心牵头，组织各村根据2024年度国土变更调查工作时间要求，结合国家下发的2024年度耕地流出图斑（预计10月底下发），有序开展耕地流出图斑集中攻坚整改。</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五、各单位职责分工</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（一）镇纪委监委：</w:t>
      </w:r>
      <w:r>
        <w:rPr>
          <w:rFonts w:hint="default" w:ascii="Times New Roman" w:hAnsi="Times New Roman" w:eastAsia="方正仿宋_GBK" w:cs="Times New Roman"/>
          <w:strike w:val="0"/>
          <w:dstrike w:val="0"/>
          <w:snapToGrid w:val="0"/>
          <w:kern w:val="0"/>
          <w:sz w:val="32"/>
          <w:szCs w:val="32"/>
          <w:u w:val="none"/>
          <w:lang w:val="en-US" w:eastAsia="zh-CN"/>
        </w:rPr>
        <w:t>负责严肃查处耕地保护领域的腐败和作风问题。对耕地保护工作履职不力、监管不严、失职渎职的，依规依法依纪追究相关人员责任。</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（二）党的建设办公室：</w:t>
      </w:r>
      <w:r>
        <w:rPr>
          <w:rFonts w:hint="default" w:ascii="Times New Roman" w:hAnsi="Times New Roman" w:eastAsia="方正仿宋_GBK" w:cs="Times New Roman"/>
          <w:strike w:val="0"/>
          <w:dstrike w:val="0"/>
          <w:snapToGrid w:val="0"/>
          <w:kern w:val="0"/>
          <w:sz w:val="32"/>
          <w:szCs w:val="32"/>
          <w:u w:val="none"/>
          <w:lang w:val="en-US" w:eastAsia="zh-CN"/>
        </w:rPr>
        <w:t>负责将耕地保护目标任务完成情况纳入各村年终综合考核评价范围，未完成耕地保护及耕地流出问题整改的，该年度考核“一票否决”；负责加大耕地保护工作宣传力度，营造全民保护耕地氛围，及时处置耕地保护中产生的负面舆情。</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（三）经济发展办公室：</w:t>
      </w:r>
      <w:r>
        <w:rPr>
          <w:rFonts w:hint="default" w:ascii="Times New Roman" w:hAnsi="Times New Roman" w:eastAsia="方正仿宋_GBK" w:cs="Times New Roman"/>
          <w:strike w:val="0"/>
          <w:dstrike w:val="0"/>
          <w:snapToGrid w:val="0"/>
          <w:kern w:val="0"/>
          <w:sz w:val="32"/>
          <w:szCs w:val="32"/>
          <w:u w:val="none"/>
          <w:lang w:val="en-US" w:eastAsia="zh-CN"/>
        </w:rPr>
        <w:t>负责统筹涉农资金用于耕地保护工作，加强相关资金使用监督。</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（五）村镇建设中心：</w:t>
      </w:r>
      <w:r>
        <w:rPr>
          <w:rFonts w:hint="default" w:ascii="Times New Roman" w:hAnsi="Times New Roman" w:eastAsia="方正仿宋_GBK" w:cs="Times New Roman"/>
          <w:strike w:val="0"/>
          <w:dstrike w:val="0"/>
          <w:snapToGrid w:val="0"/>
          <w:kern w:val="0"/>
          <w:sz w:val="32"/>
          <w:szCs w:val="32"/>
          <w:u w:val="none"/>
          <w:lang w:val="en-US" w:eastAsia="zh-CN"/>
        </w:rPr>
        <w:t>负责做好镇耕保专班办公室各类日常工作，加强相关数据分析研究和汇总上报。负责全镇耕地保护技术指导和质量验收相关工作。负责牵头开展耕地恢复补足和违法违规占用耕地整治行动。按照职能职责牵头对交通项目等行业管理范围内耕地流出问题进行整改，杜绝交通项目未批先建违法占用耕地。</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（六）产业发展中心：</w:t>
      </w:r>
      <w:r>
        <w:rPr>
          <w:rFonts w:hint="default" w:ascii="Times New Roman" w:hAnsi="Times New Roman" w:eastAsia="方正仿宋_GBK" w:cs="Times New Roman"/>
          <w:strike w:val="0"/>
          <w:dstrike w:val="0"/>
          <w:snapToGrid w:val="0"/>
          <w:kern w:val="0"/>
          <w:sz w:val="32"/>
          <w:szCs w:val="32"/>
          <w:u w:val="none"/>
          <w:lang w:val="en-US" w:eastAsia="zh-CN"/>
        </w:rPr>
        <w:t>负责牵头开展存量“非粮化”中自然撂荒和种植结构调整风险图斑核查整治工作。按照职能职责牵头对违法占用耕地建农房、水利项目等行业管理范围内耕地流出问题进行整改，杜绝农业、水利项目未批先建违法占用耕地。</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（七）各村：</w:t>
      </w:r>
      <w:r>
        <w:rPr>
          <w:rFonts w:hint="default" w:ascii="Times New Roman" w:hAnsi="Times New Roman" w:eastAsia="方正仿宋_GBK" w:cs="Times New Roman"/>
          <w:strike w:val="0"/>
          <w:dstrike w:val="0"/>
          <w:snapToGrid w:val="0"/>
          <w:kern w:val="0"/>
          <w:sz w:val="32"/>
          <w:szCs w:val="32"/>
          <w:u w:val="none"/>
          <w:lang w:val="en-US" w:eastAsia="zh-CN"/>
        </w:rPr>
        <w:t>负责具体做好耕地恢复补足和耕地“非农化”“非粮化”流出问题处置，负责对恢复补足耕地、存量“非粮化” 处置耕地等进行管护、耕种，向辖区居民宣传耕地保护相关知识。</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（八）其他部门：</w:t>
      </w:r>
      <w:r>
        <w:rPr>
          <w:rFonts w:hint="default" w:ascii="Times New Roman" w:hAnsi="Times New Roman" w:eastAsia="方正仿宋_GBK" w:cs="Times New Roman"/>
          <w:strike w:val="0"/>
          <w:dstrike w:val="0"/>
          <w:snapToGrid w:val="0"/>
          <w:kern w:val="0"/>
          <w:sz w:val="32"/>
          <w:szCs w:val="32"/>
          <w:u w:val="none"/>
          <w:lang w:val="en-US" w:eastAsia="zh-CN"/>
        </w:rPr>
        <w:t>负责按照职能职责牵头对行业管理范围的项目耕地流出问题进行整改，杜绝建设项目未批先建违法占用耕地。</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六、工作要求</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（一）提高思想认识。</w:t>
      </w:r>
      <w:r>
        <w:rPr>
          <w:rFonts w:hint="default" w:ascii="Times New Roman" w:hAnsi="Times New Roman" w:eastAsia="方正仿宋_GBK" w:cs="Times New Roman"/>
          <w:strike w:val="0"/>
          <w:dstrike w:val="0"/>
          <w:snapToGrid w:val="0"/>
          <w:kern w:val="0"/>
          <w:sz w:val="32"/>
          <w:szCs w:val="32"/>
          <w:u w:val="none"/>
          <w:lang w:val="en-US" w:eastAsia="zh-CN"/>
        </w:rPr>
        <w:t>耕地保护是党中央作出的重大战略部署，是事关战略全局的“国之大者”，事关国家粮食安全和社会稳定。各办所中心、村民委员会要深刻认识加强耕地保护工作的重要性和必要性，压紧压实耕地保护工作责任，确保一级抓一级、层层抓落实。</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（二）加强资金保障。</w:t>
      </w:r>
      <w:r>
        <w:rPr>
          <w:rFonts w:hint="default" w:ascii="Times New Roman" w:hAnsi="Times New Roman" w:eastAsia="方正仿宋_GBK" w:cs="Times New Roman"/>
          <w:strike w:val="0"/>
          <w:dstrike w:val="0"/>
          <w:snapToGrid w:val="0"/>
          <w:kern w:val="0"/>
          <w:sz w:val="32"/>
          <w:szCs w:val="32"/>
          <w:u w:val="none"/>
          <w:lang w:val="en-US" w:eastAsia="zh-CN"/>
        </w:rPr>
        <w:t>加强耕地保护工作资金保障，由财政管理岗按区资金安排，将专项资金用于耕地恢复补足、存量“非粮化”处置等方面工作，加强相关补助资金使用监管，确保耕地保护各项工作顺利实施。</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（三）严格督查考核。</w:t>
      </w:r>
      <w:r>
        <w:rPr>
          <w:rFonts w:hint="default" w:ascii="Times New Roman" w:hAnsi="Times New Roman" w:eastAsia="方正仿宋_GBK" w:cs="Times New Roman"/>
          <w:strike w:val="0"/>
          <w:dstrike w:val="0"/>
          <w:snapToGrid w:val="0"/>
          <w:kern w:val="0"/>
          <w:sz w:val="32"/>
          <w:szCs w:val="32"/>
          <w:u w:val="none"/>
          <w:lang w:val="en-US" w:eastAsia="zh-CN"/>
        </w:rPr>
        <w:t>纪委监委要抓紧抓实耕地保护日常监督，坚决防范敷衍塞责、弄虚作假等形式主义、官僚主义，对有令不行、有禁不止、失职渎职将严肃追责问责。</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（四）强化宣传引导。</w:t>
      </w:r>
      <w:r>
        <w:rPr>
          <w:rFonts w:hint="default" w:ascii="Times New Roman" w:hAnsi="Times New Roman" w:eastAsia="方正仿宋_GBK" w:cs="Times New Roman"/>
          <w:strike w:val="0"/>
          <w:dstrike w:val="0"/>
          <w:snapToGrid w:val="0"/>
          <w:kern w:val="0"/>
          <w:sz w:val="32"/>
          <w:szCs w:val="32"/>
          <w:u w:val="none"/>
          <w:lang w:val="en-US" w:eastAsia="zh-CN"/>
        </w:rPr>
        <w:t>充分运用互联网手段，坚持全覆盖、多层次、多角度，加大对农村耕地保护“六严禁”“五不得”等相关法律法规和政策的宣传力度，让广大群众深刻认识到“地不可轻占、田不能乱用”，营造人人关注耕地、人人珍惜耕地、人人保护耕地的良好氛围。</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附件：1.石鱼镇2024年耕地恢复补足工作方案</w:t>
      </w:r>
    </w:p>
    <w:p>
      <w:pPr>
        <w:keepNext w:val="0"/>
        <w:keepLines w:val="0"/>
        <w:pageBreakBefore w:val="0"/>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2.石鱼镇2024年关于自然撂荒和种植结构调整耕地核</w:t>
      </w:r>
    </w:p>
    <w:p>
      <w:pPr>
        <w:keepNext w:val="0"/>
        <w:keepLines w:val="0"/>
        <w:pageBreakBefore w:val="0"/>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查整治工作方案</w:t>
      </w:r>
    </w:p>
    <w:p>
      <w:pPr>
        <w:keepNext w:val="0"/>
        <w:keepLines w:val="0"/>
        <w:pageBreakBefore w:val="0"/>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3.石鱼镇2024年违法违规占用耕地专项整治行动工作</w:t>
      </w:r>
    </w:p>
    <w:p>
      <w:pPr>
        <w:keepNext w:val="0"/>
        <w:keepLines w:val="0"/>
        <w:pageBreakBefore w:val="0"/>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方案</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e0JkVFAIAABMEAAAOAAAAZHJzL2Uyb0RvYy54bWytU02O0zAU&#10;3iNxB8t7mrSo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X0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J6qT9QAAAAIAQAADwAAAAAAAAAB&#10;ACAAAAAiAAAAZHJzL2Rvd25yZXYueG1sUEsBAhQAFAAAAAgAh07iQF7QmRUUAgAAEwQAAA4AAAAA&#10;AAAAAQAgAAAAIwEAAGRycy9lMm9Eb2MueG1sUEsFBgAAAAAGAAYAWQEAAKkFA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5iT7GhoCAAATBAAADgAAAGRycy9lMm9Eb2MueG1srVPNbhMx&#10;EL4j8Q6W72STlFZplE0VWgUhRbRSQJwdr521ZHuM7WQ3PAC8AadeuPNceQ7G3mzK3wlx8c7OjL+Z&#10;+ebz7KY1muyFDwpsSUeDISXCcqiU3Zb0/bvliwklITJbMQ1WlPQgAr2ZP382a9xUjKEGXQlPEMSG&#10;aeNKWsfopkUReC0MCwNwwmJQgjcs4q/fFpVnDaIbXYyHw6uiAV85D1yEgN67LkjnGV9KweO9lEFE&#10;okuKvcV8+nxu0lnMZ2y69czVip/aYP/QhWHKYtEz1B2LjOy8+gPKKO4hgIwDDqYAKRUXeQacZjT8&#10;bZp1zZzIsyA5wZ1pCv8Plr/dP3iiqpKOKbHM4IqOX78cH78fv30m40RP48IUs9YO82L7Clpcc+8P&#10;6ExTt9Kb9MV5CMaR6MOZXNFGwtH5cjK5vsQIx9DFZHw9vEwoxdNl50N8LcCQZJTU4+4ypWy/CrFL&#10;7VNSLQtLpXXen7akKenVBcL/EkFwbbFGGqFrNVmx3bSnuTZQHXAsD50uguNLhcVXLMQH5lEI2C+K&#10;O97jITVgEThZlNTgP/3Nn/JxPxilpEFhlTR83DEvKNFvLG4uqbA3fG9sesPuzC2gVkf4bBzPJl7w&#10;Ufem9GA+oOYXqQqGmOVYq6SxN29jJ298M1wsFjlp57za1t0F1J1jcWXXjqcyHWGLXQSpMsuJoo6X&#10;E3OovLyn0ytJ0v75P2c9veX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v0A7VAAAABgEAAA8A&#10;AAAAAAAAAQAgAAAAIgAAAGRycy9kb3ducmV2LnhtbFBLAQIUABQAAAAIAIdO4kDmJPsaGgIAABME&#10;AAAOAAAAAAAAAAEAIAAAACQBAABkcnMvZTJvRG9jLnhtbFBLBQYAAAAABgAGAFkBAACwBQAAAAA=&#10;">
              <v:fill on="f" focussize="0,0"/>
              <v:stroke on="f" weight="0.5pt"/>
              <v:imagedata o:title=""/>
              <o:lock v:ext="edit" aspectratio="f"/>
              <v:textbox inset="0mm,0mm,0mm,0mm">
                <w:txbxContent>
                  <w:p>
                    <w:pPr>
                      <w:pStyle w:val="18"/>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CPp0O4aAgAAEwQAAA4AAABkcnMvZTJvRG9jLnhtbK1TzY7TMBC+&#10;I/EOlu807bZdVVXTVdlVEVLFrrQgzq5jN5Zsj7HdJuUB4A04cdk7z9XnYOw0XQScEBfny8x4fr75&#10;vLhpjSYH4YMCW9LRYEiJsBwqZXcl/fB+/WpGSYjMVkyDFSU9ikBvli9fLBo3F1dQg66EJ5jEhnnj&#10;SlrH6OZFEXgtDAsDcMKiU4I3LOKv3xWVZw1mN7q4Gg6viwZ85TxwEQJa7zonXeb8Ugoe76UMIhJd&#10;Uuwt5tPnc5vOYrlg851nrlb83Ab7hy4MUxaLXlLdscjI3qs/UhnFPQSQccDBFCCl4iLPgNOMhr9N&#10;81gzJ/IsSE5wF5rC/0vL3x0ePFFVSSeUWGZwRadvX0/ff5yevpBJoqdxYY5Rjw7jYvsaWlxzbw9o&#10;TFO30pv0xXkI+pHo44Vc0UbC0TgdzyYz9HB0jScIpylL8XzZ+RDfCDAkgZJ63F2mlB02IXahfUiq&#10;ZWGttM7705Y0Jb0eT4f5wsWDybXFGmmErtWEYrttz3NtoTriWB46XQTH1wqLb1iID8yjELBfFHe8&#10;x0NqwCJwRpTU4D//zZ7icT/opaRBYZU0fNozLyjRby1uLqmwB74H2x7YvbkF1OoIn43jGeIFH3UP&#10;pQfzETW/SlXQxSzHWiWNPbyNnbzxzXCxWuWgvfNqV3cXUHeOxY19dDyV6ahc7SNIlVlOFHW8nJlD&#10;5eU9nV9Jkvav/znq+S0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gtJT0wAAAAMBAAAPAAAA&#10;AAAAAAEAIAAAACIAAABkcnMvZG93bnJldi54bWxQSwECFAAUAAAACACHTuJAI+nQ7hoCAAATBAAA&#10;DgAAAAAAAAABACAAAAAiAQAAZHJzL2Uyb0RvYy54bWxQSwUGAAAAAAYABgBZAQAArgUAAAAA&#10;">
              <v:fill on="f" focussize="0,0"/>
              <v:stroke on="f" weight="0.5pt"/>
              <v:imagedata o:title=""/>
              <o:lock v:ext="edit" aspectratio="f"/>
              <v:textbox inset="0mm,0mm,0mm,0mm">
                <w:txbxContent>
                  <w:p>
                    <w:pPr>
                      <w:pStyle w:val="18"/>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1FC51F70"/>
    <w:rsid w:val="002A26EA"/>
    <w:rsid w:val="00574EE2"/>
    <w:rsid w:val="008154FB"/>
    <w:rsid w:val="009D6EBE"/>
    <w:rsid w:val="012E3051"/>
    <w:rsid w:val="01D32DCE"/>
    <w:rsid w:val="02795FF6"/>
    <w:rsid w:val="03724B5E"/>
    <w:rsid w:val="03953D87"/>
    <w:rsid w:val="03C13BBD"/>
    <w:rsid w:val="041F07F9"/>
    <w:rsid w:val="04C85218"/>
    <w:rsid w:val="04D7335D"/>
    <w:rsid w:val="05584C99"/>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4286751"/>
    <w:rsid w:val="14B961F8"/>
    <w:rsid w:val="1547756E"/>
    <w:rsid w:val="15A53B8E"/>
    <w:rsid w:val="15D763D2"/>
    <w:rsid w:val="17062DDB"/>
    <w:rsid w:val="175D340E"/>
    <w:rsid w:val="17CC5CC6"/>
    <w:rsid w:val="17F94FE4"/>
    <w:rsid w:val="18D0290E"/>
    <w:rsid w:val="18ED74D6"/>
    <w:rsid w:val="1932589B"/>
    <w:rsid w:val="195B75CF"/>
    <w:rsid w:val="197D4584"/>
    <w:rsid w:val="19D17270"/>
    <w:rsid w:val="1A6525DA"/>
    <w:rsid w:val="1A75352A"/>
    <w:rsid w:val="1A9E4D8C"/>
    <w:rsid w:val="1AAC1FB7"/>
    <w:rsid w:val="1AF70FC5"/>
    <w:rsid w:val="1B383CAC"/>
    <w:rsid w:val="1BBC4329"/>
    <w:rsid w:val="1CD777BF"/>
    <w:rsid w:val="1DF14DAD"/>
    <w:rsid w:val="1DFA196A"/>
    <w:rsid w:val="1E000D35"/>
    <w:rsid w:val="1E034CA2"/>
    <w:rsid w:val="1E1677E1"/>
    <w:rsid w:val="1E364A25"/>
    <w:rsid w:val="1E4D4FCA"/>
    <w:rsid w:val="1EC57576"/>
    <w:rsid w:val="1EF94CDA"/>
    <w:rsid w:val="1F1D36C2"/>
    <w:rsid w:val="1F4003C5"/>
    <w:rsid w:val="1F575C9C"/>
    <w:rsid w:val="1FB461D9"/>
    <w:rsid w:val="1FC51F70"/>
    <w:rsid w:val="200B72AB"/>
    <w:rsid w:val="207A05E7"/>
    <w:rsid w:val="207B216D"/>
    <w:rsid w:val="2124707B"/>
    <w:rsid w:val="21716A08"/>
    <w:rsid w:val="218C60E0"/>
    <w:rsid w:val="2203660B"/>
    <w:rsid w:val="221A5D0A"/>
    <w:rsid w:val="22505B5D"/>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BD0566"/>
    <w:rsid w:val="27DE0391"/>
    <w:rsid w:val="28B920C8"/>
    <w:rsid w:val="28D23EA1"/>
    <w:rsid w:val="29C82E5C"/>
    <w:rsid w:val="29E868E8"/>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F10CF0"/>
    <w:rsid w:val="323D463E"/>
    <w:rsid w:val="3267503D"/>
    <w:rsid w:val="32B41601"/>
    <w:rsid w:val="334A14D4"/>
    <w:rsid w:val="33813C57"/>
    <w:rsid w:val="33E469E7"/>
    <w:rsid w:val="349661FB"/>
    <w:rsid w:val="35C241E4"/>
    <w:rsid w:val="36452C0F"/>
    <w:rsid w:val="367F3441"/>
    <w:rsid w:val="368340BC"/>
    <w:rsid w:val="37672848"/>
    <w:rsid w:val="379F4F25"/>
    <w:rsid w:val="3892035B"/>
    <w:rsid w:val="38DB50B3"/>
    <w:rsid w:val="38FC48B4"/>
    <w:rsid w:val="390767F2"/>
    <w:rsid w:val="39C9244A"/>
    <w:rsid w:val="39DF62A1"/>
    <w:rsid w:val="3A2B5935"/>
    <w:rsid w:val="3A4A43D2"/>
    <w:rsid w:val="3A572605"/>
    <w:rsid w:val="3B1B071A"/>
    <w:rsid w:val="3B277807"/>
    <w:rsid w:val="3B396590"/>
    <w:rsid w:val="3BC21B39"/>
    <w:rsid w:val="3CE061BC"/>
    <w:rsid w:val="3D084BAD"/>
    <w:rsid w:val="3D9A35DF"/>
    <w:rsid w:val="3E2006DF"/>
    <w:rsid w:val="3E895672"/>
    <w:rsid w:val="3EC93004"/>
    <w:rsid w:val="3EDD43D4"/>
    <w:rsid w:val="3F1D69BE"/>
    <w:rsid w:val="3F242948"/>
    <w:rsid w:val="3F253F62"/>
    <w:rsid w:val="3FBE77E5"/>
    <w:rsid w:val="3FF64002"/>
    <w:rsid w:val="402B2514"/>
    <w:rsid w:val="40B04C6F"/>
    <w:rsid w:val="41BC0FC8"/>
    <w:rsid w:val="4226002E"/>
    <w:rsid w:val="4230172D"/>
    <w:rsid w:val="42732762"/>
    <w:rsid w:val="43015805"/>
    <w:rsid w:val="432D26B3"/>
    <w:rsid w:val="43887B44"/>
    <w:rsid w:val="43A40F40"/>
    <w:rsid w:val="43B045CB"/>
    <w:rsid w:val="441173B5"/>
    <w:rsid w:val="444D244F"/>
    <w:rsid w:val="44974A0B"/>
    <w:rsid w:val="44ED45C0"/>
    <w:rsid w:val="456066CE"/>
    <w:rsid w:val="4574170E"/>
    <w:rsid w:val="45A37B74"/>
    <w:rsid w:val="463E2082"/>
    <w:rsid w:val="46A80374"/>
    <w:rsid w:val="46F25859"/>
    <w:rsid w:val="479231BC"/>
    <w:rsid w:val="479A6176"/>
    <w:rsid w:val="47BE6D02"/>
    <w:rsid w:val="48226E25"/>
    <w:rsid w:val="48281219"/>
    <w:rsid w:val="48CF4900"/>
    <w:rsid w:val="497A76EA"/>
    <w:rsid w:val="4988711F"/>
    <w:rsid w:val="49A60395"/>
    <w:rsid w:val="49C11E1D"/>
    <w:rsid w:val="49E3413C"/>
    <w:rsid w:val="4A17224A"/>
    <w:rsid w:val="4A2D63C1"/>
    <w:rsid w:val="4A3D2E87"/>
    <w:rsid w:val="4A7E3222"/>
    <w:rsid w:val="4A7E347A"/>
    <w:rsid w:val="4B2A14DC"/>
    <w:rsid w:val="4B361D9F"/>
    <w:rsid w:val="4BF0528E"/>
    <w:rsid w:val="4C193D0F"/>
    <w:rsid w:val="4C285D5F"/>
    <w:rsid w:val="4C390543"/>
    <w:rsid w:val="4C3D55AE"/>
    <w:rsid w:val="4D2774DD"/>
    <w:rsid w:val="4D6F4A5A"/>
    <w:rsid w:val="4DE22C9A"/>
    <w:rsid w:val="4DE3004B"/>
    <w:rsid w:val="4E43334B"/>
    <w:rsid w:val="4ECD5195"/>
    <w:rsid w:val="4ED908C5"/>
    <w:rsid w:val="4F1A1090"/>
    <w:rsid w:val="4FEF4E12"/>
    <w:rsid w:val="50144325"/>
    <w:rsid w:val="50221E2E"/>
    <w:rsid w:val="50770526"/>
    <w:rsid w:val="50B2512D"/>
    <w:rsid w:val="50F51D66"/>
    <w:rsid w:val="5134795D"/>
    <w:rsid w:val="5151033B"/>
    <w:rsid w:val="515D3609"/>
    <w:rsid w:val="51CD05DB"/>
    <w:rsid w:val="51DF50B9"/>
    <w:rsid w:val="52745889"/>
    <w:rsid w:val="52B04DD4"/>
    <w:rsid w:val="537335E0"/>
    <w:rsid w:val="539D13E2"/>
    <w:rsid w:val="53D76245"/>
    <w:rsid w:val="55E51FCA"/>
    <w:rsid w:val="5635561C"/>
    <w:rsid w:val="56467CB4"/>
    <w:rsid w:val="566C34E7"/>
    <w:rsid w:val="56A22589"/>
    <w:rsid w:val="56DB46E0"/>
    <w:rsid w:val="5732271E"/>
    <w:rsid w:val="57925AB5"/>
    <w:rsid w:val="57AB06F3"/>
    <w:rsid w:val="583E4F9F"/>
    <w:rsid w:val="5927789C"/>
    <w:rsid w:val="592866ED"/>
    <w:rsid w:val="59CE24D2"/>
    <w:rsid w:val="5A2562A7"/>
    <w:rsid w:val="5A9D30EE"/>
    <w:rsid w:val="5B2024FF"/>
    <w:rsid w:val="5B2440D6"/>
    <w:rsid w:val="5B2F0D68"/>
    <w:rsid w:val="5B4773AA"/>
    <w:rsid w:val="5BB956F4"/>
    <w:rsid w:val="5BBB44E3"/>
    <w:rsid w:val="5C6823CD"/>
    <w:rsid w:val="5C98422E"/>
    <w:rsid w:val="5D736755"/>
    <w:rsid w:val="5D774BB4"/>
    <w:rsid w:val="5F9D2E74"/>
    <w:rsid w:val="5FD1442E"/>
    <w:rsid w:val="60AA20C1"/>
    <w:rsid w:val="61166C16"/>
    <w:rsid w:val="62153188"/>
    <w:rsid w:val="62342377"/>
    <w:rsid w:val="623F56CB"/>
    <w:rsid w:val="62EF2A91"/>
    <w:rsid w:val="62F908FC"/>
    <w:rsid w:val="63911285"/>
    <w:rsid w:val="63AB714E"/>
    <w:rsid w:val="644178A3"/>
    <w:rsid w:val="64F2173F"/>
    <w:rsid w:val="653C0244"/>
    <w:rsid w:val="65702D15"/>
    <w:rsid w:val="65950E76"/>
    <w:rsid w:val="65C92FEA"/>
    <w:rsid w:val="66896AC2"/>
    <w:rsid w:val="687C541F"/>
    <w:rsid w:val="68AA0352"/>
    <w:rsid w:val="69541ADE"/>
    <w:rsid w:val="6A116D0D"/>
    <w:rsid w:val="6AC27AEE"/>
    <w:rsid w:val="6AEA1406"/>
    <w:rsid w:val="6B485737"/>
    <w:rsid w:val="6B68642A"/>
    <w:rsid w:val="6B881D5F"/>
    <w:rsid w:val="6B9A4729"/>
    <w:rsid w:val="6BAC6136"/>
    <w:rsid w:val="6D5A08B7"/>
    <w:rsid w:val="6E1216EE"/>
    <w:rsid w:val="6E3A4A84"/>
    <w:rsid w:val="6E5E360D"/>
    <w:rsid w:val="6F29649B"/>
    <w:rsid w:val="6F951C83"/>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AA59C1"/>
    <w:rsid w:val="770655A5"/>
    <w:rsid w:val="77537694"/>
    <w:rsid w:val="77564614"/>
    <w:rsid w:val="777C065E"/>
    <w:rsid w:val="778576F2"/>
    <w:rsid w:val="77F07D8F"/>
    <w:rsid w:val="78204614"/>
    <w:rsid w:val="785E3A25"/>
    <w:rsid w:val="78D7565B"/>
    <w:rsid w:val="7939383E"/>
    <w:rsid w:val="799941C7"/>
    <w:rsid w:val="7A2831C4"/>
    <w:rsid w:val="7A95281A"/>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58"/>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4">
    <w:name w:val="heading 3"/>
    <w:basedOn w:val="1"/>
    <w:next w:val="1"/>
    <w:link w:val="48"/>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1">
    <w:name w:val="Default Paragraph Font"/>
    <w:semiHidden/>
    <w:qFormat/>
    <w:uiPriority w:val="0"/>
  </w:style>
  <w:style w:type="table" w:default="1" w:styleId="29">
    <w:name w:val="Normal Table"/>
    <w:semiHidden/>
    <w:qFormat/>
    <w:uiPriority w:val="0"/>
    <w:tblPr>
      <w:tblLayout w:type="fixed"/>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qFormat/>
    <w:uiPriority w:val="0"/>
    <w:pPr>
      <w:spacing w:line="540" w:lineRule="exact"/>
      <w:ind w:firstLine="200" w:firstLineChars="200"/>
    </w:pPr>
    <w:rPr>
      <w:rFonts w:eastAsia="仿宋_GB2312"/>
    </w:rPr>
  </w:style>
  <w:style w:type="paragraph" w:styleId="8">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index 6"/>
    <w:basedOn w:val="1"/>
    <w:next w:val="1"/>
    <w:qFormat/>
    <w:uiPriority w:val="0"/>
    <w:pPr>
      <w:ind w:left="2100"/>
    </w:pPr>
  </w:style>
  <w:style w:type="paragraph" w:styleId="10">
    <w:name w:val="Body Text"/>
    <w:basedOn w:val="1"/>
    <w:next w:val="11"/>
    <w:qFormat/>
    <w:uiPriority w:val="1"/>
    <w:rPr>
      <w:rFonts w:ascii="方正仿宋_GBK" w:hAnsi="方正仿宋_GBK" w:eastAsia="方正仿宋_GBK" w:cs="方正仿宋_GBK"/>
      <w:sz w:val="32"/>
      <w:szCs w:val="32"/>
      <w:lang w:val="zh-CN" w:eastAsia="zh-CN" w:bidi="zh-CN"/>
    </w:rPr>
  </w:style>
  <w:style w:type="paragraph" w:customStyle="1" w:styleId="11">
    <w:name w:val="默认"/>
    <w:qFormat/>
    <w:uiPriority w:val="0"/>
    <w:rPr>
      <w:rFonts w:ascii="Helvetica" w:hAnsi="Helvetica" w:eastAsia="Helvetica" w:cs="Helvetica"/>
      <w:color w:val="000000"/>
      <w:sz w:val="22"/>
      <w:szCs w:val="22"/>
      <w:lang w:val="en-US" w:eastAsia="zh-CN" w:bidi="ar-SA"/>
    </w:rPr>
  </w:style>
  <w:style w:type="paragraph" w:styleId="12">
    <w:name w:val="Body Text Indent"/>
    <w:basedOn w:val="1"/>
    <w:qFormat/>
    <w:uiPriority w:val="0"/>
    <w:pPr>
      <w:ind w:firstLine="560" w:firstLineChars="200"/>
    </w:pPr>
    <w:rPr>
      <w:rFonts w:ascii="宋体" w:hAnsi="宋体"/>
      <w:color w:val="000000"/>
      <w:sz w:val="28"/>
    </w:rPr>
  </w:style>
  <w:style w:type="paragraph" w:styleId="13">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eastAsia="方正仿宋_GBK" w:cs="Courier New"/>
      <w:sz w:val="32"/>
      <w:szCs w:val="21"/>
    </w:rPr>
  </w:style>
  <w:style w:type="paragraph" w:styleId="16">
    <w:name w:val="Date"/>
    <w:basedOn w:val="1"/>
    <w:next w:val="1"/>
    <w:qFormat/>
    <w:uiPriority w:val="0"/>
    <w:pPr>
      <w:ind w:left="100" w:leftChars="2500"/>
    </w:pPr>
  </w:style>
  <w:style w:type="paragraph" w:styleId="17">
    <w:name w:val="Balloon Text"/>
    <w:basedOn w:val="1"/>
    <w:qFormat/>
    <w:uiPriority w:val="0"/>
    <w:rPr>
      <w:sz w:val="18"/>
      <w:szCs w:val="18"/>
    </w:rPr>
  </w:style>
  <w:style w:type="paragraph" w:styleId="18">
    <w:name w:val="footer"/>
    <w:basedOn w:val="1"/>
    <w:next w:val="1"/>
    <w:qFormat/>
    <w:uiPriority w:val="99"/>
    <w:pPr>
      <w:tabs>
        <w:tab w:val="center" w:pos="4153"/>
        <w:tab w:val="right" w:pos="8306"/>
      </w:tabs>
      <w:snapToGrid w:val="0"/>
      <w:jc w:val="left"/>
    </w:pPr>
    <w:rPr>
      <w:sz w:val="18"/>
      <w:szCs w:val="18"/>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rFonts w:ascii="Times New Roman" w:hAnsi="Times New Roman" w:eastAsia="方正黑体_GBK"/>
      <w:sz w:val="32"/>
    </w:rPr>
  </w:style>
  <w:style w:type="paragraph" w:styleId="21">
    <w:name w:val="footnote text"/>
    <w:basedOn w:val="1"/>
    <w:unhideWhenUsed/>
    <w:qFormat/>
    <w:uiPriority w:val="99"/>
    <w:pPr>
      <w:snapToGrid w:val="0"/>
      <w:jc w:val="left"/>
    </w:pPr>
    <w:rPr>
      <w:rFonts w:ascii="Calibri" w:hAnsi="Calibri" w:eastAsia="宋体"/>
      <w:sz w:val="18"/>
      <w:szCs w:val="18"/>
    </w:rPr>
  </w:style>
  <w:style w:type="paragraph" w:styleId="22">
    <w:name w:val="Body Text Indent 3"/>
    <w:basedOn w:val="1"/>
    <w:qFormat/>
    <w:uiPriority w:val="0"/>
    <w:pPr>
      <w:spacing w:line="640" w:lineRule="atLeast"/>
      <w:ind w:firstLine="602" w:firstLineChars="200"/>
    </w:pPr>
    <w:rPr>
      <w:rFonts w:ascii="仿宋_GB2312" w:eastAsia="仿宋_GB2312"/>
      <w:b/>
      <w:bCs/>
      <w:sz w:val="30"/>
    </w:rPr>
  </w:style>
  <w:style w:type="paragraph" w:styleId="23">
    <w:name w:val="toc 2"/>
    <w:basedOn w:val="1"/>
    <w:next w:val="1"/>
    <w:qFormat/>
    <w:uiPriority w:val="0"/>
    <w:pPr>
      <w:ind w:left="420" w:leftChars="200"/>
    </w:pPr>
    <w:rPr>
      <w:rFonts w:ascii="Times New Roman" w:hAnsi="Times New Roman" w:eastAsia="方正楷体_GBK"/>
      <w:sz w:val="32"/>
    </w:rPr>
  </w:style>
  <w:style w:type="paragraph" w:styleId="24">
    <w:name w:val="Message Header"/>
    <w:basedOn w:val="1"/>
    <w:next w:val="1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spacing w:beforeAutospacing="1" w:afterAutospacing="1"/>
      <w:jc w:val="left"/>
    </w:pPr>
    <w:rPr>
      <w:rFonts w:ascii="Calibri" w:hAnsi="Calibri" w:eastAsia="宋体"/>
      <w:kern w:val="0"/>
      <w:sz w:val="24"/>
    </w:rPr>
  </w:style>
  <w:style w:type="paragraph" w:styleId="26">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0"/>
    <w:qFormat/>
    <w:uiPriority w:val="0"/>
    <w:pPr>
      <w:spacing w:line="312" w:lineRule="auto"/>
      <w:ind w:firstLine="420"/>
    </w:pPr>
  </w:style>
  <w:style w:type="paragraph" w:styleId="28">
    <w:name w:val="Body Text First Indent 2"/>
    <w:basedOn w:val="12"/>
    <w:unhideWhenUsed/>
    <w:qFormat/>
    <w:uiPriority w:val="99"/>
    <w:pPr>
      <w:ind w:firstLine="420" w:firstLineChars="200"/>
    </w:pPr>
  </w:style>
  <w:style w:type="table" w:styleId="30">
    <w:name w:val="Table Grid"/>
    <w:basedOn w:val="2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Strong"/>
    <w:basedOn w:val="31"/>
    <w:qFormat/>
    <w:uiPriority w:val="0"/>
    <w:rPr>
      <w:b/>
    </w:rPr>
  </w:style>
  <w:style w:type="character" w:styleId="33">
    <w:name w:val="page number"/>
    <w:basedOn w:val="31"/>
    <w:qFormat/>
    <w:uiPriority w:val="0"/>
  </w:style>
  <w:style w:type="character" w:styleId="34">
    <w:name w:val="Hyperlink"/>
    <w:basedOn w:val="31"/>
    <w:unhideWhenUsed/>
    <w:qFormat/>
    <w:uiPriority w:val="99"/>
    <w:rPr>
      <w:color w:val="0563C1"/>
      <w:u w:val="single"/>
    </w:rPr>
  </w:style>
  <w:style w:type="paragraph" w:customStyle="1" w:styleId="35">
    <w:name w:val="BodyText"/>
    <w:basedOn w:val="1"/>
    <w:qFormat/>
    <w:uiPriority w:val="0"/>
    <w:pPr>
      <w:jc w:val="both"/>
      <w:textAlignment w:val="baseline"/>
    </w:pPr>
    <w:rPr>
      <w:rFonts w:ascii="Calibri" w:hAnsi="Calibri" w:eastAsia="宋体"/>
      <w:kern w:val="2"/>
      <w:sz w:val="44"/>
      <w:szCs w:val="24"/>
      <w:lang w:val="en-US" w:eastAsia="zh-CN" w:bidi="ar-SA"/>
    </w:rPr>
  </w:style>
  <w:style w:type="paragraph" w:customStyle="1" w:styleId="36">
    <w:name w:val="正文（缩进）"/>
    <w:basedOn w:val="1"/>
    <w:qFormat/>
    <w:uiPriority w:val="0"/>
    <w:pPr>
      <w:spacing w:line="594" w:lineRule="exact"/>
      <w:ind w:firstLine="482"/>
    </w:pPr>
    <w:rPr>
      <w:rFonts w:eastAsia="方正仿宋_GBK"/>
      <w:sz w:val="32"/>
    </w:rPr>
  </w:style>
  <w:style w:type="paragraph" w:customStyle="1" w:styleId="37">
    <w:name w:val="索引 51"/>
    <w:basedOn w:val="1"/>
    <w:next w:val="1"/>
    <w:qFormat/>
    <w:uiPriority w:val="0"/>
    <w:pPr>
      <w:suppressAutoHyphens/>
      <w:ind w:left="1680"/>
    </w:pPr>
    <w:rPr>
      <w:rFonts w:ascii="Calibri" w:hAnsi="Calibri" w:eastAsia="宋体"/>
      <w:sz w:val="21"/>
      <w:szCs w:val="24"/>
    </w:rPr>
  </w:style>
  <w:style w:type="paragraph" w:customStyle="1" w:styleId="3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9">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0">
    <w:name w:val="正文文本 21"/>
    <w:basedOn w:val="1"/>
    <w:qFormat/>
    <w:uiPriority w:val="0"/>
    <w:pPr>
      <w:spacing w:line="480" w:lineRule="auto"/>
    </w:pPr>
    <w:rPr>
      <w:rFonts w:hint="eastAsia"/>
    </w:rPr>
  </w:style>
  <w:style w:type="paragraph" w:customStyle="1" w:styleId="41">
    <w:name w:val="Body Text 2"/>
    <w:basedOn w:val="1"/>
    <w:qFormat/>
    <w:uiPriority w:val="0"/>
    <w:pPr>
      <w:spacing w:line="480" w:lineRule="auto"/>
    </w:pPr>
    <w:rPr>
      <w:rFonts w:hint="eastAsia"/>
    </w:rPr>
  </w:style>
  <w:style w:type="paragraph" w:customStyle="1" w:styleId="42">
    <w:name w:val="Body Text First Indent1"/>
    <w:basedOn w:val="10"/>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43">
    <w:name w:val="索引 71"/>
    <w:basedOn w:val="1"/>
    <w:next w:val="1"/>
    <w:qFormat/>
    <w:uiPriority w:val="0"/>
    <w:pPr>
      <w:ind w:left="2520"/>
    </w:pPr>
    <w:rPr>
      <w:rFonts w:ascii="Calibri" w:hAnsi="Calibri" w:eastAsia="宋体" w:cs="黑体"/>
      <w:szCs w:val="24"/>
    </w:rPr>
  </w:style>
  <w:style w:type="character" w:customStyle="1" w:styleId="44">
    <w:name w:val="font01"/>
    <w:basedOn w:val="31"/>
    <w:qFormat/>
    <w:uiPriority w:val="0"/>
    <w:rPr>
      <w:rFonts w:ascii="方正仿宋_GBK" w:hAnsi="方正仿宋_GBK" w:eastAsia="方正仿宋_GBK" w:cs="方正仿宋_GBK"/>
      <w:color w:val="000000"/>
      <w:sz w:val="28"/>
      <w:szCs w:val="28"/>
      <w:u w:val="none"/>
    </w:rPr>
  </w:style>
  <w:style w:type="character" w:customStyle="1" w:styleId="45">
    <w:name w:val="font11"/>
    <w:basedOn w:val="31"/>
    <w:qFormat/>
    <w:uiPriority w:val="0"/>
    <w:rPr>
      <w:rFonts w:hint="default" w:ascii="Times New Roman" w:hAnsi="Times New Roman" w:cs="Times New Roman"/>
      <w:color w:val="000000"/>
      <w:sz w:val="28"/>
      <w:szCs w:val="28"/>
      <w:u w:val="none"/>
    </w:rPr>
  </w:style>
  <w:style w:type="character" w:customStyle="1" w:styleId="46">
    <w:name w:val="font31"/>
    <w:basedOn w:val="31"/>
    <w:qFormat/>
    <w:uiPriority w:val="0"/>
    <w:rPr>
      <w:rFonts w:hint="default" w:ascii="Times New Roman" w:hAnsi="Times New Roman" w:cs="Times New Roman"/>
      <w:color w:val="000000"/>
      <w:sz w:val="36"/>
      <w:szCs w:val="36"/>
      <w:u w:val="none"/>
    </w:rPr>
  </w:style>
  <w:style w:type="character" w:customStyle="1" w:styleId="47">
    <w:name w:val="font21"/>
    <w:basedOn w:val="31"/>
    <w:qFormat/>
    <w:uiPriority w:val="0"/>
    <w:rPr>
      <w:rFonts w:hint="default" w:ascii="Times New Roman" w:hAnsi="Times New Roman" w:cs="Times New Roman"/>
      <w:color w:val="000000"/>
      <w:sz w:val="24"/>
      <w:szCs w:val="24"/>
      <w:u w:val="none"/>
    </w:rPr>
  </w:style>
  <w:style w:type="character" w:customStyle="1" w:styleId="48">
    <w:name w:val="标题 3 Char"/>
    <w:link w:val="4"/>
    <w:qFormat/>
    <w:uiPriority w:val="0"/>
    <w:rPr>
      <w:rFonts w:hint="eastAsia" w:ascii="宋体" w:hAnsi="宋体" w:eastAsia="方正楷体_GBK" w:cs="宋体"/>
      <w:kern w:val="0"/>
      <w:sz w:val="32"/>
      <w:szCs w:val="27"/>
      <w:lang w:bidi="ar"/>
    </w:rPr>
  </w:style>
  <w:style w:type="character" w:customStyle="1" w:styleId="49">
    <w:name w:val="font91"/>
    <w:basedOn w:val="31"/>
    <w:qFormat/>
    <w:uiPriority w:val="0"/>
    <w:rPr>
      <w:rFonts w:hint="eastAsia" w:ascii="宋体" w:hAnsi="宋体" w:eastAsia="宋体" w:cs="宋体"/>
      <w:color w:val="000000"/>
      <w:sz w:val="32"/>
      <w:szCs w:val="32"/>
      <w:u w:val="none"/>
    </w:rPr>
  </w:style>
  <w:style w:type="character" w:customStyle="1" w:styleId="50">
    <w:name w:val="font51"/>
    <w:basedOn w:val="31"/>
    <w:qFormat/>
    <w:uiPriority w:val="0"/>
    <w:rPr>
      <w:rFonts w:ascii="方正仿宋_GBK" w:hAnsi="方正仿宋_GBK" w:eastAsia="方正仿宋_GBK" w:cs="方正仿宋_GBK"/>
      <w:color w:val="000000"/>
      <w:sz w:val="32"/>
      <w:szCs w:val="32"/>
      <w:u w:val="none"/>
    </w:rPr>
  </w:style>
  <w:style w:type="character" w:customStyle="1" w:styleId="51">
    <w:name w:val="font81"/>
    <w:basedOn w:val="31"/>
    <w:qFormat/>
    <w:uiPriority w:val="0"/>
    <w:rPr>
      <w:rFonts w:hint="default" w:ascii="Times New Roman" w:hAnsi="Times New Roman" w:cs="Times New Roman"/>
      <w:color w:val="000000"/>
      <w:sz w:val="24"/>
      <w:szCs w:val="24"/>
      <w:u w:val="none"/>
    </w:rPr>
  </w:style>
  <w:style w:type="character" w:customStyle="1" w:styleId="52">
    <w:name w:val="font101"/>
    <w:basedOn w:val="31"/>
    <w:qFormat/>
    <w:uiPriority w:val="0"/>
    <w:rPr>
      <w:rFonts w:hint="eastAsia" w:ascii="宋体" w:hAnsi="宋体" w:eastAsia="宋体" w:cs="宋体"/>
      <w:color w:val="000000"/>
      <w:sz w:val="24"/>
      <w:szCs w:val="24"/>
      <w:u w:val="none"/>
    </w:rPr>
  </w:style>
  <w:style w:type="character" w:customStyle="1" w:styleId="53">
    <w:name w:val="font41"/>
    <w:basedOn w:val="31"/>
    <w:qFormat/>
    <w:uiPriority w:val="0"/>
    <w:rPr>
      <w:rFonts w:hint="default" w:ascii="Times New Roman" w:hAnsi="Times New Roman" w:cs="Times New Roman"/>
      <w:color w:val="000000"/>
      <w:sz w:val="22"/>
      <w:szCs w:val="22"/>
      <w:u w:val="none"/>
    </w:rPr>
  </w:style>
  <w:style w:type="paragraph" w:styleId="54">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1"/>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1"/>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1"/>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3"/>
    <w:qFormat/>
    <w:uiPriority w:val="0"/>
    <w:rPr>
      <w:rFonts w:ascii="Arial" w:hAnsi="Arial" w:eastAsia="方正黑体_GBK"/>
    </w:rPr>
  </w:style>
  <w:style w:type="paragraph" w:customStyle="1" w:styleId="59">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qFormat/>
    <w:uiPriority w:val="1"/>
    <w:rPr>
      <w:rFonts w:ascii="方正仿宋_GBK" w:hAnsi="方正仿宋_GBK" w:eastAsia="方正仿宋_GBK" w:cs="方正仿宋_GBK"/>
      <w:lang w:val="zh-CN" w:eastAsia="zh-CN" w:bidi="zh-CN"/>
    </w:rPr>
  </w:style>
  <w:style w:type="paragraph" w:customStyle="1" w:styleId="61">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qFormat/>
    <w:uiPriority w:val="0"/>
    <w:pPr>
      <w:spacing w:line="391" w:lineRule="auto"/>
      <w:ind w:firstLine="400"/>
    </w:pPr>
    <w:rPr>
      <w:rFonts w:ascii="宋体" w:hAnsi="宋体" w:eastAsia="宋体" w:cs="宋体"/>
      <w:sz w:val="30"/>
      <w:szCs w:val="30"/>
    </w:rPr>
  </w:style>
  <w:style w:type="paragraph" w:customStyle="1" w:styleId="66">
    <w:name w:val="正文文本 (2)"/>
    <w:basedOn w:val="1"/>
    <w:qFormat/>
    <w:uiPriority w:val="0"/>
    <w:pPr>
      <w:spacing w:line="561" w:lineRule="exact"/>
      <w:ind w:firstLine="660"/>
    </w:pPr>
    <w:rPr>
      <w:rFonts w:ascii="黑体" w:hAnsi="黑体" w:eastAsia="黑体" w:cs="黑体"/>
      <w:sz w:val="30"/>
      <w:szCs w:val="30"/>
    </w:rPr>
  </w:style>
  <w:style w:type="paragraph" w:customStyle="1" w:styleId="67">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qFormat/>
    <w:uiPriority w:val="0"/>
    <w:pPr>
      <w:spacing w:line="500" w:lineRule="exact"/>
    </w:pPr>
    <w:rPr>
      <w:rFonts w:ascii="Calibri" w:hAnsi="Calibri" w:eastAsia="仿宋_GB2312" w:cs="宋体"/>
      <w:kern w:val="0"/>
      <w:sz w:val="30"/>
    </w:rPr>
  </w:style>
  <w:style w:type="paragraph" w:customStyle="1" w:styleId="71">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qFormat/>
    <w:uiPriority w:val="0"/>
    <w:pPr>
      <w:ind w:firstLine="420" w:firstLineChars="200"/>
    </w:pPr>
  </w:style>
  <w:style w:type="paragraph" w:customStyle="1" w:styleId="73">
    <w:name w:val="公文主体"/>
    <w:basedOn w:val="1"/>
    <w:qFormat/>
    <w:uiPriority w:val="0"/>
    <w:pPr>
      <w:spacing w:line="580" w:lineRule="exact"/>
      <w:ind w:firstLine="200" w:firstLineChars="200"/>
    </w:pPr>
  </w:style>
  <w:style w:type="paragraph" w:customStyle="1" w:styleId="74">
    <w:name w:val="一级标题"/>
    <w:basedOn w:val="73"/>
    <w:next w:val="73"/>
    <w:qFormat/>
    <w:uiPriority w:val="0"/>
    <w:pPr>
      <w:outlineLvl w:val="2"/>
    </w:pPr>
    <w:rPr>
      <w:rFonts w:eastAsia="黑体"/>
    </w:rPr>
  </w:style>
  <w:style w:type="paragraph" w:customStyle="1" w:styleId="75">
    <w:name w:val="Normal Indent"/>
    <w:basedOn w:val="1"/>
    <w:qFormat/>
    <w:uiPriority w:val="0"/>
    <w:pPr>
      <w:ind w:firstLine="420" w:firstLineChars="200"/>
    </w:pPr>
    <w:rPr>
      <w:rFonts w:ascii="Calibri" w:hAnsi="Calibri"/>
    </w:rPr>
  </w:style>
  <w:style w:type="paragraph" w:customStyle="1" w:styleId="76">
    <w:name w:val="p16"/>
    <w:basedOn w:val="1"/>
    <w:qFormat/>
    <w:uiPriority w:val="0"/>
    <w:pPr>
      <w:widowControl/>
      <w:jc w:val="center"/>
    </w:pPr>
    <w:rPr>
      <w:b/>
      <w:bCs/>
      <w:kern w:val="0"/>
      <w:sz w:val="44"/>
      <w:szCs w:val="44"/>
    </w:rPr>
  </w:style>
  <w:style w:type="paragraph" w:customStyle="1" w:styleId="77">
    <w:name w:val="p15"/>
    <w:basedOn w:val="1"/>
    <w:qFormat/>
    <w:uiPriority w:val="0"/>
    <w:pPr>
      <w:widowControl/>
    </w:pPr>
    <w:rPr>
      <w:kern w:val="0"/>
      <w:szCs w:val="21"/>
    </w:rPr>
  </w:style>
  <w:style w:type="paragraph" w:customStyle="1" w:styleId="78">
    <w:name w:val="Heading #1|1"/>
    <w:basedOn w:val="1"/>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3022</Words>
  <Characters>3130</Characters>
  <Lines>0</Lines>
  <Paragraphs>0</Paragraphs>
  <TotalTime>10</TotalTime>
  <ScaleCrop>false</ScaleCrop>
  <LinksUpToDate>false</LinksUpToDate>
  <CharactersWithSpaces>3189</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石鱼镇收发员</cp:lastModifiedBy>
  <cp:lastPrinted>2024-09-10T08:16:00Z</cp:lastPrinted>
  <dcterms:modified xsi:type="dcterms:W3CDTF">2024-09-24T08:38:19Z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8D6F49459A2D4E01A98BCA07B11995BF_13</vt:lpwstr>
  </property>
</Properties>
</file>