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31"/>
      </w:pPr>
    </w:p>
    <w:p>
      <w:pPr>
        <w:keepNext w:val="0"/>
        <w:keepLines w:val="0"/>
        <w:pageBreakBefore w:val="0"/>
        <w:kinsoku/>
        <w:overflowPunct/>
        <w:topLinePunct w:val="0"/>
        <w:autoSpaceDE/>
        <w:autoSpaceDN/>
        <w:bidi w:val="0"/>
        <w:adjustRightInd/>
        <w:snapToGrid w:val="0"/>
        <w:spacing w:line="594" w:lineRule="exact"/>
        <w:jc w:val="center"/>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kinsoku/>
        <w:overflowPunct/>
        <w:topLinePunct w:val="0"/>
        <w:autoSpaceDE/>
        <w:autoSpaceDN/>
        <w:bidi w:val="0"/>
        <w:adjustRightInd/>
        <w:snapToGrid w:val="0"/>
        <w:spacing w:line="594" w:lineRule="exact"/>
        <w:jc w:val="center"/>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kinsoku/>
        <w:overflowPunct/>
        <w:topLinePunct w:val="0"/>
        <w:autoSpaceDE/>
        <w:autoSpaceDN/>
        <w:bidi w:val="0"/>
        <w:adjustRightInd/>
        <w:snapToGrid w:val="0"/>
        <w:spacing w:line="594" w:lineRule="exact"/>
        <w:jc w:val="center"/>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kinsoku/>
        <w:overflowPunct/>
        <w:topLinePunct w:val="0"/>
        <w:autoSpaceDE/>
        <w:autoSpaceDN/>
        <w:bidi w:val="0"/>
        <w:adjustRightInd/>
        <w:snapToGrid w:val="0"/>
        <w:spacing w:line="594" w:lineRule="exact"/>
        <w:jc w:val="center"/>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kinsoku/>
        <w:overflowPunct/>
        <w:topLinePunct w:val="0"/>
        <w:autoSpaceDE/>
        <w:autoSpaceDN/>
        <w:bidi w:val="0"/>
        <w:adjustRightInd/>
        <w:snapToGrid w:val="0"/>
        <w:spacing w:line="594" w:lineRule="exact"/>
        <w:jc w:val="center"/>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kinsoku/>
        <w:overflowPunct/>
        <w:topLinePunct w:val="0"/>
        <w:autoSpaceDE/>
        <w:autoSpaceDN/>
        <w:bidi w:val="0"/>
        <w:adjustRightInd/>
        <w:snapToGrid w:val="0"/>
        <w:spacing w:line="594" w:lineRule="exact"/>
        <w:jc w:val="center"/>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kinsoku/>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石鱼府</w:t>
      </w:r>
      <w:r>
        <w:rPr>
          <w:rFonts w:hint="default" w:ascii="Times New Roman" w:hAnsi="Times New Roman" w:eastAsia="方正仿宋_GBK" w:cs="Times New Roman"/>
          <w:b w:val="0"/>
          <w:bCs w:val="0"/>
          <w:color w:val="auto"/>
          <w:sz w:val="32"/>
          <w:szCs w:val="32"/>
          <w:lang w:eastAsia="zh-CN"/>
        </w:rPr>
        <w:t>发</w:t>
      </w:r>
      <w:r>
        <w:rPr>
          <w:rFonts w:hint="default" w:ascii="Times New Roman" w:hAnsi="Times New Roman" w:eastAsia="方正仿宋_GBK" w:cs="Times New Roman"/>
          <w:b w:val="0"/>
          <w:bCs w:val="0"/>
          <w:color w:val="auto"/>
          <w:sz w:val="32"/>
          <w:szCs w:val="32"/>
        </w:rPr>
        <w:t>〔20</w:t>
      </w:r>
      <w:r>
        <w:rPr>
          <w:rFonts w:hint="default" w:ascii="Times New Roman" w:hAnsi="Times New Roman" w:eastAsia="方正仿宋_GBK" w:cs="Times New Roman"/>
          <w:b w:val="0"/>
          <w:bCs w:val="0"/>
          <w:color w:val="auto"/>
          <w:sz w:val="32"/>
          <w:szCs w:val="32"/>
          <w:lang w:val="en-US" w:eastAsia="zh-CN"/>
        </w:rPr>
        <w:t>22</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56</w:t>
      </w:r>
      <w:r>
        <w:rPr>
          <w:rFonts w:hint="default" w:ascii="Times New Roman" w:hAnsi="Times New Roman" w:eastAsia="方正仿宋_GBK" w:cs="Times New Roman"/>
          <w:b w:val="0"/>
          <w:bCs w:val="0"/>
          <w:color w:val="auto"/>
          <w:sz w:val="32"/>
          <w:szCs w:val="32"/>
        </w:rPr>
        <w:t>号</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小标宋_GBK" w:cs="Times New Roman"/>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jc w:val="center"/>
        <w:textAlignment w:val="auto"/>
        <w:rPr>
          <w:rFonts w:hint="default" w:ascii="Times New Roman" w:hAnsi="Times New Roman" w:eastAsia="方正小标宋_GBK" w:cs="Times New Roman"/>
          <w:bCs/>
          <w:sz w:val="44"/>
          <w:szCs w:val="44"/>
          <w:lang w:val="en-US" w:eastAsia="zh-CN"/>
        </w:rPr>
      </w:pPr>
      <w:r>
        <w:rPr>
          <w:rFonts w:hint="default" w:ascii="Times New Roman" w:hAnsi="Times New Roman" w:eastAsia="方正小标宋_GBK" w:cs="Times New Roman"/>
          <w:bCs/>
          <w:sz w:val="44"/>
          <w:szCs w:val="44"/>
          <w:lang w:val="en-US" w:eastAsia="zh-CN"/>
        </w:rPr>
        <w:t>重庆市铜梁区石鱼镇人民政府</w:t>
      </w:r>
    </w:p>
    <w:p>
      <w:pPr>
        <w:spacing w:line="579" w:lineRule="exact"/>
        <w:jc w:val="center"/>
        <w:rPr>
          <w:rFonts w:hint="default" w:ascii="Times New Roman" w:hAnsi="Times New Roman" w:eastAsia="方正小标宋_GBK" w:cs="Times New Roman"/>
          <w:sz w:val="44"/>
          <w:szCs w:val="44"/>
        </w:rPr>
      </w:pPr>
      <w:bookmarkStart w:id="0" w:name="（三）加强信息报送。各地、各部门活动方案、总结和素材资料，请分别于10月30日、"/>
      <w:bookmarkEnd w:id="0"/>
      <w:r>
        <w:rPr>
          <w:rFonts w:hint="default" w:ascii="Times New Roman" w:hAnsi="Times New Roman" w:eastAsia="方正小标宋_GBK" w:cs="Times New Roman"/>
          <w:sz w:val="44"/>
          <w:szCs w:val="44"/>
        </w:rPr>
        <w:t>关于印发2022年度</w:t>
      </w:r>
      <w:r>
        <w:rPr>
          <w:rFonts w:hint="default" w:ascii="Times New Roman" w:hAnsi="Times New Roman" w:eastAsia="方正小标宋_GBK" w:cs="Times New Roman"/>
          <w:sz w:val="44"/>
          <w:szCs w:val="44"/>
          <w:lang w:eastAsia="zh-CN"/>
        </w:rPr>
        <w:t>石鱼镇</w:t>
      </w:r>
      <w:r>
        <w:rPr>
          <w:rFonts w:hint="default" w:ascii="Times New Roman" w:hAnsi="Times New Roman" w:eastAsia="方正小标宋_GBK" w:cs="Times New Roman"/>
          <w:sz w:val="44"/>
          <w:szCs w:val="44"/>
        </w:rPr>
        <w:t>耕地恢复补充</w:t>
      </w:r>
    </w:p>
    <w:p>
      <w:pPr>
        <w:spacing w:line="579"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实施方案的通知</w:t>
      </w:r>
    </w:p>
    <w:p>
      <w:pPr>
        <w:pStyle w:val="29"/>
        <w:keepNext w:val="0"/>
        <w:keepLines w:val="0"/>
        <w:pageBreakBefore w:val="0"/>
        <w:widowControl w:val="0"/>
        <w:kinsoku/>
        <w:wordWrap/>
        <w:overflowPunct/>
        <w:topLinePunct w:val="0"/>
        <w:autoSpaceDE/>
        <w:autoSpaceDN/>
        <w:bidi w:val="0"/>
        <w:spacing w:line="576" w:lineRule="exact"/>
        <w:rPr>
          <w:rFonts w:hint="default" w:ascii="Times New Roman" w:hAnsi="Times New Roman" w:cs="Times New Roman"/>
          <w:lang w:val="en-US" w:eastAsia="zh-CN"/>
        </w:rPr>
      </w:pPr>
    </w:p>
    <w:p>
      <w:pPr>
        <w:spacing w:line="579"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镇属各办站所中心</w:t>
      </w:r>
      <w:r>
        <w:rPr>
          <w:rFonts w:hint="default" w:ascii="Times New Roman" w:hAnsi="Times New Roman" w:eastAsia="方正仿宋_GBK" w:cs="Times New Roman"/>
          <w:sz w:val="32"/>
          <w:szCs w:val="32"/>
        </w:rPr>
        <w:t>，有关单位：</w:t>
      </w:r>
    </w:p>
    <w:p>
      <w:pPr>
        <w:spacing w:line="579" w:lineRule="exact"/>
        <w:ind w:firstLine="640" w:firstLineChars="200"/>
        <w:rPr>
          <w:rFonts w:hint="default" w:ascii="Times New Roman" w:hAnsi="Times New Roman" w:cs="Times New Roman"/>
        </w:rPr>
      </w:pPr>
      <w:r>
        <w:rPr>
          <w:rFonts w:hint="default" w:ascii="Times New Roman" w:hAnsi="Times New Roman" w:eastAsia="方正仿宋_GBK" w:cs="Times New Roman"/>
          <w:sz w:val="32"/>
          <w:szCs w:val="32"/>
          <w:lang w:eastAsia="zh-CN"/>
        </w:rPr>
        <w:t>经研究，制定</w:t>
      </w:r>
      <w:r>
        <w:rPr>
          <w:rFonts w:hint="default" w:ascii="Times New Roman" w:hAnsi="Times New Roman" w:eastAsia="方正仿宋_GBK" w:cs="Times New Roman"/>
          <w:sz w:val="32"/>
          <w:szCs w:val="32"/>
        </w:rPr>
        <w:t>《2022年度</w:t>
      </w:r>
      <w:r>
        <w:rPr>
          <w:rFonts w:hint="default" w:ascii="Times New Roman" w:hAnsi="Times New Roman" w:eastAsia="方正仿宋_GBK" w:cs="Times New Roman"/>
          <w:sz w:val="32"/>
          <w:szCs w:val="32"/>
          <w:lang w:eastAsia="zh-CN"/>
        </w:rPr>
        <w:t>石鱼镇</w:t>
      </w:r>
      <w:r>
        <w:rPr>
          <w:rFonts w:hint="default" w:ascii="Times New Roman" w:hAnsi="Times New Roman" w:eastAsia="方正仿宋_GBK" w:cs="Times New Roman"/>
          <w:sz w:val="32"/>
          <w:szCs w:val="32"/>
        </w:rPr>
        <w:t>耕地恢复补充实施方案》，现印发给你们，请认真抓好落实。</w:t>
      </w:r>
    </w:p>
    <w:p>
      <w:pPr>
        <w:pStyle w:val="2"/>
        <w:keepNext w:val="0"/>
        <w:keepLines w:val="0"/>
        <w:pageBreakBefore w:val="0"/>
        <w:widowControl w:val="0"/>
        <w:kinsoku/>
        <w:wordWrap/>
        <w:overflowPunct w:val="0"/>
        <w:topLinePunct w:val="0"/>
        <w:autoSpaceDE w:val="0"/>
        <w:autoSpaceDN w:val="0"/>
        <w:bidi w:val="0"/>
        <w:adjustRightInd/>
        <w:snapToGrid/>
        <w:spacing w:line="594" w:lineRule="exact"/>
        <w:jc w:val="center"/>
        <w:textAlignment w:val="auto"/>
        <w:rPr>
          <w:rFonts w:hint="default" w:ascii="Times New Roman" w:hAnsi="Times New Roman" w:eastAsia="方正仿宋_GBK" w:cs="Times New Roman"/>
          <w:spacing w:val="-11"/>
          <w:sz w:val="32"/>
          <w:szCs w:val="32"/>
        </w:rPr>
      </w:pPr>
      <w:r>
        <w:rPr>
          <w:rFonts w:hint="default" w:ascii="Times New Roman" w:hAnsi="Times New Roman" w:eastAsia="方正仿宋_GBK" w:cs="Times New Roman"/>
          <w:spacing w:val="-11"/>
          <w:sz w:val="32"/>
          <w:szCs w:val="32"/>
        </w:rPr>
        <w:t xml:space="preserve">    </w:t>
      </w:r>
    </w:p>
    <w:p>
      <w:pPr>
        <w:pStyle w:val="2"/>
        <w:keepNext w:val="0"/>
        <w:keepLines w:val="0"/>
        <w:pageBreakBefore w:val="0"/>
        <w:widowControl w:val="0"/>
        <w:kinsoku/>
        <w:wordWrap/>
        <w:overflowPunct w:val="0"/>
        <w:topLinePunct w:val="0"/>
        <w:autoSpaceDE w:val="0"/>
        <w:autoSpaceDN w:val="0"/>
        <w:bidi w:val="0"/>
        <w:adjustRightInd/>
        <w:snapToGrid/>
        <w:spacing w:line="594" w:lineRule="exact"/>
        <w:jc w:val="center"/>
        <w:textAlignment w:val="auto"/>
        <w:rPr>
          <w:rFonts w:hint="default" w:ascii="Times New Roman" w:hAnsi="Times New Roman" w:eastAsia="方正仿宋_GBK" w:cs="Times New Roman"/>
          <w:spacing w:val="-11"/>
          <w:sz w:val="32"/>
          <w:szCs w:val="32"/>
        </w:rPr>
      </w:pPr>
      <w:r>
        <w:rPr>
          <w:rFonts w:hint="default" w:ascii="Times New Roman" w:hAnsi="Times New Roman" w:eastAsia="方正仿宋_GBK" w:cs="Times New Roman"/>
          <w:spacing w:val="-11"/>
          <w:sz w:val="32"/>
          <w:szCs w:val="32"/>
        </w:rPr>
        <w:t xml:space="preserve">    </w:t>
      </w:r>
      <w:bookmarkStart w:id="1" w:name="_GoBack"/>
      <w:bookmarkEnd w:id="1"/>
      <w:r>
        <w:rPr>
          <w:rFonts w:hint="default" w:ascii="Times New Roman" w:hAnsi="Times New Roman" w:eastAsia="方正仿宋_GBK" w:cs="Times New Roman"/>
          <w:spacing w:val="-11"/>
          <w:sz w:val="32"/>
          <w:szCs w:val="32"/>
        </w:rPr>
        <w:t xml:space="preserve">                   </w:t>
      </w:r>
    </w:p>
    <w:p>
      <w:pPr>
        <w:pStyle w:val="2"/>
        <w:keepNext w:val="0"/>
        <w:keepLines w:val="0"/>
        <w:pageBreakBefore w:val="0"/>
        <w:widowControl w:val="0"/>
        <w:kinsoku/>
        <w:wordWrap/>
        <w:overflowPunct w:val="0"/>
        <w:topLinePunct w:val="0"/>
        <w:autoSpaceDE w:val="0"/>
        <w:autoSpaceDN w:val="0"/>
        <w:bidi w:val="0"/>
        <w:adjustRightInd/>
        <w:snapToGrid/>
        <w:spacing w:line="594" w:lineRule="exact"/>
        <w:jc w:val="center"/>
        <w:textAlignment w:val="auto"/>
        <w:rPr>
          <w:rFonts w:hint="default" w:ascii="Times New Roman" w:hAnsi="Times New Roman" w:eastAsia="方正仿宋_GBK" w:cs="Times New Roman"/>
          <w:sz w:val="32"/>
          <w:szCs w:val="32"/>
        </w:rPr>
      </w:pPr>
      <w:r>
        <w:rPr>
          <w:rFonts w:hint="default" w:ascii="Times New Roman" w:hAnsi="Times New Roman" w:cs="Times New Roman"/>
          <w:spacing w:val="-11"/>
          <w:sz w:val="32"/>
          <w:szCs w:val="32"/>
          <w:lang w:val="en-US" w:eastAsia="zh-CN"/>
        </w:rPr>
        <w:t xml:space="preserve">                               </w:t>
      </w:r>
      <w:r>
        <w:rPr>
          <w:rFonts w:hint="default" w:ascii="Times New Roman" w:hAnsi="Times New Roman" w:eastAsia="方正仿宋_GBK" w:cs="Times New Roman"/>
          <w:sz w:val="32"/>
          <w:szCs w:val="32"/>
        </w:rPr>
        <w:t>重庆市铜梁区石鱼镇人民政府</w:t>
      </w:r>
    </w:p>
    <w:p>
      <w:pPr>
        <w:pStyle w:val="31"/>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cs="Times New Roman"/>
          <w:sz w:val="32"/>
          <w:szCs w:val="32"/>
        </w:rPr>
        <w:t xml:space="preserve">               </w:t>
      </w:r>
      <w:r>
        <w:rPr>
          <w:rFonts w:hint="default" w:ascii="Times New Roman" w:hAnsi="Times New Roman" w:eastAsia="方正仿宋_GBK" w:cs="Times New Roman"/>
          <w:spacing w:val="-11"/>
          <w:sz w:val="32"/>
          <w:szCs w:val="32"/>
        </w:rPr>
        <w:t xml:space="preserve">     </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val="en-US" w:eastAsia="zh-CN"/>
        </w:rPr>
        <w:t>202</w:t>
      </w:r>
      <w:r>
        <w:rPr>
          <w:rFonts w:hint="default" w:ascii="Times New Roman" w:hAnsi="Times New Roman"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lang w:val="en-US" w:eastAsia="zh-CN"/>
        </w:rPr>
        <w:t>年</w:t>
      </w:r>
      <w:r>
        <w:rPr>
          <w:rFonts w:hint="default" w:ascii="Times New Roman" w:hAnsi="Times New Roman" w:cs="Times New Roman"/>
          <w:b w:val="0"/>
          <w:bCs w:val="0"/>
          <w:color w:val="auto"/>
          <w:sz w:val="32"/>
          <w:szCs w:val="32"/>
          <w:lang w:val="en-US" w:eastAsia="zh-CN"/>
        </w:rPr>
        <w:t>7</w:t>
      </w:r>
      <w:r>
        <w:rPr>
          <w:rFonts w:hint="default" w:ascii="Times New Roman" w:hAnsi="Times New Roman" w:eastAsia="方正仿宋_GBK" w:cs="Times New Roman"/>
          <w:b w:val="0"/>
          <w:bCs w:val="0"/>
          <w:color w:val="auto"/>
          <w:sz w:val="32"/>
          <w:szCs w:val="32"/>
          <w:lang w:val="en-US" w:eastAsia="zh-CN"/>
        </w:rPr>
        <w:t>月</w:t>
      </w:r>
      <w:r>
        <w:rPr>
          <w:rFonts w:hint="default" w:ascii="Times New Roman" w:hAnsi="Times New Roman" w:cs="Times New Roman"/>
          <w:b w:val="0"/>
          <w:bCs w:val="0"/>
          <w:color w:val="auto"/>
          <w:sz w:val="32"/>
          <w:szCs w:val="32"/>
          <w:lang w:val="en-US" w:eastAsia="zh-CN"/>
        </w:rPr>
        <w:t>11</w:t>
      </w:r>
      <w:r>
        <w:rPr>
          <w:rFonts w:hint="default" w:ascii="Times New Roman" w:hAnsi="Times New Roman" w:eastAsia="方正仿宋_GBK" w:cs="Times New Roman"/>
          <w:b w:val="0"/>
          <w:bCs w:val="0"/>
          <w:color w:val="auto"/>
          <w:sz w:val="32"/>
          <w:szCs w:val="32"/>
          <w:lang w:val="en-US" w:eastAsia="zh-CN"/>
        </w:rPr>
        <w:t>日</w:t>
      </w:r>
      <w:r>
        <w:rPr>
          <w:rFonts w:hint="default" w:ascii="Times New Roman" w:hAnsi="Times New Roman" w:cs="Times New Roman"/>
          <w:b w:val="0"/>
          <w:bCs w:val="0"/>
          <w:color w:val="auto"/>
          <w:sz w:val="32"/>
          <w:szCs w:val="32"/>
          <w:lang w:val="en-US" w:eastAsia="zh-CN"/>
        </w:rPr>
        <w:t xml:space="preserve"> </w:t>
      </w: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spacing w:line="579" w:lineRule="exact"/>
        <w:jc w:val="center"/>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2022年度</w:t>
      </w:r>
      <w:r>
        <w:rPr>
          <w:rFonts w:hint="default" w:ascii="Times New Roman" w:hAnsi="Times New Roman" w:eastAsia="方正小标宋_GBK" w:cs="Times New Roman"/>
          <w:sz w:val="44"/>
          <w:szCs w:val="44"/>
          <w:lang w:eastAsia="zh-CN"/>
        </w:rPr>
        <w:t>石鱼镇</w:t>
      </w:r>
      <w:r>
        <w:rPr>
          <w:rFonts w:hint="default" w:ascii="Times New Roman" w:hAnsi="Times New Roman" w:eastAsia="方正小标宋_GBK" w:cs="Times New Roman"/>
          <w:sz w:val="44"/>
          <w:szCs w:val="44"/>
        </w:rPr>
        <w:t>耕地恢复补充实施方案</w:t>
      </w:r>
    </w:p>
    <w:p>
      <w:pPr>
        <w:spacing w:line="579" w:lineRule="exact"/>
        <w:ind w:firstLine="640" w:firstLineChars="200"/>
        <w:rPr>
          <w:rFonts w:hint="default" w:ascii="Times New Roman" w:hAnsi="Times New Roman" w:eastAsia="方正仿宋_GBK" w:cs="Times New Roman"/>
          <w:sz w:val="32"/>
          <w:szCs w:val="32"/>
        </w:rPr>
      </w:pPr>
    </w:p>
    <w:p>
      <w:pPr>
        <w:spacing w:line="579"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为切实做好耕地恢复补充工作，根据《重庆市</w:t>
      </w:r>
      <w:r>
        <w:rPr>
          <w:rFonts w:hint="default" w:ascii="Times New Roman" w:hAnsi="Times New Roman" w:eastAsia="方正仿宋_GBK" w:cs="Times New Roman"/>
          <w:sz w:val="32"/>
          <w:szCs w:val="32"/>
          <w:lang w:eastAsia="zh-CN"/>
        </w:rPr>
        <w:t>铜梁区</w:t>
      </w:r>
      <w:r>
        <w:rPr>
          <w:rFonts w:hint="default" w:ascii="Times New Roman" w:hAnsi="Times New Roman" w:eastAsia="方正仿宋_GBK" w:cs="Times New Roman"/>
          <w:sz w:val="32"/>
          <w:szCs w:val="32"/>
        </w:rPr>
        <w:t>人民政府办公</w:t>
      </w:r>
      <w:r>
        <w:rPr>
          <w:rFonts w:hint="default" w:ascii="Times New Roman" w:hAnsi="Times New Roman" w:eastAsia="方正仿宋_GBK" w:cs="Times New Roman"/>
          <w:sz w:val="32"/>
          <w:szCs w:val="32"/>
          <w:lang w:eastAsia="zh-CN"/>
        </w:rPr>
        <w:t>室</w:t>
      </w:r>
      <w:r>
        <w:rPr>
          <w:rFonts w:hint="default" w:ascii="Times New Roman" w:hAnsi="Times New Roman" w:eastAsia="方正仿宋_GBK" w:cs="Times New Roman"/>
          <w:sz w:val="32"/>
          <w:szCs w:val="32"/>
        </w:rPr>
        <w:t>关于印发2022年度</w:t>
      </w:r>
      <w:r>
        <w:rPr>
          <w:rFonts w:hint="default" w:ascii="Times New Roman" w:hAnsi="Times New Roman" w:eastAsia="方正仿宋_GBK" w:cs="Times New Roman"/>
          <w:sz w:val="32"/>
          <w:szCs w:val="32"/>
          <w:lang w:eastAsia="zh-CN"/>
        </w:rPr>
        <w:t>铜梁区</w:t>
      </w:r>
      <w:r>
        <w:rPr>
          <w:rFonts w:hint="default" w:ascii="Times New Roman" w:hAnsi="Times New Roman" w:eastAsia="方正仿宋_GBK" w:cs="Times New Roman"/>
          <w:sz w:val="32"/>
          <w:szCs w:val="32"/>
        </w:rPr>
        <w:t>耕地恢复补充实施方案的通知》精神，结合我</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实际，制定本方案。</w:t>
      </w:r>
    </w:p>
    <w:p>
      <w:pPr>
        <w:pStyle w:val="14"/>
        <w:spacing w:line="579"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一、指导思想</w:t>
      </w:r>
    </w:p>
    <w:p>
      <w:pPr>
        <w:pStyle w:val="14"/>
        <w:spacing w:line="579" w:lineRule="exact"/>
        <w:ind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 xml:space="preserve">始终坚持以习近平新时代中国特色社会主义思想为指导，落实最严格的耕地保护制度，坚持党政同责，党委统一领导、政府具体负责，共同承担耕地保护主体责任，健全耕地保护目标责任考核机制，形成耕地“数量、质量、产量”一体化保护体系，实行严格考核。     </w:t>
      </w:r>
    </w:p>
    <w:p>
      <w:pPr>
        <w:pStyle w:val="14"/>
        <w:spacing w:line="579" w:lineRule="exact"/>
        <w:ind w:firstLine="640" w:firstLineChars="200"/>
        <w:rPr>
          <w:rFonts w:hint="default" w:ascii="Times New Roman" w:hAnsi="Times New Roman" w:cs="Times New Roman"/>
          <w:sz w:val="32"/>
          <w:szCs w:val="32"/>
        </w:rPr>
      </w:pPr>
      <w:r>
        <w:rPr>
          <w:rFonts w:hint="default" w:ascii="Times New Roman" w:hAnsi="Times New Roman" w:eastAsia="方正黑体_GBK" w:cs="Times New Roman"/>
          <w:sz w:val="32"/>
          <w:szCs w:val="32"/>
        </w:rPr>
        <w:t>二、目标任务</w:t>
      </w:r>
    </w:p>
    <w:p>
      <w:pPr>
        <w:spacing w:line="579"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耕地恢复补充目标任务为</w:t>
      </w:r>
      <w:r>
        <w:rPr>
          <w:rFonts w:hint="default" w:ascii="Times New Roman" w:hAnsi="Times New Roman" w:eastAsia="方正仿宋_GBK" w:cs="Times New Roman"/>
          <w:sz w:val="32"/>
          <w:szCs w:val="32"/>
          <w:lang w:val="en-US" w:eastAsia="zh-CN"/>
        </w:rPr>
        <w:t>410</w:t>
      </w:r>
      <w:r>
        <w:rPr>
          <w:rFonts w:hint="default" w:ascii="Times New Roman" w:hAnsi="Times New Roman" w:eastAsia="方正仿宋_GBK" w:cs="Times New Roman"/>
          <w:sz w:val="32"/>
          <w:szCs w:val="32"/>
        </w:rPr>
        <w:t>亩，各</w:t>
      </w:r>
      <w:r>
        <w:rPr>
          <w:rFonts w:hint="default"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具体目标任务详见附件</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p>
    <w:p>
      <w:pPr>
        <w:spacing w:line="579"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三、实施步骤</w:t>
      </w:r>
    </w:p>
    <w:p>
      <w:pPr>
        <w:spacing w:line="579"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（一）下发内业图斑。</w:t>
      </w:r>
      <w:r>
        <w:rPr>
          <w:rFonts w:hint="default" w:ascii="Times New Roman" w:hAnsi="Times New Roman" w:eastAsia="方正仿宋_GBK" w:cs="Times New Roman"/>
          <w:sz w:val="32"/>
          <w:szCs w:val="32"/>
        </w:rPr>
        <w:t>2022年6月底前，</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耕地</w:t>
      </w:r>
      <w:r>
        <w:rPr>
          <w:rFonts w:hint="default" w:ascii="Times New Roman" w:hAnsi="Times New Roman" w:eastAsia="方正仿宋_GBK" w:cs="Times New Roman"/>
          <w:sz w:val="32"/>
          <w:szCs w:val="32"/>
          <w:lang w:eastAsia="zh-CN"/>
        </w:rPr>
        <w:t>恢复补充</w:t>
      </w:r>
      <w:r>
        <w:rPr>
          <w:rFonts w:hint="default" w:ascii="Times New Roman" w:hAnsi="Times New Roman" w:eastAsia="方正仿宋_GBK" w:cs="Times New Roman"/>
          <w:sz w:val="32"/>
          <w:szCs w:val="32"/>
        </w:rPr>
        <w:t>工作专班</w:t>
      </w:r>
      <w:r>
        <w:rPr>
          <w:rFonts w:hint="default" w:ascii="Times New Roman" w:hAnsi="Times New Roman" w:eastAsia="方正仿宋_GBK" w:cs="Times New Roman"/>
          <w:sz w:val="32"/>
          <w:szCs w:val="32"/>
          <w:lang w:eastAsia="zh-CN"/>
        </w:rPr>
        <w:t>办公室</w:t>
      </w:r>
      <w:r>
        <w:rPr>
          <w:rFonts w:hint="default" w:ascii="Times New Roman" w:hAnsi="Times New Roman" w:eastAsia="方正仿宋_GBK" w:cs="Times New Roman"/>
          <w:sz w:val="32"/>
          <w:szCs w:val="32"/>
        </w:rPr>
        <w:t>负责将本年度需要恢复补充耕地优先恢复图斑和备选图斑分为两个图层下发各</w:t>
      </w:r>
      <w:r>
        <w:rPr>
          <w:rFonts w:hint="default"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（二）制定恢复措施。</w:t>
      </w:r>
      <w:r>
        <w:rPr>
          <w:rFonts w:hint="default" w:ascii="Times New Roman" w:hAnsi="Times New Roman" w:eastAsia="方正仿宋_GBK" w:cs="Times New Roman"/>
          <w:sz w:val="32"/>
          <w:szCs w:val="32"/>
        </w:rPr>
        <w:t>2022年7月底前，各</w:t>
      </w:r>
      <w:r>
        <w:rPr>
          <w:rFonts w:hint="default"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完成外业核实、制定耕地恢复措施，按照下发的优先恢复图斑和备选图斑信息，参照卫片执法方式，对图斑逐个进行外业核实，摸清耕地和非耕地基本情况，建立详细台账，并按图斑填写《铜梁区图斑现场外业核查及耕地恢复措施情况表》（附件</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）报送</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耕地</w:t>
      </w:r>
      <w:r>
        <w:rPr>
          <w:rFonts w:hint="default" w:ascii="Times New Roman" w:hAnsi="Times New Roman" w:eastAsia="方正仿宋_GBK" w:cs="Times New Roman"/>
          <w:sz w:val="32"/>
          <w:szCs w:val="32"/>
          <w:lang w:eastAsia="zh-CN"/>
        </w:rPr>
        <w:t>恢复补充</w:t>
      </w:r>
      <w:r>
        <w:rPr>
          <w:rFonts w:hint="default" w:ascii="Times New Roman" w:hAnsi="Times New Roman" w:eastAsia="方正仿宋_GBK" w:cs="Times New Roman"/>
          <w:sz w:val="32"/>
          <w:szCs w:val="32"/>
        </w:rPr>
        <w:t>工作专班</w:t>
      </w:r>
      <w:r>
        <w:rPr>
          <w:rFonts w:hint="default" w:ascii="Times New Roman" w:hAnsi="Times New Roman" w:eastAsia="方正仿宋_GBK" w:cs="Times New Roman"/>
          <w:sz w:val="32"/>
          <w:szCs w:val="32"/>
          <w:lang w:eastAsia="zh-CN"/>
        </w:rPr>
        <w:t>办公室，经镇</w:t>
      </w:r>
      <w:r>
        <w:rPr>
          <w:rFonts w:hint="default" w:ascii="Times New Roman" w:hAnsi="Times New Roman" w:eastAsia="方正仿宋_GBK" w:cs="Times New Roman"/>
          <w:sz w:val="32"/>
          <w:szCs w:val="32"/>
        </w:rPr>
        <w:t>耕地</w:t>
      </w:r>
      <w:r>
        <w:rPr>
          <w:rFonts w:hint="default" w:ascii="Times New Roman" w:hAnsi="Times New Roman" w:eastAsia="方正仿宋_GBK" w:cs="Times New Roman"/>
          <w:sz w:val="32"/>
          <w:szCs w:val="32"/>
          <w:lang w:eastAsia="zh-CN"/>
        </w:rPr>
        <w:t>恢复补充</w:t>
      </w:r>
      <w:r>
        <w:rPr>
          <w:rFonts w:hint="default" w:ascii="Times New Roman" w:hAnsi="Times New Roman" w:eastAsia="方正仿宋_GBK" w:cs="Times New Roman"/>
          <w:sz w:val="32"/>
          <w:szCs w:val="32"/>
        </w:rPr>
        <w:t>工作专班</w:t>
      </w:r>
      <w:r>
        <w:rPr>
          <w:rFonts w:hint="default" w:ascii="Times New Roman" w:hAnsi="Times New Roman" w:eastAsia="方正仿宋_GBK" w:cs="Times New Roman"/>
          <w:sz w:val="32"/>
          <w:szCs w:val="32"/>
          <w:lang w:eastAsia="zh-CN"/>
        </w:rPr>
        <w:t>审定后报区</w:t>
      </w:r>
      <w:r>
        <w:rPr>
          <w:rFonts w:hint="default" w:ascii="Times New Roman" w:hAnsi="Times New Roman" w:eastAsia="方正仿宋_GBK" w:cs="Times New Roman"/>
          <w:sz w:val="32"/>
          <w:szCs w:val="32"/>
        </w:rPr>
        <w:t>耕地保护建设工作专班办公室。</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sz w:val="32"/>
          <w:szCs w:val="32"/>
        </w:rPr>
        <w:t>（三）审定恢复措施。</w:t>
      </w:r>
      <w:r>
        <w:rPr>
          <w:rFonts w:hint="default" w:ascii="Times New Roman" w:hAnsi="Times New Roman" w:eastAsia="方正仿宋_GBK" w:cs="Times New Roman"/>
          <w:sz w:val="32"/>
          <w:szCs w:val="32"/>
        </w:rPr>
        <w:t>2022年8月底前，区耕地保护建设工作专班根据各镇（街道）报送的图斑外业核查台账，分片区集中审定最终恢复耕地的图斑及实施措施。</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（四）实施恢复工作。</w:t>
      </w:r>
      <w:r>
        <w:rPr>
          <w:rFonts w:hint="default" w:ascii="Times New Roman" w:hAnsi="Times New Roman" w:eastAsia="方正仿宋_GBK" w:cs="Times New Roman"/>
          <w:sz w:val="32"/>
          <w:szCs w:val="32"/>
        </w:rPr>
        <w:t>2022年9月至11月，各</w:t>
      </w:r>
      <w:r>
        <w:rPr>
          <w:rFonts w:hint="default"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按照审定后的图斑及实施措施组织开展耕地恢复，确保恢复耕地的数量和质量达到验收认定标准。在恢复实施过程中，有无法实施恢复或恢复难度较大的，可开展图斑替换工作，各</w:t>
      </w:r>
      <w:r>
        <w:rPr>
          <w:rFonts w:hint="default"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自行在备选图斑中筛选可用于耕地补充的地块进行替换。耕地恢复后，按照耕地用途管理要求，及时开展种植利用，主要种植粮棉油糖菜等农作物，一年种植一季及以上，其中，恢复成水田的，须保持一年种植一季及以上水稻、莲藕等水生农作物。</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（五）认定恢复成果。</w:t>
      </w:r>
      <w:r>
        <w:rPr>
          <w:rFonts w:hint="default" w:ascii="Times New Roman" w:hAnsi="Times New Roman" w:eastAsia="方正仿宋_GBK" w:cs="Times New Roman"/>
          <w:sz w:val="32"/>
          <w:szCs w:val="32"/>
        </w:rPr>
        <w:t>按照完成1个图斑认定1个图斑的要求，在完成恢复后5个工作日内向区耕地保护建设工作专班办公室申请恢复耕地认定，区耕地保护建设工作专班办公室在收到申请5个工作日内，会同年度变更调查作业单位，利用年度变更调查的“国土调查云”，对符合耕地认定标准的恢复图斑及时认定并变更。各</w:t>
      </w:r>
      <w:r>
        <w:rPr>
          <w:rFonts w:hint="default"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恢复耕地数量，以通过2022年度变更调查认定的耕地为准。</w:t>
      </w:r>
    </w:p>
    <w:p>
      <w:pPr>
        <w:spacing w:line="579"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四、工作要求</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（一）加强组织领导。</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耕地</w:t>
      </w:r>
      <w:r>
        <w:rPr>
          <w:rFonts w:hint="default" w:ascii="Times New Roman" w:hAnsi="Times New Roman" w:eastAsia="方正仿宋_GBK" w:cs="Times New Roman"/>
          <w:sz w:val="32"/>
          <w:szCs w:val="32"/>
          <w:lang w:eastAsia="zh-CN"/>
        </w:rPr>
        <w:t>恢复补充</w:t>
      </w:r>
      <w:r>
        <w:rPr>
          <w:rFonts w:hint="default" w:ascii="Times New Roman" w:hAnsi="Times New Roman" w:eastAsia="方正仿宋_GBK" w:cs="Times New Roman"/>
          <w:sz w:val="32"/>
          <w:szCs w:val="32"/>
        </w:rPr>
        <w:t>工作专班负责统筹全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耕地恢复补充工作，对各</w:t>
      </w:r>
      <w:r>
        <w:rPr>
          <w:rFonts w:hint="default"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进行技术指导和督导。</w:t>
      </w:r>
      <w:r>
        <w:rPr>
          <w:rFonts w:hint="default" w:ascii="Times New Roman" w:hAnsi="Times New Roman" w:eastAsia="方正仿宋_GBK" w:cs="Times New Roman"/>
          <w:sz w:val="32"/>
          <w:szCs w:val="32"/>
          <w:lang w:eastAsia="zh-CN"/>
        </w:rPr>
        <w:t>各村</w:t>
      </w:r>
      <w:r>
        <w:rPr>
          <w:rFonts w:hint="default" w:ascii="Times New Roman" w:hAnsi="Times New Roman" w:eastAsia="方正仿宋_GBK" w:cs="Times New Roman"/>
          <w:sz w:val="32"/>
          <w:szCs w:val="32"/>
        </w:rPr>
        <w:t>落实专人负责耕地恢复补充</w:t>
      </w:r>
      <w:r>
        <w:rPr>
          <w:rFonts w:hint="default" w:ascii="Times New Roman" w:hAnsi="Times New Roman" w:eastAsia="方正仿宋_GBK" w:cs="Times New Roman"/>
          <w:sz w:val="32"/>
          <w:szCs w:val="32"/>
          <w:lang w:eastAsia="zh-CN"/>
        </w:rPr>
        <w:t>外业核查</w:t>
      </w:r>
      <w:r>
        <w:rPr>
          <w:rFonts w:hint="default" w:ascii="Times New Roman" w:hAnsi="Times New Roman" w:eastAsia="方正仿宋_GBK" w:cs="Times New Roman"/>
          <w:sz w:val="32"/>
          <w:szCs w:val="32"/>
        </w:rPr>
        <w:t>工作，</w:t>
      </w:r>
      <w:r>
        <w:rPr>
          <w:rFonts w:hint="default" w:ascii="Times New Roman" w:hAnsi="Times New Roman" w:eastAsia="方正仿宋_GBK" w:cs="Times New Roman"/>
          <w:sz w:val="32"/>
          <w:szCs w:val="32"/>
          <w:lang w:eastAsia="zh-CN"/>
        </w:rPr>
        <w:t>组织力量，</w:t>
      </w:r>
      <w:r>
        <w:rPr>
          <w:rFonts w:hint="default" w:ascii="Times New Roman" w:hAnsi="Times New Roman" w:eastAsia="方正仿宋_GBK" w:cs="Times New Roman"/>
          <w:sz w:val="32"/>
          <w:szCs w:val="32"/>
        </w:rPr>
        <w:t>确保完成2022年度耕地恢复补充目标任务。</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（二）完善档案资料。</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要做好恢复前、恢复中、恢复后影像资料的留存工作，对每个图斑建立一个恢复档案，完善现场外业核查台账，便于耕地恢复举证。</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（三）加大监管力度。</w:t>
      </w:r>
      <w:r>
        <w:rPr>
          <w:rFonts w:hint="default" w:ascii="Times New Roman" w:hAnsi="Times New Roman" w:eastAsia="方正仿宋_GBK" w:cs="Times New Roman"/>
          <w:sz w:val="32"/>
          <w:szCs w:val="32"/>
        </w:rPr>
        <w:t>以卫片执法和耕地卫片监测为抓手，及时发现违法违规线索，及时制止、严肃查处违法违规行为，重点查处新增乱占耕地建房、挖塘养鱼、挖湖造景、违建“大棚房”等行为，及时消除违法状态，坚决遏制新增耕地非农化、非粮化。</w:t>
      </w:r>
    </w:p>
    <w:p>
      <w:pPr>
        <w:spacing w:line="579"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（四）强化目标考核。</w:t>
      </w:r>
      <w:r>
        <w:rPr>
          <w:rFonts w:hint="default" w:ascii="Times New Roman" w:hAnsi="Times New Roman" w:eastAsia="方正仿宋_GBK" w:cs="Times New Roman"/>
          <w:sz w:val="32"/>
          <w:szCs w:val="32"/>
        </w:rPr>
        <w:t>完善耕地保护考核制度，将耕地恢复补充完成情况纳入各</w:t>
      </w:r>
      <w:r>
        <w:rPr>
          <w:rFonts w:hint="default"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年度耕地保护考核内容，严格兑现奖惩，对考核不合格的，将严肃追责问责。</w:t>
      </w:r>
    </w:p>
    <w:p>
      <w:pPr>
        <w:spacing w:line="579" w:lineRule="exact"/>
        <w:ind w:firstLine="640" w:firstLineChars="200"/>
        <w:jc w:val="left"/>
        <w:rPr>
          <w:rFonts w:hint="default" w:ascii="Times New Roman" w:hAnsi="Times New Roman" w:eastAsia="方正仿宋_GBK" w:cs="Times New Roman"/>
          <w:sz w:val="32"/>
          <w:szCs w:val="32"/>
        </w:rPr>
      </w:pPr>
    </w:p>
    <w:p>
      <w:pPr>
        <w:spacing w:line="579" w:lineRule="exact"/>
        <w:ind w:firstLine="640" w:firstLineChars="2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附件：1.铜梁区石鱼镇耕地恢复补充工作专班</w:t>
      </w:r>
    </w:p>
    <w:p>
      <w:pPr>
        <w:spacing w:line="579" w:lineRule="exact"/>
        <w:ind w:firstLine="1600" w:firstLineChars="5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铜梁区</w:t>
      </w:r>
      <w:r>
        <w:rPr>
          <w:rFonts w:hint="default" w:ascii="Times New Roman" w:hAnsi="Times New Roman" w:eastAsia="方正仿宋_GBK" w:cs="Times New Roman"/>
          <w:sz w:val="32"/>
          <w:szCs w:val="32"/>
          <w:lang w:eastAsia="zh-CN"/>
        </w:rPr>
        <w:t>石鱼镇</w:t>
      </w:r>
      <w:r>
        <w:rPr>
          <w:rFonts w:hint="default" w:ascii="Times New Roman" w:hAnsi="Times New Roman" w:eastAsia="方正仿宋_GBK" w:cs="Times New Roman"/>
          <w:sz w:val="32"/>
          <w:szCs w:val="32"/>
        </w:rPr>
        <w:t>2022年度耕地恢复补充任务分解表</w:t>
      </w:r>
    </w:p>
    <w:p>
      <w:pPr>
        <w:spacing w:line="579" w:lineRule="exact"/>
        <w:ind w:firstLine="1600" w:firstLineChars="5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.铜梁区图斑现场外业核查及耕地恢复方案情况表</w:t>
      </w:r>
    </w:p>
    <w:p>
      <w:pPr>
        <w:spacing w:line="579" w:lineRule="exact"/>
        <w:ind w:firstLine="640" w:firstLineChars="200"/>
        <w:jc w:val="left"/>
        <w:rPr>
          <w:rFonts w:hint="default" w:ascii="Times New Roman" w:hAnsi="Times New Roman" w:eastAsia="方正仿宋_GBK" w:cs="Times New Roman"/>
          <w:sz w:val="32"/>
          <w:szCs w:val="32"/>
        </w:rPr>
      </w:pPr>
    </w:p>
    <w:p>
      <w:pPr>
        <w:pStyle w:val="14"/>
        <w:wordWrap w:val="0"/>
        <w:spacing w:line="579" w:lineRule="exact"/>
        <w:jc w:val="center"/>
        <w:rPr>
          <w:rFonts w:hint="default" w:ascii="Times New Roman" w:hAnsi="Times New Roman" w:cs="Times New Roman"/>
          <w:sz w:val="32"/>
          <w:szCs w:val="32"/>
        </w:rPr>
      </w:pPr>
    </w:p>
    <w:p>
      <w:pPr>
        <w:pStyle w:val="14"/>
        <w:wordWrap w:val="0"/>
        <w:spacing w:line="579" w:lineRule="exact"/>
        <w:jc w:val="both"/>
        <w:rPr>
          <w:rFonts w:hint="default" w:ascii="Times New Roman" w:hAnsi="Times New Roman" w:cs="Times New Roman"/>
          <w:sz w:val="32"/>
          <w:szCs w:val="32"/>
        </w:rPr>
      </w:pPr>
    </w:p>
    <w:p>
      <w:pPr>
        <w:jc w:val="left"/>
        <w:rPr>
          <w:rFonts w:hint="eastAsia"/>
          <w:sz w:val="32"/>
          <w:szCs w:val="32"/>
          <w:lang w:eastAsia="zh-CN"/>
        </w:rPr>
      </w:pPr>
    </w:p>
    <w:p>
      <w:pPr>
        <w:rPr>
          <w:rFonts w:hint="eastAsia"/>
          <w:lang w:eastAsia="zh-CN"/>
        </w:rPr>
      </w:pPr>
    </w:p>
    <w:p>
      <w:pPr>
        <w:pStyle w:val="2"/>
        <w:rPr>
          <w:rFonts w:hint="eastAsia"/>
          <w:lang w:eastAsia="zh-CN"/>
        </w:rPr>
      </w:pPr>
    </w:p>
    <w:p>
      <w:pPr>
        <w:pStyle w:val="3"/>
        <w:rPr>
          <w:rFonts w:hint="eastAsia"/>
          <w:lang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eastAsia" w:ascii="Times New Roman" w:hAnsi="Times New Roman" w:eastAsia="方正仿宋_GBK" w:cs="Times New Roman"/>
          <w:b w:val="0"/>
          <w:bCs w:val="0"/>
          <w:color w:val="auto"/>
          <w:w w:val="100"/>
          <w:sz w:val="32"/>
          <w:szCs w:val="32"/>
          <w:highlight w:val="none"/>
          <w:lang w:val="en-US" w:eastAsia="zh-CN"/>
        </w:rPr>
      </w:pPr>
    </w:p>
    <w:sectPr>
      <w:headerReference r:id="rId3" w:type="default"/>
      <w:footerReference r:id="rId4" w:type="default"/>
      <w:pgSz w:w="11906" w:h="16838"/>
      <w:pgMar w:top="1701" w:right="1446" w:bottom="1695"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-619125</wp:posOffset>
              </wp:positionV>
              <wp:extent cx="513080" cy="10598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13080" cy="1059815"/>
                      </a:xfrm>
                      <a:prstGeom prst="rect">
                        <a:avLst/>
                      </a:prstGeom>
                      <a:noFill/>
                      <a:ln w="6350">
                        <a:noFill/>
                      </a:ln>
                      <a:effectLst/>
                    </wps:spPr>
                    <wps:txbx>
                      <w:txbxContent>
                        <w:p>
                          <w:pPr>
                            <w:pStyle w:val="14"/>
                            <w:rPr>
                              <w:rFonts w:hint="eastAsia"/>
                              <w:sz w:val="28"/>
                              <w:szCs w:val="28"/>
                              <w:lang w:eastAsia="zh-CN"/>
                            </w:rPr>
                          </w:pPr>
                        </w:p>
                        <w:p>
                          <w:pPr>
                            <w:pStyle w:val="14"/>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- 1 -</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8.75pt;height:83.45pt;width:40.4pt;mso-position-horizontal:outside;mso-position-horizontal-relative:margin;z-index:251660288;mso-width-relative:page;mso-height-relative:page;" filled="f" stroked="f" coordsize="21600,21600" o:gfxdata="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19CF8tYA&#10;AAAGAQAADwAAAAAAAAABACAAAAAiAAAAZHJzL2Rvd25yZXYueG1sUEsBAhQAFAAAAAgAh07iQIGN&#10;6uIhAgAAIgQAAA4AAAAAAAAAAQAgAAAAJQEAAGRycy9lMm9Eb2MueG1sUEsFBgAAAAAGAAYAWQEA&#10;ALgFAAAAAA==&#10;">
              <v:fill on="f" focussize="0,0"/>
              <v:stroke on="f" weight="0.5pt"/>
              <v:imagedata o:title=""/>
              <o:lock v:ext="edit" aspectratio="f"/>
              <v:textbox inset="0mm,0mm,0mm,0mm">
                <w:txbxContent>
                  <w:p>
                    <w:pPr>
                      <w:pStyle w:val="14"/>
                      <w:rPr>
                        <w:rFonts w:hint="eastAsia"/>
                        <w:sz w:val="28"/>
                        <w:szCs w:val="28"/>
                        <w:lang w:eastAsia="zh-CN"/>
                      </w:rPr>
                    </w:pPr>
                  </w:p>
                  <w:p>
                    <w:pPr>
                      <w:pStyle w:val="14"/>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- 1 -</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YTBiYmQwNmU3MjcwODY4ODFiOTVhMDNmNDI5MTIifQ=="/>
  </w:docVars>
  <w:rsids>
    <w:rsidRoot w:val="1FC51F70"/>
    <w:rsid w:val="002A26EA"/>
    <w:rsid w:val="008154FB"/>
    <w:rsid w:val="02795FF6"/>
    <w:rsid w:val="03953D87"/>
    <w:rsid w:val="041F07F9"/>
    <w:rsid w:val="04C85218"/>
    <w:rsid w:val="04D62806"/>
    <w:rsid w:val="05B13808"/>
    <w:rsid w:val="05C01434"/>
    <w:rsid w:val="06512709"/>
    <w:rsid w:val="07027F3D"/>
    <w:rsid w:val="08873808"/>
    <w:rsid w:val="09CB335D"/>
    <w:rsid w:val="09D43E79"/>
    <w:rsid w:val="09EF6044"/>
    <w:rsid w:val="0B6673D6"/>
    <w:rsid w:val="0BEC0944"/>
    <w:rsid w:val="0C363CFF"/>
    <w:rsid w:val="0CFC7AA1"/>
    <w:rsid w:val="0D0A771C"/>
    <w:rsid w:val="0D304912"/>
    <w:rsid w:val="0E9A184E"/>
    <w:rsid w:val="10D46C12"/>
    <w:rsid w:val="11755148"/>
    <w:rsid w:val="130E6E4A"/>
    <w:rsid w:val="13813977"/>
    <w:rsid w:val="14286751"/>
    <w:rsid w:val="14B961F8"/>
    <w:rsid w:val="15A53B8E"/>
    <w:rsid w:val="15D763D2"/>
    <w:rsid w:val="17062DDB"/>
    <w:rsid w:val="17CC5CC6"/>
    <w:rsid w:val="17F94FE4"/>
    <w:rsid w:val="18D0290E"/>
    <w:rsid w:val="18ED74D6"/>
    <w:rsid w:val="195B75CF"/>
    <w:rsid w:val="197D4584"/>
    <w:rsid w:val="19D17270"/>
    <w:rsid w:val="1A75352A"/>
    <w:rsid w:val="1A9E4D8C"/>
    <w:rsid w:val="1B383CAC"/>
    <w:rsid w:val="1E000D35"/>
    <w:rsid w:val="1E034CA2"/>
    <w:rsid w:val="1E1677E1"/>
    <w:rsid w:val="1E364A25"/>
    <w:rsid w:val="1E4D4FCA"/>
    <w:rsid w:val="1EF94CDA"/>
    <w:rsid w:val="1F1D36C2"/>
    <w:rsid w:val="1FC51F70"/>
    <w:rsid w:val="2124707B"/>
    <w:rsid w:val="21716A08"/>
    <w:rsid w:val="218C60E0"/>
    <w:rsid w:val="2203660B"/>
    <w:rsid w:val="238350A4"/>
    <w:rsid w:val="24F7196A"/>
    <w:rsid w:val="25682AC1"/>
    <w:rsid w:val="256B3D4E"/>
    <w:rsid w:val="25974E08"/>
    <w:rsid w:val="26AC150C"/>
    <w:rsid w:val="27744D67"/>
    <w:rsid w:val="27BD0566"/>
    <w:rsid w:val="27D21366"/>
    <w:rsid w:val="28D23EA1"/>
    <w:rsid w:val="29E868E8"/>
    <w:rsid w:val="2BFC0B25"/>
    <w:rsid w:val="2C46625F"/>
    <w:rsid w:val="2C613B9C"/>
    <w:rsid w:val="2CDE714A"/>
    <w:rsid w:val="2CDF47B9"/>
    <w:rsid w:val="2D257323"/>
    <w:rsid w:val="2D472E9B"/>
    <w:rsid w:val="2DC157FE"/>
    <w:rsid w:val="2F373E3C"/>
    <w:rsid w:val="2FA3409E"/>
    <w:rsid w:val="30276419"/>
    <w:rsid w:val="30EF3500"/>
    <w:rsid w:val="31017DBF"/>
    <w:rsid w:val="311D3272"/>
    <w:rsid w:val="31BF2854"/>
    <w:rsid w:val="323D463E"/>
    <w:rsid w:val="3267503D"/>
    <w:rsid w:val="334A14D4"/>
    <w:rsid w:val="349661FB"/>
    <w:rsid w:val="36452C0F"/>
    <w:rsid w:val="37672848"/>
    <w:rsid w:val="38DB50B3"/>
    <w:rsid w:val="390767F2"/>
    <w:rsid w:val="3A4A43D2"/>
    <w:rsid w:val="3B1B071A"/>
    <w:rsid w:val="3B396590"/>
    <w:rsid w:val="3BC21B39"/>
    <w:rsid w:val="3CE061BC"/>
    <w:rsid w:val="3CFA7E9A"/>
    <w:rsid w:val="3E2006DF"/>
    <w:rsid w:val="3E895672"/>
    <w:rsid w:val="3EC93004"/>
    <w:rsid w:val="3F1D69BE"/>
    <w:rsid w:val="3F242948"/>
    <w:rsid w:val="3FBE77E5"/>
    <w:rsid w:val="402B2514"/>
    <w:rsid w:val="40B04C6F"/>
    <w:rsid w:val="4230172D"/>
    <w:rsid w:val="43015805"/>
    <w:rsid w:val="43887B44"/>
    <w:rsid w:val="43A40F40"/>
    <w:rsid w:val="43B045CB"/>
    <w:rsid w:val="44ED45C0"/>
    <w:rsid w:val="456066CE"/>
    <w:rsid w:val="45A37B74"/>
    <w:rsid w:val="46F25859"/>
    <w:rsid w:val="479231BC"/>
    <w:rsid w:val="48226E25"/>
    <w:rsid w:val="49C11E1D"/>
    <w:rsid w:val="4A17224A"/>
    <w:rsid w:val="4A3D2E87"/>
    <w:rsid w:val="4A7E3222"/>
    <w:rsid w:val="4A7E347A"/>
    <w:rsid w:val="4B361D9F"/>
    <w:rsid w:val="4C285D5F"/>
    <w:rsid w:val="4C3D55AE"/>
    <w:rsid w:val="4D2774DD"/>
    <w:rsid w:val="4D6F4A5A"/>
    <w:rsid w:val="4DE3004B"/>
    <w:rsid w:val="4FEF4E12"/>
    <w:rsid w:val="50144325"/>
    <w:rsid w:val="50221E2E"/>
    <w:rsid w:val="5134795D"/>
    <w:rsid w:val="5151033B"/>
    <w:rsid w:val="51CD05DB"/>
    <w:rsid w:val="51DF50B9"/>
    <w:rsid w:val="52B04DD4"/>
    <w:rsid w:val="537335E0"/>
    <w:rsid w:val="539D13E2"/>
    <w:rsid w:val="53D76245"/>
    <w:rsid w:val="55E51FCA"/>
    <w:rsid w:val="56A22589"/>
    <w:rsid w:val="5732271E"/>
    <w:rsid w:val="583E4F9F"/>
    <w:rsid w:val="5927789C"/>
    <w:rsid w:val="592866ED"/>
    <w:rsid w:val="59CE24D2"/>
    <w:rsid w:val="5B2440D6"/>
    <w:rsid w:val="5B4773AA"/>
    <w:rsid w:val="5C6823CD"/>
    <w:rsid w:val="5C98422E"/>
    <w:rsid w:val="5FD1442E"/>
    <w:rsid w:val="61166C16"/>
    <w:rsid w:val="62153188"/>
    <w:rsid w:val="62F908FC"/>
    <w:rsid w:val="63911285"/>
    <w:rsid w:val="653C0244"/>
    <w:rsid w:val="65702D15"/>
    <w:rsid w:val="65950E76"/>
    <w:rsid w:val="66896AC2"/>
    <w:rsid w:val="687C541F"/>
    <w:rsid w:val="69541ADE"/>
    <w:rsid w:val="69882693"/>
    <w:rsid w:val="6AC27AEE"/>
    <w:rsid w:val="6AEA1406"/>
    <w:rsid w:val="6B68642A"/>
    <w:rsid w:val="6B9A4729"/>
    <w:rsid w:val="6BAC6136"/>
    <w:rsid w:val="6D5A08B7"/>
    <w:rsid w:val="6EFD1FEF"/>
    <w:rsid w:val="6F29649B"/>
    <w:rsid w:val="6F951C83"/>
    <w:rsid w:val="709E32A2"/>
    <w:rsid w:val="71732099"/>
    <w:rsid w:val="734E326E"/>
    <w:rsid w:val="73F0427D"/>
    <w:rsid w:val="73F52C31"/>
    <w:rsid w:val="745637E3"/>
    <w:rsid w:val="75761958"/>
    <w:rsid w:val="77537694"/>
    <w:rsid w:val="777C065E"/>
    <w:rsid w:val="77F07D8F"/>
    <w:rsid w:val="78204614"/>
    <w:rsid w:val="799941C7"/>
    <w:rsid w:val="7A2831C4"/>
    <w:rsid w:val="7A95281A"/>
    <w:rsid w:val="7BEB17B1"/>
    <w:rsid w:val="7C6564EF"/>
    <w:rsid w:val="7C6E1AC8"/>
    <w:rsid w:val="7C9016C4"/>
    <w:rsid w:val="7C95094F"/>
    <w:rsid w:val="7D1E6020"/>
    <w:rsid w:val="7E341EFD"/>
    <w:rsid w:val="7E62266F"/>
    <w:rsid w:val="7EB101A6"/>
    <w:rsid w:val="FFF50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0" w:semiHidden="0" w:name="toc 1"/>
    <w:lsdException w:qFormat="1" w:unhideWhenUsed="0" w:uiPriority="0" w:semiHidden="0" w:name="toc 2"/>
    <w:lsdException w:qFormat="1"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napToGrid w:val="0"/>
      <w:kern w:val="0"/>
      <w:sz w:val="32"/>
      <w:szCs w:val="32"/>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link w:val="47"/>
    <w:unhideWhenUsed/>
    <w:qFormat/>
    <w:uiPriority w:val="0"/>
    <w:pPr>
      <w:keepNext/>
      <w:keepLines/>
      <w:spacing w:before="260" w:beforeLines="0" w:beforeAutospacing="0" w:after="260" w:afterLines="0" w:afterAutospacing="0" w:line="413" w:lineRule="auto"/>
      <w:jc w:val="left"/>
      <w:outlineLvl w:val="1"/>
    </w:pPr>
    <w:rPr>
      <w:rFonts w:ascii="Arial" w:hAnsi="Arial" w:eastAsia="方正黑体_GBK"/>
    </w:rPr>
  </w:style>
  <w:style w:type="paragraph" w:styleId="6">
    <w:name w:val="heading 3"/>
    <w:basedOn w:val="1"/>
    <w:next w:val="1"/>
    <w:link w:val="37"/>
    <w:unhideWhenUsed/>
    <w:qFormat/>
    <w:uiPriority w:val="0"/>
    <w:pPr>
      <w:spacing w:before="100" w:beforeAutospacing="1" w:after="100" w:afterAutospacing="1"/>
      <w:jc w:val="left"/>
      <w:outlineLvl w:val="2"/>
    </w:pPr>
    <w:rPr>
      <w:rFonts w:hint="eastAsia" w:ascii="宋体" w:hAnsi="宋体" w:eastAsia="方正楷体_GBK" w:cs="宋体"/>
      <w:kern w:val="0"/>
      <w:sz w:val="32"/>
      <w:szCs w:val="27"/>
      <w:lang w:bidi="ar"/>
    </w:rPr>
  </w:style>
  <w:style w:type="character" w:default="1" w:styleId="25">
    <w:name w:val="Default Paragraph Font"/>
    <w:semiHidden/>
    <w:qFormat/>
    <w:uiPriority w:val="0"/>
  </w:style>
  <w:style w:type="table" w:default="1" w:styleId="2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1"/>
    <w:rPr>
      <w:rFonts w:ascii="方正仿宋_GBK" w:hAnsi="方正仿宋_GBK" w:eastAsia="方正仿宋_GBK" w:cs="方正仿宋_GBK"/>
      <w:sz w:val="32"/>
      <w:szCs w:val="32"/>
      <w:lang w:val="zh-CN" w:eastAsia="zh-CN" w:bidi="zh-CN"/>
    </w:rPr>
  </w:style>
  <w:style w:type="paragraph" w:styleId="3">
    <w:name w:val="toc 5"/>
    <w:basedOn w:val="1"/>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7">
    <w:name w:val="table of authorities"/>
    <w:basedOn w:val="1"/>
    <w:next w:val="1"/>
    <w:qFormat/>
    <w:uiPriority w:val="0"/>
    <w:pPr>
      <w:ind w:left="420" w:leftChars="200"/>
    </w:pPr>
  </w:style>
  <w:style w:type="paragraph" w:styleId="8">
    <w:name w:val="index 8"/>
    <w:next w:val="1"/>
    <w:unhideWhenUsed/>
    <w:qFormat/>
    <w:uiPriority w:val="99"/>
    <w:pPr>
      <w:widowControl w:val="0"/>
      <w:ind w:left="1400" w:leftChars="1400"/>
      <w:jc w:val="both"/>
    </w:pPr>
    <w:rPr>
      <w:rFonts w:ascii="Times New Roman" w:hAnsi="Times New Roman" w:eastAsia="宋体" w:cs="Times New Roman"/>
      <w:kern w:val="2"/>
      <w:sz w:val="21"/>
      <w:szCs w:val="24"/>
      <w:lang w:val="en-US" w:eastAsia="zh-CN" w:bidi="ar-SA"/>
    </w:rPr>
  </w:style>
  <w:style w:type="paragraph" w:styleId="9">
    <w:name w:val="Normal Indent"/>
    <w:basedOn w:val="1"/>
    <w:next w:val="1"/>
    <w:qFormat/>
    <w:uiPriority w:val="0"/>
    <w:pPr>
      <w:spacing w:line="540" w:lineRule="exact"/>
      <w:ind w:firstLine="200" w:firstLineChars="200"/>
    </w:pPr>
    <w:rPr>
      <w:rFonts w:eastAsia="仿宋_GB2312"/>
    </w:rPr>
  </w:style>
  <w:style w:type="paragraph" w:styleId="10">
    <w:name w:val="index 5"/>
    <w:next w:val="1"/>
    <w:qFormat/>
    <w:uiPriority w:val="0"/>
    <w:pPr>
      <w:widowControl w:val="0"/>
      <w:ind w:left="1680"/>
      <w:jc w:val="both"/>
    </w:pPr>
    <w:rPr>
      <w:rFonts w:ascii="Calibri" w:hAnsi="Calibri" w:eastAsia="MS Gothic" w:cs="MS Gothic"/>
      <w:kern w:val="2"/>
      <w:sz w:val="21"/>
      <w:szCs w:val="21"/>
      <w:lang w:val="en-US" w:eastAsia="zh-CN" w:bidi="ar-SA"/>
    </w:rPr>
  </w:style>
  <w:style w:type="paragraph" w:styleId="11">
    <w:name w:val="Body Text Indent"/>
    <w:basedOn w:val="1"/>
    <w:qFormat/>
    <w:uiPriority w:val="0"/>
    <w:pPr>
      <w:ind w:firstLine="560" w:firstLineChars="200"/>
    </w:pPr>
    <w:rPr>
      <w:rFonts w:ascii="宋体" w:hAnsi="宋体"/>
      <w:color w:val="000000"/>
      <w:sz w:val="28"/>
    </w:rPr>
  </w:style>
  <w:style w:type="paragraph" w:styleId="12">
    <w:name w:val="toc 3"/>
    <w:basedOn w:val="1"/>
    <w:next w:val="1"/>
    <w:unhideWhenUsed/>
    <w:qFormat/>
    <w:uiPriority w:val="39"/>
    <w:pPr>
      <w:ind w:left="840" w:leftChars="400"/>
    </w:pPr>
  </w:style>
  <w:style w:type="paragraph" w:styleId="13">
    <w:name w:val="Date"/>
    <w:basedOn w:val="1"/>
    <w:next w:val="1"/>
    <w:qFormat/>
    <w:uiPriority w:val="0"/>
    <w:pPr>
      <w:ind w:left="100" w:leftChars="2500"/>
    </w:pPr>
  </w:style>
  <w:style w:type="paragraph" w:styleId="14">
    <w:name w:val="footer"/>
    <w:basedOn w:val="1"/>
    <w:next w:val="1"/>
    <w:qFormat/>
    <w:uiPriority w:val="99"/>
    <w:pPr>
      <w:tabs>
        <w:tab w:val="center" w:pos="4153"/>
        <w:tab w:val="right" w:pos="8306"/>
      </w:tabs>
      <w:snapToGrid w:val="0"/>
      <w:jc w:val="left"/>
    </w:pPr>
    <w:rPr>
      <w:sz w:val="18"/>
      <w:szCs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rPr>
      <w:rFonts w:ascii="Times New Roman" w:hAnsi="Times New Roman" w:eastAsia="方正黑体_GBK"/>
      <w:sz w:val="32"/>
    </w:rPr>
  </w:style>
  <w:style w:type="paragraph" w:styleId="17">
    <w:name w:val="Body Text Indent 3"/>
    <w:basedOn w:val="1"/>
    <w:qFormat/>
    <w:uiPriority w:val="0"/>
    <w:pPr>
      <w:spacing w:line="640" w:lineRule="atLeast"/>
      <w:ind w:firstLine="602" w:firstLineChars="200"/>
    </w:pPr>
    <w:rPr>
      <w:rFonts w:ascii="仿宋_GB2312" w:eastAsia="仿宋_GB2312"/>
      <w:b/>
      <w:bCs/>
      <w:sz w:val="30"/>
    </w:rPr>
  </w:style>
  <w:style w:type="paragraph" w:styleId="18">
    <w:name w:val="toc 2"/>
    <w:basedOn w:val="1"/>
    <w:next w:val="1"/>
    <w:qFormat/>
    <w:uiPriority w:val="0"/>
    <w:pPr>
      <w:ind w:left="420" w:leftChars="200"/>
    </w:pPr>
    <w:rPr>
      <w:rFonts w:ascii="Times New Roman" w:hAnsi="Times New Roman" w:eastAsia="方正楷体_GBK"/>
      <w:sz w:val="32"/>
    </w:rPr>
  </w:style>
  <w:style w:type="paragraph" w:styleId="19">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20">
    <w:name w:val="Normal (Web)"/>
    <w:basedOn w:val="1"/>
    <w:qFormat/>
    <w:uiPriority w:val="99"/>
    <w:pPr>
      <w:spacing w:beforeAutospacing="1" w:afterAutospacing="1"/>
      <w:jc w:val="left"/>
    </w:pPr>
    <w:rPr>
      <w:rFonts w:ascii="Calibri" w:hAnsi="Calibri" w:eastAsia="宋体"/>
      <w:kern w:val="0"/>
      <w:sz w:val="24"/>
    </w:rPr>
  </w:style>
  <w:style w:type="paragraph" w:styleId="21">
    <w:name w:val="Body Text First Indent"/>
    <w:basedOn w:val="2"/>
    <w:qFormat/>
    <w:uiPriority w:val="0"/>
    <w:pPr>
      <w:spacing w:line="312" w:lineRule="auto"/>
      <w:ind w:firstLine="420"/>
    </w:pPr>
  </w:style>
  <w:style w:type="paragraph" w:styleId="22">
    <w:name w:val="Body Text First Indent 2"/>
    <w:basedOn w:val="11"/>
    <w:unhideWhenUsed/>
    <w:qFormat/>
    <w:uiPriority w:val="99"/>
    <w:pPr>
      <w:ind w:firstLine="420" w:firstLineChars="200"/>
    </w:pPr>
  </w:style>
  <w:style w:type="table" w:styleId="24">
    <w:name w:val="Table Grid"/>
    <w:basedOn w:val="23"/>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6">
    <w:name w:val="Strong"/>
    <w:basedOn w:val="25"/>
    <w:qFormat/>
    <w:uiPriority w:val="0"/>
    <w:rPr>
      <w:b/>
    </w:rPr>
  </w:style>
  <w:style w:type="character" w:styleId="27">
    <w:name w:val="page number"/>
    <w:basedOn w:val="25"/>
    <w:qFormat/>
    <w:uiPriority w:val="0"/>
  </w:style>
  <w:style w:type="paragraph" w:customStyle="1" w:styleId="28">
    <w:name w:val="默认"/>
    <w:qFormat/>
    <w:uiPriority w:val="0"/>
    <w:rPr>
      <w:rFonts w:ascii="Helvetica" w:hAnsi="Helvetica" w:eastAsia="Helvetica" w:cs="Helvetica"/>
      <w:color w:val="000000"/>
      <w:sz w:val="22"/>
      <w:szCs w:val="22"/>
      <w:lang w:val="en-US" w:eastAsia="zh-CN" w:bidi="ar-SA"/>
    </w:rPr>
  </w:style>
  <w:style w:type="paragraph" w:customStyle="1" w:styleId="29">
    <w:name w:val="PlainText"/>
    <w:basedOn w:val="1"/>
    <w:qFormat/>
    <w:uiPriority w:val="0"/>
    <w:pPr>
      <w:jc w:val="both"/>
      <w:textAlignment w:val="baseline"/>
    </w:pPr>
    <w:rPr>
      <w:rFonts w:ascii="宋体" w:hAnsi="Courier New" w:eastAsia="方正仿宋_GBK"/>
      <w:kern w:val="2"/>
      <w:sz w:val="32"/>
      <w:szCs w:val="21"/>
      <w:lang w:val="en-US" w:eastAsia="zh-CN" w:bidi="ar-SA"/>
    </w:rPr>
  </w:style>
  <w:style w:type="paragraph" w:customStyle="1" w:styleId="30">
    <w:name w:val="索引 71"/>
    <w:basedOn w:val="1"/>
    <w:next w:val="1"/>
    <w:qFormat/>
    <w:uiPriority w:val="0"/>
    <w:pPr>
      <w:ind w:left="2520"/>
    </w:pPr>
    <w:rPr>
      <w:rFonts w:ascii="Calibri" w:hAnsi="Calibri" w:eastAsia="宋体" w:cs="黑体"/>
      <w:szCs w:val="24"/>
    </w:rPr>
  </w:style>
  <w:style w:type="paragraph" w:customStyle="1" w:styleId="31">
    <w:name w:val="正文（缩进）"/>
    <w:basedOn w:val="1"/>
    <w:qFormat/>
    <w:uiPriority w:val="0"/>
    <w:pPr>
      <w:spacing w:line="594" w:lineRule="exact"/>
      <w:ind w:firstLine="482"/>
    </w:pPr>
    <w:rPr>
      <w:rFonts w:eastAsia="方正仿宋_GBK"/>
      <w:sz w:val="32"/>
    </w:rPr>
  </w:style>
  <w:style w:type="paragraph" w:customStyle="1" w:styleId="32">
    <w:name w:val="Default"/>
    <w:next w:val="10"/>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33">
    <w:name w:val="font01"/>
    <w:basedOn w:val="25"/>
    <w:qFormat/>
    <w:uiPriority w:val="0"/>
    <w:rPr>
      <w:rFonts w:ascii="方正仿宋_GBK" w:hAnsi="方正仿宋_GBK" w:eastAsia="方正仿宋_GBK" w:cs="方正仿宋_GBK"/>
      <w:color w:val="000000"/>
      <w:sz w:val="28"/>
      <w:szCs w:val="28"/>
      <w:u w:val="none"/>
    </w:rPr>
  </w:style>
  <w:style w:type="character" w:customStyle="1" w:styleId="34">
    <w:name w:val="font11"/>
    <w:basedOn w:val="25"/>
    <w:qFormat/>
    <w:uiPriority w:val="0"/>
    <w:rPr>
      <w:rFonts w:hint="default" w:ascii="Times New Roman" w:hAnsi="Times New Roman" w:cs="Times New Roman"/>
      <w:color w:val="000000"/>
      <w:sz w:val="28"/>
      <w:szCs w:val="28"/>
      <w:u w:val="none"/>
    </w:rPr>
  </w:style>
  <w:style w:type="character" w:customStyle="1" w:styleId="35">
    <w:name w:val="font31"/>
    <w:basedOn w:val="25"/>
    <w:qFormat/>
    <w:uiPriority w:val="0"/>
    <w:rPr>
      <w:rFonts w:hint="default" w:ascii="Times New Roman" w:hAnsi="Times New Roman" w:cs="Times New Roman"/>
      <w:color w:val="000000"/>
      <w:sz w:val="36"/>
      <w:szCs w:val="36"/>
      <w:u w:val="none"/>
    </w:rPr>
  </w:style>
  <w:style w:type="character" w:customStyle="1" w:styleId="36">
    <w:name w:val="font21"/>
    <w:basedOn w:val="25"/>
    <w:qFormat/>
    <w:uiPriority w:val="0"/>
    <w:rPr>
      <w:rFonts w:hint="default" w:ascii="Times New Roman" w:hAnsi="Times New Roman" w:cs="Times New Roman"/>
      <w:color w:val="000000"/>
      <w:sz w:val="24"/>
      <w:szCs w:val="24"/>
      <w:u w:val="none"/>
    </w:rPr>
  </w:style>
  <w:style w:type="character" w:customStyle="1" w:styleId="37">
    <w:name w:val="标题 3 Char"/>
    <w:link w:val="6"/>
    <w:qFormat/>
    <w:uiPriority w:val="0"/>
    <w:rPr>
      <w:rFonts w:hint="eastAsia" w:ascii="宋体" w:hAnsi="宋体" w:eastAsia="方正楷体_GBK" w:cs="宋体"/>
      <w:kern w:val="0"/>
      <w:sz w:val="32"/>
      <w:szCs w:val="27"/>
      <w:lang w:bidi="ar"/>
    </w:rPr>
  </w:style>
  <w:style w:type="character" w:customStyle="1" w:styleId="38">
    <w:name w:val="font91"/>
    <w:basedOn w:val="25"/>
    <w:qFormat/>
    <w:uiPriority w:val="0"/>
    <w:rPr>
      <w:rFonts w:hint="eastAsia" w:ascii="宋体" w:hAnsi="宋体" w:eastAsia="宋体" w:cs="宋体"/>
      <w:color w:val="000000"/>
      <w:sz w:val="32"/>
      <w:szCs w:val="32"/>
      <w:u w:val="none"/>
    </w:rPr>
  </w:style>
  <w:style w:type="character" w:customStyle="1" w:styleId="39">
    <w:name w:val="font51"/>
    <w:basedOn w:val="25"/>
    <w:qFormat/>
    <w:uiPriority w:val="0"/>
    <w:rPr>
      <w:rFonts w:ascii="方正仿宋_GBK" w:hAnsi="方正仿宋_GBK" w:eastAsia="方正仿宋_GBK" w:cs="方正仿宋_GBK"/>
      <w:color w:val="000000"/>
      <w:sz w:val="32"/>
      <w:szCs w:val="32"/>
      <w:u w:val="none"/>
    </w:rPr>
  </w:style>
  <w:style w:type="character" w:customStyle="1" w:styleId="40">
    <w:name w:val="font81"/>
    <w:basedOn w:val="25"/>
    <w:qFormat/>
    <w:uiPriority w:val="0"/>
    <w:rPr>
      <w:rFonts w:hint="default" w:ascii="Times New Roman" w:hAnsi="Times New Roman" w:cs="Times New Roman"/>
      <w:color w:val="000000"/>
      <w:sz w:val="24"/>
      <w:szCs w:val="24"/>
      <w:u w:val="none"/>
    </w:rPr>
  </w:style>
  <w:style w:type="character" w:customStyle="1" w:styleId="41">
    <w:name w:val="font101"/>
    <w:basedOn w:val="25"/>
    <w:qFormat/>
    <w:uiPriority w:val="0"/>
    <w:rPr>
      <w:rFonts w:hint="eastAsia" w:ascii="宋体" w:hAnsi="宋体" w:eastAsia="宋体" w:cs="宋体"/>
      <w:color w:val="000000"/>
      <w:sz w:val="24"/>
      <w:szCs w:val="24"/>
      <w:u w:val="none"/>
    </w:rPr>
  </w:style>
  <w:style w:type="character" w:customStyle="1" w:styleId="42">
    <w:name w:val="font41"/>
    <w:basedOn w:val="25"/>
    <w:qFormat/>
    <w:uiPriority w:val="0"/>
    <w:rPr>
      <w:rFonts w:hint="default" w:ascii="Times New Roman" w:hAnsi="Times New Roman" w:cs="Times New Roman"/>
      <w:color w:val="000000"/>
      <w:sz w:val="22"/>
      <w:szCs w:val="22"/>
      <w:u w:val="none"/>
    </w:rPr>
  </w:style>
  <w:style w:type="paragraph" w:styleId="43">
    <w:name w:val="List Paragraph"/>
    <w:basedOn w:val="1"/>
    <w:qFormat/>
    <w:uiPriority w:val="1"/>
    <w:pPr>
      <w:spacing w:before="6"/>
      <w:ind w:left="104" w:right="390" w:firstLine="631"/>
      <w:jc w:val="both"/>
    </w:pPr>
    <w:rPr>
      <w:rFonts w:ascii="方正仿宋_GBK" w:hAnsi="方正仿宋_GBK" w:eastAsia="方正仿宋_GBK" w:cs="方正仿宋_GBK"/>
      <w:lang w:val="zh-CN" w:eastAsia="zh-CN" w:bidi="zh-CN"/>
    </w:rPr>
  </w:style>
  <w:style w:type="character" w:customStyle="1" w:styleId="44">
    <w:name w:val="font71"/>
    <w:basedOn w:val="25"/>
    <w:qFormat/>
    <w:uiPriority w:val="0"/>
    <w:rPr>
      <w:rFonts w:hint="eastAsia" w:ascii="方正仿宋_GBK" w:hAnsi="方正仿宋_GBK" w:eastAsia="方正仿宋_GBK" w:cs="方正仿宋_GBK"/>
      <w:color w:val="000000"/>
      <w:sz w:val="20"/>
      <w:szCs w:val="20"/>
      <w:u w:val="none"/>
    </w:rPr>
  </w:style>
  <w:style w:type="character" w:customStyle="1" w:styleId="45">
    <w:name w:val="font112"/>
    <w:basedOn w:val="25"/>
    <w:qFormat/>
    <w:uiPriority w:val="0"/>
    <w:rPr>
      <w:rFonts w:hint="eastAsia" w:ascii="方正仿宋_GBK" w:hAnsi="方正仿宋_GBK" w:eastAsia="方正仿宋_GBK" w:cs="方正仿宋_GBK"/>
      <w:color w:val="000000"/>
      <w:sz w:val="22"/>
      <w:szCs w:val="22"/>
      <w:u w:val="none"/>
    </w:rPr>
  </w:style>
  <w:style w:type="character" w:customStyle="1" w:styleId="46">
    <w:name w:val="font61"/>
    <w:basedOn w:val="25"/>
    <w:qFormat/>
    <w:uiPriority w:val="0"/>
    <w:rPr>
      <w:rFonts w:hint="eastAsia" w:ascii="方正仿宋_GBK" w:hAnsi="方正仿宋_GBK" w:eastAsia="方正仿宋_GBK" w:cs="方正仿宋_GBK"/>
      <w:color w:val="000000"/>
      <w:sz w:val="28"/>
      <w:szCs w:val="28"/>
      <w:u w:val="none"/>
    </w:rPr>
  </w:style>
  <w:style w:type="character" w:customStyle="1" w:styleId="47">
    <w:name w:val="标题 2 Char"/>
    <w:link w:val="5"/>
    <w:qFormat/>
    <w:uiPriority w:val="0"/>
    <w:rPr>
      <w:rFonts w:ascii="Arial" w:hAnsi="Arial" w:eastAsia="方正黑体_GBK"/>
    </w:rPr>
  </w:style>
  <w:style w:type="paragraph" w:customStyle="1" w:styleId="48">
    <w:name w:val="目录 51"/>
    <w:basedOn w:val="1"/>
    <w:next w:val="1"/>
    <w:semiHidden/>
    <w:qFormat/>
    <w:uiPriority w:val="0"/>
    <w:pPr>
      <w:spacing w:line="600" w:lineRule="exact"/>
      <w:ind w:firstLine="200" w:firstLineChars="200"/>
      <w:jc w:val="left"/>
    </w:pPr>
    <w:rPr>
      <w:rFonts w:ascii="方正黑体_GBK" w:hAnsi="Calibri" w:eastAsia="宋体" w:cs="宋体"/>
      <w:szCs w:val="32"/>
    </w:rPr>
  </w:style>
  <w:style w:type="paragraph" w:customStyle="1" w:styleId="49">
    <w:name w:val="Table Paragraph"/>
    <w:basedOn w:val="1"/>
    <w:qFormat/>
    <w:uiPriority w:val="1"/>
    <w:rPr>
      <w:rFonts w:ascii="方正仿宋_GBK" w:hAnsi="方正仿宋_GBK" w:eastAsia="方正仿宋_GBK" w:cs="方正仿宋_GBK"/>
      <w:lang w:val="zh-CN" w:eastAsia="zh-CN" w:bidi="zh-CN"/>
    </w:rPr>
  </w:style>
  <w:style w:type="paragraph" w:customStyle="1" w:styleId="50">
    <w:name w:val="Char"/>
    <w:basedOn w:val="1"/>
    <w:qFormat/>
    <w:uiPriority w:val="0"/>
    <w:pPr>
      <w:widowControl/>
      <w:spacing w:after="160" w:afterLines="0" w:line="240" w:lineRule="exact"/>
      <w:jc w:val="left"/>
    </w:pPr>
    <w:rPr>
      <w:rFonts w:ascii="宋体" w:hAnsi="宋体" w:cs="Courier New"/>
      <w:sz w:val="32"/>
      <w:szCs w:val="32"/>
    </w:rPr>
  </w:style>
  <w:style w:type="character" w:customStyle="1" w:styleId="51">
    <w:name w:val="NormalCharacter"/>
    <w:semiHidden/>
    <w:qFormat/>
    <w:uiPriority w:val="0"/>
  </w:style>
  <w:style w:type="paragraph" w:customStyle="1" w:styleId="52">
    <w:name w:val="UserStyle_3"/>
    <w:qFormat/>
    <w:uiPriority w:val="0"/>
    <w:pPr>
      <w:textAlignment w:val="baseline"/>
    </w:pPr>
    <w:rPr>
      <w:rFonts w:ascii="方正仿宋_GBK" w:hAnsi="Times New Roman" w:eastAsia="方正仿宋_GBK" w:cs="Times New Roman"/>
      <w:color w:val="000000"/>
      <w:sz w:val="24"/>
      <w:szCs w:val="24"/>
      <w:lang w:val="en-US" w:eastAsia="zh-CN" w:bidi="ar-SA"/>
    </w:rPr>
  </w:style>
  <w:style w:type="paragraph" w:customStyle="1" w:styleId="53">
    <w:name w:val="正文文本1"/>
    <w:basedOn w:val="1"/>
    <w:qFormat/>
    <w:uiPriority w:val="0"/>
    <w:pPr>
      <w:spacing w:line="391" w:lineRule="auto"/>
      <w:ind w:firstLine="400"/>
    </w:pPr>
    <w:rPr>
      <w:rFonts w:ascii="宋体" w:hAnsi="宋体" w:eastAsia="宋体" w:cs="宋体"/>
      <w:sz w:val="30"/>
      <w:szCs w:val="30"/>
    </w:rPr>
  </w:style>
  <w:style w:type="paragraph" w:customStyle="1" w:styleId="54">
    <w:name w:val="正文文本 (2)"/>
    <w:basedOn w:val="1"/>
    <w:qFormat/>
    <w:uiPriority w:val="0"/>
    <w:pPr>
      <w:spacing w:line="561" w:lineRule="exact"/>
      <w:ind w:firstLine="660"/>
    </w:pPr>
    <w:rPr>
      <w:rFonts w:ascii="黑体" w:hAnsi="黑体" w:eastAsia="黑体" w:cs="黑体"/>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2473</Words>
  <Characters>2622</Characters>
  <Lines>0</Lines>
  <Paragraphs>0</Paragraphs>
  <TotalTime>1</TotalTime>
  <ScaleCrop>false</ScaleCrop>
  <LinksUpToDate>false</LinksUpToDate>
  <CharactersWithSpaces>2797</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2020-06-22T17:42:00Z</dcterms:created>
  <dc:creator>石鱼镇收发员</dc:creator>
  <cp:lastModifiedBy>石鱼镇收发员</cp:lastModifiedBy>
  <cp:lastPrinted>2022-07-13T08:01:00Z</cp:lastPrinted>
  <dcterms:modified xsi:type="dcterms:W3CDTF">2022-08-31T09:28:04Z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y fmtid="{D5CDD505-2E9C-101B-9397-08002B2CF9AE}" pid="3" name="ICV">
    <vt:lpwstr>BC7818F67DAA4A1FBADEE739A9513AAA</vt:lpwstr>
  </property>
</Properties>
</file>