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重庆市铜梁区石鱼镇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2022年“三公”经费决算汇总情况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预算法》和《重庆市铜梁区预决算信息公开管理办法》有关要求，现将石鱼镇2022年度“三公”经费决算汇总情况公布如下：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2022年度我镇“三公”经费决算10.19万元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较上年决算数减少0.01万元，下降0.1%。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2022年度我单位无因公出国（境）支出，与上年度决算数持平。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</w:rPr>
        <w:t>本单位2022年度未发生公务接待费，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与上年度决算数持平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公务车购置费0万元，费用支出较年初预算数增加0万元，增长0.0%。较上年支出数增加0万元，增长0.0%。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</w:rPr>
        <w:t>本单位2022年度未发生公务车购置费，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与上年度决算数持平。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公务车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购置与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运行维护费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10.19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公务用车购置费0万元、公务用车运行维护费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10.19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支出较上年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支出数减少0.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万元，下降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%，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主要原因是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我镇响应上级号召，严格执行了过紧日子的要求，压减我镇各项支出。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（联系方式：023-4558156。）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61345E2D"/>
    <w:rsid w:val="030F728A"/>
    <w:rsid w:val="10B80373"/>
    <w:rsid w:val="1BD43D1E"/>
    <w:rsid w:val="3F4F04A7"/>
    <w:rsid w:val="47095999"/>
    <w:rsid w:val="514152B1"/>
    <w:rsid w:val="53722466"/>
    <w:rsid w:val="55465A28"/>
    <w:rsid w:val="61345E2D"/>
    <w:rsid w:val="61E651D4"/>
    <w:rsid w:val="63743E57"/>
    <w:rsid w:val="73221201"/>
    <w:rsid w:val="7680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404</Characters>
  <Lines>0</Lines>
  <Paragraphs>0</Paragraphs>
  <TotalTime>2</TotalTime>
  <ScaleCrop>false</ScaleCrop>
  <LinksUpToDate>false</LinksUpToDate>
  <CharactersWithSpaces>409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2021-10-21T17:20:00Z</dcterms:created>
  <dc:creator>Administrator</dc:creator>
  <cp:lastModifiedBy>tlww</cp:lastModifiedBy>
  <cp:lastPrinted>2023-10-30T14:38:00Z</cp:lastPrinted>
  <dcterms:modified xsi:type="dcterms:W3CDTF">2023-11-01T17:41:14Z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5EA6BCE4DBE344A2869119EC1959F13E_12</vt:lpwstr>
  </property>
</Properties>
</file>