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94"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重庆市铜梁区双山镇人民政府</w:t>
      </w:r>
    </w:p>
    <w:p>
      <w:pPr>
        <w:keepNext w:val="0"/>
        <w:keepLines w:val="0"/>
        <w:pageBreakBefore w:val="0"/>
        <w:widowControl w:val="0"/>
        <w:kinsoku/>
        <w:wordWrap/>
        <w:overflowPunct/>
        <w:topLinePunct w:val="0"/>
        <w:autoSpaceDN/>
        <w:bidi w:val="0"/>
        <w:adjustRightInd/>
        <w:spacing w:line="594"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2023年度决算公开说明</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部门基本情况</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630" w:leftChars="0" w:firstLine="10" w:firstLineChars="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职能职责</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在区委、区政府的领导下，贯彻执行党和国家各项方针、政策、法律、法规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负责辖区内的地区性、群众性、公益性、社会性工作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负责精神文明建设工作，积极组织以提高村民素质为目的的活动，树文明立新风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做好辖区范围内城市建设和管理、市容环境卫生、园林绿化、环境保护、市政等监督、管理、服务工作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负责辖区内的维护稳定工作及社会治安综合治理工作、依照有关政策规定做好外来人口的管理工作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负责民事调解，法律服务工作，维护居民的合法权益，负责社区建设和管理，指导开展社区服务工作，大力兴办社会福利事业，发动和组织社区成员开展各类社区公益活动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负责民兵、兵役、拥军优属、优抚安置、社会救济、社会福利、社区文化、科普、体育、教育、旅游工作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发展村级经济，管理国有资产和集体资产，为镇政府、行政村经济组织提供人才、科技、信息和其他服务，以经济、法律和必要的行政手段推动政府、村级经济发展和维护市场秩序；负责计划生育、劳动就业、安全生产监督、初级卫生保健、人民调解等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10" w:leftChars="0" w:firstLine="64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指导和帮助居（村）民委员会搞好组织建设和制度建设，发挥居（村）民委员会的群众自治作用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9、配合有关部门做好防汛、防火、防震、抢险和救灾工作。</w:t>
      </w:r>
    </w:p>
    <w:p>
      <w:pPr>
        <w:keepNext w:val="0"/>
        <w:keepLines w:val="0"/>
        <w:pageBreakBefore w:val="0"/>
        <w:widowControl w:val="0"/>
        <w:numPr>
          <w:ilvl w:val="0"/>
          <w:numId w:val="2"/>
        </w:numPr>
        <w:kinsoku/>
        <w:wordWrap/>
        <w:overflowPunct/>
        <w:topLinePunct w:val="0"/>
        <w:autoSpaceDN/>
        <w:bidi w:val="0"/>
        <w:adjustRightInd/>
        <w:spacing w:line="594" w:lineRule="exact"/>
        <w:ind w:left="630" w:leftChars="0" w:firstLine="0" w:firstLineChars="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机构设置</w:t>
      </w:r>
    </w:p>
    <w:p>
      <w:pPr>
        <w:keepNext w:val="0"/>
        <w:keepLines w:val="0"/>
        <w:pageBreakBefore w:val="0"/>
        <w:widowControl w:val="0"/>
        <w:numPr>
          <w:ilvl w:val="0"/>
          <w:numId w:val="0"/>
        </w:numPr>
        <w:kinsoku/>
        <w:wordWrap/>
        <w:overflowPunct/>
        <w:topLinePunct w:val="0"/>
        <w:autoSpaceDN/>
        <w:bidi w:val="0"/>
        <w:adjustRightInd/>
        <w:spacing w:line="594" w:lineRule="exact"/>
        <w:ind w:lef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从预算单位构成看，纳入本部门202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度决算编制的一级预算单位主要包括内设9个机构处室，分别是共产党机关1个，政府机关1个，事业单位有劳动就业和社会保障服务所、文化中心、农业服务中心、退役军人服务站、综合行政执法大队、乡村生态治理中心、乡村生态产业培育中心共7个单位。</w:t>
      </w:r>
    </w:p>
    <w:p>
      <w:pPr>
        <w:keepNext w:val="0"/>
        <w:keepLines w:val="0"/>
        <w:pageBreakBefore w:val="0"/>
        <w:widowControl w:val="0"/>
        <w:numPr>
          <w:ilvl w:val="0"/>
          <w:numId w:val="1"/>
        </w:numPr>
        <w:kinsoku/>
        <w:wordWrap/>
        <w:overflowPunct/>
        <w:topLinePunct w:val="0"/>
        <w:autoSpaceDN/>
        <w:bidi w:val="0"/>
        <w:adjustRightInd/>
        <w:spacing w:line="594" w:lineRule="exact"/>
        <w:ind w:left="0" w:leftChars="0" w:firstLine="0" w:firstLineChars="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部门决算情况说明</w:t>
      </w:r>
    </w:p>
    <w:p>
      <w:pPr>
        <w:pStyle w:val="7"/>
        <w:keepNext w:val="0"/>
        <w:keepLines w:val="0"/>
        <w:pageBreakBefore w:val="0"/>
        <w:widowControl w:val="0"/>
        <w:numPr>
          <w:ilvl w:val="0"/>
          <w:numId w:val="4"/>
        </w:numPr>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收入支出决算总体情况说明。</w:t>
      </w:r>
    </w:p>
    <w:p>
      <w:pPr>
        <w:pStyle w:val="7"/>
        <w:keepNext w:val="0"/>
        <w:keepLines w:val="0"/>
        <w:pageBreakBefore w:val="0"/>
        <w:widowControl w:val="0"/>
        <w:numPr>
          <w:ilvl w:val="0"/>
          <w:numId w:val="0"/>
        </w:numPr>
        <w:kinsoku/>
        <w:wordWrap/>
        <w:overflowPunct/>
        <w:topLinePunct w:val="0"/>
        <w:autoSpaceDE w:val="0"/>
        <w:autoSpaceDN/>
        <w:bidi w:val="0"/>
        <w:adjustRightInd/>
        <w:spacing w:line="594"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2023年度收入总计2415.87万元，支出总计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2415.87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万元。收支较上年决算数增加232.70万元，增长10.66%，主要原因是人员增加，项目增加，财政拨款增加。</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2023年度收入合计2400.87万元，较上年决算数增加232.70万元，增长10.73%，主要原因是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人员增加，项目增加，财政拨款增加。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2400.87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2023年度支出合计</w:t>
      </w:r>
      <w:r>
        <w:rPr>
          <w:rFonts w:hint="default" w:ascii="Times New Roman" w:hAnsi="Times New Roman" w:eastAsia="方正仿宋_GBK" w:cs="Times New Roman"/>
          <w:color w:val="000000" w:themeColor="text1"/>
          <w:sz w:val="32"/>
          <w:szCs w:val="32"/>
          <w14:textFill>
            <w14:solidFill>
              <w14:schemeClr w14:val="tx1"/>
            </w14:solidFill>
          </w14:textFill>
        </w:rPr>
        <w:t>2400.87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万元，较上年决算数增加232.70万元，增长10.73%，主要原因是人员增加，项目增加，财政拨款增加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1288.76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万元，占53.68%；项目支出</w:t>
      </w:r>
      <w:r>
        <w:rPr>
          <w:rFonts w:hint="default" w:ascii="Times New Roman" w:hAnsi="Times New Roman" w:eastAsia="方正仿宋_GBK" w:cs="Times New Roman"/>
          <w:color w:val="000000" w:themeColor="text1"/>
          <w:sz w:val="32"/>
          <w:szCs w:val="32"/>
          <w14:textFill>
            <w14:solidFill>
              <w14:schemeClr w14:val="tx1"/>
            </w14:solidFill>
          </w14:textFill>
        </w:rPr>
        <w:t>1112.11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万元，占46.32%；经营支出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（二）财政拨款收入支出决算总体情况说明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2023年度财政拨款收、支总计2415.87万元。与2022年相比，财政拨款收、支总计各增加232.70万元，增长10.66%。主要原因是人员增加，项目增加，财政拨款增加。</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（三）一般公共预算财政拨款收入支出决算情况说明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2400.87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万元，较上年决算数增加326.66万元，增长15.75%。较年初预算数增加495.63万元，增长26.01%。此外，年初财政拨款结转和结余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2400.87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万元，较上年决算数增加326.66万元，增长15.75%。较年初预算数增加495.63万元，增长26.01%。</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15.00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万元，较上年决算数无增减</w:t>
      </w: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489.48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20.39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%，较年初预算数增加46.81万元，增长10.57%，主要原因是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人员增加。</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）文化旅游体育与传媒支出</w:t>
      </w:r>
      <w:r>
        <w:rPr>
          <w:rFonts w:hint="default" w:ascii="Times New Roman" w:hAnsi="Times New Roman" w:eastAsia="方正仿宋_GBK" w:cs="Times New Roman"/>
          <w:color w:val="000000" w:themeColor="text1"/>
          <w:sz w:val="32"/>
          <w:szCs w:val="32"/>
          <w14:textFill>
            <w14:solidFill>
              <w14:schemeClr w14:val="tx1"/>
            </w14:solidFill>
          </w14:textFill>
        </w:rPr>
        <w:t>63.33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%，较年初预算数增加58.33万元，增长116.60%，主要原因是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加强了文化旅游方面工作，促进乡村旅游发展。</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264.10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11.00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%，较年初预算数增加94.30万元，增长55.54%，主要原因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积极落实社保和就业的相关政策，社保基数上涨等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36.04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1.50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%，较年初预算数减少27.73万元，下降43.48%，主要原因是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近年的基层卫生服务得到了加强，疫情得到控制等原因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）节能环保支出</w:t>
      </w:r>
      <w:r>
        <w:rPr>
          <w:rFonts w:hint="default" w:ascii="Times New Roman" w:hAnsi="Times New Roman" w:eastAsia="方正仿宋_GBK" w:cs="Times New Roman"/>
          <w:color w:val="000000" w:themeColor="text1"/>
          <w:sz w:val="32"/>
          <w:szCs w:val="32"/>
          <w14:textFill>
            <w14:solidFill>
              <w14:schemeClr w14:val="tx1"/>
            </w14:solidFill>
          </w14:textFill>
        </w:rPr>
        <w:t>79.86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3.33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%，较年初预算数减少23.58万元，下降22.80%，主要原因是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前期节能环保工作成效明显</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）城乡社区支出</w:t>
      </w:r>
      <w:r>
        <w:rPr>
          <w:rFonts w:hint="default" w:ascii="Times New Roman" w:hAnsi="Times New Roman" w:eastAsia="方正仿宋_GBK" w:cs="Times New Roman"/>
          <w:color w:val="000000" w:themeColor="text1"/>
          <w:sz w:val="32"/>
          <w:szCs w:val="32"/>
          <w14:textFill>
            <w14:solidFill>
              <w14:schemeClr w14:val="tx1"/>
            </w14:solidFill>
          </w14:textFill>
        </w:rPr>
        <w:t>111.50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%，较年初预算数增加61.50万元，增长123.00%，主要原因是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基础设施建设增加、公共服务提升、社区管理加强等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color w:val="000000" w:themeColor="text1"/>
          <w:sz w:val="32"/>
          <w:szCs w:val="32"/>
          <w14:textFill>
            <w14:solidFill>
              <w14:schemeClr w14:val="tx1"/>
            </w14:solidFill>
          </w14:textFill>
        </w:rPr>
        <w:t>984.22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40.99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%，较年初预算数增加60.45万元，增长6.54%，主要原因是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加大了资金投入，农村地区基础设施加强等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）交通运输支出</w:t>
      </w:r>
      <w:r>
        <w:rPr>
          <w:rFonts w:hint="default" w:ascii="Times New Roman" w:hAnsi="Times New Roman" w:eastAsia="方正仿宋_GBK" w:cs="Times New Roman"/>
          <w:color w:val="000000" w:themeColor="text1"/>
          <w:sz w:val="32"/>
          <w:szCs w:val="32"/>
          <w14:textFill>
            <w14:solidFill>
              <w14:schemeClr w14:val="tx1"/>
            </w14:solidFill>
          </w14:textFill>
        </w:rPr>
        <w:t>248.63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10.36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%，较年初预算数增加159.62万元，增长179.33%，主要原因是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交通道路得到进一步改善，满足更多群众出行需求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住房保障支出70.65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2.94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%，较年初预算数增加12.87万元，增长22.27%，主要原因是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住房保障人员增加，相关基数上调等。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灾害防治及应急管理支出53.05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%，较年初预算数增加53.05万元，增长100.00%，主要原因是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2023年突发</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旱情灾害严重。</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（四）一般公共预算财政拨款基本支出决算情况说明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1288.76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1034.45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万元，较上年决算数增加88.60万元，增长9.37%，主要原因是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单位人员增加，基数上涨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基本工资、五险一金等</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s="Times New Roman"/>
          <w:color w:val="000000" w:themeColor="text1"/>
          <w:sz w:val="32"/>
          <w:szCs w:val="32"/>
          <w14:textFill>
            <w14:solidFill>
              <w14:schemeClr w14:val="tx1"/>
            </w14:solidFill>
          </w14:textFill>
        </w:rPr>
        <w:t>254.31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万元，较上年决算数减少32.27万元，下降11.26%，主要原因是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严格落实中央八项规定，贯彻政府过紧日子要求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机关基本运转和办公费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（五）政府性基金预算收支决算情况说明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auto"/>
          <w14:textFill>
            <w14:solidFill>
              <w14:schemeClr w14:val="tx1"/>
            </w14:solidFill>
          </w14:textFill>
        </w:rPr>
      </w:pPr>
      <w:r>
        <w:rPr>
          <w:rStyle w:val="5"/>
          <w:rFonts w:hint="default" w:ascii="Times New Roman" w:hAnsi="Times New Roman" w:eastAsia="方正仿宋_GBK" w:cs="Times New Roman"/>
          <w:b w:val="0"/>
          <w:bCs/>
          <w:color w:val="000000" w:themeColor="text1"/>
          <w:sz w:val="32"/>
          <w:szCs w:val="32"/>
          <w:shd w:val="clear" w:color="auto" w:fill="auto"/>
          <w14:textFill>
            <w14:solidFill>
              <w14:schemeClr w14:val="tx1"/>
            </w14:solidFill>
          </w14:textFill>
        </w:rPr>
        <w:t>本部门2023年度无政府性基金预算财政拨款收支。</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（六）国有资本经营预算财政拨款支出决算情况说明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5"/>
          <w:rFonts w:hint="default" w:ascii="Times New Roman" w:hAnsi="Times New Roman" w:eastAsia="方正仿宋_GBK" w:cs="Times New Roman"/>
          <w:b w:val="0"/>
          <w:bCs/>
          <w:color w:val="000000" w:themeColor="text1"/>
          <w:sz w:val="32"/>
          <w:szCs w:val="32"/>
          <w:shd w:val="clear" w:color="auto" w:fill="auto"/>
          <w14:textFill>
            <w14:solidFill>
              <w14:schemeClr w14:val="tx1"/>
            </w14:solidFill>
          </w14:textFill>
        </w:rPr>
      </w:pPr>
      <w:r>
        <w:rPr>
          <w:rStyle w:val="5"/>
          <w:rFonts w:hint="default" w:ascii="Times New Roman" w:hAnsi="Times New Roman" w:eastAsia="方正仿宋_GBK" w:cs="Times New Roman"/>
          <w:b w:val="0"/>
          <w:bCs/>
          <w:color w:val="000000" w:themeColor="text1"/>
          <w:sz w:val="32"/>
          <w:szCs w:val="32"/>
          <w:shd w:val="clear" w:color="auto" w:fill="auto"/>
          <w14:textFill>
            <w14:solidFill>
              <w14:schemeClr w14:val="tx1"/>
            </w14:solidFill>
          </w14:textFill>
        </w:rPr>
        <w:t>本部门2023年度无国有资本经营预算财政拨款支出。</w:t>
      </w:r>
    </w:p>
    <w:p>
      <w:pPr>
        <w:pStyle w:val="3"/>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594" w:lineRule="exact"/>
        <w:ind w:left="0" w:leftChars="0" w:firstLine="640" w:firstLineChars="200"/>
        <w:jc w:val="both"/>
        <w:textAlignment w:val="auto"/>
        <w:rPr>
          <w:rStyle w:val="5"/>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“三公”经费情况说明</w:t>
      </w:r>
      <w:bookmarkStart w:id="0" w:name="_GoBack"/>
      <w:bookmarkEnd w:id="0"/>
    </w:p>
    <w:p>
      <w:pPr>
        <w:pStyle w:val="3"/>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594" w:lineRule="exact"/>
        <w:ind w:leftChars="0" w:firstLine="640" w:firstLineChars="200"/>
        <w:jc w:val="both"/>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“三公”经费支出总体情况说明</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3.39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万元，较年初预算数减少7.41万元，下降68.61%，主要原因是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中央</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八项规定，贯彻政府过紧日子要求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。较上年支出数减少2.43万元，下降41.75%，主要原因是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中央</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八项规定，贯彻政府过紧日子要求</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（二）“三公”经费分项支出情况</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2023年度本单位因公出国（境）费用0万元，费用支出较年初预算数增加0万元，增长0.0%。较上年支出数增加0万元，增长0.0%。2023年度我单位无因公出国（境）支出，与上年度决算数持平。</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公务用车购置费0万元，费用支出较年初预算数增加0万元，增长0.0%。较上年支出数增加0万元，增长0.0%。本单位2023年度未发生公务用车购置费，与上年度决算数持平。  </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3.39万元，主要用于公务车辆维修维护及运行。费用支出较年初预算数减少7.41万元，下降68.61%，较上年支出数减少2.43万元，下降41.75%，主要原因是合理使用公务车辆，积极贯彻政府过紧日子要求。</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公务接待费0.00万元，费用支出较年初预算数无增减，较上年支出数无增减。</w:t>
      </w:r>
    </w:p>
    <w:p>
      <w:pPr>
        <w:pStyle w:val="7"/>
        <w:keepNext w:val="0"/>
        <w:keepLines w:val="0"/>
        <w:pageBreakBefore w:val="0"/>
        <w:widowControl w:val="0"/>
        <w:kinsoku/>
        <w:wordWrap/>
        <w:overflowPunct/>
        <w:topLinePunct w:val="0"/>
        <w:autoSpaceDE w:val="0"/>
        <w:autoSpaceDN/>
        <w:bidi w:val="0"/>
        <w:adjustRightInd/>
        <w:spacing w:line="594"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（三）“三公”经费实物量情况</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人。2023年本部门人均接待费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1.69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lang w:eastAsia="zh-CN"/>
          <w14:textFill>
            <w14:solidFill>
              <w14:schemeClr w14:val="tx1"/>
            </w14:solidFill>
          </w14:textFill>
        </w:rPr>
        <w:t>四、</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其他需要说明的事项</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t>（一）</w:t>
      </w:r>
      <w:r>
        <w:rPr>
          <w:rFonts w:hint="default" w:ascii="Times New Roman" w:hAnsi="Times New Roman" w:eastAsia="方正楷体_GBK" w:cs="Times New Roman"/>
          <w:color w:val="000000" w:themeColor="text1"/>
          <w:sz w:val="32"/>
          <w:szCs w:val="32"/>
          <w:shd w:val="clear" w:color="auto" w:fill="FFFFFF"/>
          <w14:textFill>
            <w14:solidFill>
              <w14:schemeClr w14:val="tx1"/>
            </w14:solidFill>
          </w14:textFill>
        </w:rPr>
        <w:t>财政拨款会议费和培训费情况说明</w:t>
      </w:r>
      <w:r>
        <w:rPr>
          <w:rFonts w:hint="default"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本年度会议费支出0.00万元。本年度培训费支出3.24万元，较上年决算数增加3.24万元，增长100.00%，主要原因是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按照全区统一安排，干部参加培训部分费用由所在单位负责报销</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楷体"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val="0"/>
          <w:bCs/>
          <w:color w:val="000000" w:themeColor="text1"/>
          <w:sz w:val="32"/>
          <w:szCs w:val="32"/>
          <w:shd w:val="clear" w:color="auto" w:fill="FFFFFF"/>
          <w14:textFill>
            <w14:solidFill>
              <w14:schemeClr w14:val="tx1"/>
            </w14:solidFill>
          </w14:textFill>
        </w:rPr>
        <w:t>（二）机关运行经费情况说明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2023年度本部门机关运行经费支出</w:t>
      </w:r>
      <w:r>
        <w:rPr>
          <w:rFonts w:hint="default" w:ascii="Times New Roman" w:hAnsi="Times New Roman" w:eastAsia="方正仿宋_GBK" w:cs="Times New Roman"/>
          <w:b w:val="0"/>
          <w:bCs/>
          <w:color w:val="000000" w:themeColor="text1"/>
          <w:sz w:val="32"/>
          <w:szCs w:val="32"/>
          <w14:textFill>
            <w14:solidFill>
              <w14:schemeClr w14:val="tx1"/>
            </w14:solidFill>
          </w14:textFill>
        </w:rPr>
        <w:t>93.98</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办公费、水费、电费、邮电费、维修（护）费、委托业务费、其他商品服务费</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。机关运行经费较上年支出数减少91.81万元，下降49.42%，主要原因是</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积极落实了政府过紧日子要求。</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楷体"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val="0"/>
          <w:bCs/>
          <w:color w:val="000000" w:themeColor="text1"/>
          <w:sz w:val="32"/>
          <w:szCs w:val="32"/>
          <w:shd w:val="clear" w:color="auto" w:fill="FFFFFF"/>
          <w14:textFill>
            <w14:solidFill>
              <w14:schemeClr w14:val="tx1"/>
            </w14:solidFill>
          </w14:textFill>
        </w:rPr>
        <w:t>（三）国有资产占用情况说明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  截至2023年12月31日，本部门共有车辆</w:t>
      </w:r>
      <w:r>
        <w:rPr>
          <w:rFonts w:hint="default" w:ascii="Times New Roman" w:hAnsi="Times New Roman" w:eastAsia="方正仿宋_GBK" w:cs="Times New Roman"/>
          <w:b w:val="0"/>
          <w:bCs/>
          <w:color w:val="000000" w:themeColor="text1"/>
          <w:sz w:val="32"/>
          <w:szCs w:val="32"/>
          <w14:textFill>
            <w14:solidFill>
              <w14:schemeClr w14:val="tx1"/>
            </w14:solidFill>
          </w14:textFill>
        </w:rPr>
        <w:t>2</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2</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b w:val="0"/>
          <w:bCs/>
          <w:color w:val="000000" w:themeColor="text1"/>
          <w:sz w:val="32"/>
          <w:szCs w:val="32"/>
          <w14:textFill>
            <w14:solidFill>
              <w14:schemeClr w14:val="tx1"/>
            </w14:solidFill>
          </w14:textFill>
        </w:rPr>
        <w:t>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台（套）。</w:t>
      </w:r>
    </w:p>
    <w:p>
      <w:pPr>
        <w:pStyle w:val="7"/>
        <w:keepNext w:val="0"/>
        <w:keepLines w:val="0"/>
        <w:pageBreakBefore w:val="0"/>
        <w:widowControl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（四）政府采购支出情况说明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2023年度本部门政府采购支出总额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3.98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3.98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3.98万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3.98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国产电脑、打印机等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b w:val="0"/>
          <w:bCs/>
          <w:color w:val="000000" w:themeColor="text1"/>
          <w:sz w:val="32"/>
          <w:szCs w:val="32"/>
          <w:shd w:val="clear" w:color="auto" w:fill="FFFFFF"/>
          <w:lang w:eastAsia="zh-CN"/>
          <w14:textFill>
            <w14:solidFill>
              <w14:schemeClr w14:val="tx1"/>
            </w14:solidFill>
          </w14:textFill>
        </w:rPr>
        <w:t>五、</w:t>
      </w:r>
      <w:r>
        <w:rPr>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预算绩效管理情况说明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（一）预算绩效管理工作开展情况</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根据预算绩效管理要求，我单位对部门整体和</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个项目开展了绩效自评，其中，以填报自评表形式开展自评</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项，涉及资金</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1110.13</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方正楷体_GBK" w:cs="Times New Roman"/>
          <w:color w:val="000000" w:themeColor="text1"/>
          <w:sz w:val="32"/>
          <w:szCs w:val="32"/>
          <w14:textFill>
            <w14:solidFill>
              <w14:schemeClr w14:val="tx1"/>
            </w14:solidFill>
          </w14:textFill>
        </w:rPr>
        <w:t xml:space="preserve"> （二）绩效自评结果。</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1.绩效目标自评表。</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（1）部门整体绩效自评表。</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详见附件。</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（2）项目绩效自评表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详见附件。</w:t>
      </w:r>
    </w:p>
    <w:p>
      <w:pPr>
        <w:keepNext w:val="0"/>
        <w:keepLines w:val="0"/>
        <w:pageBreakBefore w:val="0"/>
        <w:widowControl w:val="0"/>
        <w:kinsoku/>
        <w:wordWrap/>
        <w:overflowPunct/>
        <w:topLinePunct w:val="0"/>
        <w:autoSpaceDN/>
        <w:bidi w:val="0"/>
        <w:adjustRightInd/>
        <w:spacing w:line="594"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3.关于绩效自评结果的说明。</w:t>
      </w:r>
    </w:p>
    <w:p>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我单位对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14:textFill>
            <w14:solidFill>
              <w14:schemeClr w14:val="tx1"/>
            </w14:solidFill>
          </w14:textFill>
        </w:rPr>
        <w:t>个项目进行绩效自评，其中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14:textFill>
            <w14:solidFill>
              <w14:schemeClr w14:val="tx1"/>
            </w14:solidFill>
          </w14:textFill>
        </w:rPr>
        <w:t>个已完成年度绩效目标，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个未完成年度绩效目标。</w:t>
      </w:r>
    </w:p>
    <w:p>
      <w:pPr>
        <w:keepNext w:val="0"/>
        <w:keepLines w:val="0"/>
        <w:pageBreakBefore w:val="0"/>
        <w:widowControl w:val="0"/>
        <w:kinsoku/>
        <w:wordWrap/>
        <w:overflowPunct/>
        <w:topLinePunct w:val="0"/>
        <w:autoSpaceDN/>
        <w:bidi w:val="0"/>
        <w:adjustRightInd/>
        <w:spacing w:line="594" w:lineRule="exact"/>
        <w:ind w:firstLine="644"/>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（三）重点绩效评价结果。</w:t>
      </w:r>
    </w:p>
    <w:p>
      <w:pPr>
        <w:keepNext w:val="0"/>
        <w:keepLines w:val="0"/>
        <w:pageBreakBefore w:val="0"/>
        <w:widowControl w:val="0"/>
        <w:kinsoku/>
        <w:wordWrap/>
        <w:overflowPunct/>
        <w:topLinePunct w:val="0"/>
        <w:autoSpaceDN/>
        <w:bidi w:val="0"/>
        <w:adjustRightInd/>
        <w:spacing w:line="594" w:lineRule="exact"/>
        <w:ind w:firstLine="644"/>
        <w:textAlignment w:val="auto"/>
        <w:rPr>
          <w:rStyle w:val="5"/>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5"/>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t>我单位本年度未开展重点绩效评价</w:t>
      </w:r>
      <w:r>
        <w:rPr>
          <w:rStyle w:val="5"/>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N/>
        <w:bidi w:val="0"/>
        <w:adjustRightInd/>
        <w:spacing w:line="594" w:lineRule="exact"/>
        <w:ind w:firstLine="644"/>
        <w:textAlignment w:val="auto"/>
        <w:rPr>
          <w:rStyle w:val="5"/>
          <w:rFonts w:hint="default" w:ascii="Times New Roman" w:hAnsi="Times New Roman" w:eastAsia="方正黑体_GBK" w:cs="Times New Roman"/>
          <w:b w:val="0"/>
          <w:bCs w:val="0"/>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黑体_GBK" w:cs="Times New Roman"/>
          <w:b w:val="0"/>
          <w:bCs w:val="0"/>
          <w:color w:val="000000" w:themeColor="text1"/>
          <w:sz w:val="32"/>
          <w:szCs w:val="32"/>
          <w:shd w:val="clear" w:color="auto" w:fill="FFFFFF"/>
          <w14:textFill>
            <w14:solidFill>
              <w14:schemeClr w14:val="tx1"/>
            </w14:solidFill>
          </w14:textFill>
        </w:rPr>
        <w:t>六、专业名词解释</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（五）使用非财政拨款结余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5"/>
          <w:rFonts w:hint="default" w:ascii="Times New Roman" w:hAnsi="Times New Roman" w:eastAsia="楷体"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反映用于对个人和家庭的补助支出。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楷体_GBK" w:cs="Times New Roman"/>
          <w:b w:val="0"/>
          <w:bCs w:val="0"/>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5"/>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5"/>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七、决算公开联系方式及信息反馈渠道</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本单位决算公开信息反馈和联系方式：</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汪子钦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45218304</w:t>
      </w:r>
    </w:p>
    <w:p>
      <w:pPr>
        <w:keepNext w:val="0"/>
        <w:keepLines w:val="0"/>
        <w:pageBreakBefore w:val="0"/>
        <w:widowControl w:val="0"/>
        <w:numPr>
          <w:ilvl w:val="0"/>
          <w:numId w:val="0"/>
        </w:numPr>
        <w:kinsoku/>
        <w:wordWrap/>
        <w:overflowPunct/>
        <w:topLinePunct w:val="0"/>
        <w:autoSpaceDN/>
        <w:bidi w:val="0"/>
        <w:adjustRightInd/>
        <w:spacing w:line="594" w:lineRule="exact"/>
        <w:ind w:leftChars="0"/>
        <w:jc w:val="both"/>
        <w:textAlignment w:val="auto"/>
        <w:rPr>
          <w:rFonts w:hint="default" w:ascii="Times New Roman" w:hAnsi="Times New Roman" w:cs="Times New Roman"/>
          <w:color w:val="000000" w:themeColor="text1"/>
          <w14:textFill>
            <w14:solidFill>
              <w14:schemeClr w14:val="tx1"/>
            </w14:solidFill>
          </w14:textFill>
        </w:rPr>
      </w:pPr>
    </w:p>
    <w:sectPr>
      <w:pgSz w:w="11906" w:h="16838"/>
      <w:pgMar w:top="1440" w:right="1446" w:bottom="1440"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1957E"/>
    <w:multiLevelType w:val="singleLevel"/>
    <w:tmpl w:val="8801957E"/>
    <w:lvl w:ilvl="0" w:tentative="0">
      <w:start w:val="1"/>
      <w:numFmt w:val="chineseCounting"/>
      <w:suff w:val="nothing"/>
      <w:lvlText w:val="（%1）"/>
      <w:lvlJc w:val="left"/>
      <w:pPr>
        <w:ind w:left="630"/>
      </w:pPr>
      <w:rPr>
        <w:rFonts w:hint="eastAsia"/>
      </w:rPr>
    </w:lvl>
  </w:abstractNum>
  <w:abstractNum w:abstractNumId="1">
    <w:nsid w:val="D1636D93"/>
    <w:multiLevelType w:val="singleLevel"/>
    <w:tmpl w:val="D1636D93"/>
    <w:lvl w:ilvl="0" w:tentative="0">
      <w:start w:val="1"/>
      <w:numFmt w:val="chineseCounting"/>
      <w:suff w:val="nothing"/>
      <w:lvlText w:val="（%1）"/>
      <w:lvlJc w:val="left"/>
      <w:rPr>
        <w:rFonts w:hint="eastAsia"/>
      </w:rPr>
    </w:lvl>
  </w:abstractNum>
  <w:abstractNum w:abstractNumId="2">
    <w:nsid w:val="10F619BA"/>
    <w:multiLevelType w:val="singleLevel"/>
    <w:tmpl w:val="10F619BA"/>
    <w:lvl w:ilvl="0" w:tentative="0">
      <w:start w:val="1"/>
      <w:numFmt w:val="chineseCounting"/>
      <w:suff w:val="nothing"/>
      <w:lvlText w:val="%1、"/>
      <w:lvlJc w:val="left"/>
      <w:rPr>
        <w:rFonts w:hint="eastAsia" w:ascii="方正黑体_GBK" w:hAnsi="方正黑体_GBK" w:eastAsia="方正黑体_GBK" w:cs="方正黑体_GBK"/>
      </w:rPr>
    </w:lvl>
  </w:abstractNum>
  <w:abstractNum w:abstractNumId="3">
    <w:nsid w:val="591E69EC"/>
    <w:multiLevelType w:val="singleLevel"/>
    <w:tmpl w:val="591E69EC"/>
    <w:lvl w:ilvl="0" w:tentative="0">
      <w:start w:val="1"/>
      <w:numFmt w:val="decimal"/>
      <w:suff w:val="nothing"/>
      <w:lvlText w:val="%1、"/>
      <w:lvlJc w:val="left"/>
      <w:pPr>
        <w:ind w:left="-10"/>
      </w:pPr>
    </w:lvl>
  </w:abstractNum>
  <w:abstractNum w:abstractNumId="4">
    <w:nsid w:val="6DA5E257"/>
    <w:multiLevelType w:val="singleLevel"/>
    <w:tmpl w:val="6DA5E257"/>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0DC009F"/>
    <w:rsid w:val="01946511"/>
    <w:rsid w:val="068B0E0A"/>
    <w:rsid w:val="16C54FA2"/>
    <w:rsid w:val="24FE26AB"/>
    <w:rsid w:val="27407A7A"/>
    <w:rsid w:val="2A7101ED"/>
    <w:rsid w:val="33D72658"/>
    <w:rsid w:val="3F144B1B"/>
    <w:rsid w:val="45AC1918"/>
    <w:rsid w:val="4CD6457E"/>
    <w:rsid w:val="50E33E9F"/>
    <w:rsid w:val="530D0920"/>
    <w:rsid w:val="60F757AA"/>
    <w:rsid w:val="61CA2629"/>
    <w:rsid w:val="63327F2A"/>
    <w:rsid w:val="63536E42"/>
    <w:rsid w:val="645F27A3"/>
    <w:rsid w:val="6AEB610F"/>
    <w:rsid w:val="6CBF509D"/>
    <w:rsid w:val="742A33B4"/>
    <w:rsid w:val="7CAF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7">
    <w:name w:val="列出段落1"/>
    <w:basedOn w:val="1"/>
    <w:qFormat/>
    <w:uiPriority w:val="99"/>
    <w:pPr>
      <w:ind w:firstLine="420" w:firstLineChars="200"/>
    </w:pPr>
    <w:rPr>
      <w:rFonts w:hint="default"/>
    </w:rPr>
  </w:style>
  <w:style w:type="paragraph" w:customStyle="1" w:styleId="8">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4898</Words>
  <Characters>5545</Characters>
  <Lines>0</Lines>
  <Paragraphs>0</Paragraphs>
  <TotalTime>1</TotalTime>
  <ScaleCrop>false</ScaleCrop>
  <LinksUpToDate>false</LinksUpToDate>
  <CharactersWithSpaces>5601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2024-10-31T09:02:30Z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8962F5080B674066ACEE00E2D954483E_12</vt:lpwstr>
  </property>
</Properties>
</file>