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  <w:t>重庆市铜梁区水口镇人民政府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  <w:t>2021年决算报告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一、预算收支决算情况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（一）一般公共预算收支情况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全镇本级一般公共预算收入实现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524.43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50.43%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，比上年增长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-51.13%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，其中税收收入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518.81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-50.85%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；非税收入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5.62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万元。加上托底保障补助、结算补助、专项转移支付补助、上年结转、动用预算稳定调节基金等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2,350.15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2,874.58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全镇本级一般公共预算支出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2,615.20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151.41%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，比上年增长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24.62%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。加上结转下年、安排预算稳定调节基金、上解上级支出等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259.38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2,874.58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万元，当年实现收支平衡。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（二）政府性基金预算收支情况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全镇政府性基金收入上级补助收入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万元，加上上年结转收入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0.00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全镇政府性基金支出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万元。加上上解上级支出、调出资金、结转下年支出等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0.00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万元。当年实现收支平衡。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（三）国有资本经营预算收支情况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我镇无国有资本经营预算收支。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年地方财力及平衡情况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（一）一般公共预算财力及平衡情况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全镇一般公共预算财力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2,874.58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万元。由一般公共预算收入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524.43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万元，加上上级补助收入、上年结余、动用预算稳定调节基金等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2,350.15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万元构成。支出总计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2,874.58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万元，由一般公共预算支出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2,615.20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万元，加上上解支出、安排预算稳定调节基金、结转下年等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259.38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万元等构成，当年收支平衡。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（二）政府性基金预算财力及平衡情况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政府性基金财力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万元，由上级补助收入、上年结余等构成。支出总计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万元，由政府性基金支出、结转下年支出、上解上级支出、调出资金等构成，当年收支平衡。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（三）国有资本经营预算财力及平衡情况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年，我镇无国有资本经营预算及支出情况。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三、其他重点报告事项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（一）财政转移支付安排情况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年我镇收到上级转移支付补助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2,526.52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万元，其中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一般公共预算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2,350.15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万元，政府性基金预算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176.37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（二）政府债务限额、余额及变动情况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年，我镇无地方政府债务。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（三）预算绩效管理开展情况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根据预算绩效管理要求，本部门对部门整体和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34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个项目开展了绩效自评，其中，以填报目标自评表形式开展自评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项，涉及资金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1340.38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万元，主要有以下项目：康家山公路排水防护工程、办公楼维修维护、通信管道迁改、水口政府院坝整治、原天寨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社信访遗留问题群众困难生活补助等，从评价情况来看，所有项目均完成年度总体目标，全部达成预期指标。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重庆市铜梁区水口镇人民政府2021年总决算报表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textAlignment w:val="auto"/>
      </w:pPr>
      <w:bookmarkStart w:id="0" w:name="_GoBack"/>
      <w:bookmarkEnd w:id="0"/>
    </w:p>
    <w:sectPr>
      <w:pgSz w:w="11915" w:h="16851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2022-10-14T03:10:59Z</dcterms:created>
  <dc:creator>Administrator</dc:creator>
  <cp:lastModifiedBy>水口镇收发员</cp:lastModifiedBy>
  <dcterms:modified xsi:type="dcterms:W3CDTF">2022-10-14T03:15:23Z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