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3D09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重庆市铜梁区平滩镇人民政府</w:t>
      </w:r>
    </w:p>
    <w:p w14:paraId="6116352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2024年度决算公开说明</w:t>
      </w:r>
    </w:p>
    <w:p w14:paraId="2D68F974">
      <w:pPr>
        <w:pStyle w:val="5"/>
        <w:keepNext w:val="0"/>
        <w:keepLines w:val="0"/>
        <w:pageBreakBefore w:val="0"/>
        <w:kinsoku/>
        <w:wordWrap/>
        <w:overflowPunct/>
        <w:topLinePunct w:val="0"/>
        <w:bidi w:val="0"/>
        <w:adjustRightInd/>
        <w:spacing w:before="0" w:beforeAutospacing="0" w:after="0" w:afterAutospacing="0" w:line="594" w:lineRule="exact"/>
        <w:ind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p>
    <w:p w14:paraId="2C2A8FB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一、部门基本情况</w:t>
      </w:r>
    </w:p>
    <w:p w14:paraId="6B4C84E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（一）职能职责</w:t>
      </w:r>
    </w:p>
    <w:p w14:paraId="72CFBFCA">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平滩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14:paraId="6E03CB20">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（二）机构设置</w:t>
      </w:r>
    </w:p>
    <w:p w14:paraId="051CB95D">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本部门属独立核算的行政单位，适用行政单位会计制度</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内设办公室8个，具体为：党政办公室、党群工作办公室，经济发展办公室，民政和社会事务办公室，平安建设办公室，规划建设管理环保办公室，财政办公室，应急管理办公室；事业单位7个，具体为：综合行政执法大队、农业服务中心、文化服务中心、乡村产业培育中心、乡村生态治理中心、退役军人</w:t>
      </w:r>
      <w:r>
        <w:rPr>
          <w:rFonts w:hint="default" w:ascii="方正仿宋_GBK" w:hAnsi="方正仿宋_GBK" w:eastAsia="方正仿宋_GBK" w:cs="方正仿宋_GBK"/>
          <w:color w:val="000000" w:themeColor="text1"/>
          <w:sz w:val="32"/>
          <w:szCs w:val="32"/>
          <w14:textFill>
            <w14:solidFill>
              <w14:schemeClr w14:val="tx1"/>
            </w14:solidFill>
          </w14:textFill>
        </w:rPr>
        <w:t>服务站、劳动就业和社会保障服务所。</w:t>
      </w:r>
    </w:p>
    <w:p w14:paraId="0B682E82">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（三）</w:t>
      </w:r>
      <w:r>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单位构成</w:t>
      </w:r>
    </w:p>
    <w:p w14:paraId="47CCF8DE">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从预算单位构成看，纳入本部门</w:t>
      </w:r>
      <w:r>
        <w:rPr>
          <w:rFonts w:hint="default" w:ascii="Times New Roman" w:hAnsi="Times New Roman" w:eastAsia="方正仿宋_GBK" w:cs="Times New Roman"/>
          <w:color w:val="000000" w:themeColor="text1"/>
          <w:sz w:val="32"/>
          <w:szCs w:val="32"/>
          <w14:textFill>
            <w14:solidFill>
              <w14:schemeClr w14:val="tx1"/>
            </w14:solidFill>
          </w14:textFill>
        </w:rPr>
        <w:t>2024</w:t>
      </w:r>
      <w:r>
        <w:rPr>
          <w:rFonts w:hint="default" w:ascii="方正仿宋_GBK" w:hAnsi="方正仿宋_GBK" w:eastAsia="方正仿宋_GBK" w:cs="方正仿宋_GBK"/>
          <w:color w:val="000000" w:themeColor="text1"/>
          <w:sz w:val="32"/>
          <w:szCs w:val="32"/>
          <w14:textFill>
            <w14:solidFill>
              <w14:schemeClr w14:val="tx1"/>
            </w14:solidFill>
          </w14:textFill>
        </w:rPr>
        <w:t>年度决算编制的二级预算单位主要包括</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重庆市铜梁区平滩镇人民政府（本级）、重庆市铜梁区平滩镇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农业服务中心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文化服务中心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劳动就业和社会保障服务所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退役军人服务站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综合行政执法大队</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乡村产业培育中心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乡村生态治理中心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32ABC54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二、部门决算收支情况说明</w:t>
      </w:r>
    </w:p>
    <w:p w14:paraId="60AE2754">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（一）收入支出决算总体情况说明。</w:t>
      </w:r>
    </w:p>
    <w:p w14:paraId="27EC7E0E">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度收入总计5208.46万元，支出总计5208.46万元。收、支与2023年度相比，减少1226.02万元，下降19.1%，主要原因是泥结石路和四好公路减少337.49万元，平滩人居环境整治减少374.41万元，敬老院工程款减少80万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元</w:t>
      </w:r>
      <w:r>
        <w:rPr>
          <w:rFonts w:hint="default" w:ascii="方正仿宋_GBK" w:hAnsi="方正仿宋_GBK" w:eastAsia="方正仿宋_GBK" w:cs="方正仿宋_GBK"/>
          <w:color w:val="000000" w:themeColor="text1"/>
          <w:sz w:val="32"/>
          <w:szCs w:val="32"/>
          <w14:textFill>
            <w14:solidFill>
              <w14:schemeClr w14:val="tx1"/>
            </w14:solidFill>
          </w14:textFill>
        </w:rPr>
        <w:t>，洋海便民中心增加39.8万元；工资福利减少45.92万元，对个人和家庭补助减少1.23万元；在职人员的差旅减少等公用经费减少125.88万元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；小东门拆迁支出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301.43万元。</w:t>
      </w:r>
    </w:p>
    <w:p w14:paraId="6DEC1816">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度收入合计4762.65万元，与2023年度相比，减少924.59万元，下降16.3%，主要原因是泥结石路和四好公路减少337.49万元，平滩人居环境整治减少374.41万元，敬老院工程款减少80万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元</w:t>
      </w:r>
      <w:r>
        <w:rPr>
          <w:rFonts w:hint="default" w:ascii="方正仿宋_GBK" w:hAnsi="方正仿宋_GBK" w:eastAsia="方正仿宋_GBK" w:cs="方正仿宋_GBK"/>
          <w:color w:val="000000" w:themeColor="text1"/>
          <w:sz w:val="32"/>
          <w:szCs w:val="32"/>
          <w14:textFill>
            <w14:solidFill>
              <w14:schemeClr w14:val="tx1"/>
            </w14:solidFill>
          </w14:textFill>
        </w:rPr>
        <w:t>，洋海便民中心增加39.8万元；工资福利减少45.92万元，对个人和家庭补助减少1.23万元；在职人员的差旅减少等公用经费减少125.88万元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其中：财政拨款收入4762.65万元，占10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；经营收入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；其他收入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。此外，使用非财政拨款结余和专用结余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，年初结转和结余445.80万元。</w:t>
      </w:r>
    </w:p>
    <w:p w14:paraId="7CB95D8F">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度支出合计4762.65万元，与2023年度相比，减少1226.02万元，下降20.5%，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主要原因是</w:t>
      </w:r>
      <w:r>
        <w:rPr>
          <w:rFonts w:hint="default" w:ascii="方正仿宋_GBK" w:hAnsi="方正仿宋_GBK" w:eastAsia="方正仿宋_GBK" w:cs="方正仿宋_GBK"/>
          <w:color w:val="000000" w:themeColor="text1"/>
          <w:sz w:val="32"/>
          <w:szCs w:val="32"/>
          <w14:textFill>
            <w14:solidFill>
              <w14:schemeClr w14:val="tx1"/>
            </w14:solidFill>
          </w14:textFill>
        </w:rPr>
        <w:t>泥结石路和四好公路减少337.49万元，平滩人居环境整治减少374.41万元，敬老院工程款减少80万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元</w:t>
      </w:r>
      <w:r>
        <w:rPr>
          <w:rFonts w:hint="default" w:ascii="方正仿宋_GBK" w:hAnsi="方正仿宋_GBK" w:eastAsia="方正仿宋_GBK" w:cs="方正仿宋_GBK"/>
          <w:color w:val="000000" w:themeColor="text1"/>
          <w:sz w:val="32"/>
          <w:szCs w:val="32"/>
          <w14:textFill>
            <w14:solidFill>
              <w14:schemeClr w14:val="tx1"/>
            </w14:solidFill>
          </w14:textFill>
        </w:rPr>
        <w:t>，洋海便民中心增加39.8万元；工资福利减少45.92万元，对个人和家庭补助减少1.23万元；在职人员的差旅减少等公用经费减少125.88万元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；小东门拆迁支出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301.43万元。</w:t>
      </w:r>
      <w:r>
        <w:rPr>
          <w:rFonts w:hint="default" w:ascii="方正仿宋_GBK" w:hAnsi="方正仿宋_GBK" w:eastAsia="方正仿宋_GBK" w:cs="方正仿宋_GBK"/>
          <w:color w:val="000000" w:themeColor="text1"/>
          <w:sz w:val="32"/>
          <w:szCs w:val="32"/>
          <w14:textFill>
            <w14:solidFill>
              <w14:schemeClr w14:val="tx1"/>
            </w14:solidFill>
          </w14:textFill>
        </w:rPr>
        <w:t>其中：基本支出2286.24万元，占48.0%；项目支出2476.41万元，占52.0%；经营支出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。此外，结余分配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w:t>
      </w:r>
    </w:p>
    <w:p w14:paraId="024D3EC5">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度年末结转和结余445.80万元，与2023年度相比，无增减</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1721186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（二）财政拨款收入支出决算总体情况说明</w:t>
      </w:r>
    </w:p>
    <w:p w14:paraId="0DB2D392">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度财政拨款收、支总计5208.46万元。与202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default" w:ascii="方正仿宋_GBK" w:hAnsi="方正仿宋_GBK" w:eastAsia="方正仿宋_GBK" w:cs="方正仿宋_GBK"/>
          <w:color w:val="000000" w:themeColor="text1"/>
          <w:sz w:val="32"/>
          <w:szCs w:val="32"/>
          <w14:textFill>
            <w14:solidFill>
              <w14:schemeClr w14:val="tx1"/>
            </w14:solidFill>
          </w14:textFill>
        </w:rPr>
        <w:t>年相比，财政拨款收、支总计各减少1226.02万元，下降19.1%。主要原因是主要原因人员经费减少47.15万元，2023年度发放</w:t>
      </w:r>
      <w:r>
        <w:rPr>
          <w:rFonts w:eastAsia="方正仿宋_GBK" w:cs="Times New Roman"/>
          <w:bCs/>
          <w:color w:val="000000" w:themeColor="text1"/>
          <w:kern w:val="0"/>
          <w:sz w:val="32"/>
          <w:szCs w:val="32"/>
          <w:lang w:bidi="ar"/>
          <w14:textFill>
            <w14:solidFill>
              <w14:schemeClr w14:val="tx1"/>
            </w14:solidFill>
          </w14:textFill>
        </w:rPr>
        <w:t>2021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2022年事业干部年度考核剩余部分，2024年只发放2023年事业干部年度考核绩效剩余部分，故较上年度减少45.92万元，对个人和家庭补助减少1.23万元；公用经费125.88万元，其中：办公费8.3万元，差旅费61.49万元，其他商品服务支出19.27万元，维修4.29万元，业务委托3.81万元等；项目经费中减少1053万元，其中服务群泥结石路和四好公路减少337.49万元，平滩人居环境整治减少374.41万元，敬老院工程款减少80万元，小东门建设减少301.43万元，洋海便民中心增加39.8万元。</w:t>
      </w:r>
    </w:p>
    <w:p w14:paraId="23864A60">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（三）一般公共预算财政拨款收入支出决算情况说明</w:t>
      </w:r>
    </w:p>
    <w:p w14:paraId="53C8F2F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1.收入情况。2024年度一般公共预算财政拨款收入4762.65万元，与2023年度相比，减少550.18万元，下降10.4%。主要原因是泥结石路和四好公路减少337.49万元，敬老院工程款减少80万元，党群服务中心增加39.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万元；人员和公用以及未支付发票172.59万元。较年初预算数增加422.59万元，增长9.7%。主要原因是财政零余额支付项目未纳入年初预算，（敬老院</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320.16万元、洋海村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党群服务中心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39.7万元、一事一议泥结三石路321.68万元，公路建设170.28万元，临时救助14万元，社保办公提质8.56万元，共计874.66万元，年中压缩预算和未拨款项450万元。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此外，年初财政拨款结转和结余445.80万元。</w:t>
      </w:r>
    </w:p>
    <w:p w14:paraId="04253CB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2.支出情况。2024年度一般公共预算财政拨款支出4762.65万元，与2023年度相比，减少851.61万元，下降15.2%。主要原因是泥结石路和四好公路减少337.49万元，敬老院工程款减少80万元，党群服务中心增加39.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万元；人员和公用以及未支付发票172.59万元、小东门拆迁支出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301.43万元。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较年初预算数增加422.59万元，增长9.7%。主要原因是财政零余额支付项目未纳入年初预算，（敬老院</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320.16万元、洋海村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党群服务中心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39.7万元、一事一议泥结三石路321.68万元，公路建设170.28万元，临时救助14万元，社保办公提质8.56万元，共计874.66万元），年中压缩预算和未拨款项450万元。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此外，年初财政拨款结转和结余445.80万元。</w:t>
      </w:r>
    </w:p>
    <w:p w14:paraId="5DDF79E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3.结转结余情况。2024年度年末一般公共预算财政拨款结转和结余445.80万元，与2023年度相比，无增减。</w:t>
      </w:r>
    </w:p>
    <w:p w14:paraId="5D1C752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4.比较情况。本部门2024年度一般公共预算财政拨款支出主要用于以下几个方面：</w:t>
      </w:r>
    </w:p>
    <w:p w14:paraId="41A28671">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（1）一般公共服务支出1158.53万元，占24.3%，较年初预算数减少0.94万元，下降0.1%，主要原因是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13个月工资未发和年度考核、超高绩效未清算40.74万元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，增加党群服务中心支出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39.7万元。</w:t>
      </w:r>
    </w:p>
    <w:p w14:paraId="49F23523">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）文化旅游体育与传媒支出55.57万元，占1.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%，较年初预算数减少3.73万元，下降6.3%，主要原因是超高绩效未清算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4.01万元，增加文物保护支出0.28万元。</w:t>
      </w:r>
    </w:p>
    <w:p w14:paraId="2A6EFD72">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）社会保障与就业支出947.34万元，占19.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%，较年初预算数增加347.01万元，增长57.8%，主要原因是增加敬老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320.16万元和临时救助支出14万元，养老保险和职业年金调增支出21万元，超高绩效未清算8万元。</w:t>
      </w:r>
    </w:p>
    <w:p w14:paraId="41667821">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）卫生健康支出102.76万元，占2.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%，较年初预算数减少32.19万元，下降23.9%，主要原因是增加社保阵地提质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8.56万元，超高绩效未纳入医保基数导致少交医疗保险25.5万元，公务员未发医疗补助15万元。</w:t>
      </w:r>
    </w:p>
    <w:p w14:paraId="46D5EB4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）节能环保支出211.29万元，占4.4%，较年初预算数减少2.30万元，下降1.1%，主要原因是市政环卫经费调整功能，从城乡社区支出调整为节能环保支出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88.35万元，农村垃圾清运减少40万元。</w:t>
      </w:r>
    </w:p>
    <w:p w14:paraId="57489898">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）城乡社区支出176.64万元，占3.7%，较年初预算数减少101.85万元，下降36.6%，主要原因是市政环卫经费调整功能，从城乡社区支出调整为节能环保支出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88.35万元，未使用指标13.5万元。</w:t>
      </w:r>
    </w:p>
    <w:p w14:paraId="51A77B89">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）农林水支出1729.47万元，占36.3%，较年初预算数增加58.80万元，增长3.5%，主要原因是泥结石路增加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141万元，临聘人员经费和森林防火功能调整增加81.14万元，公用经费减少28.18万元，超高绩效未清算等42.5万元，项目乡村振兴等92.66万元。</w:t>
      </w:r>
    </w:p>
    <w:p w14:paraId="09183D07">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）交通运输支出170.28万元，占3.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%，较年初预算数增加130.28万元，增长325.7%，主要原因是公路建设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170.28万元，核减年初预算的公路维护40万元。</w:t>
      </w:r>
    </w:p>
    <w:p w14:paraId="44E77FA3">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）住房保障支出119.60万元，占2.5%，较年初预算数增加2.74万元，增长2.3%，主要原因是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两名大学生入职和一名职工调入。</w:t>
      </w:r>
    </w:p>
    <w:p w14:paraId="3C8AE29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）灾害防治及应急管理支出91.16万元，占1.9%，较年初预算数增加24.76万元，增长37.3%，主要原因是增加抗旱防汛资金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49.60万元，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减少安全维稳资金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14.84万元。减少森林防火资金10万元。</w:t>
      </w:r>
    </w:p>
    <w:p w14:paraId="3FCBD73C">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（四）一般公共预算财政拨款基本支出决算情况说明</w:t>
      </w:r>
    </w:p>
    <w:p w14:paraId="6B98E3C1">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度一般公共财政拨款基本支出2286.24万元。其中：人员经费2003.75万元，与2023年度相比，减少47.15万元，下降2.3%，主要原因是2023年度发放2021年、2022年事业干部年度考核剩余部分，2024年只发放2023年事业干部年度考核绩效剩余部分，故较上年度减少45.92万元，对个人和家庭补助减少1.23万元人员经费用途主要包括</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基本工资、津贴补贴、绩效工资、奖金、社会保障缴费、住房公积金、应休未休假报酬，退休人员生活补助等。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公用经费282.49万元，与2023年度相比，减少125.88万元，下降30.8%，主要原因是，其中：办公费8.3万元，差旅费61.49万元，其他商品服务支出19.27万元，维修4.29万元，业务委托3.81万元等。公用经费用途主要包括</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办公费、水费、电费、邮电费、差旅费、维修（护）费、租赁费、会议费、培训费、公务接待费、劳务费、工会经费、其他交通费等。</w:t>
      </w:r>
    </w:p>
    <w:p w14:paraId="7DD1BF87">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（五）政府性基金预算收支决算情况说明</w:t>
      </w:r>
    </w:p>
    <w:p w14:paraId="2AD6D616">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2024年度政府性基金预算财政拨款年初结转结余0万元，年末结转结余0万元。本年收入0万元，与2023年度相比，减少374.41万元，下降100.0%，主要原因是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平滩人居环境整治374.41万元，本部门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2024年度无政府性基金预算财政拨款收支。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本年支出0万元，与2023年度相比，减少374.41万元，下降100.0%，主要原因是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平滩人居环境整治374.41万元，本部门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2024年度无政府性基金预算财政拨款收支。</w:t>
      </w:r>
    </w:p>
    <w:p w14:paraId="1995A665">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（六）国有资本经营预算财政拨款支出决算情况说明</w:t>
      </w:r>
    </w:p>
    <w:p w14:paraId="47304278">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2024年度国有资本经营预算财政拨款本年支出0万元，基本支出0万元，项目支出0万元，本部门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2024年度无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国有资本经营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预算财政拨款收支。</w:t>
      </w:r>
    </w:p>
    <w:p w14:paraId="29201D2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三、财政拨款“三公”经费情况说明</w:t>
      </w:r>
    </w:p>
    <w:p w14:paraId="7C6FC234">
      <w:pPr>
        <w:pStyle w:val="9"/>
        <w:keepNext w:val="0"/>
        <w:keepLines w:val="0"/>
        <w:pageBreakBefore w:val="0"/>
        <w:kinsoku/>
        <w:wordWrap/>
        <w:overflowPunct/>
        <w:topLinePunct w:val="0"/>
        <w:autoSpaceDE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（一）“三公”经费支出总体情况说明</w:t>
      </w:r>
    </w:p>
    <w:p w14:paraId="691DCF5A">
      <w:pPr>
        <w:keepNext w:val="0"/>
        <w:keepLines w:val="0"/>
        <w:pageBreakBefore w:val="0"/>
        <w:widowControl/>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2024年度“三公”经费支出共计9.8万元，较年初预算数无增减，主要原因是严格落实了中央八项规定和政府过“紧日子”十条措施相关要求，按照只减不增的要求从严控制“三公”经费。较上年支出数减少1.92万元，下降16.4%，主要原因是强化公务接待支出管理，严格遵守公务接待开支范围和开支标准，严格控制陪餐人数；严格控制公务车运行维护费。</w:t>
      </w:r>
    </w:p>
    <w:p w14:paraId="6286891E">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（二）“三公”经费分项支出情况</w:t>
      </w:r>
    </w:p>
    <w:p w14:paraId="48BD74D8">
      <w:pPr>
        <w:pStyle w:val="13"/>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2024年度本部门因公出国（境）费用0万元。费用支出较年初预算数无增减，与2023年度相比，无增减，主要原因是本部门2024年度未发生因公出国（境）费用。</w:t>
      </w:r>
    </w:p>
    <w:p w14:paraId="49455677">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公务车购置费0万元，费用支出较年初预算数无增减，与2023年度相比，无增减，主要原因是本部门2024年度未发生公务车购置费。</w:t>
      </w:r>
    </w:p>
    <w:p w14:paraId="5725FACC">
      <w:pPr>
        <w:pStyle w:val="13"/>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公务车运行维护费9.8万元，主要用于主要用于机要文件交换、重庆市内因公出行等工作所需车辆的燃料费、维修费、过桥过路费、车辆保险费等支出。费用支出较年初预算数无增减，主要原因是严格控制公务车维修费、燃料费支出预算。较上年支出数减少1万元，下降9.3%，主要原因是</w:t>
      </w:r>
      <w:bookmarkStart w:id="0" w:name="OLE_LINK8"/>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严格落实了中央八项规定和政府过“紧日子”十条措施相关要求，严格控制公务车运行维护费。</w:t>
      </w:r>
      <w:bookmarkEnd w:id="0"/>
    </w:p>
    <w:p w14:paraId="0CB4D713">
      <w:pPr>
        <w:pStyle w:val="13"/>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公务接待费0万元，费用支出较年初预算数无增减，较上年支出数减少0.92万元，下降100.0%，主要原因是强化公务接待支出管理，严格遵守公务接待开支范围和开支标准，严格控制陪餐人数，2024年度无公务接待开支。</w:t>
      </w:r>
    </w:p>
    <w:p w14:paraId="063CACE0">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p>
    <w:p w14:paraId="0BEF621C">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（三）“三公”经费实物量情况</w:t>
      </w:r>
    </w:p>
    <w:p w14:paraId="23E57A03">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因公出国（境）共计0个团组，0人；公务用车购置0辆，公务车保有量为2辆；国内公务接待0批次0人，其中：国内外事接待0批次，0人；国（境）外公务接待0批次，0人。2024年本部门人均接待费0元，车均购置费0万元，车均维护费4.9万元。</w:t>
      </w:r>
    </w:p>
    <w:p w14:paraId="1E46B82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四、其他需要说明的事项</w:t>
      </w:r>
    </w:p>
    <w:p w14:paraId="65C630E4">
      <w:pPr>
        <w:pStyle w:val="9"/>
        <w:keepNext w:val="0"/>
        <w:keepLines w:val="0"/>
        <w:pageBreakBefore w:val="0"/>
        <w:kinsoku/>
        <w:wordWrap/>
        <w:overflowPunct/>
        <w:topLinePunct w:val="0"/>
        <w:autoSpaceDE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（一）财政拨款会议费和培训费情况说明</w:t>
      </w:r>
    </w:p>
    <w:p w14:paraId="1B170A45">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本年度会议费支出4.45万元，与2023年度相比，减少10.55万元，下降70.3%，主要原因是会议费是项目人大经费，铜梁区人大常委会拨有专项经费，先用专款，2024年度支出只有4.45万元。本年度培训费支出3.56万元，与2023年度相比，减少0.41万元，下降10.3%，主要原因是严格控制了培训人数和培训内容。</w:t>
      </w:r>
    </w:p>
    <w:p w14:paraId="1F4734D9">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（二）机关运行经费情况说明</w:t>
      </w:r>
    </w:p>
    <w:p w14:paraId="1C26360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机关运行经费支出178.66万元，机关运行经费主要用于开支办公费8.12万元、办公设备费3.75万元、水费0.70万元、电费8.75万元、邮电费25.98万元、差旅费25.7万元、培训费1.53万元、工会经费29.65万元、福利费16.43万元、公务用车运行维护费9.8万元、其他交通费用33.94万元、其他商品和服务支出14.31万元。机关运行经费较上年支出数减少38.23万元，下降17.6%，主要原因是事业单位进行独立核算相应公用经费在对应单位核算。</w:t>
      </w:r>
      <w:bookmarkStart w:id="1" w:name="_GoBack"/>
      <w:bookmarkEnd w:id="1"/>
    </w:p>
    <w:p w14:paraId="6AA8F6C5">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（三）国有资产占用情况说明</w:t>
      </w:r>
    </w:p>
    <w:p w14:paraId="6BE0845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截至2024年12月31日，本部门共有车辆6辆，其中，副部（省）级及以上领导用车0辆、主要负责人用车0辆、机要通信用车0辆、应急保障用车2辆、执法执勤用车0辆，特种专业技术用车4辆，离退休干部用车0辆。单价100万元（含）以上专用设备0台（套）。</w:t>
      </w:r>
    </w:p>
    <w:p w14:paraId="75B552C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（四）政府采购支出情况说明</w:t>
      </w:r>
    </w:p>
    <w:p w14:paraId="21EB328F">
      <w:pPr>
        <w:pStyle w:val="5"/>
        <w:keepNext w:val="0"/>
        <w:keepLines w:val="0"/>
        <w:pageBreakBefore w:val="0"/>
        <w:widowControl/>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政府采购支出总额802.78万元，其中：政府采购货物支出6.25万元、政府采购工程支出796.53万元、政府采购服务支出0万元。授予中小企业合同金额802.78万元，占政府采购支出总额的100.0%，其中：授予小微企业合同金额6.25万元，占政府采购支出总额的0.8 %。主要用于采购敬老院建设设备和美丽乡村建设材料款796.53万元、空调0.76万元、电脑3.15万元、打印机0.58万元、打印纸1.76万元。</w:t>
      </w:r>
    </w:p>
    <w:p w14:paraId="3554884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23C923E5">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（一）预算绩效管理工作开展情况</w:t>
      </w:r>
    </w:p>
    <w:p w14:paraId="741A28D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根据预算绩效管理要求，我部门对部门整体和38个项目开展了绩效自评，其中，以填报自评表形式开展自评38项，涉及资金2476.41万元。</w:t>
      </w:r>
    </w:p>
    <w:p w14:paraId="573F9E9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（二）绩效自评结果</w:t>
      </w:r>
    </w:p>
    <w:p w14:paraId="76D0FFB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1.项目绩效自评表。</w:t>
      </w:r>
    </w:p>
    <w:p w14:paraId="3F315E6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（1）部门整体绩效自评表。</w:t>
      </w:r>
    </w:p>
    <w:p w14:paraId="7B65AEBD">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详见附件。</w:t>
      </w:r>
      <w:r>
        <w:rPr>
          <w:rFonts w:hint="eastAsia" w:ascii="方正仿宋_GBK" w:hAnsi="方正仿宋_GBK" w:eastAsia="方正仿宋_GBK" w:cs="方正仿宋_GBK"/>
          <w:b w:val="0"/>
          <w:bCs w:val="0"/>
          <w:sz w:val="32"/>
          <w:szCs w:val="32"/>
          <w:lang w:eastAsia="zh-CN"/>
        </w:rPr>
        <w:t>（附件：重庆市铜梁区平滩镇人民政府2024年度整体绩效自评表）</w:t>
      </w:r>
    </w:p>
    <w:p w14:paraId="5FFB0CE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（2）项目绩效自评表。</w:t>
      </w:r>
    </w:p>
    <w:p w14:paraId="759F683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详见各二级预算单位决算公开报告。</w:t>
      </w:r>
    </w:p>
    <w:p w14:paraId="55306F1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2.绩效自评报告或案例。</w:t>
      </w:r>
    </w:p>
    <w:p w14:paraId="1BEE396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详见各二级预算单位决算公开报告。</w:t>
      </w:r>
    </w:p>
    <w:p w14:paraId="0825F2B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3.关于绩效自评结果的说明。</w:t>
      </w:r>
    </w:p>
    <w:p w14:paraId="4E107EF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我部门对38个（所有二级预算单位的项目个数之和）项目进行绩效自评，其中38个已完成年度绩效目标，0个未完成年度绩效目标。</w:t>
      </w:r>
    </w:p>
    <w:p w14:paraId="73D0E3F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（三）财政重点绩效评价情况</w:t>
      </w:r>
    </w:p>
    <w:p w14:paraId="5012FF3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我部门无财政重点绩效评价项目。</w:t>
      </w:r>
    </w:p>
    <w:p w14:paraId="38D2D92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六、专业名词解释</w:t>
      </w:r>
    </w:p>
    <w:p w14:paraId="0F74245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指本年度从本级财政部门取得的财政拨款，包括一般公共预算财政拨款和政府性基金预算财政拨款。</w:t>
      </w:r>
    </w:p>
    <w:p w14:paraId="07F729C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指事业单位开展专业业务活动及其辅助活动取得的现金流入；事业单位收到的财政专户实际核拨的教育收费等资金在此反映。</w:t>
      </w:r>
    </w:p>
    <w:p w14:paraId="3972088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指事业单位在专业业务活动及其辅助活动之外开展非独立核算经营活动取得的现金流入。</w:t>
      </w:r>
    </w:p>
    <w:p w14:paraId="2599901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67E50B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1370D80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指单位上年结转本年使用的基本支出结转、项目支出结转和结余、经营结余。</w:t>
      </w:r>
    </w:p>
    <w:p w14:paraId="66F5966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指单位按照国家有关规定，缴纳所得税、提取专用基金、转入非财政拨款结余等当年结余的分配情况。</w:t>
      </w:r>
    </w:p>
    <w:p w14:paraId="2B23324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指单位结转下年的基本支出结转、项目支出结转和结余、经营结余。</w:t>
      </w:r>
    </w:p>
    <w:p w14:paraId="1832915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C2AE39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指在基本支出之外为完成特定行政任务和事业发展目标所发生的支出。</w:t>
      </w:r>
    </w:p>
    <w:p w14:paraId="58B27F0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指事业单位在专业业务活动及其辅助活动之外开展非独立核算经营活动发生的支出。</w:t>
      </w:r>
    </w:p>
    <w:p w14:paraId="3A78D9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含</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外宾接待）支出。</w:t>
      </w:r>
    </w:p>
    <w:p w14:paraId="58A36A6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554A1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映单位开支的在职职工和编制外长期聘用人员的各类劳动报酬，以及为上述人员缴纳的各项社会保险费等。</w:t>
      </w:r>
    </w:p>
    <w:p w14:paraId="1ADDFBF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反映单位购买商品和服务的支出（不包括用于购置固定资产的支出、战略性和应急储备支出）。</w:t>
      </w:r>
    </w:p>
    <w:p w14:paraId="087278C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反映用于对个人和家庭的补助支出。</w:t>
      </w:r>
    </w:p>
    <w:p w14:paraId="7E2AB8F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3BA32E9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297411C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本</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单位决算公开信息反馈和联系方式：</w:t>
      </w:r>
    </w:p>
    <w:p w14:paraId="1878CF1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联系人：许弟春 联系方式：023-45211002</w:t>
      </w:r>
    </w:p>
    <w:p w14:paraId="7ED0D3D4">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420" w:firstLineChars="200"/>
        <w:jc w:val="both"/>
        <w:textAlignment w:val="auto"/>
        <w:rPr>
          <w:rFonts w:hint="default" w:ascii="宋体" w:hAnsi="宋体" w:eastAsia="宋体" w:cs="宋体"/>
          <w:color w:val="000000" w:themeColor="text1"/>
          <w:sz w:val="21"/>
          <w:szCs w:val="21"/>
          <w14:textFill>
            <w14:solidFill>
              <w14:schemeClr w14:val="tx1"/>
            </w14:solidFill>
          </w14:textFill>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8CB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61AA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61AA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BF449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BF449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516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5479AE"/>
    <w:rsid w:val="03E3214F"/>
    <w:rsid w:val="04446191"/>
    <w:rsid w:val="044C50BA"/>
    <w:rsid w:val="0536621F"/>
    <w:rsid w:val="05E71467"/>
    <w:rsid w:val="06102256"/>
    <w:rsid w:val="06247E33"/>
    <w:rsid w:val="06A2550B"/>
    <w:rsid w:val="06F80EE2"/>
    <w:rsid w:val="07001CCA"/>
    <w:rsid w:val="075321D2"/>
    <w:rsid w:val="075678DB"/>
    <w:rsid w:val="07932335"/>
    <w:rsid w:val="07C276DB"/>
    <w:rsid w:val="07EC3BC9"/>
    <w:rsid w:val="08051BCA"/>
    <w:rsid w:val="080A21BB"/>
    <w:rsid w:val="08196B82"/>
    <w:rsid w:val="08BA052C"/>
    <w:rsid w:val="08D005B7"/>
    <w:rsid w:val="08D259B5"/>
    <w:rsid w:val="08DB07BA"/>
    <w:rsid w:val="098305D0"/>
    <w:rsid w:val="09B72B6E"/>
    <w:rsid w:val="0A0C7F04"/>
    <w:rsid w:val="0A227275"/>
    <w:rsid w:val="0A5C4B69"/>
    <w:rsid w:val="0AAF3718"/>
    <w:rsid w:val="0B2473D6"/>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2F4A66"/>
    <w:rsid w:val="12C921C4"/>
    <w:rsid w:val="12DA353E"/>
    <w:rsid w:val="13850DCB"/>
    <w:rsid w:val="13871C70"/>
    <w:rsid w:val="13A71CB4"/>
    <w:rsid w:val="13AF1D43"/>
    <w:rsid w:val="13CE1647"/>
    <w:rsid w:val="14200702"/>
    <w:rsid w:val="142E4B7A"/>
    <w:rsid w:val="144F3F11"/>
    <w:rsid w:val="1580711B"/>
    <w:rsid w:val="16445BF1"/>
    <w:rsid w:val="16D80EBF"/>
    <w:rsid w:val="189B0D0B"/>
    <w:rsid w:val="18E03A42"/>
    <w:rsid w:val="19313430"/>
    <w:rsid w:val="194A1770"/>
    <w:rsid w:val="19B906A4"/>
    <w:rsid w:val="19BC4734"/>
    <w:rsid w:val="19FE618D"/>
    <w:rsid w:val="1A1F744B"/>
    <w:rsid w:val="1AB10093"/>
    <w:rsid w:val="1B501DE7"/>
    <w:rsid w:val="1B6F15B6"/>
    <w:rsid w:val="1BAA2EDC"/>
    <w:rsid w:val="1BC027C5"/>
    <w:rsid w:val="1C2E3F3D"/>
    <w:rsid w:val="1CE157EE"/>
    <w:rsid w:val="1D014A01"/>
    <w:rsid w:val="1D022362"/>
    <w:rsid w:val="1D091B60"/>
    <w:rsid w:val="1D486DBB"/>
    <w:rsid w:val="1D67685A"/>
    <w:rsid w:val="1D6D1692"/>
    <w:rsid w:val="1D794AE5"/>
    <w:rsid w:val="1DD26311"/>
    <w:rsid w:val="1DE57DAF"/>
    <w:rsid w:val="1EF67CA4"/>
    <w:rsid w:val="1F213FD9"/>
    <w:rsid w:val="1F891B3D"/>
    <w:rsid w:val="1FCD26AF"/>
    <w:rsid w:val="204D31D8"/>
    <w:rsid w:val="20642787"/>
    <w:rsid w:val="20C83310"/>
    <w:rsid w:val="20EC77A3"/>
    <w:rsid w:val="21556F04"/>
    <w:rsid w:val="215C76A3"/>
    <w:rsid w:val="216838F8"/>
    <w:rsid w:val="22403BD3"/>
    <w:rsid w:val="23E93793"/>
    <w:rsid w:val="24B92327"/>
    <w:rsid w:val="2533755C"/>
    <w:rsid w:val="25ED4377"/>
    <w:rsid w:val="26396DF4"/>
    <w:rsid w:val="266B763B"/>
    <w:rsid w:val="27167136"/>
    <w:rsid w:val="27B23302"/>
    <w:rsid w:val="27D424D7"/>
    <w:rsid w:val="282334E2"/>
    <w:rsid w:val="285722C3"/>
    <w:rsid w:val="28DC1FF8"/>
    <w:rsid w:val="29310A5F"/>
    <w:rsid w:val="29C37A35"/>
    <w:rsid w:val="2A076083"/>
    <w:rsid w:val="2A306CA5"/>
    <w:rsid w:val="2A73162E"/>
    <w:rsid w:val="2AFA2E94"/>
    <w:rsid w:val="2B167953"/>
    <w:rsid w:val="2B200583"/>
    <w:rsid w:val="2B8209DE"/>
    <w:rsid w:val="2C2F3578"/>
    <w:rsid w:val="2C6762A3"/>
    <w:rsid w:val="2D5F4C37"/>
    <w:rsid w:val="2FE029D7"/>
    <w:rsid w:val="2FF06E00"/>
    <w:rsid w:val="315F0B22"/>
    <w:rsid w:val="31BE24D6"/>
    <w:rsid w:val="31BE7043"/>
    <w:rsid w:val="31D84415"/>
    <w:rsid w:val="32285F6F"/>
    <w:rsid w:val="32770556"/>
    <w:rsid w:val="329C0913"/>
    <w:rsid w:val="3337290D"/>
    <w:rsid w:val="33FF27A5"/>
    <w:rsid w:val="352930DB"/>
    <w:rsid w:val="35573069"/>
    <w:rsid w:val="358C217E"/>
    <w:rsid w:val="359E7284"/>
    <w:rsid w:val="359F188C"/>
    <w:rsid w:val="36C250F8"/>
    <w:rsid w:val="36C9128A"/>
    <w:rsid w:val="377A296C"/>
    <w:rsid w:val="37841E99"/>
    <w:rsid w:val="379C594F"/>
    <w:rsid w:val="37BF1123"/>
    <w:rsid w:val="37C85E36"/>
    <w:rsid w:val="38BC1135"/>
    <w:rsid w:val="38BE4696"/>
    <w:rsid w:val="397B3A87"/>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B72C41"/>
    <w:rsid w:val="3EDE1208"/>
    <w:rsid w:val="3F0527E5"/>
    <w:rsid w:val="3F16459E"/>
    <w:rsid w:val="3F210504"/>
    <w:rsid w:val="3F4A6687"/>
    <w:rsid w:val="4004000C"/>
    <w:rsid w:val="410E6949"/>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982217"/>
    <w:rsid w:val="4C9D3DC4"/>
    <w:rsid w:val="4DAC4ACA"/>
    <w:rsid w:val="4DD06F63"/>
    <w:rsid w:val="4E043596"/>
    <w:rsid w:val="4E9B0C57"/>
    <w:rsid w:val="4EA8523F"/>
    <w:rsid w:val="4F186D58"/>
    <w:rsid w:val="4F224836"/>
    <w:rsid w:val="4F6911AA"/>
    <w:rsid w:val="51760217"/>
    <w:rsid w:val="51E36677"/>
    <w:rsid w:val="51F01F7D"/>
    <w:rsid w:val="522F6E0C"/>
    <w:rsid w:val="52463BA1"/>
    <w:rsid w:val="525E7E8B"/>
    <w:rsid w:val="527F6965"/>
    <w:rsid w:val="529F078E"/>
    <w:rsid w:val="53C0244D"/>
    <w:rsid w:val="53DD4D4E"/>
    <w:rsid w:val="53E578CE"/>
    <w:rsid w:val="53EA10F5"/>
    <w:rsid w:val="541768A0"/>
    <w:rsid w:val="543B029D"/>
    <w:rsid w:val="54977029"/>
    <w:rsid w:val="54FB4F3E"/>
    <w:rsid w:val="554E5773"/>
    <w:rsid w:val="555A3CBC"/>
    <w:rsid w:val="55EF4EA6"/>
    <w:rsid w:val="56530F5D"/>
    <w:rsid w:val="56585F15"/>
    <w:rsid w:val="56EE372E"/>
    <w:rsid w:val="57B934D2"/>
    <w:rsid w:val="5842572D"/>
    <w:rsid w:val="598A28E2"/>
    <w:rsid w:val="5C1336B7"/>
    <w:rsid w:val="5C263CE4"/>
    <w:rsid w:val="5C5D2777"/>
    <w:rsid w:val="5C722D7F"/>
    <w:rsid w:val="5D290C69"/>
    <w:rsid w:val="5DC17CC6"/>
    <w:rsid w:val="5EFA176D"/>
    <w:rsid w:val="5F0247F9"/>
    <w:rsid w:val="5F2D4A41"/>
    <w:rsid w:val="601930CC"/>
    <w:rsid w:val="601C34ED"/>
    <w:rsid w:val="60A511FB"/>
    <w:rsid w:val="61025A59"/>
    <w:rsid w:val="613D5BBC"/>
    <w:rsid w:val="61536C39"/>
    <w:rsid w:val="616D60F9"/>
    <w:rsid w:val="62944DD7"/>
    <w:rsid w:val="633B4622"/>
    <w:rsid w:val="63497036"/>
    <w:rsid w:val="63A20BC2"/>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3C47FF"/>
    <w:rsid w:val="684A4199"/>
    <w:rsid w:val="687E45FE"/>
    <w:rsid w:val="692172FD"/>
    <w:rsid w:val="6A3829EE"/>
    <w:rsid w:val="6A593A89"/>
    <w:rsid w:val="6A924CB7"/>
    <w:rsid w:val="6AE0292E"/>
    <w:rsid w:val="6B474EF5"/>
    <w:rsid w:val="6BC27679"/>
    <w:rsid w:val="6BC54EFE"/>
    <w:rsid w:val="6BD836B5"/>
    <w:rsid w:val="6C560CAE"/>
    <w:rsid w:val="6CD15296"/>
    <w:rsid w:val="6D903FF5"/>
    <w:rsid w:val="6DA955B8"/>
    <w:rsid w:val="6DE346AB"/>
    <w:rsid w:val="6FFB2E76"/>
    <w:rsid w:val="70AB70D6"/>
    <w:rsid w:val="70DE5507"/>
    <w:rsid w:val="71C34D91"/>
    <w:rsid w:val="71ED38AA"/>
    <w:rsid w:val="723F3B65"/>
    <w:rsid w:val="7284346E"/>
    <w:rsid w:val="72DB435C"/>
    <w:rsid w:val="737A1078"/>
    <w:rsid w:val="74655771"/>
    <w:rsid w:val="74ED1B1B"/>
    <w:rsid w:val="750837F0"/>
    <w:rsid w:val="75356609"/>
    <w:rsid w:val="762A73EF"/>
    <w:rsid w:val="7631412E"/>
    <w:rsid w:val="764F62AB"/>
    <w:rsid w:val="765C45EC"/>
    <w:rsid w:val="768A7619"/>
    <w:rsid w:val="7714640F"/>
    <w:rsid w:val="77EA362A"/>
    <w:rsid w:val="7875383E"/>
    <w:rsid w:val="796D60A4"/>
    <w:rsid w:val="798720AB"/>
    <w:rsid w:val="79A031D5"/>
    <w:rsid w:val="79A52681"/>
    <w:rsid w:val="79CB75C5"/>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6704</Words>
  <Characters>7793</Characters>
  <Lines>161</Lines>
  <Paragraphs>45</Paragraphs>
  <TotalTime>21</TotalTime>
  <ScaleCrop>false</ScaleCrop>
  <LinksUpToDate>false</LinksUpToDate>
  <CharactersWithSpaces>7795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Mist</cp:lastModifiedBy>
  <cp:lastPrinted>2025-10-16T08:07:00Z</cp:lastPrinted>
  <dcterms:modified xsi:type="dcterms:W3CDTF">2026-03-16T07:34:10Z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F77E40A11CEF49BC9795B46658E2302D</vt:lpwstr>
  </property>
  <property fmtid="{D5CDD505-2E9C-101B-9397-08002B2CF9AE}" pid="4" name="KSOTemplateDocerSaveRecord">
    <vt:lpwstr>eyJoZGlkIjoiYzg1OWZjNDY4YWU3ZDM2NzE4ZjRlYWM4ZWQ1YmRmODIiLCJ1c2VySWQiOiI3OTg1NTU1MjEifQ==</vt:lpwstr>
  </property>
</Properties>
</file>