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N/>
        <w:bidi w:val="0"/>
        <w:adjustRightInd/>
        <w:spacing w:before="0" w:beforeAutospacing="0" w:line="594"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重庆市铜梁区平滩镇人民政府</w:t>
      </w:r>
    </w:p>
    <w:p>
      <w:pPr>
        <w:pStyle w:val="5"/>
        <w:keepNext w:val="0"/>
        <w:keepLines w:val="0"/>
        <w:pageBreakBefore w:val="0"/>
        <w:kinsoku/>
        <w:wordWrap/>
        <w:overflowPunct/>
        <w:topLinePunct w:val="0"/>
        <w:autoSpaceDN/>
        <w:bidi w:val="0"/>
        <w:adjustRightInd/>
        <w:spacing w:before="0" w:beforeAutospacing="0" w:line="594"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2023年度决算公开说明</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一、部门基本情况</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（一）职能职责</w:t>
      </w:r>
    </w:p>
    <w:p>
      <w:pPr>
        <w:pStyle w:val="5"/>
        <w:keepNext w:val="0"/>
        <w:keepLines w:val="0"/>
        <w:pageBreakBefore w:val="0"/>
        <w:widowControl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平滩镇人民政府贯彻执行党的路线方针政策和国家的法律法规、促进经济社会发展、加强社会管理和公共服务、维护社会和谐稳定。适当调整经济管理职能，切实把工作重点转移到对农户和各类经济主体进行示范引导、提供政策服务以及营造发展环境上来。在做好经济工作的同时，努力提高乡镇的社会管理和公共服务水平。转变社会管理的方式，变单纯依靠行政手段为综合利用经济、法律、行政和思想政治工作等手段开展工作。牢固树立和落实科学发展观，根据实际确定工作职责，乡镇政府要适应新的职能定位，积极转变工作方式，切实做到突出发展、依法办事、管理民主、政务公开、强化服务。</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（二）机构设置</w:t>
      </w:r>
    </w:p>
    <w:p>
      <w:pPr>
        <w:pStyle w:val="5"/>
        <w:keepNext w:val="0"/>
        <w:keepLines w:val="0"/>
        <w:pageBreakBefore w:val="0"/>
        <w:widowControl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属独立核算的行政单位，适用行政单位会计制度</w:t>
      </w: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rPr>
        <w:t>内设办公室8个，具体为：党政办公室、党群工作办公室，经济发展办公室，民政和社会事务办公室，平安建设办公室，规划建设管理环保办公室，财政办公室，应急管理办公室；事业单位7个，具体为：综合行政执法大队、农业服务中心、文化服务中心、乡村产业培育中心、乡村生态治理中心、退役军人服务站、劳动就业和社会保障服务所。</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二、部门决算情况说明</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w:t>
      </w:r>
      <w:r>
        <w:rPr>
          <w:rFonts w:hint="eastAsia" w:ascii="方正楷体_GBK" w:hAnsi="方正楷体_GBK" w:eastAsia="方正楷体_GBK" w:cs="方正楷体_GBK"/>
          <w:b w:val="0"/>
          <w:bCs w:val="0"/>
          <w:sz w:val="32"/>
          <w:szCs w:val="32"/>
          <w:shd w:val="clear" w:color="auto" w:fill="FFFFFF"/>
          <w:lang w:val="en-US" w:eastAsia="zh-CN"/>
        </w:rPr>
        <w:t>一）收入支出决算总体情况说明</w:t>
      </w:r>
      <w:r>
        <w:rPr>
          <w:rFonts w:hint="eastAsia" w:ascii="方正楷体_GBK" w:hAnsi="方正楷体_GBK" w:eastAsia="方正楷体_GBK" w:cs="方正楷体_GBK"/>
          <w:b w:val="0"/>
          <w:bCs w:val="0"/>
          <w:sz w:val="32"/>
          <w:szCs w:val="32"/>
          <w:shd w:val="clear" w:color="auto" w:fill="FFFFFF"/>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b w:val="0"/>
          <w:bCs/>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2023年度收入总计6434.48万元，支出总计</w:t>
      </w:r>
      <w:r>
        <w:rPr>
          <w:rFonts w:hint="default" w:ascii="Times New Roman" w:hAnsi="Times New Roman" w:eastAsia="方正仿宋_GBK" w:cs="Times New Roman"/>
          <w:sz w:val="32"/>
          <w:szCs w:val="32"/>
        </w:rPr>
        <w:t>6434.48</w:t>
      </w:r>
      <w:r>
        <w:rPr>
          <w:rFonts w:hint="default" w:ascii="Times New Roman" w:hAnsi="Times New Roman" w:eastAsia="方正仿宋_GBK" w:cs="Times New Roman"/>
          <w:sz w:val="32"/>
          <w:szCs w:val="32"/>
          <w:shd w:val="clear" w:color="auto" w:fill="FFFFFF"/>
        </w:rPr>
        <w:t>万元。收支较上年决算数减少75.67万元，下降1.16%，主要原因是</w:t>
      </w:r>
      <w:bookmarkStart w:id="0" w:name="OLE_LINK9"/>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rPr>
        <w:t>（1）</w:t>
      </w:r>
      <w:bookmarkEnd w:id="0"/>
      <w:r>
        <w:rPr>
          <w:rFonts w:hint="default" w:ascii="Times New Roman" w:hAnsi="Times New Roman" w:eastAsia="方正仿宋_GBK" w:cs="Times New Roman"/>
          <w:color w:val="000000"/>
          <w:sz w:val="32"/>
          <w:szCs w:val="32"/>
        </w:rPr>
        <w:t>本年度增加部分项目拨款，主要包括：四好农村路和农村联网路增加185万元，泥洁石路硬化70万元等；2.人员工资、绩效、津补贴等年度正常变动增加18万元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color w:val="000000"/>
          <w:sz w:val="32"/>
          <w:szCs w:val="32"/>
        </w:rPr>
        <w:t>去年平滩镇人居环境整治723.17万元，今年374.41万元，减少348.77万元。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2.收入情况。2023年度收入合计5687.24万元，较上年决算数减少75.67万元，下降1.31%，主要原因是（1）本年度增加部分项目拨款，主要包括：四好农村路和农村联网路增加185万元，泥洁石路硬化70万元等；2.人员工资、绩效、津补贴等年度正常变动增加18万元。（2）去年平滩镇人居环境整治723.17万元，今年374.41万元，减少348.77万。</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其中：财政拨款收入5687.24万元，占100.00%；事业收入0.00万元，占0.00%；经营收入0.00万元，占0.00%；其他收入0.00万元，占0.00%。此外，使用非财政拨款结余和专用结余0.00万元，年初结转和结余747.24万元。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3.支出情况。2023年度支出合计5988.67万元，较上年决算数增加225.75万元，增长3.92%，主要原因是（1）进一步加大场镇建设项目收支增加293.44万元，公路增加288.61万元，人居环境整治减少348.77万元和敬老院项目减少734.68万元，项目收支增加43.4万元</w:t>
      </w:r>
      <w:r>
        <w:rPr>
          <w:rStyle w:val="7"/>
          <w:rFonts w:hint="eastAsia" w:ascii="Times New Roman" w:hAnsi="Times New Roman" w:eastAsia="方正仿宋_GBK" w:cs="Times New Roman"/>
          <w:b w:val="0"/>
          <w:bCs/>
          <w:sz w:val="32"/>
          <w:szCs w:val="32"/>
          <w:shd w:val="clear" w:color="auto" w:fill="FFFFFF"/>
          <w:lang w:eastAsia="zh-CN"/>
        </w:rPr>
        <w:t>。</w:t>
      </w:r>
      <w:r>
        <w:rPr>
          <w:rStyle w:val="7"/>
          <w:rFonts w:hint="default" w:ascii="Times New Roman" w:hAnsi="Times New Roman" w:eastAsia="方正仿宋_GBK" w:cs="Times New Roman"/>
          <w:b w:val="0"/>
          <w:bCs/>
          <w:sz w:val="32"/>
          <w:szCs w:val="32"/>
          <w:shd w:val="clear" w:color="auto" w:fill="FFFFFF"/>
        </w:rPr>
        <w:t>（2）人员工资、绩效、津补贴等正常变动，人员经费收支增加243.79万元，公用经费减少61.43万元。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其中：基本支出2459.27万元，占41.07%；项目支出3529.40万元，占58.93%；经营支出0.00万元，占0.00%。此外，结余分配0.00万元。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4.结转结余情况。2023年度年末结转和结余445.80万元，较上年决算数减少301.44万元，下降40.34%，主要原因是冲销了2021年超支款88万元，实体账户支小东门建设款213.44万元。</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Fonts w:hint="default" w:ascii="方正仿宋_GBK" w:hAnsi="方正仿宋_GBK" w:eastAsia="方正仿宋_GBK" w:cs="方正仿宋_GBK"/>
          <w:sz w:val="32"/>
          <w:szCs w:val="32"/>
        </w:rPr>
      </w:pPr>
      <w:r>
        <w:rPr>
          <w:rStyle w:val="7"/>
          <w:rFonts w:hint="default" w:ascii="Times New Roman" w:hAnsi="Times New Roman" w:eastAsia="方正仿宋_GBK" w:cs="Times New Roman"/>
          <w:b w:val="0"/>
          <w:bCs/>
          <w:sz w:val="32"/>
          <w:szCs w:val="32"/>
          <w:shd w:val="clear" w:color="auto" w:fill="FFFFFF"/>
        </w:rPr>
        <w:t>2023年度财政拨款收、支总计6434.48万元。与2022年相比，财政拨款收、支总计各减少75.67万元，下降1.16%。主要原因是</w:t>
      </w:r>
      <w:r>
        <w:rPr>
          <w:rStyle w:val="7"/>
          <w:rFonts w:hint="eastAsia" w:ascii="Times New Roman" w:hAnsi="Times New Roman" w:eastAsia="方正仿宋_GBK" w:cs="Times New Roman"/>
          <w:b w:val="0"/>
          <w:bCs/>
          <w:sz w:val="32"/>
          <w:szCs w:val="32"/>
          <w:shd w:val="clear" w:color="auto" w:fill="FFFFFF"/>
          <w:lang w:val="en-US" w:eastAsia="zh-CN"/>
        </w:rPr>
        <w:t>:</w:t>
      </w:r>
      <w:r>
        <w:rPr>
          <w:rStyle w:val="7"/>
          <w:rFonts w:hint="default" w:ascii="Times New Roman" w:hAnsi="Times New Roman" w:eastAsia="方正仿宋_GBK" w:cs="Times New Roman"/>
          <w:b w:val="0"/>
          <w:bCs/>
          <w:sz w:val="32"/>
          <w:szCs w:val="32"/>
          <w:shd w:val="clear" w:color="auto" w:fill="FFFFFF"/>
        </w:rPr>
        <w:t>（1）本年度增加部分项目拨款，主要包括：四好农村路和农村联网路增加185万元，泥洁石路硬化70万元等；2.人员工资、绩效、津补贴等年度正常变动增加18万元。（2）去年平滩镇人居环境整治723.17万元，今年374.41万元，减少348.77万元。</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1.收入情况。2023年度一般公共预算财政拨款收入5312.83万元，较上年决算数增加273.09万元，增长5.42%。主要原因是</w:t>
      </w:r>
      <w:r>
        <w:rPr>
          <w:rStyle w:val="7"/>
          <w:rFonts w:hint="eastAsia" w:ascii="Times New Roman" w:hAnsi="Times New Roman" w:eastAsia="方正仿宋_GBK" w:cs="Times New Roman"/>
          <w:b w:val="0"/>
          <w:bCs/>
          <w:sz w:val="32"/>
          <w:szCs w:val="32"/>
          <w:shd w:val="clear" w:color="auto" w:fill="FFFFFF"/>
          <w:lang w:val="en-US" w:eastAsia="zh-CN"/>
        </w:rPr>
        <w:t xml:space="preserve"> :(1)</w:t>
      </w:r>
      <w:r>
        <w:rPr>
          <w:rStyle w:val="7"/>
          <w:rFonts w:hint="default" w:ascii="Times New Roman" w:hAnsi="Times New Roman" w:eastAsia="方正仿宋_GBK" w:cs="Times New Roman"/>
          <w:b w:val="0"/>
          <w:bCs/>
          <w:sz w:val="32"/>
          <w:szCs w:val="32"/>
          <w:shd w:val="clear" w:color="auto" w:fill="FFFFFF"/>
        </w:rPr>
        <w:t>本年度增加部分项目拨款，主要包括：四好农村路和农村联网路增加185万元，泥洁石路硬化70万元等；2.人员工资、绩效、津补贴等年度正常变动增加18万元。较年初预算数减少355.27万元，下降6.27%。主要原因是2021-2023年泥结路款未支付完，此外，年初财政拨款结转和结余747.24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eastAsia" w:ascii="Times New Roman" w:hAnsi="Times New Roman" w:eastAsia="方正仿宋_GBK" w:cs="Times New Roman"/>
          <w:b w:val="0"/>
          <w:bCs/>
          <w:sz w:val="32"/>
          <w:szCs w:val="32"/>
          <w:shd w:val="clear" w:color="auto" w:fill="FFFFFF"/>
          <w:lang w:val="en-US" w:eastAsia="zh-CN"/>
        </w:rPr>
      </w:pPr>
      <w:r>
        <w:rPr>
          <w:rStyle w:val="7"/>
          <w:rFonts w:hint="default" w:ascii="Times New Roman" w:hAnsi="Times New Roman" w:eastAsia="方正仿宋_GBK" w:cs="Times New Roman"/>
          <w:b w:val="0"/>
          <w:bCs/>
          <w:sz w:val="32"/>
          <w:szCs w:val="32"/>
          <w:shd w:val="clear" w:color="auto" w:fill="FFFFFF"/>
        </w:rPr>
        <w:t>2.支出情况。2023年度一般公共预算财政拨款支出5614.26万元，较上年决算数增加574.52万元，增长11.40%。主要原因是市政设施301.43万元，招商引税41.66万元，小城镇基础设施231.43万元</w:t>
      </w:r>
      <w:r>
        <w:rPr>
          <w:rStyle w:val="7"/>
          <w:rFonts w:hint="eastAsia" w:ascii="Times New Roman" w:hAnsi="Times New Roman" w:eastAsia="方正仿宋_GBK" w:cs="Times New Roman"/>
          <w:b w:val="0"/>
          <w:bCs/>
          <w:sz w:val="32"/>
          <w:szCs w:val="32"/>
          <w:shd w:val="clear" w:color="auto" w:fill="FFFFFF"/>
          <w:lang w:val="en-US" w:eastAsia="zh-CN"/>
        </w:rPr>
        <w:t>;</w:t>
      </w:r>
      <w:r>
        <w:rPr>
          <w:rStyle w:val="7"/>
          <w:rFonts w:hint="default" w:ascii="Times New Roman" w:hAnsi="Times New Roman" w:eastAsia="方正仿宋_GBK" w:cs="Times New Roman"/>
          <w:b w:val="0"/>
          <w:bCs/>
          <w:sz w:val="32"/>
          <w:szCs w:val="32"/>
          <w:shd w:val="clear" w:color="auto" w:fill="FFFFFF"/>
        </w:rPr>
        <w:t>较年初预算数减少53.84万元，下降0.95%</w:t>
      </w:r>
      <w:r>
        <w:rPr>
          <w:rStyle w:val="7"/>
          <w:rFonts w:hint="eastAsia" w:ascii="Times New Roman" w:hAnsi="Times New Roman" w:eastAsia="方正仿宋_GBK" w:cs="Times New Roman"/>
          <w:b w:val="0"/>
          <w:bCs/>
          <w:sz w:val="32"/>
          <w:szCs w:val="32"/>
          <w:shd w:val="clear" w:color="auto" w:fill="FFFFFF"/>
          <w:lang w:val="en-US" w:eastAsia="zh-CN"/>
        </w:rPr>
        <w:t>,</w:t>
      </w:r>
      <w:r>
        <w:rPr>
          <w:rStyle w:val="7"/>
          <w:rFonts w:hint="default" w:ascii="Times New Roman" w:hAnsi="Times New Roman" w:eastAsia="方正仿宋_GBK" w:cs="Times New Roman"/>
          <w:b w:val="0"/>
          <w:bCs/>
          <w:sz w:val="32"/>
          <w:szCs w:val="32"/>
          <w:shd w:val="clear" w:color="auto" w:fill="FFFFFF"/>
        </w:rPr>
        <w:t>主要原因是</w:t>
      </w:r>
      <w:r>
        <w:rPr>
          <w:rStyle w:val="7"/>
          <w:rFonts w:hint="eastAsia" w:ascii="Times New Roman" w:hAnsi="Times New Roman" w:eastAsia="方正仿宋_GBK" w:cs="Times New Roman"/>
          <w:b w:val="0"/>
          <w:bCs/>
          <w:sz w:val="32"/>
          <w:szCs w:val="32"/>
          <w:shd w:val="clear" w:color="auto" w:fill="FFFFFF"/>
          <w:lang w:eastAsia="zh-CN"/>
        </w:rPr>
        <w:t>事业人员的超高绩效未清算</w:t>
      </w:r>
      <w:r>
        <w:rPr>
          <w:rStyle w:val="7"/>
          <w:rFonts w:hint="eastAsia" w:ascii="Times New Roman" w:hAnsi="Times New Roman" w:eastAsia="方正仿宋_GBK" w:cs="Times New Roman"/>
          <w:b w:val="0"/>
          <w:bCs/>
          <w:sz w:val="32"/>
          <w:szCs w:val="32"/>
          <w:shd w:val="clear" w:color="auto" w:fill="FFFFFF"/>
          <w:lang w:val="en-US" w:eastAsia="zh-CN"/>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3.结转结余情况。2023年度年末一般公共预算财政拨款结转和结余445.80万元，较上年决算数减少301.44万元，下降40.34%，</w:t>
      </w:r>
      <w:r>
        <w:rPr>
          <w:rStyle w:val="7"/>
          <w:rFonts w:hint="eastAsia" w:ascii="Times New Roman" w:hAnsi="Times New Roman" w:eastAsia="方正仿宋_GBK" w:cs="Times New Roman"/>
          <w:b w:val="0"/>
          <w:bCs/>
          <w:sz w:val="32"/>
          <w:szCs w:val="32"/>
          <w:shd w:val="clear" w:color="auto" w:fill="FFFFFF"/>
          <w:lang w:eastAsia="zh-CN"/>
        </w:rPr>
        <w:t>主要原因是</w:t>
      </w:r>
      <w:r>
        <w:rPr>
          <w:rStyle w:val="7"/>
          <w:rFonts w:hint="default" w:ascii="Times New Roman" w:hAnsi="Times New Roman" w:eastAsia="方正仿宋_GBK" w:cs="Times New Roman"/>
          <w:b w:val="0"/>
          <w:bCs/>
          <w:sz w:val="32"/>
          <w:szCs w:val="32"/>
          <w:shd w:val="clear" w:color="auto" w:fill="FFFFFF"/>
        </w:rPr>
        <w:t>冲销了2021年超支款88万元，实体账户支小东门建设款213.44万元。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4.比较情况。本部门2023年度一般公共预算财政拨款支出主要用于以下几个方面：</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（1）一般公共服务支出1114.43万元，占19.85%，较年初预算数增加22.78万元，增长2.09%，主要原因是行政人员和综合执法大队人员工资、津补贴、绩效等支出增加21.04万元，临聘人员费用增加1.74万元。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w:t>
      </w:r>
      <w:r>
        <w:rPr>
          <w:rStyle w:val="7"/>
          <w:rFonts w:hint="eastAsia" w:ascii="Times New Roman" w:hAnsi="Times New Roman" w:eastAsia="方正仿宋_GBK" w:cs="Times New Roman"/>
          <w:b w:val="0"/>
          <w:bCs/>
          <w:sz w:val="32"/>
          <w:szCs w:val="32"/>
          <w:shd w:val="clear" w:color="auto" w:fill="FFFFFF"/>
          <w:lang w:val="en-US" w:eastAsia="zh-CN"/>
        </w:rPr>
        <w:t>2</w:t>
      </w:r>
      <w:r>
        <w:rPr>
          <w:rStyle w:val="7"/>
          <w:rFonts w:hint="default" w:ascii="Times New Roman" w:hAnsi="Times New Roman" w:eastAsia="方正仿宋_GBK" w:cs="Times New Roman"/>
          <w:b w:val="0"/>
          <w:bCs/>
          <w:sz w:val="32"/>
          <w:szCs w:val="32"/>
          <w:shd w:val="clear" w:color="auto" w:fill="FFFFFF"/>
        </w:rPr>
        <w:t>）文化旅游体育与传媒支出45.44万元，占0.81%，较年初预算数增加45.44万元，增长100.00%，主要原因是文化服务中心人员工资、津补贴、绩效等增加36.86万元；办公经费增加2.93万元，项目经费增加5.65万元，主要包括免费开放5.65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w:t>
      </w:r>
      <w:r>
        <w:rPr>
          <w:rStyle w:val="7"/>
          <w:rFonts w:hint="eastAsia" w:ascii="Times New Roman" w:hAnsi="Times New Roman" w:eastAsia="方正仿宋_GBK" w:cs="Times New Roman"/>
          <w:b w:val="0"/>
          <w:bCs/>
          <w:sz w:val="32"/>
          <w:szCs w:val="32"/>
          <w:shd w:val="clear" w:color="auto" w:fill="FFFFFF"/>
          <w:lang w:val="en-US" w:eastAsia="zh-CN"/>
        </w:rPr>
        <w:t>3</w:t>
      </w:r>
      <w:r>
        <w:rPr>
          <w:rStyle w:val="7"/>
          <w:rFonts w:hint="default" w:ascii="Times New Roman" w:hAnsi="Times New Roman" w:eastAsia="方正仿宋_GBK" w:cs="Times New Roman"/>
          <w:b w:val="0"/>
          <w:bCs/>
          <w:sz w:val="32"/>
          <w:szCs w:val="32"/>
          <w:shd w:val="clear" w:color="auto" w:fill="FFFFFF"/>
        </w:rPr>
        <w:t>）社会保障与就业支出1011.07万元，占18.01%，较年初预算数减少773.14万元，下降43.33%，主要原因是敬老院项目减少</w:t>
      </w:r>
      <w:r>
        <w:rPr>
          <w:rStyle w:val="7"/>
          <w:rFonts w:hint="eastAsia" w:ascii="Times New Roman" w:hAnsi="Times New Roman" w:eastAsia="方正仿宋_GBK" w:cs="Times New Roman"/>
          <w:b w:val="0"/>
          <w:bCs/>
          <w:sz w:val="32"/>
          <w:szCs w:val="32"/>
          <w:shd w:val="clear" w:color="auto" w:fill="FFFFFF"/>
          <w:lang w:val="en-US" w:eastAsia="zh-CN"/>
        </w:rPr>
        <w:t>905.22</w:t>
      </w:r>
      <w:r>
        <w:rPr>
          <w:rStyle w:val="7"/>
          <w:rFonts w:hint="default" w:ascii="Times New Roman" w:hAnsi="Times New Roman" w:eastAsia="方正仿宋_GBK" w:cs="Times New Roman"/>
          <w:b w:val="0"/>
          <w:bCs/>
          <w:sz w:val="32"/>
          <w:szCs w:val="32"/>
          <w:shd w:val="clear" w:color="auto" w:fill="FFFFFF"/>
        </w:rPr>
        <w:t>万元</w:t>
      </w:r>
      <w:r>
        <w:rPr>
          <w:rStyle w:val="7"/>
          <w:rFonts w:hint="eastAsia" w:ascii="Times New Roman" w:hAnsi="Times New Roman" w:eastAsia="方正仿宋_GBK" w:cs="Times New Roman"/>
          <w:b w:val="0"/>
          <w:bCs/>
          <w:sz w:val="32"/>
          <w:szCs w:val="32"/>
          <w:shd w:val="clear" w:color="auto" w:fill="FFFFFF"/>
          <w:lang w:val="en-US" w:eastAsia="zh-CN"/>
        </w:rPr>
        <w:t>,社保和退役人员经费增加122.53万元，公用经费增加9.55万元，</w:t>
      </w:r>
      <w:r>
        <w:rPr>
          <w:rStyle w:val="7"/>
          <w:rFonts w:hint="default" w:ascii="Times New Roman" w:hAnsi="Times New Roman" w:eastAsia="方正仿宋_GBK" w:cs="Times New Roman"/>
          <w:b w:val="0"/>
          <w:bCs/>
          <w:sz w:val="32"/>
          <w:szCs w:val="32"/>
          <w:shd w:val="clear" w:color="auto" w:fill="FFFFFF"/>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w:t>
      </w:r>
      <w:r>
        <w:rPr>
          <w:rStyle w:val="7"/>
          <w:rFonts w:hint="eastAsia" w:ascii="Times New Roman" w:hAnsi="Times New Roman" w:eastAsia="方正仿宋_GBK" w:cs="Times New Roman"/>
          <w:b w:val="0"/>
          <w:bCs/>
          <w:sz w:val="32"/>
          <w:szCs w:val="32"/>
          <w:shd w:val="clear" w:color="auto" w:fill="FFFFFF"/>
          <w:lang w:val="en-US" w:eastAsia="zh-CN"/>
        </w:rPr>
        <w:t>4</w:t>
      </w:r>
      <w:r>
        <w:rPr>
          <w:rStyle w:val="7"/>
          <w:rFonts w:hint="default" w:ascii="Times New Roman" w:hAnsi="Times New Roman" w:eastAsia="方正仿宋_GBK" w:cs="Times New Roman"/>
          <w:b w:val="0"/>
          <w:bCs/>
          <w:sz w:val="32"/>
          <w:szCs w:val="32"/>
          <w:shd w:val="clear" w:color="auto" w:fill="FFFFFF"/>
        </w:rPr>
        <w:t>）卫生健康支出109.38万元，占1.95%，较年初预算数减少32.91万元，下降23.13%，主要原因是年初预算疫情防控支出</w:t>
      </w:r>
      <w:r>
        <w:rPr>
          <w:rStyle w:val="7"/>
          <w:rFonts w:hint="eastAsia" w:ascii="Times New Roman" w:hAnsi="Times New Roman" w:eastAsia="方正仿宋_GBK" w:cs="Times New Roman"/>
          <w:b w:val="0"/>
          <w:bCs/>
          <w:sz w:val="32"/>
          <w:szCs w:val="32"/>
          <w:shd w:val="clear" w:color="auto" w:fill="FFFFFF"/>
          <w:lang w:eastAsia="zh-CN"/>
        </w:rPr>
        <w:t>减少</w:t>
      </w:r>
      <w:r>
        <w:rPr>
          <w:rStyle w:val="7"/>
          <w:rFonts w:hint="eastAsia" w:ascii="Times New Roman" w:hAnsi="Times New Roman" w:eastAsia="方正仿宋_GBK" w:cs="Times New Roman"/>
          <w:b w:val="0"/>
          <w:bCs/>
          <w:sz w:val="32"/>
          <w:szCs w:val="32"/>
          <w:shd w:val="clear" w:color="auto" w:fill="FFFFFF"/>
          <w:lang w:val="en-US" w:eastAsia="zh-CN"/>
        </w:rPr>
        <w:t>9.8万元</w:t>
      </w:r>
      <w:r>
        <w:rPr>
          <w:rStyle w:val="7"/>
          <w:rFonts w:hint="default" w:ascii="Times New Roman" w:hAnsi="Times New Roman" w:eastAsia="方正仿宋_GBK" w:cs="Times New Roman"/>
          <w:b w:val="0"/>
          <w:bCs/>
          <w:sz w:val="32"/>
          <w:szCs w:val="32"/>
          <w:shd w:val="clear" w:color="auto" w:fill="FFFFFF"/>
        </w:rPr>
        <w:t>，公务员医疗补助</w:t>
      </w:r>
      <w:r>
        <w:rPr>
          <w:rStyle w:val="7"/>
          <w:rFonts w:hint="eastAsia" w:ascii="Times New Roman" w:hAnsi="Times New Roman" w:eastAsia="方正仿宋_GBK" w:cs="Times New Roman"/>
          <w:b w:val="0"/>
          <w:bCs/>
          <w:sz w:val="32"/>
          <w:szCs w:val="32"/>
          <w:shd w:val="clear" w:color="auto" w:fill="FFFFFF"/>
          <w:lang w:val="en-US" w:eastAsia="zh-CN"/>
        </w:rPr>
        <w:t>23.11</w:t>
      </w:r>
      <w:r>
        <w:rPr>
          <w:rStyle w:val="7"/>
          <w:rFonts w:hint="default" w:ascii="Times New Roman" w:hAnsi="Times New Roman" w:eastAsia="方正仿宋_GBK" w:cs="Times New Roman"/>
          <w:b w:val="0"/>
          <w:bCs/>
          <w:sz w:val="32"/>
          <w:szCs w:val="32"/>
          <w:shd w:val="clear" w:color="auto" w:fill="FFFFFF"/>
        </w:rPr>
        <w:t>万元未支付。</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w:t>
      </w:r>
      <w:r>
        <w:rPr>
          <w:rStyle w:val="7"/>
          <w:rFonts w:hint="eastAsia" w:ascii="Times New Roman" w:hAnsi="Times New Roman" w:eastAsia="方正仿宋_GBK" w:cs="Times New Roman"/>
          <w:b w:val="0"/>
          <w:bCs/>
          <w:sz w:val="32"/>
          <w:szCs w:val="32"/>
          <w:shd w:val="clear" w:color="auto" w:fill="FFFFFF"/>
          <w:lang w:val="en-US" w:eastAsia="zh-CN"/>
        </w:rPr>
        <w:t>5</w:t>
      </w:r>
      <w:r>
        <w:rPr>
          <w:rStyle w:val="7"/>
          <w:rFonts w:hint="default" w:ascii="Times New Roman" w:hAnsi="Times New Roman" w:eastAsia="方正仿宋_GBK" w:cs="Times New Roman"/>
          <w:b w:val="0"/>
          <w:bCs/>
          <w:sz w:val="32"/>
          <w:szCs w:val="32"/>
          <w:shd w:val="clear" w:color="auto" w:fill="FFFFFF"/>
        </w:rPr>
        <w:t>）节能环保支出185.99万元，占3.31%，较年初预算数增加44.21万元，增长31.18%，主要原因是人员工资、津补贴、绩效等增加49.07万元；办公经费增加3.99万元，河长制工作经费较年初预算减少8.85万元。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w:t>
      </w:r>
      <w:r>
        <w:rPr>
          <w:rStyle w:val="7"/>
          <w:rFonts w:hint="eastAsia" w:ascii="Times New Roman" w:hAnsi="Times New Roman" w:eastAsia="方正仿宋_GBK" w:cs="Times New Roman"/>
          <w:b w:val="0"/>
          <w:bCs/>
          <w:sz w:val="32"/>
          <w:szCs w:val="32"/>
          <w:shd w:val="clear" w:color="auto" w:fill="FFFFFF"/>
          <w:lang w:val="en-US" w:eastAsia="zh-CN"/>
        </w:rPr>
        <w:t>6</w:t>
      </w:r>
      <w:r>
        <w:rPr>
          <w:rStyle w:val="7"/>
          <w:rFonts w:hint="default" w:ascii="Times New Roman" w:hAnsi="Times New Roman" w:eastAsia="方正仿宋_GBK" w:cs="Times New Roman"/>
          <w:b w:val="0"/>
          <w:bCs/>
          <w:sz w:val="32"/>
          <w:szCs w:val="32"/>
          <w:shd w:val="clear" w:color="auto" w:fill="FFFFFF"/>
        </w:rPr>
        <w:t>）城乡社区支出872.81万元，占15.55%，较年初预算数增加659.81万元，增长309.77%，主要原因是项目支出较年初预算增加659.81万元，其中主要是小城镇基础设施建设较年初预算增加213.44万元，场镇环境整治增加374.41万元，市政设施维护增加71.96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eastAsia"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rPr>
        <w:t>（</w:t>
      </w:r>
      <w:r>
        <w:rPr>
          <w:rStyle w:val="7"/>
          <w:rFonts w:hint="eastAsia" w:ascii="Times New Roman" w:hAnsi="Times New Roman" w:eastAsia="方正仿宋_GBK" w:cs="Times New Roman"/>
          <w:b w:val="0"/>
          <w:bCs/>
          <w:sz w:val="32"/>
          <w:szCs w:val="32"/>
          <w:shd w:val="clear" w:color="auto" w:fill="FFFFFF"/>
          <w:lang w:val="en-US" w:eastAsia="zh-CN"/>
        </w:rPr>
        <w:t>7</w:t>
      </w:r>
      <w:r>
        <w:rPr>
          <w:rStyle w:val="7"/>
          <w:rFonts w:hint="default" w:ascii="Times New Roman" w:hAnsi="Times New Roman" w:eastAsia="方正仿宋_GBK" w:cs="Times New Roman"/>
          <w:b w:val="0"/>
          <w:bCs/>
          <w:sz w:val="32"/>
          <w:szCs w:val="32"/>
          <w:shd w:val="clear" w:color="auto" w:fill="FFFFFF"/>
        </w:rPr>
        <w:t>）农林水支出1578.27万元，占28.11%，较年初预算数减少525.83万元，下降24.99%，</w:t>
      </w:r>
      <w:r>
        <w:rPr>
          <w:rStyle w:val="7"/>
          <w:rFonts w:hint="eastAsia" w:ascii="Times New Roman" w:hAnsi="Times New Roman" w:eastAsia="方正仿宋_GBK" w:cs="Times New Roman"/>
          <w:b w:val="0"/>
          <w:bCs/>
          <w:sz w:val="32"/>
          <w:szCs w:val="32"/>
          <w:shd w:val="clear" w:color="auto" w:fill="FFFFFF"/>
          <w:lang w:eastAsia="zh-CN"/>
        </w:rPr>
        <w:t>主要原因是</w:t>
      </w:r>
      <w:r>
        <w:rPr>
          <w:rStyle w:val="7"/>
          <w:rFonts w:hint="default" w:ascii="Times New Roman" w:hAnsi="Times New Roman" w:eastAsia="方正仿宋_GBK" w:cs="Times New Roman"/>
          <w:b w:val="0"/>
          <w:bCs/>
          <w:sz w:val="32"/>
          <w:szCs w:val="32"/>
          <w:shd w:val="clear" w:color="auto" w:fill="FFFFFF"/>
        </w:rPr>
        <w:t>事业单位的年初人员和公用经费全部预算在农林水，共减少了365.83万元，泥结石路硬</w:t>
      </w:r>
      <w:bookmarkStart w:id="6" w:name="_GoBack"/>
      <w:bookmarkEnd w:id="6"/>
      <w:r>
        <w:rPr>
          <w:rStyle w:val="7"/>
          <w:rFonts w:hint="default" w:ascii="Times New Roman" w:hAnsi="Times New Roman" w:eastAsia="方正仿宋_GBK" w:cs="Times New Roman"/>
          <w:b w:val="0"/>
          <w:bCs/>
          <w:sz w:val="32"/>
          <w:szCs w:val="32"/>
          <w:shd w:val="clear" w:color="auto" w:fill="FFFFFF"/>
        </w:rPr>
        <w:t>化项目</w:t>
      </w:r>
      <w:r>
        <w:rPr>
          <w:rStyle w:val="7"/>
          <w:rFonts w:hint="eastAsia" w:ascii="Times New Roman" w:hAnsi="Times New Roman" w:eastAsia="方正仿宋_GBK" w:cs="Times New Roman"/>
          <w:b w:val="0"/>
          <w:bCs/>
          <w:sz w:val="32"/>
          <w:szCs w:val="32"/>
          <w:shd w:val="clear" w:color="auto" w:fill="FFFFFF"/>
          <w:lang w:eastAsia="zh-CN"/>
        </w:rPr>
        <w:t>做支付更正，调到城乡社区</w:t>
      </w:r>
      <w:r>
        <w:rPr>
          <w:rStyle w:val="7"/>
          <w:rFonts w:hint="default" w:ascii="Times New Roman" w:hAnsi="Times New Roman" w:eastAsia="方正仿宋_GBK" w:cs="Times New Roman"/>
          <w:b w:val="0"/>
          <w:bCs/>
          <w:sz w:val="32"/>
          <w:szCs w:val="32"/>
          <w:shd w:val="clear" w:color="auto" w:fill="FFFFFF"/>
        </w:rPr>
        <w:t>160万元</w:t>
      </w:r>
      <w:r>
        <w:rPr>
          <w:rStyle w:val="7"/>
          <w:rFonts w:hint="eastAsia" w:ascii="Times New Roman" w:hAnsi="Times New Roman" w:eastAsia="方正仿宋_GBK" w:cs="Times New Roman"/>
          <w:b w:val="0"/>
          <w:bCs/>
          <w:sz w:val="32"/>
          <w:szCs w:val="32"/>
          <w:shd w:val="clear" w:color="auto" w:fill="FFFFFF"/>
          <w:lang w:eastAsia="zh-CN"/>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w:t>
      </w:r>
      <w:r>
        <w:rPr>
          <w:rStyle w:val="7"/>
          <w:rFonts w:hint="eastAsia" w:ascii="Times New Roman" w:hAnsi="Times New Roman" w:eastAsia="方正仿宋_GBK" w:cs="Times New Roman"/>
          <w:b w:val="0"/>
          <w:bCs/>
          <w:sz w:val="32"/>
          <w:szCs w:val="32"/>
          <w:shd w:val="clear" w:color="auto" w:fill="FFFFFF"/>
          <w:lang w:val="en-US" w:eastAsia="zh-CN"/>
        </w:rPr>
        <w:t>8</w:t>
      </w:r>
      <w:r>
        <w:rPr>
          <w:rStyle w:val="7"/>
          <w:rFonts w:hint="default" w:ascii="Times New Roman" w:hAnsi="Times New Roman" w:eastAsia="方正仿宋_GBK" w:cs="Times New Roman"/>
          <w:b w:val="0"/>
          <w:bCs/>
          <w:sz w:val="32"/>
          <w:szCs w:val="32"/>
          <w:shd w:val="clear" w:color="auto" w:fill="FFFFFF"/>
        </w:rPr>
        <w:t>）交通运输支出450.39万元，占8.02%，较年初预算数增加384.06万元，增长579.01%，主要原因是四好农村公路建设项目投入增加。</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w:t>
      </w:r>
      <w:r>
        <w:rPr>
          <w:rStyle w:val="7"/>
          <w:rFonts w:hint="eastAsia" w:ascii="Times New Roman" w:hAnsi="Times New Roman" w:eastAsia="方正仿宋_GBK" w:cs="Times New Roman"/>
          <w:b w:val="0"/>
          <w:bCs/>
          <w:sz w:val="32"/>
          <w:szCs w:val="32"/>
          <w:shd w:val="clear" w:color="auto" w:fill="FFFFFF"/>
          <w:lang w:val="en-US" w:eastAsia="zh-CN"/>
        </w:rPr>
        <w:t>9</w:t>
      </w:r>
      <w:r>
        <w:rPr>
          <w:rStyle w:val="7"/>
          <w:rFonts w:hint="default" w:ascii="Times New Roman" w:hAnsi="Times New Roman" w:eastAsia="方正仿宋_GBK" w:cs="Times New Roman"/>
          <w:b w:val="0"/>
          <w:bCs/>
          <w:sz w:val="32"/>
          <w:szCs w:val="32"/>
          <w:shd w:val="clear" w:color="auto" w:fill="FFFFFF"/>
        </w:rPr>
        <w:t>）资源勘探信息等支出21.41万元，占0.38%，较年初预算数增加21.41万元，增长100.00%，主要原因是招商引税项目的经济分类是对企业的补助。</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w:t>
      </w:r>
      <w:r>
        <w:rPr>
          <w:rStyle w:val="7"/>
          <w:rFonts w:hint="eastAsia" w:ascii="Times New Roman" w:hAnsi="Times New Roman" w:eastAsia="方正仿宋_GBK" w:cs="Times New Roman"/>
          <w:b w:val="0"/>
          <w:bCs/>
          <w:sz w:val="32"/>
          <w:szCs w:val="32"/>
          <w:shd w:val="clear" w:color="auto" w:fill="FFFFFF"/>
          <w:lang w:val="en-US" w:eastAsia="zh-CN"/>
        </w:rPr>
        <w:t>10</w:t>
      </w:r>
      <w:r>
        <w:rPr>
          <w:rStyle w:val="7"/>
          <w:rFonts w:hint="default" w:ascii="Times New Roman" w:hAnsi="Times New Roman" w:eastAsia="方正仿宋_GBK" w:cs="Times New Roman"/>
          <w:b w:val="0"/>
          <w:bCs/>
          <w:sz w:val="32"/>
          <w:szCs w:val="32"/>
          <w:shd w:val="clear" w:color="auto" w:fill="FFFFFF"/>
        </w:rPr>
        <w:t>）住房保障支出114.74万元，占2.04%，较年初预算数无增减，主要原因是严格按预算安排支出。</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eastAsia" w:ascii="Times New Roman" w:hAnsi="Times New Roman" w:eastAsia="方正仿宋_GBK" w:cs="Times New Roman"/>
          <w:b w:val="0"/>
          <w:bCs/>
          <w:sz w:val="32"/>
          <w:szCs w:val="32"/>
          <w:shd w:val="clear" w:color="auto" w:fill="FFFFFF"/>
          <w:lang w:val="en-US" w:eastAsia="zh-CN"/>
        </w:rPr>
      </w:pPr>
      <w:r>
        <w:rPr>
          <w:rStyle w:val="7"/>
          <w:rFonts w:hint="default" w:ascii="Times New Roman" w:hAnsi="Times New Roman" w:eastAsia="方正仿宋_GBK" w:cs="Times New Roman"/>
          <w:b w:val="0"/>
          <w:bCs/>
          <w:sz w:val="32"/>
          <w:szCs w:val="32"/>
          <w:shd w:val="clear" w:color="auto" w:fill="FFFFFF"/>
        </w:rPr>
        <w:t>（</w:t>
      </w:r>
      <w:r>
        <w:rPr>
          <w:rStyle w:val="7"/>
          <w:rFonts w:hint="eastAsia" w:ascii="Times New Roman" w:hAnsi="Times New Roman" w:eastAsia="方正仿宋_GBK" w:cs="Times New Roman"/>
          <w:b w:val="0"/>
          <w:bCs/>
          <w:sz w:val="32"/>
          <w:szCs w:val="32"/>
          <w:shd w:val="clear" w:color="auto" w:fill="FFFFFF"/>
          <w:lang w:val="en-US" w:eastAsia="zh-CN"/>
        </w:rPr>
        <w:t>11</w:t>
      </w:r>
      <w:r>
        <w:rPr>
          <w:rStyle w:val="7"/>
          <w:rFonts w:hint="default" w:ascii="Times New Roman" w:hAnsi="Times New Roman" w:eastAsia="方正仿宋_GBK" w:cs="Times New Roman"/>
          <w:b w:val="0"/>
          <w:bCs/>
          <w:sz w:val="32"/>
          <w:szCs w:val="32"/>
          <w:shd w:val="clear" w:color="auto" w:fill="FFFFFF"/>
        </w:rPr>
        <w:t>）灾害防治及应急管理支出110.35万元，占1.97%，较年初预算数增加100.35万元，增长1003.50%，主要原因是应急工作经费支出较年初预算增加100.35万元，临聘消防人员工作经费支出较年初预算增加3.</w:t>
      </w:r>
      <w:r>
        <w:rPr>
          <w:rStyle w:val="7"/>
          <w:rFonts w:hint="eastAsia" w:ascii="Times New Roman" w:hAnsi="Times New Roman" w:eastAsia="方正仿宋_GBK" w:cs="Times New Roman"/>
          <w:b w:val="0"/>
          <w:bCs/>
          <w:sz w:val="32"/>
          <w:szCs w:val="32"/>
          <w:shd w:val="clear" w:color="auto" w:fill="FFFFFF"/>
          <w:lang w:val="en-US" w:eastAsia="zh-CN"/>
        </w:rPr>
        <w:t>1</w:t>
      </w:r>
      <w:r>
        <w:rPr>
          <w:rStyle w:val="7"/>
          <w:rFonts w:hint="default" w:ascii="Times New Roman" w:hAnsi="Times New Roman" w:eastAsia="方正仿宋_GBK" w:cs="Times New Roman"/>
          <w:b w:val="0"/>
          <w:bCs/>
          <w:sz w:val="32"/>
          <w:szCs w:val="32"/>
          <w:shd w:val="clear" w:color="auto" w:fill="FFFFFF"/>
        </w:rPr>
        <w:t>万元，镇街防汛救灾专项资金支出较年初预算增加99.01万元。森林防为减少</w:t>
      </w:r>
      <w:r>
        <w:rPr>
          <w:rStyle w:val="7"/>
          <w:rFonts w:hint="eastAsia" w:ascii="Times New Roman" w:hAnsi="Times New Roman" w:eastAsia="方正仿宋_GBK" w:cs="Times New Roman"/>
          <w:b w:val="0"/>
          <w:bCs/>
          <w:sz w:val="32"/>
          <w:szCs w:val="32"/>
          <w:shd w:val="clear" w:color="auto" w:fill="FFFFFF"/>
          <w:lang w:val="en-US" w:eastAsia="zh-CN"/>
        </w:rPr>
        <w:t>1.76</w:t>
      </w:r>
      <w:r>
        <w:rPr>
          <w:rStyle w:val="7"/>
          <w:rFonts w:hint="default" w:ascii="Times New Roman" w:hAnsi="Times New Roman" w:eastAsia="方正仿宋_GBK" w:cs="Times New Roman"/>
          <w:b w:val="0"/>
          <w:bCs/>
          <w:sz w:val="32"/>
          <w:szCs w:val="32"/>
          <w:shd w:val="clear" w:color="auto" w:fill="FFFFFF"/>
        </w:rPr>
        <w:t>万元</w:t>
      </w:r>
      <w:r>
        <w:rPr>
          <w:rStyle w:val="7"/>
          <w:rFonts w:hint="eastAsia" w:ascii="Times New Roman" w:hAnsi="Times New Roman" w:eastAsia="方正仿宋_GBK" w:cs="Times New Roman"/>
          <w:b w:val="0"/>
          <w:bCs/>
          <w:sz w:val="32"/>
          <w:szCs w:val="32"/>
          <w:shd w:val="clear" w:color="auto" w:fill="FFFFFF"/>
          <w:lang w:val="en-US" w:eastAsia="zh-CN"/>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2023年度一般公共财政拨款基本支出2459.27万元。其中：人员经费2050.90万元，较上年决算数增加243.79万元，增长13.49%，主要原因</w:t>
      </w:r>
      <w:r>
        <w:rPr>
          <w:rStyle w:val="7"/>
          <w:rFonts w:hint="eastAsia" w:ascii="Times New Roman" w:hAnsi="Times New Roman" w:eastAsia="方正仿宋_GBK" w:cs="Times New Roman"/>
          <w:b w:val="0"/>
          <w:bCs/>
          <w:sz w:val="32"/>
          <w:szCs w:val="32"/>
          <w:shd w:val="clear" w:color="auto" w:fill="FFFFFF"/>
          <w:lang w:eastAsia="zh-CN"/>
        </w:rPr>
        <w:t>：</w:t>
      </w:r>
      <w:r>
        <w:rPr>
          <w:rStyle w:val="7"/>
          <w:rFonts w:hint="default" w:ascii="Times New Roman" w:hAnsi="Times New Roman" w:eastAsia="方正仿宋_GBK" w:cs="Times New Roman"/>
          <w:b w:val="0"/>
          <w:bCs/>
          <w:sz w:val="32"/>
          <w:szCs w:val="32"/>
          <w:shd w:val="clear" w:color="auto" w:fill="FFFFFF"/>
        </w:rPr>
        <w:t>一是调资和公务员基数调高增加的五险两金</w:t>
      </w:r>
      <w:r>
        <w:rPr>
          <w:rStyle w:val="7"/>
          <w:rFonts w:hint="eastAsia" w:ascii="Times New Roman" w:hAnsi="Times New Roman" w:eastAsia="方正仿宋_GBK" w:cs="Times New Roman"/>
          <w:b w:val="0"/>
          <w:bCs/>
          <w:sz w:val="32"/>
          <w:szCs w:val="32"/>
          <w:shd w:val="clear" w:color="auto" w:fill="FFFFFF"/>
          <w:lang w:val="en-US" w:eastAsia="zh-CN"/>
        </w:rPr>
        <w:t>62</w:t>
      </w:r>
      <w:r>
        <w:rPr>
          <w:rStyle w:val="7"/>
          <w:rFonts w:hint="default" w:ascii="Times New Roman" w:hAnsi="Times New Roman" w:eastAsia="方正仿宋_GBK" w:cs="Times New Roman"/>
          <w:b w:val="0"/>
          <w:bCs/>
          <w:sz w:val="32"/>
          <w:szCs w:val="32"/>
          <w:shd w:val="clear" w:color="auto" w:fill="FFFFFF"/>
        </w:rPr>
        <w:t>万元，二是事业新进2人，增加人员经费23万元</w:t>
      </w:r>
      <w:r>
        <w:rPr>
          <w:rStyle w:val="7"/>
          <w:rFonts w:hint="eastAsia" w:ascii="Times New Roman" w:hAnsi="Times New Roman" w:eastAsia="方正仿宋_GBK" w:cs="Times New Roman"/>
          <w:b w:val="0"/>
          <w:bCs/>
          <w:sz w:val="32"/>
          <w:szCs w:val="32"/>
          <w:shd w:val="clear" w:color="auto" w:fill="FFFFFF"/>
          <w:lang w:eastAsia="zh-CN"/>
        </w:rPr>
        <w:t>，清算</w:t>
      </w:r>
      <w:r>
        <w:rPr>
          <w:rStyle w:val="7"/>
          <w:rFonts w:hint="eastAsia" w:ascii="Times New Roman" w:hAnsi="Times New Roman" w:eastAsia="方正仿宋_GBK" w:cs="Times New Roman"/>
          <w:b w:val="0"/>
          <w:bCs/>
          <w:sz w:val="32"/>
          <w:szCs w:val="32"/>
          <w:shd w:val="clear" w:color="auto" w:fill="FFFFFF"/>
          <w:lang w:val="en-US" w:eastAsia="zh-CN"/>
        </w:rPr>
        <w:t>2021-2022年事业超高绩效和应休未休假158.79万元</w:t>
      </w:r>
      <w:r>
        <w:rPr>
          <w:rStyle w:val="7"/>
          <w:rFonts w:hint="eastAsia" w:ascii="Times New Roman" w:hAnsi="Times New Roman" w:eastAsia="方正仿宋_GBK" w:cs="Times New Roman"/>
          <w:b w:val="0"/>
          <w:bCs/>
          <w:sz w:val="32"/>
          <w:szCs w:val="32"/>
          <w:shd w:val="clear" w:color="auto" w:fill="FFFFFF"/>
          <w:lang w:eastAsia="zh-CN"/>
        </w:rPr>
        <w:t>。</w:t>
      </w:r>
      <w:r>
        <w:rPr>
          <w:rStyle w:val="7"/>
          <w:rFonts w:hint="default" w:ascii="Times New Roman" w:hAnsi="Times New Roman" w:eastAsia="方正仿宋_GBK" w:cs="Times New Roman"/>
          <w:b w:val="0"/>
          <w:bCs/>
          <w:sz w:val="32"/>
          <w:szCs w:val="32"/>
          <w:shd w:val="clear" w:color="auto" w:fill="FFFFFF"/>
        </w:rPr>
        <w:t>人员经费用途主要包括基本工资、津贴补贴、绩效工资、奖金、社会保障缴费、住房公积金、应休未休假报酬，退休人员生活补助等。公用经费408.37万元，较上年决算数减少61.43万元，下降13.08%，主要原因是差旅减少25万</w:t>
      </w:r>
      <w:r>
        <w:rPr>
          <w:rStyle w:val="7"/>
          <w:rFonts w:hint="eastAsia" w:ascii="Times New Roman" w:hAnsi="Times New Roman" w:eastAsia="方正仿宋_GBK" w:cs="Times New Roman"/>
          <w:b w:val="0"/>
          <w:bCs/>
          <w:sz w:val="32"/>
          <w:szCs w:val="32"/>
          <w:shd w:val="clear" w:color="auto" w:fill="FFFFFF"/>
          <w:lang w:eastAsia="zh-CN"/>
        </w:rPr>
        <w:t>元</w:t>
      </w:r>
      <w:r>
        <w:rPr>
          <w:rStyle w:val="7"/>
          <w:rFonts w:hint="default" w:ascii="Times New Roman" w:hAnsi="Times New Roman" w:eastAsia="方正仿宋_GBK" w:cs="Times New Roman"/>
          <w:b w:val="0"/>
          <w:bCs/>
          <w:sz w:val="32"/>
          <w:szCs w:val="32"/>
          <w:shd w:val="clear" w:color="auto" w:fill="FFFFFF"/>
        </w:rPr>
        <w:t>；食堂劳务10万元，巡逻员餐补、巡逻车费用15万元等进入项目核算，取消消防员务工补助9万元节约办公经费2.</w:t>
      </w:r>
      <w:r>
        <w:rPr>
          <w:rStyle w:val="7"/>
          <w:rFonts w:hint="eastAsia" w:ascii="Times New Roman" w:hAnsi="Times New Roman" w:eastAsia="方正仿宋_GBK" w:cs="Times New Roman"/>
          <w:b w:val="0"/>
          <w:bCs/>
          <w:sz w:val="32"/>
          <w:szCs w:val="32"/>
          <w:shd w:val="clear" w:color="auto" w:fill="FFFFFF"/>
          <w:lang w:val="en-US" w:eastAsia="zh-CN"/>
        </w:rPr>
        <w:t>43</w:t>
      </w:r>
      <w:r>
        <w:rPr>
          <w:rStyle w:val="7"/>
          <w:rFonts w:hint="default" w:ascii="Times New Roman" w:hAnsi="Times New Roman" w:eastAsia="方正仿宋_GBK" w:cs="Times New Roman"/>
          <w:b w:val="0"/>
          <w:bCs/>
          <w:sz w:val="32"/>
          <w:szCs w:val="32"/>
          <w:shd w:val="clear" w:color="auto" w:fill="FFFFFF"/>
        </w:rPr>
        <w:t>万</w:t>
      </w:r>
      <w:r>
        <w:rPr>
          <w:rStyle w:val="7"/>
          <w:rFonts w:hint="eastAsia" w:ascii="Times New Roman" w:hAnsi="Times New Roman" w:eastAsia="方正仿宋_GBK" w:cs="Times New Roman"/>
          <w:b w:val="0"/>
          <w:bCs/>
          <w:sz w:val="32"/>
          <w:szCs w:val="32"/>
          <w:shd w:val="clear" w:color="auto" w:fill="FFFFFF"/>
          <w:lang w:eastAsia="zh-CN"/>
        </w:rPr>
        <w:t>元，</w:t>
      </w:r>
      <w:r>
        <w:rPr>
          <w:rStyle w:val="7"/>
          <w:rFonts w:hint="default" w:ascii="Times New Roman" w:hAnsi="Times New Roman" w:eastAsia="方正仿宋_GBK" w:cs="Times New Roman"/>
          <w:b w:val="0"/>
          <w:bCs/>
          <w:sz w:val="32"/>
          <w:szCs w:val="32"/>
          <w:shd w:val="clear" w:color="auto" w:fill="FFFFFF"/>
        </w:rPr>
        <w:t>无公用经费用途主要包括办公费、水费、电费、邮电费、差旅费、维修（护）费、租赁费、会议费、培训费、公务接待费、劳务费、工会经费、其他交通费等。</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eastAsia"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rPr>
        <w:t>2023年度政府性基金预算财政拨款年初结转结余0.00万元，年末结转结余0.00万元。本年收入374.41万元，较上年决算数减少348.76万元，下降48.23%，主要原因是今年平滩镇人居环境整治资金减少348.77万元，本年支出374.41万元，较上年决算数减少348.76万元，下降48.23%，主要是今年平滩镇人居环境整治资金减少348.77万元。</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eastAsia" w:ascii="Times New Roman" w:hAnsi="Times New Roman" w:eastAsia="方正仿宋_GBK" w:cs="Times New Roman"/>
          <w:b w:val="0"/>
          <w:bCs/>
          <w:sz w:val="32"/>
          <w:szCs w:val="32"/>
          <w:shd w:val="clear" w:color="auto" w:fill="FFFFFF"/>
          <w:lang w:eastAsia="zh-CN"/>
        </w:rPr>
      </w:pPr>
      <w:r>
        <w:rPr>
          <w:rStyle w:val="7"/>
          <w:rFonts w:hint="default" w:ascii="Times New Roman" w:hAnsi="Times New Roman" w:eastAsia="方正仿宋_GBK" w:cs="Times New Roman"/>
          <w:b w:val="0"/>
          <w:bCs/>
          <w:sz w:val="32"/>
          <w:szCs w:val="32"/>
          <w:shd w:val="clear" w:color="auto" w:fill="FFFFFF"/>
        </w:rPr>
        <w:t>2023年度国有资本经营预算财政拨本年支出0.00万元，基本支出0.00万元，项目支出0.00万元，主要原因是本单位2023年度无国有资本经营预算财政拨款支出。</w:t>
      </w:r>
    </w:p>
    <w:p>
      <w:pPr>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三、“三公”经费情况说明</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2023年度“三公”经费支出共计11.72万元，较年初预算数减少1.08万元，下降8.44%，主要原因是严格落实了中央八项规定和政府过“紧日子”十条措施相关要求，按照只减不增的要求从严控制“三公”经费。较上年支出数增加1.02万元，增长9.53%，主要原因是与2022年“三公”决算数相比增加1</w:t>
      </w:r>
      <w:r>
        <w:rPr>
          <w:rStyle w:val="7"/>
          <w:rFonts w:hint="eastAsia" w:ascii="Times New Roman" w:hAnsi="Times New Roman" w:eastAsia="方正仿宋_GBK" w:cs="Times New Roman"/>
          <w:b w:val="0"/>
          <w:bCs/>
          <w:sz w:val="32"/>
          <w:szCs w:val="32"/>
          <w:shd w:val="clear" w:color="auto" w:fill="FFFFFF"/>
          <w:lang w:val="en-US" w:eastAsia="zh-CN"/>
        </w:rPr>
        <w:t>.02万元</w:t>
      </w:r>
      <w:r>
        <w:rPr>
          <w:rStyle w:val="7"/>
          <w:rFonts w:hint="default" w:ascii="Times New Roman" w:hAnsi="Times New Roman" w:eastAsia="方正仿宋_GBK" w:cs="Times New Roman"/>
          <w:b w:val="0"/>
          <w:bCs/>
          <w:sz w:val="32"/>
          <w:szCs w:val="32"/>
          <w:shd w:val="clear" w:color="auto" w:fill="FFFFFF"/>
        </w:rPr>
        <w:t>，其中公务用车运行维护费2023年决算数为10.8万元，比2022年决算数增加0.1万元，原因是主要是车况较差，维修费增加0.1万元；公务接待费2023年决算数为0.92万元，比2022年决算数增加0.92万元，原因是招待航天工作者便餐0.14万元；会务接待费0.78万元；2022年本单位无因公出国出境情况，故无支出；本年没有购置公务用车，故无支出。</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2023年度本单位因公出国（境）费用</w:t>
      </w:r>
      <w:bookmarkStart w:id="1" w:name="OLE_LINK5"/>
      <w:r>
        <w:rPr>
          <w:rStyle w:val="7"/>
          <w:rFonts w:hint="default" w:ascii="Times New Roman" w:hAnsi="Times New Roman" w:eastAsia="方正仿宋_GBK" w:cs="Times New Roman"/>
          <w:b w:val="0"/>
          <w:bCs/>
          <w:sz w:val="32"/>
          <w:szCs w:val="32"/>
          <w:shd w:val="clear" w:color="auto" w:fill="FFFFFF"/>
        </w:rPr>
        <w:t>0</w:t>
      </w:r>
      <w:bookmarkEnd w:id="1"/>
      <w:r>
        <w:rPr>
          <w:rStyle w:val="7"/>
          <w:rFonts w:hint="default" w:ascii="Times New Roman" w:hAnsi="Times New Roman" w:eastAsia="方正仿宋_GBK" w:cs="Times New Roman"/>
          <w:b w:val="0"/>
          <w:bCs/>
          <w:sz w:val="32"/>
          <w:szCs w:val="32"/>
          <w:shd w:val="clear" w:color="auto" w:fill="FFFFFF"/>
        </w:rPr>
        <w:t>万元。费用支出较年初预算数无增减，主要原因是：本单位未发生因公出国（境）费用，与上年决算数持平。较上年支出数无增减，</w:t>
      </w:r>
      <w:bookmarkStart w:id="2" w:name="OLE_LINK4"/>
      <w:r>
        <w:rPr>
          <w:rStyle w:val="7"/>
          <w:rFonts w:hint="default" w:ascii="Times New Roman" w:hAnsi="Times New Roman" w:eastAsia="方正仿宋_GBK" w:cs="Times New Roman"/>
          <w:b w:val="0"/>
          <w:bCs/>
          <w:sz w:val="32"/>
          <w:szCs w:val="32"/>
          <w:shd w:val="clear" w:color="auto" w:fill="FFFFFF"/>
        </w:rPr>
        <w:t>主要原因是：本单位未发生因公出国（境）费</w:t>
      </w:r>
      <w:bookmarkEnd w:id="2"/>
      <w:r>
        <w:rPr>
          <w:rStyle w:val="7"/>
          <w:rFonts w:hint="default" w:ascii="Times New Roman" w:hAnsi="Times New Roman" w:eastAsia="方正仿宋_GBK" w:cs="Times New Roman"/>
          <w:b w:val="0"/>
          <w:bCs/>
          <w:sz w:val="32"/>
          <w:szCs w:val="32"/>
          <w:shd w:val="clear" w:color="auto" w:fill="FFFFFF"/>
        </w:rPr>
        <w:t>用，与上年决算数持平。</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公务车购置费0万元。费用支出较年初预算数无增减，主要原因是：本单位未发生公务车购置费，与上年决算数持平。</w:t>
      </w:r>
      <w:bookmarkStart w:id="3" w:name="OLE_LINK7"/>
      <w:r>
        <w:rPr>
          <w:rStyle w:val="7"/>
          <w:rFonts w:hint="default" w:ascii="Times New Roman" w:hAnsi="Times New Roman" w:eastAsia="方正仿宋_GBK" w:cs="Times New Roman"/>
          <w:b w:val="0"/>
          <w:bCs/>
          <w:sz w:val="32"/>
          <w:szCs w:val="32"/>
          <w:shd w:val="clear" w:color="auto" w:fill="FFFFFF"/>
        </w:rPr>
        <w:t>较上年支出数无增减，主要原因是：本单位未发生公务车购置费，</w:t>
      </w:r>
      <w:bookmarkStart w:id="4" w:name="OLE_LINK6"/>
      <w:r>
        <w:rPr>
          <w:rStyle w:val="7"/>
          <w:rFonts w:hint="default" w:ascii="Times New Roman" w:hAnsi="Times New Roman" w:eastAsia="方正仿宋_GBK" w:cs="Times New Roman"/>
          <w:b w:val="0"/>
          <w:bCs/>
          <w:sz w:val="32"/>
          <w:szCs w:val="32"/>
          <w:shd w:val="clear" w:color="auto" w:fill="FFFFFF"/>
        </w:rPr>
        <w:t>与上年决算数持平</w:t>
      </w:r>
      <w:bookmarkEnd w:id="3"/>
      <w:bookmarkEnd w:id="4"/>
      <w:r>
        <w:rPr>
          <w:rStyle w:val="7"/>
          <w:rFonts w:hint="default" w:ascii="Times New Roman" w:hAnsi="Times New Roman" w:eastAsia="方正仿宋_GBK" w:cs="Times New Roman"/>
          <w:b w:val="0"/>
          <w:bCs/>
          <w:sz w:val="32"/>
          <w:szCs w:val="32"/>
          <w:shd w:val="clear" w:color="auto" w:fill="FFFFFF"/>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公务车运行维护费10.80万元，主要用于费用支出较年初预算数无增减，</w:t>
      </w:r>
      <w:r>
        <w:rPr>
          <w:rStyle w:val="7"/>
          <w:rFonts w:hint="eastAsia" w:ascii="Times New Roman" w:hAnsi="Times New Roman" w:eastAsia="方正仿宋_GBK" w:cs="Times New Roman"/>
          <w:b w:val="0"/>
          <w:bCs/>
          <w:sz w:val="32"/>
          <w:szCs w:val="32"/>
          <w:shd w:val="clear" w:color="auto" w:fill="FFFFFF"/>
          <w:lang w:eastAsia="zh-CN"/>
        </w:rPr>
        <w:t>主要原因是</w:t>
      </w:r>
      <w:r>
        <w:rPr>
          <w:rStyle w:val="7"/>
          <w:rFonts w:hint="default" w:ascii="Times New Roman" w:hAnsi="Times New Roman" w:eastAsia="方正仿宋_GBK" w:cs="Times New Roman"/>
          <w:b w:val="0"/>
          <w:bCs/>
          <w:sz w:val="32"/>
          <w:szCs w:val="32"/>
          <w:shd w:val="clear" w:color="auto" w:fill="FFFFFF"/>
        </w:rPr>
        <w:t>严格按预算执行，较上年支出数增加0.10万元，增长0.93%，主要原因是车况较差，维修费增加0.1</w:t>
      </w:r>
      <w:r>
        <w:rPr>
          <w:rStyle w:val="7"/>
          <w:rFonts w:hint="eastAsia" w:ascii="Times New Roman" w:hAnsi="Times New Roman" w:eastAsia="方正仿宋_GBK" w:cs="Times New Roman"/>
          <w:b w:val="0"/>
          <w:bCs/>
          <w:sz w:val="32"/>
          <w:szCs w:val="32"/>
          <w:shd w:val="clear" w:color="auto" w:fill="FFFFFF"/>
          <w:lang w:eastAsia="zh-CN"/>
        </w:rPr>
        <w:t>万元</w:t>
      </w:r>
      <w:r>
        <w:rPr>
          <w:rStyle w:val="7"/>
          <w:rFonts w:hint="default" w:ascii="Times New Roman" w:hAnsi="Times New Roman" w:eastAsia="方正仿宋_GBK" w:cs="Times New Roman"/>
          <w:b w:val="0"/>
          <w:bCs/>
          <w:sz w:val="32"/>
          <w:szCs w:val="32"/>
          <w:shd w:val="clear" w:color="auto" w:fill="FFFFFF"/>
        </w:rPr>
        <w:t>。</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公务接待费0.92万元，主要用于接待原因是招待航天工作者便餐0.14</w:t>
      </w:r>
      <w:r>
        <w:rPr>
          <w:rStyle w:val="7"/>
          <w:rFonts w:hint="eastAsia" w:ascii="Times New Roman" w:hAnsi="Times New Roman" w:eastAsia="方正仿宋_GBK" w:cs="Times New Roman"/>
          <w:b w:val="0"/>
          <w:bCs/>
          <w:sz w:val="32"/>
          <w:szCs w:val="32"/>
          <w:shd w:val="clear" w:color="auto" w:fill="FFFFFF"/>
          <w:lang w:val="en-US" w:eastAsia="zh-CN"/>
        </w:rPr>
        <w:t>万</w:t>
      </w:r>
      <w:r>
        <w:rPr>
          <w:rStyle w:val="7"/>
          <w:rFonts w:hint="default" w:ascii="Times New Roman" w:hAnsi="Times New Roman" w:eastAsia="方正仿宋_GBK" w:cs="Times New Roman"/>
          <w:b w:val="0"/>
          <w:bCs/>
          <w:sz w:val="32"/>
          <w:szCs w:val="32"/>
          <w:shd w:val="clear" w:color="auto" w:fill="FFFFFF"/>
        </w:rPr>
        <w:t>元；</w:t>
      </w:r>
      <w:r>
        <w:rPr>
          <w:rStyle w:val="7"/>
          <w:rFonts w:hint="eastAsia" w:ascii="Times New Roman" w:hAnsi="Times New Roman" w:eastAsia="方正仿宋_GBK" w:cs="Times New Roman"/>
          <w:b w:val="0"/>
          <w:bCs/>
          <w:sz w:val="32"/>
          <w:szCs w:val="32"/>
          <w:shd w:val="clear" w:color="auto" w:fill="FFFFFF"/>
          <w:lang w:eastAsia="zh-CN"/>
        </w:rPr>
        <w:t>会务接待费</w:t>
      </w:r>
      <w:r>
        <w:rPr>
          <w:rStyle w:val="7"/>
          <w:rFonts w:hint="default" w:ascii="Times New Roman" w:hAnsi="Times New Roman" w:eastAsia="方正仿宋_GBK" w:cs="Times New Roman"/>
          <w:b w:val="0"/>
          <w:bCs/>
          <w:sz w:val="32"/>
          <w:szCs w:val="32"/>
          <w:shd w:val="clear" w:color="auto" w:fill="FFFFFF"/>
        </w:rPr>
        <w:t>0.78万元。费用支出较年初预算数减少1.08万元，下降54.00%，</w:t>
      </w:r>
      <w:r>
        <w:rPr>
          <w:rStyle w:val="7"/>
          <w:rFonts w:hint="eastAsia" w:ascii="Times New Roman" w:hAnsi="Times New Roman" w:eastAsia="方正仿宋_GBK" w:cs="Times New Roman"/>
          <w:b w:val="0"/>
          <w:bCs/>
          <w:sz w:val="32"/>
          <w:szCs w:val="32"/>
          <w:shd w:val="clear" w:color="auto" w:fill="FFFFFF"/>
          <w:lang w:eastAsia="zh-CN"/>
        </w:rPr>
        <w:t>主要原因是</w:t>
      </w:r>
      <w:r>
        <w:rPr>
          <w:rStyle w:val="7"/>
          <w:rFonts w:hint="default" w:ascii="Times New Roman" w:hAnsi="Times New Roman" w:eastAsia="方正仿宋_GBK" w:cs="Times New Roman"/>
          <w:b w:val="0"/>
          <w:bCs/>
          <w:sz w:val="32"/>
          <w:szCs w:val="32"/>
          <w:shd w:val="clear" w:color="auto" w:fill="FFFFFF"/>
        </w:rPr>
        <w:t>强化公务接待支出管理，严格遵守公务接待开支范围和开支标准，严格控制陪餐人数。较上年支出数增加0.92万元，增长100.00%，主要原因是招待航天工作者便餐0.14万元；</w:t>
      </w:r>
      <w:r>
        <w:rPr>
          <w:rStyle w:val="7"/>
          <w:rFonts w:hint="eastAsia" w:ascii="Times New Roman" w:hAnsi="Times New Roman" w:eastAsia="方正仿宋_GBK" w:cs="Times New Roman"/>
          <w:b w:val="0"/>
          <w:bCs/>
          <w:sz w:val="32"/>
          <w:szCs w:val="32"/>
          <w:shd w:val="clear" w:color="auto" w:fill="FFFFFF"/>
          <w:lang w:eastAsia="zh-CN"/>
        </w:rPr>
        <w:t>会务接待费</w:t>
      </w:r>
      <w:r>
        <w:rPr>
          <w:rStyle w:val="7"/>
          <w:rFonts w:hint="default" w:ascii="Times New Roman" w:hAnsi="Times New Roman" w:eastAsia="方正仿宋_GBK" w:cs="Times New Roman"/>
          <w:b w:val="0"/>
          <w:bCs/>
          <w:sz w:val="32"/>
          <w:szCs w:val="32"/>
          <w:shd w:val="clear" w:color="auto" w:fill="FFFFFF"/>
        </w:rPr>
        <w:t>0.78万元。</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eastAsia" w:ascii="Times New Roman" w:hAnsi="Times New Roman" w:eastAsia="方正仿宋_GBK" w:cs="Times New Roman"/>
          <w:b w:val="0"/>
          <w:bCs/>
          <w:sz w:val="32"/>
          <w:szCs w:val="32"/>
          <w:shd w:val="clear" w:color="auto" w:fill="FFFFFF"/>
        </w:rPr>
      </w:pPr>
      <w:r>
        <w:rPr>
          <w:rStyle w:val="7"/>
          <w:rFonts w:hint="eastAsia" w:ascii="Times New Roman" w:hAnsi="Times New Roman" w:eastAsia="方正仿宋_GBK" w:cs="Times New Roman"/>
          <w:b w:val="0"/>
          <w:bCs/>
          <w:sz w:val="32"/>
          <w:szCs w:val="32"/>
          <w:shd w:val="clear" w:color="auto" w:fill="FFFFFF"/>
        </w:rPr>
        <w:t>（三）“三公”经费实物量情况</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2023年度本</w:t>
      </w:r>
      <w:r>
        <w:rPr>
          <w:rStyle w:val="7"/>
          <w:rFonts w:hint="eastAsia" w:ascii="Times New Roman" w:hAnsi="Times New Roman" w:eastAsia="方正仿宋_GBK" w:cs="Times New Roman"/>
          <w:b w:val="0"/>
          <w:bCs/>
          <w:sz w:val="32"/>
          <w:szCs w:val="32"/>
          <w:shd w:val="clear" w:color="auto" w:fill="FFFFFF"/>
          <w:lang w:eastAsia="zh-CN"/>
        </w:rPr>
        <w:t>部门</w:t>
      </w:r>
      <w:r>
        <w:rPr>
          <w:rStyle w:val="7"/>
          <w:rFonts w:hint="default" w:ascii="Times New Roman" w:hAnsi="Times New Roman" w:eastAsia="方正仿宋_GBK" w:cs="Times New Roman"/>
          <w:b w:val="0"/>
          <w:bCs/>
          <w:sz w:val="32"/>
          <w:szCs w:val="32"/>
          <w:shd w:val="clear" w:color="auto" w:fill="FFFFFF"/>
        </w:rPr>
        <w:t>因公出国（境）共计0个团组，0人；公务用车购置0辆，公务车保有量为2辆；国内公务接待7批次201人，其中：国内外事接待0批次，0人；国（境）外公务接待0批次，0人。2023年本单位人均接待费45.69元，车均购置费0万元，车均维护费5.40万元。</w:t>
      </w:r>
    </w:p>
    <w:p>
      <w:pPr>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本年度会议费支出15.00万元，较上年决算数增加4.04万元，增长36.86%，主要原因是本年度将人大会议、活动经费等相关支出列入了会议费。本年度培训费支出3.97万元，较上年决算数减少1.50万元，下降27.42%，主要原因是2023年未支付村干部培训费。</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2023年度本部门机关运行经费支出216.89万元，机关运行经费主要用于开支机关运行经费主要用于开支购买货物和服务等的各项公用经费，包括办公、邮电费、差旅费、会议费、福利费、日常维护费、办公用房水电费、公务用车运行维护费以及其他商品服务支出等。机关运行经费较上年支出数减少252.91万元，下降53.83%，主要原因是严格落实了中央八项规定和政府过“紧日子”十条措施相关要求，严格控制政府开支，主要</w:t>
      </w:r>
      <w:r>
        <w:rPr>
          <w:rStyle w:val="7"/>
          <w:rFonts w:hint="eastAsia" w:ascii="Times New Roman" w:hAnsi="Times New Roman" w:eastAsia="方正仿宋_GBK" w:cs="Times New Roman"/>
          <w:b w:val="0"/>
          <w:bCs/>
          <w:sz w:val="32"/>
          <w:szCs w:val="32"/>
          <w:shd w:val="clear" w:color="auto" w:fill="FFFFFF"/>
          <w:lang w:eastAsia="zh-CN"/>
        </w:rPr>
        <w:t>原因是</w:t>
      </w:r>
      <w:r>
        <w:rPr>
          <w:rStyle w:val="7"/>
          <w:rFonts w:hint="eastAsia" w:ascii="Times New Roman" w:hAnsi="Times New Roman" w:eastAsia="方正仿宋_GBK" w:cs="Times New Roman"/>
          <w:b w:val="0"/>
          <w:bCs/>
          <w:sz w:val="32"/>
          <w:szCs w:val="32"/>
          <w:shd w:val="clear" w:color="auto" w:fill="FFFFFF"/>
          <w:lang w:val="en-US" w:eastAsia="zh-CN"/>
        </w:rPr>
        <w:t>202年</w:t>
      </w:r>
      <w:r>
        <w:rPr>
          <w:rStyle w:val="7"/>
          <w:rFonts w:hint="default" w:ascii="Times New Roman" w:hAnsi="Times New Roman" w:eastAsia="方正仿宋_GBK" w:cs="Times New Roman"/>
          <w:b w:val="0"/>
          <w:bCs/>
          <w:sz w:val="32"/>
          <w:szCs w:val="32"/>
          <w:shd w:val="clear" w:color="auto" w:fill="FFFFFF"/>
        </w:rPr>
        <w:t>差旅减少32万元，办公费减少4.12万元；</w:t>
      </w:r>
      <w:r>
        <w:rPr>
          <w:rStyle w:val="7"/>
          <w:rFonts w:hint="eastAsia" w:ascii="Times New Roman" w:hAnsi="Times New Roman" w:eastAsia="方正仿宋_GBK" w:cs="Times New Roman"/>
          <w:b w:val="0"/>
          <w:bCs/>
          <w:sz w:val="32"/>
          <w:szCs w:val="32"/>
          <w:shd w:val="clear" w:color="auto" w:fill="FFFFFF"/>
          <w:lang w:val="en-US" w:eastAsia="zh-CN"/>
        </w:rPr>
        <w:t>2022年</w:t>
      </w:r>
      <w:r>
        <w:rPr>
          <w:rStyle w:val="7"/>
          <w:rFonts w:hint="default" w:ascii="Times New Roman" w:hAnsi="Times New Roman" w:eastAsia="方正仿宋_GBK" w:cs="Times New Roman"/>
          <w:b w:val="0"/>
          <w:bCs/>
          <w:sz w:val="32"/>
          <w:szCs w:val="32"/>
          <w:shd w:val="clear" w:color="auto" w:fill="FFFFFF"/>
        </w:rPr>
        <w:t>食堂劳务10万元，巡逻员餐补、巡逻车费用15万元和临时人员的费用和市政等191.79万元纳入项目核算</w:t>
      </w:r>
      <w:r>
        <w:rPr>
          <w:rStyle w:val="7"/>
          <w:rFonts w:hint="eastAsia" w:ascii="Times New Roman" w:hAnsi="Times New Roman" w:eastAsia="方正仿宋_GBK" w:cs="Times New Roman"/>
          <w:b w:val="0"/>
          <w:bCs/>
          <w:sz w:val="32"/>
          <w:szCs w:val="32"/>
          <w:shd w:val="clear" w:color="auto" w:fill="FFFFFF"/>
          <w:lang w:eastAsia="zh-CN"/>
        </w:rPr>
        <w:t>导致的</w:t>
      </w:r>
      <w:r>
        <w:rPr>
          <w:rStyle w:val="7"/>
          <w:rFonts w:hint="default" w:ascii="Times New Roman" w:hAnsi="Times New Roman" w:eastAsia="方正仿宋_GBK" w:cs="Times New Roman"/>
          <w:b w:val="0"/>
          <w:bCs/>
          <w:sz w:val="32"/>
          <w:szCs w:val="32"/>
          <w:shd w:val="clear" w:color="auto" w:fill="FFFFFF"/>
        </w:rPr>
        <w:t>。</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截至2023年12月31日，本部门共有车辆6辆，其中，副部（省）级及以上领导用车0辆、主要负责人用车0辆、机要通信用车0辆、应急保障用车2辆、执法执勤用车0辆，特种专业技术用车4辆，离退休干部用车0辆。单价100万元（含）以上专用设备0台（套）。</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2023年度本部门政府采购支出总额757.47万元，其中：政府采购货物支出167.13万元、政府采购工程支出590.34万元、政府采购服务支出0.00万元。授予中小企业合同金额757.47万元，占政府采购支出总额的100.00%，其中：授予小微企业合同金额757.47万元，占政府采购支出总额的100.00%。主要用于平滩镇敬老院、扶贫项目、办公用品、垃圾转运等货物、工程和服务的采购。</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五、预算绩效管理情况说明</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（一）预算绩效管理工作开展情况</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根据预算绩效管理要求，</w:t>
      </w:r>
      <w:r>
        <w:rPr>
          <w:rStyle w:val="7"/>
          <w:rFonts w:hint="eastAsia" w:ascii="Times New Roman" w:hAnsi="Times New Roman" w:eastAsia="方正仿宋_GBK" w:cs="Times New Roman"/>
          <w:b w:val="0"/>
          <w:bCs/>
          <w:sz w:val="32"/>
          <w:szCs w:val="32"/>
          <w:shd w:val="clear" w:color="auto" w:fill="FFFFFF"/>
          <w:lang w:eastAsia="zh-CN"/>
        </w:rPr>
        <w:t>本部门</w:t>
      </w:r>
      <w:r>
        <w:rPr>
          <w:rStyle w:val="7"/>
          <w:rFonts w:hint="default" w:ascii="Times New Roman" w:hAnsi="Times New Roman" w:eastAsia="方正仿宋_GBK" w:cs="Times New Roman"/>
          <w:b w:val="0"/>
          <w:bCs/>
          <w:sz w:val="32"/>
          <w:szCs w:val="32"/>
          <w:shd w:val="clear" w:color="auto" w:fill="FFFFFF"/>
        </w:rPr>
        <w:t>对30个项目开展了绩效自评，其中，以填报自评表形式开展自评30项，涉及资金3227.97万元；未委托第三方出具报告的方式开展绩效评价。</w:t>
      </w:r>
    </w:p>
    <w:p>
      <w:pPr>
        <w:pStyle w:val="9"/>
        <w:keepNext w:val="0"/>
        <w:keepLines w:val="0"/>
        <w:pageBreakBefore w:val="0"/>
        <w:kinsoku/>
        <w:wordWrap/>
        <w:overflowPunct/>
        <w:topLinePunct w:val="0"/>
        <w:autoSpaceDE w:val="0"/>
        <w:autoSpaceDN/>
        <w:bidi w:val="0"/>
        <w:adjustRightInd/>
        <w:spacing w:beforeAutospacing="0" w:line="594"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（二）绩效自评结果</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1.绩效目标自评表。</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bookmarkStart w:id="5" w:name="OLE_LINK1"/>
      <w:r>
        <w:rPr>
          <w:rStyle w:val="7"/>
          <w:rFonts w:hint="default" w:ascii="Times New Roman" w:hAnsi="Times New Roman" w:eastAsia="方正仿宋_GBK" w:cs="Times New Roman"/>
          <w:b w:val="0"/>
          <w:bCs/>
          <w:sz w:val="32"/>
          <w:szCs w:val="32"/>
          <w:shd w:val="clear" w:color="auto" w:fill="FFFFFF"/>
        </w:rPr>
        <w:t>（1）</w:t>
      </w:r>
      <w:bookmarkEnd w:id="5"/>
      <w:r>
        <w:rPr>
          <w:rStyle w:val="7"/>
          <w:rFonts w:hint="default" w:ascii="Times New Roman" w:hAnsi="Times New Roman" w:eastAsia="方正仿宋_GBK" w:cs="Times New Roman"/>
          <w:b w:val="0"/>
          <w:bCs/>
          <w:sz w:val="32"/>
          <w:szCs w:val="32"/>
          <w:shd w:val="clear" w:color="auto" w:fill="FFFFFF"/>
        </w:rPr>
        <w:t>部门整体绩效自评表。</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sz w:val="32"/>
          <w:szCs w:val="32"/>
        </w:rPr>
        <w:t>详</w:t>
      </w:r>
      <w:r>
        <w:rPr>
          <w:rStyle w:val="7"/>
          <w:rFonts w:hint="eastAsia" w:ascii="Times New Roman" w:hAnsi="Times New Roman" w:eastAsia="方正仿宋_GBK" w:cs="Times New Roman"/>
          <w:b w:val="0"/>
          <w:bCs/>
          <w:sz w:val="32"/>
          <w:szCs w:val="32"/>
          <w:shd w:val="clear" w:color="auto" w:fill="FFFFFF"/>
          <w:lang w:eastAsia="zh-CN"/>
        </w:rPr>
        <w:t>见附件。</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w:t>
      </w:r>
      <w:r>
        <w:rPr>
          <w:rStyle w:val="7"/>
          <w:rFonts w:hint="eastAsia" w:ascii="Times New Roman" w:hAnsi="Times New Roman" w:eastAsia="方正仿宋_GBK" w:cs="Times New Roman"/>
          <w:b w:val="0"/>
          <w:bCs/>
          <w:sz w:val="32"/>
          <w:szCs w:val="32"/>
          <w:shd w:val="clear" w:color="auto" w:fill="FFFFFF"/>
          <w:lang w:val="en-US" w:eastAsia="zh-CN"/>
        </w:rPr>
        <w:t>2</w:t>
      </w:r>
      <w:r>
        <w:rPr>
          <w:rStyle w:val="7"/>
          <w:rFonts w:hint="default" w:ascii="Times New Roman" w:hAnsi="Times New Roman" w:eastAsia="方正仿宋_GBK" w:cs="Times New Roman"/>
          <w:b w:val="0"/>
          <w:bCs/>
          <w:sz w:val="32"/>
          <w:szCs w:val="32"/>
          <w:shd w:val="clear" w:color="auto" w:fill="FFFFFF"/>
        </w:rPr>
        <w:t>）项目绩效自评表。</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lang w:val="en-US" w:eastAsia="zh-CN"/>
        </w:rPr>
      </w:pPr>
      <w:r>
        <w:rPr>
          <w:rFonts w:hint="default" w:ascii="Times New Roman" w:hAnsi="Times New Roman" w:eastAsia="方正仿宋_GBK" w:cs="Times New Roman"/>
          <w:sz w:val="32"/>
          <w:szCs w:val="32"/>
        </w:rPr>
        <w:t>详</w:t>
      </w:r>
      <w:r>
        <w:rPr>
          <w:rStyle w:val="7"/>
          <w:rFonts w:hint="eastAsia" w:ascii="Times New Roman" w:hAnsi="Times New Roman" w:eastAsia="方正仿宋_GBK" w:cs="Times New Roman"/>
          <w:b w:val="0"/>
          <w:bCs/>
          <w:sz w:val="32"/>
          <w:szCs w:val="32"/>
          <w:shd w:val="clear" w:color="auto" w:fill="FFFFFF"/>
          <w:lang w:eastAsia="zh-CN"/>
        </w:rPr>
        <w:t>见附件。</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2.绩效自评报告或案例。</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eastAsia" w:ascii="Times New Roman" w:hAnsi="Times New Roman" w:eastAsia="方正仿宋_GBK" w:cs="Times New Roman"/>
          <w:b w:val="0"/>
          <w:bCs/>
          <w:sz w:val="32"/>
          <w:szCs w:val="32"/>
          <w:shd w:val="clear" w:color="auto" w:fill="FFFFFF"/>
          <w:lang w:eastAsia="zh-CN"/>
        </w:rPr>
        <w:t>本部门</w:t>
      </w:r>
      <w:r>
        <w:rPr>
          <w:rStyle w:val="7"/>
          <w:rFonts w:hint="default" w:ascii="Times New Roman" w:hAnsi="Times New Roman" w:eastAsia="方正仿宋_GBK" w:cs="Times New Roman"/>
          <w:b w:val="0"/>
          <w:bCs/>
          <w:sz w:val="32"/>
          <w:szCs w:val="32"/>
          <w:shd w:val="clear" w:color="auto" w:fill="FFFFFF"/>
        </w:rPr>
        <w:t>未委托第三方开展绩效评价。</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default" w:ascii="Times New Roman" w:hAnsi="Times New Roman" w:eastAsia="方正仿宋_GBK" w:cs="Times New Roman"/>
          <w:b w:val="0"/>
          <w:bCs/>
          <w:sz w:val="32"/>
          <w:szCs w:val="32"/>
          <w:shd w:val="clear" w:color="auto" w:fill="FFFFFF"/>
        </w:rPr>
        <w:t>3.关于绩效自评结果的说明。</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eastAsia" w:ascii="Times New Roman" w:hAnsi="Times New Roman" w:eastAsia="方正仿宋_GBK" w:cs="Times New Roman"/>
          <w:b w:val="0"/>
          <w:bCs/>
          <w:sz w:val="32"/>
          <w:szCs w:val="32"/>
          <w:shd w:val="clear" w:color="auto" w:fill="FFFFFF"/>
          <w:lang w:eastAsia="zh-CN"/>
        </w:rPr>
        <w:t>本部门</w:t>
      </w:r>
      <w:r>
        <w:rPr>
          <w:rStyle w:val="7"/>
          <w:rFonts w:hint="default" w:ascii="Times New Roman" w:hAnsi="Times New Roman" w:eastAsia="方正仿宋_GBK" w:cs="Times New Roman"/>
          <w:b w:val="0"/>
          <w:bCs/>
          <w:sz w:val="32"/>
          <w:szCs w:val="32"/>
          <w:shd w:val="clear" w:color="auto" w:fill="FFFFFF"/>
        </w:rPr>
        <w:t>对30</w:t>
      </w:r>
      <w:r>
        <w:rPr>
          <w:rStyle w:val="7"/>
          <w:rFonts w:hint="eastAsia" w:ascii="Times New Roman" w:hAnsi="Times New Roman" w:eastAsia="方正仿宋_GBK" w:cs="Times New Roman"/>
          <w:b w:val="0"/>
          <w:bCs/>
          <w:sz w:val="32"/>
          <w:szCs w:val="32"/>
          <w:shd w:val="clear" w:color="auto" w:fill="FFFFFF"/>
          <w:lang w:eastAsia="zh-CN"/>
        </w:rPr>
        <w:t>个</w:t>
      </w:r>
      <w:r>
        <w:rPr>
          <w:rStyle w:val="7"/>
          <w:rFonts w:hint="default" w:ascii="Times New Roman" w:hAnsi="Times New Roman" w:eastAsia="方正仿宋_GBK" w:cs="Times New Roman"/>
          <w:b w:val="0"/>
          <w:bCs/>
          <w:sz w:val="32"/>
          <w:szCs w:val="32"/>
          <w:shd w:val="clear" w:color="auto" w:fill="FFFFFF"/>
        </w:rPr>
        <w:t>项目进行绩效自评，其中30个已完成年度绩效目标，0个未完成年度绩效目标。</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Fonts w:ascii="方正楷体_GBK" w:hAnsi="方正楷体_GBK" w:eastAsia="方正楷体_GBK" w:cs="方正楷体_GBK"/>
          <w:bCs/>
          <w:sz w:val="32"/>
          <w:szCs w:val="32"/>
        </w:rPr>
      </w:pPr>
      <w:r>
        <w:rPr>
          <w:rFonts w:ascii="方正楷体_GBK" w:hAnsi="方正楷体_GBK" w:eastAsia="方正楷体_GBK" w:cs="方正楷体_GBK"/>
          <w:bCs/>
          <w:sz w:val="32"/>
          <w:szCs w:val="32"/>
        </w:rPr>
        <w:t>（三）重点绩效评价结果</w:t>
      </w:r>
    </w:p>
    <w:p>
      <w:pPr>
        <w:keepNext w:val="0"/>
        <w:keepLines w:val="0"/>
        <w:pageBreakBefore w:val="0"/>
        <w:kinsoku/>
        <w:wordWrap/>
        <w:overflowPunct/>
        <w:topLinePunct w:val="0"/>
        <w:autoSpaceDN/>
        <w:bidi w:val="0"/>
        <w:adjustRightInd/>
        <w:spacing w:beforeAutospacing="0" w:line="594" w:lineRule="exact"/>
        <w:ind w:firstLine="640" w:firstLineChars="200"/>
        <w:textAlignment w:val="auto"/>
        <w:rPr>
          <w:rStyle w:val="7"/>
          <w:rFonts w:hint="default" w:ascii="Times New Roman" w:hAnsi="Times New Roman" w:eastAsia="方正仿宋_GBK" w:cs="Times New Roman"/>
          <w:b w:val="0"/>
          <w:bCs/>
          <w:sz w:val="32"/>
          <w:szCs w:val="32"/>
          <w:shd w:val="clear" w:color="auto" w:fill="FFFFFF"/>
        </w:rPr>
      </w:pPr>
      <w:r>
        <w:rPr>
          <w:rStyle w:val="7"/>
          <w:rFonts w:hint="eastAsia" w:ascii="Times New Roman" w:hAnsi="Times New Roman" w:eastAsia="方正仿宋_GBK" w:cs="Times New Roman"/>
          <w:b w:val="0"/>
          <w:bCs/>
          <w:sz w:val="32"/>
          <w:szCs w:val="32"/>
          <w:shd w:val="clear" w:color="auto" w:fill="FFFFFF"/>
          <w:lang w:eastAsia="zh-CN"/>
        </w:rPr>
        <w:t>本部门</w:t>
      </w:r>
      <w:r>
        <w:rPr>
          <w:rStyle w:val="7"/>
          <w:rFonts w:hint="default" w:ascii="Times New Roman" w:hAnsi="Times New Roman" w:eastAsia="方正仿宋_GBK" w:cs="Times New Roman"/>
          <w:b w:val="0"/>
          <w:bCs/>
          <w:sz w:val="32"/>
          <w:szCs w:val="32"/>
          <w:shd w:val="clear" w:color="auto" w:fill="FFFFFF"/>
        </w:rPr>
        <w:t>未开展重点绩效评价。</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六、专业名词解释</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（一）财政拨款收入</w:t>
      </w:r>
      <w:r>
        <w:rPr>
          <w:rFonts w:hint="eastAsia" w:ascii="方正楷体_GBK" w:hAnsi="方正楷体_GBK" w:eastAsia="方正楷体_GBK" w:cs="方正楷体_GBK"/>
          <w:bCs/>
          <w:kern w:val="0"/>
          <w:sz w:val="32"/>
          <w:szCs w:val="32"/>
        </w:rPr>
        <w:t>：</w:t>
      </w:r>
      <w:r>
        <w:rPr>
          <w:rStyle w:val="7"/>
          <w:rFonts w:hint="eastAsia" w:ascii="Times New Roman" w:hAnsi="Times New Roman" w:eastAsia="方正仿宋_GBK" w:cs="Times New Roman"/>
          <w:b w:val="0"/>
          <w:bCs/>
          <w:kern w:val="0"/>
          <w:sz w:val="32"/>
          <w:szCs w:val="32"/>
          <w:shd w:val="clear" w:color="auto" w:fill="FFFFFF"/>
          <w:lang w:val="en-US" w:eastAsia="zh-CN" w:bidi="ar-SA"/>
        </w:rPr>
        <w:t>指本年度从本级财政部门取得的财政拨款，包括一般公共预算财政拨款和政府性基金预算财政拨款。</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（二）事业收入：</w:t>
      </w:r>
      <w:r>
        <w:rPr>
          <w:rStyle w:val="7"/>
          <w:rFonts w:hint="eastAsia" w:ascii="Times New Roman" w:hAnsi="Times New Roman" w:eastAsia="方正仿宋_GBK" w:cs="Times New Roman"/>
          <w:b w:val="0"/>
          <w:bCs/>
          <w:kern w:val="0"/>
          <w:sz w:val="32"/>
          <w:szCs w:val="32"/>
          <w:shd w:val="clear" w:color="auto" w:fill="FFFFFF"/>
          <w:lang w:val="en-US" w:eastAsia="zh-CN" w:bidi="ar-SA"/>
        </w:rPr>
        <w:t>指事业单位开展专业业务活动及其辅助活动取得的现金流入；事业单位收到的财政专户实际核拨的教育收费等资金在此反映。</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（三）经营收入：</w:t>
      </w:r>
      <w:r>
        <w:rPr>
          <w:rStyle w:val="7"/>
          <w:rFonts w:hint="eastAsia" w:ascii="Times New Roman" w:hAnsi="Times New Roman" w:eastAsia="方正仿宋_GBK" w:cs="Times New Roman"/>
          <w:b w:val="0"/>
          <w:bCs/>
          <w:kern w:val="0"/>
          <w:sz w:val="32"/>
          <w:szCs w:val="32"/>
          <w:shd w:val="clear" w:color="auto" w:fill="FFFFFF"/>
          <w:lang w:val="en-US" w:eastAsia="zh-CN" w:bidi="ar-SA"/>
        </w:rPr>
        <w:t>指事业单位在专业业务活动及其辅助活动之外开展非独立核算经营活动取得的现金流入。</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（四）其他收入：</w:t>
      </w:r>
      <w:r>
        <w:rPr>
          <w:rStyle w:val="7"/>
          <w:rFonts w:hint="eastAsia" w:ascii="Times New Roman" w:hAnsi="Times New Roman" w:eastAsia="方正仿宋_GBK" w:cs="Times New Roman"/>
          <w:b w:val="0"/>
          <w:bCs/>
          <w:kern w:val="0"/>
          <w:sz w:val="32"/>
          <w:szCs w:val="32"/>
          <w:shd w:val="clear" w:color="auto"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（五）使用非财政拨款结余</w:t>
      </w:r>
      <w:r>
        <w:rPr>
          <w:rStyle w:val="7"/>
          <w:rFonts w:hint="eastAsia" w:ascii="Times New Roman" w:hAnsi="Times New Roman" w:eastAsia="方正仿宋_GBK" w:cs="Times New Roman"/>
          <w:b w:val="0"/>
          <w:bCs/>
          <w:kern w:val="0"/>
          <w:sz w:val="32"/>
          <w:szCs w:val="32"/>
          <w:shd w:val="clear" w:color="auto" w:fill="FFFFFF"/>
          <w:lang w:val="en-US" w:eastAsia="zh-CN" w:bidi="ar-SA"/>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（六）年初结转和结余：</w:t>
      </w:r>
      <w:r>
        <w:rPr>
          <w:rStyle w:val="7"/>
          <w:rFonts w:hint="eastAsia" w:ascii="Times New Roman" w:hAnsi="Times New Roman" w:eastAsia="方正仿宋_GBK" w:cs="Times New Roman"/>
          <w:b w:val="0"/>
          <w:bCs/>
          <w:kern w:val="0"/>
          <w:sz w:val="32"/>
          <w:szCs w:val="32"/>
          <w:shd w:val="clear" w:color="auto" w:fill="FFFFFF"/>
          <w:lang w:val="en-US" w:eastAsia="zh-CN" w:bidi="ar-SA"/>
        </w:rPr>
        <w:t>指单位上年结转本年使用的基本支出结转、项目支出结转和结余、经营结余。</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kern w:val="0"/>
          <w:sz w:val="32"/>
          <w:szCs w:val="32"/>
        </w:rPr>
        <w:t>（七）结余分配</w:t>
      </w:r>
      <w:r>
        <w:rPr>
          <w:rFonts w:hint="eastAsia" w:ascii="方正楷体_GBK" w:hAnsi="方正楷体_GBK" w:eastAsia="方正楷体_GBK" w:cs="方正楷体_GBK"/>
          <w:bCs/>
          <w:kern w:val="0"/>
          <w:sz w:val="32"/>
          <w:szCs w:val="32"/>
        </w:rPr>
        <w:t>：</w:t>
      </w:r>
      <w:r>
        <w:rPr>
          <w:rStyle w:val="7"/>
          <w:rFonts w:hint="eastAsia" w:ascii="Times New Roman" w:hAnsi="Times New Roman" w:eastAsia="方正仿宋_GBK" w:cs="Times New Roman"/>
          <w:b w:val="0"/>
          <w:bCs/>
          <w:kern w:val="0"/>
          <w:sz w:val="32"/>
          <w:szCs w:val="32"/>
          <w:shd w:val="clear" w:color="auto" w:fill="FFFFFF"/>
          <w:lang w:val="en-US" w:eastAsia="zh-CN" w:bidi="ar-SA"/>
        </w:rPr>
        <w:t>指单位按照国家有关规定，缴纳所得税、提取专用基金、转入非财政拨款结余等当年结余的分配情况。</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（八）年末结转和结余：</w:t>
      </w:r>
      <w:r>
        <w:rPr>
          <w:rStyle w:val="7"/>
          <w:rFonts w:hint="eastAsia" w:ascii="Times New Roman" w:hAnsi="Times New Roman" w:eastAsia="方正仿宋_GBK" w:cs="Times New Roman"/>
          <w:b w:val="0"/>
          <w:bCs/>
          <w:kern w:val="0"/>
          <w:sz w:val="32"/>
          <w:szCs w:val="32"/>
          <w:shd w:val="clear" w:color="auto" w:fill="FFFFFF"/>
          <w:lang w:val="en-US" w:eastAsia="zh-CN" w:bidi="ar-SA"/>
        </w:rPr>
        <w:t>指单位结转下年的基本支出结转、项目支出结转和结余、经营结余。</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（九）基本支出：</w:t>
      </w:r>
      <w:r>
        <w:rPr>
          <w:rStyle w:val="7"/>
          <w:rFonts w:hint="eastAsia" w:ascii="Times New Roman" w:hAnsi="Times New Roman" w:eastAsia="方正仿宋_GBK" w:cs="Times New Roman"/>
          <w:b w:val="0"/>
          <w:bCs/>
          <w:kern w:val="0"/>
          <w:sz w:val="32"/>
          <w:szCs w:val="32"/>
          <w:shd w:val="clear" w:color="auto"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（十）项目支出：</w:t>
      </w:r>
      <w:r>
        <w:rPr>
          <w:rStyle w:val="7"/>
          <w:rFonts w:hint="eastAsia" w:ascii="Times New Roman" w:hAnsi="Times New Roman" w:eastAsia="方正仿宋_GBK" w:cs="Times New Roman"/>
          <w:b w:val="0"/>
          <w:bCs/>
          <w:kern w:val="0"/>
          <w:sz w:val="32"/>
          <w:szCs w:val="32"/>
          <w:shd w:val="clear" w:color="auto" w:fill="FFFFFF"/>
          <w:lang w:val="en-US" w:eastAsia="zh-CN" w:bidi="ar-SA"/>
        </w:rPr>
        <w:t>指在基本支出之外为完成特定行政任务和事业发展目标所发生的支出。</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（十一）经营支出</w:t>
      </w:r>
      <w:r>
        <w:rPr>
          <w:rFonts w:hint="eastAsia" w:ascii="方正楷体_GBK" w:hAnsi="方正楷体_GBK" w:eastAsia="方正楷体_GBK" w:cs="方正楷体_GBK"/>
          <w:bCs/>
          <w:kern w:val="0"/>
          <w:sz w:val="32"/>
          <w:szCs w:val="32"/>
        </w:rPr>
        <w:t>：</w:t>
      </w:r>
      <w:r>
        <w:rPr>
          <w:rStyle w:val="7"/>
          <w:rFonts w:hint="eastAsia" w:ascii="Times New Roman" w:hAnsi="Times New Roman" w:eastAsia="方正仿宋_GBK" w:cs="Times New Roman"/>
          <w:b w:val="0"/>
          <w:bCs/>
          <w:kern w:val="0"/>
          <w:sz w:val="32"/>
          <w:szCs w:val="32"/>
          <w:shd w:val="clear" w:color="auto" w:fill="FFFFFF"/>
          <w:lang w:val="en-US" w:eastAsia="zh-CN" w:bidi="ar-SA"/>
        </w:rPr>
        <w:t>指事业单位在专业业务活动及其辅助活动之外开展非独立核算经营活动发生的支出。</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（十二）“三公”经费：</w:t>
      </w:r>
      <w:r>
        <w:rPr>
          <w:rStyle w:val="7"/>
          <w:rFonts w:hint="eastAsia" w:ascii="Times New Roman" w:hAnsi="Times New Roman" w:eastAsia="方正仿宋_GBK" w:cs="Times New Roman"/>
          <w:b w:val="0"/>
          <w:bCs/>
          <w:kern w:val="0"/>
          <w:sz w:val="32"/>
          <w:szCs w:val="32"/>
          <w:shd w:val="clear" w:color="auto" w:fill="FFFFFF"/>
          <w:lang w:val="en-US" w:eastAsia="zh-CN" w:bidi="ar-SA"/>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（十三）机关运行经费：</w:t>
      </w:r>
      <w:r>
        <w:rPr>
          <w:rStyle w:val="7"/>
          <w:rFonts w:hint="eastAsia" w:ascii="Times New Roman" w:hAnsi="Times New Roman" w:eastAsia="方正仿宋_GBK" w:cs="Times New Roman"/>
          <w:b w:val="0"/>
          <w:bCs/>
          <w:kern w:val="0"/>
          <w:sz w:val="32"/>
          <w:szCs w:val="32"/>
          <w:shd w:val="clear" w:color="auto"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（十四）工资福利支出（支出经济分类科目类级）：</w:t>
      </w:r>
      <w:r>
        <w:rPr>
          <w:rStyle w:val="7"/>
          <w:rFonts w:hint="eastAsia" w:ascii="Times New Roman" w:hAnsi="Times New Roman" w:eastAsia="方正仿宋_GBK" w:cs="Times New Roman"/>
          <w:b w:val="0"/>
          <w:bCs/>
          <w:kern w:val="0"/>
          <w:sz w:val="32"/>
          <w:szCs w:val="32"/>
          <w:shd w:val="clear" w:color="auto" w:fill="FFFFFF"/>
          <w:lang w:val="en-US" w:eastAsia="zh-CN" w:bidi="ar-SA"/>
        </w:rPr>
        <w:t>反映单位开支的在职职工和编制外长期聘用人员的各类劳动报酬，以及为上述人员缴纳的各项社会保险费等。</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（十五）商品和服务支出（支出经济分类科目类级）：</w:t>
      </w:r>
      <w:r>
        <w:rPr>
          <w:rStyle w:val="7"/>
          <w:rFonts w:hint="eastAsia" w:ascii="Times New Roman" w:hAnsi="Times New Roman" w:eastAsia="方正仿宋_GBK" w:cs="Times New Roman"/>
          <w:b w:val="0"/>
          <w:bCs/>
          <w:kern w:val="0"/>
          <w:sz w:val="32"/>
          <w:szCs w:val="32"/>
          <w:shd w:val="clear" w:color="auto" w:fill="FFFFFF"/>
          <w:lang w:val="en-US" w:eastAsia="zh-CN" w:bidi="ar-SA"/>
        </w:rPr>
        <w:t>反映单位购买商品和服务的支出（不包括用于购置固定资产的支出、战略性和应急储备支出）。</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（十六）对个人和家庭的补助（支出经济分类科目类级）：</w:t>
      </w:r>
      <w:r>
        <w:rPr>
          <w:rStyle w:val="7"/>
          <w:rFonts w:hint="eastAsia" w:ascii="Times New Roman" w:hAnsi="Times New Roman" w:eastAsia="方正仿宋_GBK" w:cs="Times New Roman"/>
          <w:b w:val="0"/>
          <w:bCs/>
          <w:kern w:val="0"/>
          <w:sz w:val="32"/>
          <w:szCs w:val="32"/>
          <w:shd w:val="clear" w:color="auto" w:fill="FFFFFF"/>
          <w:lang w:val="en-US" w:eastAsia="zh-CN" w:bidi="ar-SA"/>
        </w:rPr>
        <w:t>反映用于对个人和家庭的补助支出。</w:t>
      </w:r>
    </w:p>
    <w:p>
      <w:pPr>
        <w:pStyle w:val="15"/>
        <w:keepNext w:val="0"/>
        <w:keepLines w:val="0"/>
        <w:pageBreakBefore w:val="0"/>
        <w:tabs>
          <w:tab w:val="center" w:pos="4153"/>
          <w:tab w:val="left" w:pos="7275"/>
        </w:tabs>
        <w:kinsoku/>
        <w:wordWrap/>
        <w:overflowPunct/>
        <w:topLinePunct w:val="0"/>
        <w:autoSpaceDN/>
        <w:bidi w:val="0"/>
        <w:adjustRightInd/>
        <w:spacing w:beforeAutospacing="0" w:line="594" w:lineRule="exact"/>
        <w:ind w:firstLine="64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（十七）其他资本性支出（支出经济分类科目类级）：</w:t>
      </w:r>
      <w:r>
        <w:rPr>
          <w:rStyle w:val="7"/>
          <w:rFonts w:hint="eastAsia" w:ascii="Times New Roman" w:hAnsi="Times New Roman" w:eastAsia="方正仿宋_GBK" w:cs="Times New Roman"/>
          <w:b w:val="0"/>
          <w:bCs/>
          <w:kern w:val="0"/>
          <w:sz w:val="32"/>
          <w:szCs w:val="32"/>
          <w:shd w:val="clear" w:color="auto" w:fill="FFFFFF"/>
          <w:lang w:val="en-US" w:eastAsia="zh-CN" w:bidi="ar-SA"/>
        </w:rPr>
        <w:t>反映非各级发展与改革部门集中安排的用于购置固定资产、战略性和应急性储备、土地和无形资产，以及构建基础设施、大型修缮和财政支持企业更新改造所发生的支出。</w:t>
      </w:r>
    </w:p>
    <w:p>
      <w:pPr>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w:t>
      </w:r>
    </w:p>
    <w:p>
      <w:pPr>
        <w:pStyle w:val="5"/>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Style w:val="7"/>
          <w:rFonts w:hint="eastAsia" w:ascii="Times New Roman" w:hAnsi="Times New Roman" w:eastAsia="方正仿宋_GBK" w:cs="Times New Roman"/>
          <w:b w:val="0"/>
          <w:bCs/>
          <w:kern w:val="0"/>
          <w:sz w:val="32"/>
          <w:szCs w:val="32"/>
          <w:shd w:val="clear" w:color="auto" w:fill="FFFFFF"/>
          <w:lang w:val="en-US" w:eastAsia="zh-CN" w:bidi="ar-SA"/>
        </w:rPr>
        <w:t>本部门决算公开信息反馈和联系方式：</w:t>
      </w:r>
    </w:p>
    <w:p>
      <w:pPr>
        <w:pStyle w:val="5"/>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Style w:val="7"/>
          <w:rFonts w:hint="eastAsia" w:ascii="Times New Roman" w:hAnsi="Times New Roman" w:eastAsia="方正仿宋_GBK" w:cs="Times New Roman"/>
          <w:b w:val="0"/>
          <w:bCs/>
          <w:kern w:val="0"/>
          <w:sz w:val="32"/>
          <w:szCs w:val="32"/>
          <w:shd w:val="clear" w:color="auto" w:fill="FFFFFF"/>
          <w:lang w:val="en-US" w:eastAsia="zh-CN" w:bidi="ar-SA"/>
        </w:rPr>
      </w:pPr>
      <w:r>
        <w:rPr>
          <w:rStyle w:val="7"/>
          <w:rFonts w:hint="eastAsia" w:ascii="Times New Roman" w:hAnsi="Times New Roman" w:eastAsia="方正仿宋_GBK" w:cs="Times New Roman"/>
          <w:b w:val="0"/>
          <w:bCs/>
          <w:kern w:val="0"/>
          <w:sz w:val="32"/>
          <w:szCs w:val="32"/>
          <w:shd w:val="clear" w:color="auto" w:fill="FFFFFF"/>
          <w:lang w:val="en-US" w:eastAsia="zh-CN" w:bidi="ar-SA"/>
        </w:rPr>
        <w:t>许弟春023-45211002</w:t>
      </w:r>
    </w:p>
    <w:p>
      <w:pPr>
        <w:pStyle w:val="5"/>
        <w:rPr>
          <w:rStyle w:val="7"/>
          <w:rFonts w:ascii="方正楷体_GBK" w:eastAsia="方正楷体_GBK"/>
          <w:b w:val="0"/>
          <w:sz w:val="32"/>
          <w:szCs w:val="32"/>
        </w:rPr>
      </w:pPr>
    </w:p>
    <w:p>
      <w:pPr>
        <w:pStyle w:val="10"/>
        <w:autoSpaceDE w:val="0"/>
        <w:spacing w:before="0" w:beforeAutospacing="0" w:line="600" w:lineRule="exact"/>
        <w:jc w:val="both"/>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2YThjZjZkZDUwMDQzMTU2OWE4NDRlYTg4MmE2ZDcifQ=="/>
  </w:docVars>
  <w:rsids>
    <w:rsidRoot w:val="00C63361"/>
    <w:rsid w:val="00007A20"/>
    <w:rsid w:val="00026501"/>
    <w:rsid w:val="00064D7B"/>
    <w:rsid w:val="00076B16"/>
    <w:rsid w:val="001A30E3"/>
    <w:rsid w:val="002472FF"/>
    <w:rsid w:val="002E5A6E"/>
    <w:rsid w:val="003066B2"/>
    <w:rsid w:val="00343D15"/>
    <w:rsid w:val="0036234D"/>
    <w:rsid w:val="00435EA4"/>
    <w:rsid w:val="00444DA4"/>
    <w:rsid w:val="0048401B"/>
    <w:rsid w:val="005248BF"/>
    <w:rsid w:val="005A6CE9"/>
    <w:rsid w:val="00612263"/>
    <w:rsid w:val="00653C5E"/>
    <w:rsid w:val="006806E4"/>
    <w:rsid w:val="007E037C"/>
    <w:rsid w:val="007F4C60"/>
    <w:rsid w:val="0080444D"/>
    <w:rsid w:val="008271E4"/>
    <w:rsid w:val="00833432"/>
    <w:rsid w:val="008B3683"/>
    <w:rsid w:val="008C1BD4"/>
    <w:rsid w:val="008E4063"/>
    <w:rsid w:val="0092300E"/>
    <w:rsid w:val="0093236F"/>
    <w:rsid w:val="009F2976"/>
    <w:rsid w:val="00A1414C"/>
    <w:rsid w:val="00B46492"/>
    <w:rsid w:val="00B63633"/>
    <w:rsid w:val="00B9556E"/>
    <w:rsid w:val="00BC59F1"/>
    <w:rsid w:val="00BF6773"/>
    <w:rsid w:val="00C155B9"/>
    <w:rsid w:val="00C352FC"/>
    <w:rsid w:val="00C63361"/>
    <w:rsid w:val="00CA4469"/>
    <w:rsid w:val="00D01EE8"/>
    <w:rsid w:val="00D26F26"/>
    <w:rsid w:val="00D72454"/>
    <w:rsid w:val="00E56A0E"/>
    <w:rsid w:val="00E8542C"/>
    <w:rsid w:val="00F0057B"/>
    <w:rsid w:val="00F86F7E"/>
    <w:rsid w:val="02AF2B6A"/>
    <w:rsid w:val="0CDD2A52"/>
    <w:rsid w:val="0D24767F"/>
    <w:rsid w:val="10E904CB"/>
    <w:rsid w:val="17957EC5"/>
    <w:rsid w:val="1B672584"/>
    <w:rsid w:val="22286F8C"/>
    <w:rsid w:val="287A3941"/>
    <w:rsid w:val="2A981479"/>
    <w:rsid w:val="2D1C387A"/>
    <w:rsid w:val="2FCB3B39"/>
    <w:rsid w:val="358B1E03"/>
    <w:rsid w:val="35E34777"/>
    <w:rsid w:val="3EB912C4"/>
    <w:rsid w:val="42143C78"/>
    <w:rsid w:val="421A4855"/>
    <w:rsid w:val="42343B58"/>
    <w:rsid w:val="46717B12"/>
    <w:rsid w:val="4911055A"/>
    <w:rsid w:val="4A211D2D"/>
    <w:rsid w:val="4B7A5E75"/>
    <w:rsid w:val="4C49391D"/>
    <w:rsid w:val="4FBA68B3"/>
    <w:rsid w:val="4FBC0AE8"/>
    <w:rsid w:val="50295FED"/>
    <w:rsid w:val="53F331C1"/>
    <w:rsid w:val="54C60377"/>
    <w:rsid w:val="55894D17"/>
    <w:rsid w:val="567B2B25"/>
    <w:rsid w:val="596478F1"/>
    <w:rsid w:val="5A0E7CED"/>
    <w:rsid w:val="5E14754F"/>
    <w:rsid w:val="601E18C0"/>
    <w:rsid w:val="6049200C"/>
    <w:rsid w:val="65120C65"/>
    <w:rsid w:val="667F66ED"/>
    <w:rsid w:val="682021F8"/>
    <w:rsid w:val="6AA9520C"/>
    <w:rsid w:val="6BB22A33"/>
    <w:rsid w:val="6D077CBA"/>
    <w:rsid w:val="6E702150"/>
    <w:rsid w:val="7816139E"/>
    <w:rsid w:val="7AD128D4"/>
    <w:rsid w:val="7DB928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普通(网站)1"/>
    <w:basedOn w:val="1"/>
    <w:qFormat/>
    <w:uiPriority w:val="0"/>
    <w:pPr>
      <w:spacing w:beforeAutospacing="1" w:afterAutospacing="1"/>
    </w:pPr>
  </w:style>
  <w:style w:type="character" w:customStyle="1" w:styleId="13">
    <w:name w:val="页眉 Char"/>
    <w:basedOn w:val="6"/>
    <w:link w:val="3"/>
    <w:qFormat/>
    <w:uiPriority w:val="0"/>
    <w:rPr>
      <w:rFonts w:ascii="宋体" w:hAnsi="宋体"/>
      <w:sz w:val="18"/>
      <w:szCs w:val="18"/>
    </w:rPr>
  </w:style>
  <w:style w:type="character" w:customStyle="1" w:styleId="14">
    <w:name w:val="页脚 Char"/>
    <w:basedOn w:val="6"/>
    <w:link w:val="2"/>
    <w:qFormat/>
    <w:uiPriority w:val="0"/>
    <w:rPr>
      <w:rFonts w:ascii="宋体" w:hAnsi="宋体"/>
      <w:sz w:val="18"/>
      <w:szCs w:val="18"/>
    </w:rPr>
  </w:style>
  <w:style w:type="paragraph" w:styleId="15">
    <w:name w:val="List Paragraph"/>
    <w:basedOn w:val="1"/>
    <w:qFormat/>
    <w:uiPriority w:val="0"/>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6486</Words>
  <Characters>7564</Characters>
  <Lines>54</Lines>
  <Paragraphs>15</Paragraphs>
  <TotalTime>1</TotalTime>
  <ScaleCrop>false</ScaleCrop>
  <LinksUpToDate>false</LinksUpToDate>
  <CharactersWithSpaces>7565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2024-10-17T01:04:00Z</dcterms:created>
  <dc:creator>hp99</dc:creator>
  <cp:lastModifiedBy>Administrator</cp:lastModifiedBy>
  <cp:lastPrinted>2024-10-17T01:07:00Z</cp:lastPrinted>
  <dcterms:modified xsi:type="dcterms:W3CDTF">2024-11-05T01:30:59Z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604FC4D6018048A9B4D1B620EFC29CE1_12</vt:lpwstr>
  </property>
</Properties>
</file>