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color w:val="auto"/>
          <w:kern w:val="2"/>
          <w:sz w:val="32"/>
          <w:szCs w:val="32"/>
          <w:highlight w:val="none"/>
          <w:lang w:val="en-US" w:eastAsia="zh-CN" w:bidi="ar"/>
        </w:rPr>
      </w:pPr>
      <w:r>
        <w:rPr>
          <w:rFonts w:hint="default" w:ascii="Times New Roman" w:hAnsi="Times New Roman" w:eastAsia="方正黑体_GBK" w:cs="Times New Roman"/>
          <w:color w:val="auto"/>
          <w:sz w:val="32"/>
          <w:szCs w:val="32"/>
          <w:highlight w:val="none"/>
          <w:lang w:val="en-US" w:eastAsia="zh-CN"/>
        </w:rPr>
        <w:t>附件</w:t>
      </w:r>
      <w:r>
        <w:rPr>
          <w:rFonts w:hint="eastAsia" w:eastAsia="方正黑体_GBK"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Cs/>
          <w:color w:val="auto"/>
          <w:kern w:val="0"/>
          <w:sz w:val="44"/>
          <w:szCs w:val="44"/>
          <w:lang w:val="en-US" w:eastAsia="zh-CN"/>
        </w:rPr>
      </w:pPr>
      <w:bookmarkStart w:id="0" w:name="_GoBack"/>
      <w:r>
        <w:rPr>
          <w:rFonts w:hint="default" w:ascii="Times New Roman" w:hAnsi="Times New Roman" w:eastAsia="方正小标宋_GBK" w:cs="Times New Roman"/>
          <w:bCs/>
          <w:color w:val="auto"/>
          <w:kern w:val="0"/>
          <w:sz w:val="44"/>
          <w:szCs w:val="44"/>
          <w:lang w:val="en-US" w:eastAsia="zh-CN"/>
        </w:rPr>
        <w:t>2024年</w:t>
      </w:r>
      <w:r>
        <w:rPr>
          <w:rFonts w:hint="eastAsia" w:ascii="Times New Roman" w:hAnsi="Times New Roman" w:eastAsia="方正小标宋_GBK" w:cs="Times New Roman"/>
          <w:bCs/>
          <w:color w:val="auto"/>
          <w:kern w:val="0"/>
          <w:sz w:val="44"/>
          <w:szCs w:val="44"/>
          <w:lang w:val="en-US" w:eastAsia="zh-CN"/>
        </w:rPr>
        <w:t>蒲吕街道农业行业领域</w:t>
      </w:r>
      <w:r>
        <w:rPr>
          <w:rFonts w:hint="default" w:ascii="Times New Roman" w:hAnsi="Times New Roman" w:eastAsia="方正小标宋_GBK" w:cs="Times New Roman"/>
          <w:bCs/>
          <w:color w:val="auto"/>
          <w:kern w:val="0"/>
          <w:sz w:val="44"/>
          <w:szCs w:val="44"/>
          <w:lang w:val="en-US" w:eastAsia="zh-CN"/>
        </w:rPr>
        <w:t>安全生产大排查大整治大执法除患攻坚行动重点任务清单</w:t>
      </w:r>
    </w:p>
    <w:bookmarkEnd w:id="0"/>
    <w:p>
      <w:pPr>
        <w:widowControl w:val="0"/>
        <w:jc w:val="both"/>
        <w:rPr>
          <w:rFonts w:hint="default" w:ascii="Times New Roman" w:hAnsi="Times New Roman" w:eastAsia="宋体" w:cs="Times New Roman"/>
          <w:color w:val="auto"/>
          <w:kern w:val="2"/>
          <w:sz w:val="21"/>
          <w:szCs w:val="24"/>
          <w:lang w:val="en-US" w:eastAsia="zh-CN" w:bidi="ar-SA"/>
        </w:rPr>
      </w:pPr>
    </w:p>
    <w:tbl>
      <w:tblPr>
        <w:tblStyle w:val="3"/>
        <w:tblW w:w="13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3"/>
        <w:gridCol w:w="1390"/>
        <w:gridCol w:w="7331"/>
        <w:gridCol w:w="1655"/>
        <w:gridCol w:w="1677"/>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23"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color w:val="auto"/>
                <w:sz w:val="24"/>
                <w:szCs w:val="24"/>
                <w:u w:val="none"/>
              </w:rPr>
            </w:pPr>
            <w:r>
              <w:rPr>
                <w:rFonts w:hint="default" w:ascii="Times New Roman" w:hAnsi="Times New Roman" w:eastAsia="方正黑体_GBK" w:cs="Times New Roman"/>
                <w:color w:val="auto"/>
                <w:sz w:val="24"/>
                <w:u w:val="none"/>
                <w:lang w:val="en-US" w:eastAsia="zh-CN" w:bidi="ar"/>
              </w:rPr>
              <w:t>序号</w:t>
            </w:r>
          </w:p>
        </w:tc>
        <w:tc>
          <w:tcPr>
            <w:tcW w:w="139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color w:val="auto"/>
                <w:sz w:val="24"/>
                <w:szCs w:val="24"/>
                <w:u w:val="none"/>
              </w:rPr>
            </w:pPr>
            <w:r>
              <w:rPr>
                <w:rFonts w:hint="default" w:ascii="Times New Roman" w:hAnsi="Times New Roman" w:eastAsia="方正黑体_GBK" w:cs="Times New Roman"/>
                <w:i w:val="0"/>
                <w:color w:val="auto"/>
                <w:kern w:val="0"/>
                <w:sz w:val="24"/>
                <w:szCs w:val="24"/>
                <w:u w:val="none"/>
                <w:lang w:val="en-US" w:eastAsia="zh-CN" w:bidi="ar"/>
              </w:rPr>
              <w:t>任务名称</w:t>
            </w:r>
          </w:p>
        </w:tc>
        <w:tc>
          <w:tcPr>
            <w:tcW w:w="733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color w:val="auto"/>
                <w:sz w:val="24"/>
                <w:szCs w:val="24"/>
                <w:u w:val="none"/>
              </w:rPr>
            </w:pPr>
            <w:r>
              <w:rPr>
                <w:rFonts w:hint="default" w:ascii="Times New Roman" w:hAnsi="Times New Roman" w:eastAsia="方正黑体_GBK" w:cs="Times New Roman"/>
                <w:color w:val="auto"/>
                <w:sz w:val="24"/>
                <w:u w:val="none"/>
                <w:lang w:val="en-US" w:eastAsia="zh-CN" w:bidi="ar"/>
              </w:rPr>
              <w:t>工作内容及目标任务</w:t>
            </w:r>
          </w:p>
        </w:tc>
        <w:tc>
          <w:tcPr>
            <w:tcW w:w="16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color w:val="auto"/>
                <w:sz w:val="24"/>
                <w:szCs w:val="24"/>
                <w:u w:val="none"/>
                <w:lang w:val="en-US"/>
              </w:rPr>
            </w:pPr>
            <w:r>
              <w:rPr>
                <w:rFonts w:hint="default" w:ascii="Times New Roman" w:hAnsi="Times New Roman" w:eastAsia="方正黑体_GBK" w:cs="Times New Roman"/>
                <w:i w:val="0"/>
                <w:color w:val="auto"/>
                <w:kern w:val="0"/>
                <w:sz w:val="24"/>
                <w:szCs w:val="24"/>
                <w:u w:val="none"/>
                <w:lang w:val="en-US" w:eastAsia="zh-CN" w:bidi="ar"/>
              </w:rPr>
              <w:t>牵头</w:t>
            </w:r>
            <w:r>
              <w:rPr>
                <w:rFonts w:hint="eastAsia" w:ascii="Times New Roman" w:hAnsi="Times New Roman" w:eastAsia="方正黑体_GBK" w:cs="Times New Roman"/>
                <w:i w:val="0"/>
                <w:color w:val="auto"/>
                <w:kern w:val="0"/>
                <w:sz w:val="24"/>
                <w:szCs w:val="24"/>
                <w:u w:val="none"/>
                <w:lang w:val="en-US" w:eastAsia="zh-CN" w:bidi="ar"/>
              </w:rPr>
              <w:t>办所</w:t>
            </w:r>
          </w:p>
        </w:tc>
        <w:tc>
          <w:tcPr>
            <w:tcW w:w="167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color w:val="auto"/>
                <w:sz w:val="24"/>
                <w:szCs w:val="24"/>
                <w:u w:val="none"/>
              </w:rPr>
            </w:pPr>
            <w:r>
              <w:rPr>
                <w:rFonts w:hint="default" w:ascii="Times New Roman" w:hAnsi="Times New Roman" w:eastAsia="方正黑体_GBK" w:cs="Times New Roman"/>
                <w:i w:val="0"/>
                <w:color w:val="auto"/>
                <w:kern w:val="0"/>
                <w:sz w:val="24"/>
                <w:szCs w:val="24"/>
                <w:u w:val="none"/>
                <w:lang w:val="en-US" w:eastAsia="zh-CN" w:bidi="ar"/>
              </w:rPr>
              <w:t>责任单位</w:t>
            </w:r>
          </w:p>
        </w:tc>
        <w:tc>
          <w:tcPr>
            <w:tcW w:w="90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color w:val="auto"/>
                <w:sz w:val="24"/>
                <w:szCs w:val="24"/>
                <w:u w:val="none"/>
              </w:rPr>
            </w:pPr>
            <w:r>
              <w:rPr>
                <w:rFonts w:hint="eastAsia" w:ascii="Times New Roman" w:hAnsi="Times New Roman" w:eastAsia="方正黑体_GBK" w:cs="Times New Roman"/>
                <w:i w:val="0"/>
                <w:color w:val="auto"/>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0" w:hRule="atLeast"/>
        </w:trPr>
        <w:tc>
          <w:tcPr>
            <w:tcW w:w="723"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default" w:ascii="Times New Roman" w:hAnsi="Times New Roman" w:eastAsia="方正仿宋_GBK" w:cs="Times New Roman"/>
                <w:i w:val="0"/>
                <w:color w:val="auto"/>
                <w:kern w:val="0"/>
                <w:sz w:val="21"/>
                <w:szCs w:val="21"/>
                <w:u w:val="none"/>
                <w:lang w:val="en-US" w:eastAsia="zh-CN" w:bidi="ar"/>
              </w:rPr>
              <w:t>1</w:t>
            </w:r>
          </w:p>
        </w:tc>
        <w:tc>
          <w:tcPr>
            <w:tcW w:w="139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default" w:ascii="Times New Roman" w:hAnsi="Times New Roman" w:eastAsia="方正仿宋_GBK" w:cs="Times New Roman"/>
                <w:i w:val="0"/>
                <w:color w:val="auto"/>
                <w:kern w:val="0"/>
                <w:sz w:val="21"/>
                <w:szCs w:val="21"/>
                <w:u w:val="none"/>
                <w:lang w:val="en-US" w:eastAsia="zh-CN" w:bidi="ar"/>
              </w:rPr>
              <w:t>农机安全</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default" w:ascii="Times New Roman" w:hAnsi="Times New Roman" w:eastAsia="方正仿宋_GBK" w:cs="Times New Roman"/>
                <w:i w:val="0"/>
                <w:color w:val="auto"/>
                <w:kern w:val="0"/>
                <w:sz w:val="21"/>
                <w:szCs w:val="21"/>
                <w:u w:val="none"/>
                <w:lang w:val="en-US" w:eastAsia="zh-CN" w:bidi="ar"/>
              </w:rPr>
              <w:t>专项整治</w:t>
            </w:r>
          </w:p>
        </w:tc>
        <w:tc>
          <w:tcPr>
            <w:tcW w:w="73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default" w:ascii="Times New Roman" w:hAnsi="Times New Roman" w:eastAsia="方正仿宋_GBK" w:cs="Times New Roman"/>
                <w:i w:val="0"/>
                <w:color w:val="auto"/>
                <w:kern w:val="0"/>
                <w:sz w:val="21"/>
                <w:szCs w:val="21"/>
                <w:u w:val="none"/>
                <w:lang w:val="en-US" w:eastAsia="zh-CN" w:bidi="ar"/>
              </w:rPr>
              <w:t>要深入开展农机安全大检查。充分发挥公安驻农机交通安全警务室作用，采取定点设卡和流动巡逻相结合等手段，大力开展联合执法，加大检查密度，严厉查处农机违法载人、无牌行驶、无证驾驶、酒后驾驶等违法违章行为，从源头上消除安全隐患。要结合开展冬季农机检修工作，深入乡村、田间、场院、农机合作社等农机作业场所，检查农业机具的安全技术性能，开展农机事故隐患排查与治理，及时发现并消除安全隐患。</w:t>
            </w:r>
          </w:p>
        </w:tc>
        <w:tc>
          <w:tcPr>
            <w:tcW w:w="16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eastAsia" w:ascii="Times New Roman" w:hAnsi="Times New Roman" w:eastAsia="方正仿宋_GBK" w:cs="Times New Roman"/>
                <w:i w:val="0"/>
                <w:color w:val="auto"/>
                <w:kern w:val="0"/>
                <w:sz w:val="21"/>
                <w:szCs w:val="21"/>
                <w:u w:val="none"/>
                <w:lang w:val="en-US" w:eastAsia="zh-CN" w:bidi="ar"/>
              </w:rPr>
              <w:t>产业培育中心、应急办</w:t>
            </w:r>
          </w:p>
        </w:tc>
        <w:tc>
          <w:tcPr>
            <w:tcW w:w="167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auto"/>
                <w:kern w:val="0"/>
                <w:sz w:val="21"/>
                <w:szCs w:val="21"/>
                <w:u w:val="none"/>
                <w:lang w:val="en-US" w:eastAsia="zh-CN" w:bidi="ar"/>
              </w:rPr>
            </w:pPr>
            <w:r>
              <w:rPr>
                <w:rFonts w:hint="eastAsia" w:ascii="Times New Roman" w:hAnsi="Times New Roman" w:eastAsia="方正仿宋_GBK" w:cs="Times New Roman"/>
                <w:i w:val="0"/>
                <w:color w:val="auto"/>
                <w:kern w:val="0"/>
                <w:sz w:val="21"/>
                <w:szCs w:val="21"/>
                <w:u w:val="none"/>
                <w:lang w:val="en-US" w:eastAsia="zh-CN" w:bidi="ar"/>
              </w:rPr>
              <w:t>各村、社区</w:t>
            </w:r>
          </w:p>
        </w:tc>
        <w:tc>
          <w:tcPr>
            <w:tcW w:w="90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6" w:hRule="atLeast"/>
        </w:trPr>
        <w:tc>
          <w:tcPr>
            <w:tcW w:w="723"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lang w:val="en-US"/>
              </w:rPr>
            </w:pPr>
            <w:r>
              <w:rPr>
                <w:rFonts w:hint="default" w:ascii="Times New Roman" w:hAnsi="Times New Roman" w:eastAsia="方正仿宋_GBK" w:cs="Times New Roman"/>
                <w:i w:val="0"/>
                <w:color w:val="auto"/>
                <w:kern w:val="0"/>
                <w:sz w:val="21"/>
                <w:szCs w:val="21"/>
                <w:u w:val="none"/>
                <w:lang w:val="en-US" w:eastAsia="zh-CN" w:bidi="ar"/>
              </w:rPr>
              <w:t>2</w:t>
            </w:r>
          </w:p>
        </w:tc>
        <w:tc>
          <w:tcPr>
            <w:tcW w:w="139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农药及危化品安全监管</w:t>
            </w:r>
          </w:p>
        </w:tc>
        <w:tc>
          <w:tcPr>
            <w:tcW w:w="73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指导督促农药生产经营企业、各单位实验室等严格落实安全生产主体责任，切实加强安全管控。要全面彻底摸清各类危险化学品底数，辨识安全风险点。尤其是涉及重大危险源的风险点，重点针对危险爆炸品，如氧气、氢气、硝铵类化学品，严格管理。重点开展对剧毒、易爆、采购、储存的专项整治。</w:t>
            </w:r>
          </w:p>
        </w:tc>
        <w:tc>
          <w:tcPr>
            <w:tcW w:w="16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eastAsia" w:ascii="Times New Roman" w:hAnsi="Times New Roman" w:eastAsia="方正仿宋_GBK" w:cs="Times New Roman"/>
                <w:i w:val="0"/>
                <w:color w:val="auto"/>
                <w:sz w:val="21"/>
                <w:szCs w:val="21"/>
                <w:u w:val="none"/>
                <w:lang w:val="en-US" w:eastAsia="zh-CN"/>
              </w:rPr>
              <w:t>产业培育中心、经发办、应急办</w:t>
            </w:r>
          </w:p>
        </w:tc>
        <w:tc>
          <w:tcPr>
            <w:tcW w:w="167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auto"/>
                <w:sz w:val="21"/>
                <w:szCs w:val="21"/>
                <w:u w:val="none"/>
                <w:lang w:eastAsia="zh-CN"/>
              </w:rPr>
            </w:pPr>
            <w:r>
              <w:rPr>
                <w:rFonts w:hint="eastAsia" w:ascii="Times New Roman" w:hAnsi="Times New Roman" w:eastAsia="方正仿宋_GBK" w:cs="Times New Roman"/>
                <w:i w:val="0"/>
                <w:color w:val="auto"/>
                <w:kern w:val="0"/>
                <w:sz w:val="21"/>
                <w:szCs w:val="21"/>
                <w:u w:val="none"/>
                <w:lang w:val="en-US" w:eastAsia="zh-CN" w:bidi="ar"/>
              </w:rPr>
              <w:t>各村、社区</w:t>
            </w:r>
          </w:p>
        </w:tc>
        <w:tc>
          <w:tcPr>
            <w:tcW w:w="90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5" w:hRule="atLeast"/>
        </w:trPr>
        <w:tc>
          <w:tcPr>
            <w:tcW w:w="723"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lang w:val="en-US"/>
              </w:rPr>
            </w:pPr>
            <w:r>
              <w:rPr>
                <w:rFonts w:hint="default" w:ascii="Times New Roman" w:hAnsi="Times New Roman" w:eastAsia="方正仿宋_GBK" w:cs="Times New Roman"/>
                <w:i w:val="0"/>
                <w:color w:val="auto"/>
                <w:kern w:val="0"/>
                <w:sz w:val="21"/>
                <w:szCs w:val="21"/>
                <w:u w:val="none"/>
                <w:lang w:val="en-US" w:eastAsia="zh-CN" w:bidi="ar"/>
              </w:rPr>
              <w:t>3</w:t>
            </w:r>
          </w:p>
        </w:tc>
        <w:tc>
          <w:tcPr>
            <w:tcW w:w="139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sz w:val="21"/>
                <w:szCs w:val="21"/>
                <w:u w:val="none"/>
              </w:rPr>
              <w:t>农村沼气</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lang w:eastAsia="zh-CN"/>
              </w:rPr>
            </w:pPr>
            <w:r>
              <w:rPr>
                <w:rFonts w:hint="default" w:ascii="Times New Roman" w:hAnsi="Times New Roman" w:eastAsia="方正仿宋_GBK" w:cs="Times New Roman"/>
                <w:i w:val="0"/>
                <w:color w:val="auto"/>
                <w:sz w:val="21"/>
                <w:szCs w:val="21"/>
                <w:u w:val="none"/>
              </w:rPr>
              <w:t>安全</w:t>
            </w:r>
            <w:r>
              <w:rPr>
                <w:rFonts w:hint="default" w:ascii="Times New Roman" w:hAnsi="Times New Roman" w:eastAsia="方正仿宋_GBK" w:cs="Times New Roman"/>
                <w:i w:val="0"/>
                <w:color w:val="auto"/>
                <w:kern w:val="0"/>
                <w:sz w:val="21"/>
                <w:szCs w:val="21"/>
                <w:u w:val="none"/>
                <w:lang w:val="en-US" w:eastAsia="zh-CN" w:bidi="ar"/>
              </w:rPr>
              <w:t>监管</w:t>
            </w:r>
          </w:p>
        </w:tc>
        <w:tc>
          <w:tcPr>
            <w:tcW w:w="73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sz w:val="21"/>
                <w:szCs w:val="21"/>
                <w:u w:val="none"/>
              </w:rPr>
              <w:t>各镇街</w:t>
            </w:r>
            <w:r>
              <w:rPr>
                <w:rFonts w:hint="default" w:ascii="Times New Roman" w:hAnsi="Times New Roman" w:eastAsia="方正仿宋_GBK" w:cs="Times New Roman"/>
                <w:i w:val="0"/>
                <w:color w:val="auto"/>
                <w:sz w:val="21"/>
                <w:szCs w:val="21"/>
                <w:u w:val="none"/>
                <w:lang w:eastAsia="zh-CN"/>
              </w:rPr>
              <w:t>要</w:t>
            </w:r>
            <w:r>
              <w:rPr>
                <w:rFonts w:hint="default" w:ascii="Times New Roman" w:hAnsi="Times New Roman" w:eastAsia="方正仿宋_GBK" w:cs="Times New Roman"/>
                <w:i w:val="0"/>
                <w:color w:val="auto"/>
                <w:sz w:val="21"/>
                <w:szCs w:val="21"/>
                <w:u w:val="none"/>
              </w:rPr>
              <w:t>以农村沼气项目、沼气池维护清掏等为重点，全面开展沼气池安全隐患排查整治，督促指导用户落实安全防范措施。尤其是春节前后，要特别加强警示教育，严格管控，严格禁止在沼气设施周边燃放烟花爆竹。集中开展农村户用沼气和农村大中型沼气工程安全检查，及时排查整治安全隐患。要全覆盖开展一次沼气安全生产的宣传教育，安全告知书必须一户不漏发放到所有农村沼气用户。</w:t>
            </w:r>
          </w:p>
        </w:tc>
        <w:tc>
          <w:tcPr>
            <w:tcW w:w="16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rPr>
            </w:pPr>
            <w:r>
              <w:rPr>
                <w:rFonts w:hint="eastAsia" w:ascii="Times New Roman" w:hAnsi="Times New Roman" w:eastAsia="方正仿宋_GBK" w:cs="Times New Roman"/>
                <w:i w:val="0"/>
                <w:color w:val="auto"/>
                <w:kern w:val="0"/>
                <w:sz w:val="21"/>
                <w:szCs w:val="21"/>
                <w:u w:val="none"/>
                <w:lang w:val="en-US" w:eastAsia="zh-CN" w:bidi="ar"/>
              </w:rPr>
              <w:t>产业培育中心、应急办</w:t>
            </w:r>
          </w:p>
        </w:tc>
        <w:tc>
          <w:tcPr>
            <w:tcW w:w="167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rPr>
            </w:pPr>
            <w:r>
              <w:rPr>
                <w:rFonts w:hint="eastAsia" w:ascii="Times New Roman" w:hAnsi="Times New Roman" w:eastAsia="方正仿宋_GBK" w:cs="Times New Roman"/>
                <w:i w:val="0"/>
                <w:color w:val="auto"/>
                <w:kern w:val="0"/>
                <w:sz w:val="21"/>
                <w:szCs w:val="21"/>
                <w:u w:val="none"/>
                <w:lang w:val="en-US" w:eastAsia="zh-CN" w:bidi="ar"/>
              </w:rPr>
              <w:t>各村、社区</w:t>
            </w:r>
          </w:p>
        </w:tc>
        <w:tc>
          <w:tcPr>
            <w:tcW w:w="90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3" w:hRule="atLeast"/>
        </w:trPr>
        <w:tc>
          <w:tcPr>
            <w:tcW w:w="723"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4</w:t>
            </w:r>
          </w:p>
        </w:tc>
        <w:tc>
          <w:tcPr>
            <w:tcW w:w="139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lang w:eastAsia="zh-CN"/>
              </w:rPr>
            </w:pPr>
            <w:r>
              <w:rPr>
                <w:rFonts w:hint="default" w:ascii="Times New Roman" w:hAnsi="Times New Roman" w:eastAsia="方正仿宋_GBK" w:cs="Times New Roman"/>
                <w:i w:val="0"/>
                <w:color w:val="auto"/>
                <w:sz w:val="21"/>
                <w:szCs w:val="21"/>
                <w:u w:val="none"/>
              </w:rPr>
              <w:t>冬春农业</w:t>
            </w:r>
            <w:r>
              <w:rPr>
                <w:rFonts w:hint="default" w:ascii="Times New Roman" w:hAnsi="Times New Roman" w:eastAsia="方正仿宋_GBK" w:cs="Times New Roman"/>
                <w:i w:val="0"/>
                <w:color w:val="auto"/>
                <w:sz w:val="21"/>
                <w:szCs w:val="21"/>
                <w:u w:val="none"/>
                <w:lang w:eastAsia="zh-CN"/>
              </w:rPr>
              <w:t>自然灾害防治</w:t>
            </w:r>
          </w:p>
        </w:tc>
        <w:tc>
          <w:tcPr>
            <w:tcW w:w="73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color w:val="auto"/>
                <w:sz w:val="21"/>
                <w:szCs w:val="21"/>
                <w:u w:val="none"/>
                <w:lang w:eastAsia="zh-CN"/>
              </w:rPr>
            </w:pPr>
            <w:r>
              <w:rPr>
                <w:rFonts w:hint="default" w:ascii="Times New Roman" w:hAnsi="Times New Roman" w:eastAsia="方正仿宋_GBK" w:cs="Times New Roman"/>
                <w:i w:val="0"/>
                <w:color w:val="auto"/>
                <w:sz w:val="21"/>
                <w:szCs w:val="21"/>
                <w:highlight w:val="none"/>
                <w:u w:val="none"/>
              </w:rPr>
              <w:t>抓紧抓好冬春农业生产，积极防范寒潮冰雪等自然灾害，确保春节期间农产品供给保障</w:t>
            </w:r>
            <w:r>
              <w:rPr>
                <w:rFonts w:hint="default" w:ascii="Times New Roman" w:hAnsi="Times New Roman" w:eastAsia="方正仿宋_GBK" w:cs="Times New Roman"/>
                <w:i w:val="0"/>
                <w:color w:val="auto"/>
                <w:sz w:val="21"/>
                <w:szCs w:val="21"/>
                <w:highlight w:val="none"/>
                <w:u w:val="none"/>
                <w:lang w:eastAsia="zh-CN"/>
              </w:rPr>
              <w:t>。</w:t>
            </w:r>
          </w:p>
        </w:tc>
        <w:tc>
          <w:tcPr>
            <w:tcW w:w="16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农业技术推广服务中心</w:t>
            </w:r>
          </w:p>
        </w:tc>
        <w:tc>
          <w:tcPr>
            <w:tcW w:w="167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rPr>
            </w:pPr>
            <w:r>
              <w:rPr>
                <w:rFonts w:hint="eastAsia" w:ascii="Times New Roman" w:hAnsi="Times New Roman" w:eastAsia="方正仿宋_GBK" w:cs="Times New Roman"/>
                <w:i w:val="0"/>
                <w:color w:val="auto"/>
                <w:kern w:val="0"/>
                <w:sz w:val="21"/>
                <w:szCs w:val="21"/>
                <w:u w:val="none"/>
                <w:lang w:val="en-US" w:eastAsia="zh-CN" w:bidi="ar"/>
              </w:rPr>
              <w:t>各村、社区</w:t>
            </w:r>
          </w:p>
        </w:tc>
        <w:tc>
          <w:tcPr>
            <w:tcW w:w="90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3" w:hRule="atLeast"/>
        </w:trPr>
        <w:tc>
          <w:tcPr>
            <w:tcW w:w="723"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lang w:val="en-US" w:eastAsia="zh-CN"/>
              </w:rPr>
            </w:pPr>
            <w:r>
              <w:rPr>
                <w:rFonts w:hint="default" w:ascii="Times New Roman" w:hAnsi="Times New Roman" w:eastAsia="方正仿宋_GBK" w:cs="Times New Roman"/>
                <w:i w:val="0"/>
                <w:color w:val="auto"/>
                <w:sz w:val="21"/>
                <w:szCs w:val="21"/>
                <w:u w:val="none"/>
                <w:lang w:val="en-US" w:eastAsia="zh-CN"/>
              </w:rPr>
              <w:t>5</w:t>
            </w:r>
          </w:p>
        </w:tc>
        <w:tc>
          <w:tcPr>
            <w:tcW w:w="139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sz w:val="21"/>
                <w:szCs w:val="21"/>
                <w:u w:val="none"/>
              </w:rPr>
              <w:t>农业企业</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sz w:val="21"/>
                <w:szCs w:val="21"/>
                <w:u w:val="none"/>
              </w:rPr>
              <w:t>安全</w:t>
            </w:r>
            <w:r>
              <w:rPr>
                <w:rFonts w:hint="default" w:ascii="Times New Roman" w:hAnsi="Times New Roman" w:eastAsia="方正仿宋_GBK" w:cs="Times New Roman"/>
                <w:i w:val="0"/>
                <w:color w:val="auto"/>
                <w:kern w:val="0"/>
                <w:sz w:val="21"/>
                <w:szCs w:val="21"/>
                <w:u w:val="none"/>
                <w:lang w:val="en-US" w:eastAsia="zh-CN" w:bidi="ar"/>
              </w:rPr>
              <w:t>监管</w:t>
            </w:r>
          </w:p>
        </w:tc>
        <w:tc>
          <w:tcPr>
            <w:tcW w:w="73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sz w:val="21"/>
                <w:szCs w:val="21"/>
                <w:u w:val="none"/>
              </w:rPr>
              <w:t>要严格落实“三管三必须”要求，深入开展安全风险隐患大排查大整治。积极指导各镇（街道）抓好各农业生产企业的安全检查，严防农业生产企业的生产经营安全。</w:t>
            </w:r>
          </w:p>
        </w:tc>
        <w:tc>
          <w:tcPr>
            <w:tcW w:w="16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eastAsia" w:ascii="Times New Roman" w:hAnsi="Times New Roman" w:eastAsia="方正仿宋_GBK" w:cs="Times New Roman"/>
                <w:i w:val="0"/>
                <w:color w:val="auto"/>
                <w:sz w:val="21"/>
                <w:szCs w:val="21"/>
                <w:u w:val="none"/>
                <w:lang w:val="en-US" w:eastAsia="zh-CN"/>
              </w:rPr>
              <w:t>产业培育中心、经发办、应急办</w:t>
            </w:r>
          </w:p>
        </w:tc>
        <w:tc>
          <w:tcPr>
            <w:tcW w:w="167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eastAsia" w:ascii="Times New Roman" w:hAnsi="Times New Roman" w:eastAsia="方正仿宋_GBK" w:cs="Times New Roman"/>
                <w:i w:val="0"/>
                <w:color w:val="auto"/>
                <w:kern w:val="0"/>
                <w:sz w:val="21"/>
                <w:szCs w:val="21"/>
                <w:u w:val="none"/>
                <w:lang w:val="en-US" w:eastAsia="zh-CN" w:bidi="ar"/>
              </w:rPr>
              <w:t>各村、社区</w:t>
            </w:r>
          </w:p>
        </w:tc>
        <w:tc>
          <w:tcPr>
            <w:tcW w:w="90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723"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6</w:t>
            </w:r>
          </w:p>
        </w:tc>
        <w:tc>
          <w:tcPr>
            <w:tcW w:w="139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default" w:ascii="Times New Roman" w:hAnsi="Times New Roman" w:eastAsia="方正仿宋_GBK" w:cs="Times New Roman"/>
                <w:i w:val="0"/>
                <w:color w:val="auto"/>
                <w:kern w:val="0"/>
                <w:sz w:val="21"/>
                <w:szCs w:val="21"/>
                <w:u w:val="none"/>
                <w:lang w:val="en-US" w:eastAsia="zh-CN" w:bidi="ar"/>
              </w:rPr>
              <w:t>渔政船艇</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安全监管</w:t>
            </w:r>
          </w:p>
        </w:tc>
        <w:tc>
          <w:tcPr>
            <w:tcW w:w="73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sz w:val="21"/>
                <w:szCs w:val="21"/>
                <w:u w:val="none"/>
              </w:rPr>
              <w:t>严格执行渔政船艇管理使用规定，配齐配全船舶安全、消防和环保设施设备，配备职务船员，确保执行出航任务期间自身安全。同时，针对渔业生产单位池埂、堤坝、进排水渠道、供电设施安全管理等情况加强安全生产管理。</w:t>
            </w:r>
          </w:p>
        </w:tc>
        <w:tc>
          <w:tcPr>
            <w:tcW w:w="16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rPr>
            </w:pPr>
            <w:r>
              <w:rPr>
                <w:rFonts w:hint="eastAsia" w:ascii="Times New Roman" w:hAnsi="Times New Roman" w:eastAsia="方正仿宋_GBK" w:cs="Times New Roman"/>
                <w:i w:val="0"/>
                <w:color w:val="auto"/>
                <w:sz w:val="21"/>
                <w:szCs w:val="21"/>
                <w:u w:val="none"/>
                <w:lang w:val="en-US" w:eastAsia="zh-CN"/>
              </w:rPr>
              <w:t>产业培育中心、应急办</w:t>
            </w:r>
          </w:p>
        </w:tc>
        <w:tc>
          <w:tcPr>
            <w:tcW w:w="167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rPr>
            </w:pPr>
            <w:r>
              <w:rPr>
                <w:rFonts w:hint="eastAsia" w:ascii="Times New Roman" w:hAnsi="Times New Roman" w:eastAsia="方正仿宋_GBK" w:cs="Times New Roman"/>
                <w:i w:val="0"/>
                <w:color w:val="auto"/>
                <w:kern w:val="0"/>
                <w:sz w:val="21"/>
                <w:szCs w:val="21"/>
                <w:u w:val="none"/>
                <w:lang w:val="en-US" w:eastAsia="zh-CN" w:bidi="ar"/>
              </w:rPr>
              <w:t>各村、社区</w:t>
            </w:r>
          </w:p>
        </w:tc>
        <w:tc>
          <w:tcPr>
            <w:tcW w:w="90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723"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default" w:ascii="Times New Roman" w:hAnsi="Times New Roman" w:eastAsia="方正仿宋_GBK" w:cs="Times New Roman"/>
                <w:i w:val="0"/>
                <w:color w:val="auto"/>
                <w:kern w:val="0"/>
                <w:sz w:val="21"/>
                <w:szCs w:val="21"/>
                <w:u w:val="none"/>
                <w:lang w:val="en-US" w:eastAsia="zh-CN" w:bidi="ar"/>
              </w:rPr>
              <w:t>7</w:t>
            </w:r>
          </w:p>
        </w:tc>
        <w:tc>
          <w:tcPr>
            <w:tcW w:w="139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default" w:ascii="Times New Roman" w:hAnsi="Times New Roman" w:eastAsia="方正仿宋_GBK" w:cs="Times New Roman"/>
                <w:i w:val="0"/>
                <w:color w:val="auto"/>
                <w:kern w:val="0"/>
                <w:sz w:val="21"/>
                <w:szCs w:val="21"/>
                <w:u w:val="none"/>
                <w:lang w:val="en-US" w:eastAsia="zh-CN" w:bidi="ar"/>
              </w:rPr>
              <w:t>渔业生产单位安全监管</w:t>
            </w:r>
          </w:p>
        </w:tc>
        <w:tc>
          <w:tcPr>
            <w:tcW w:w="73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sz w:val="21"/>
                <w:szCs w:val="21"/>
                <w:u w:val="none"/>
              </w:rPr>
              <w:t>针对渔业生产单位池埂、堤坝、进排水渠道、供电设施安全管理等情况加强安全生产管理。</w:t>
            </w:r>
          </w:p>
        </w:tc>
        <w:tc>
          <w:tcPr>
            <w:tcW w:w="16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eastAsia" w:ascii="Times New Roman" w:hAnsi="Times New Roman" w:eastAsia="方正仿宋_GBK" w:cs="Times New Roman"/>
                <w:i w:val="0"/>
                <w:color w:val="auto"/>
                <w:sz w:val="21"/>
                <w:szCs w:val="21"/>
                <w:u w:val="none"/>
                <w:lang w:val="en-US" w:eastAsia="zh-CN"/>
              </w:rPr>
              <w:t>产业培育中心、应急办</w:t>
            </w:r>
          </w:p>
        </w:tc>
        <w:tc>
          <w:tcPr>
            <w:tcW w:w="167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eastAsia" w:ascii="Times New Roman" w:hAnsi="Times New Roman" w:eastAsia="方正仿宋_GBK" w:cs="Times New Roman"/>
                <w:i w:val="0"/>
                <w:color w:val="auto"/>
                <w:kern w:val="0"/>
                <w:sz w:val="21"/>
                <w:szCs w:val="21"/>
                <w:u w:val="none"/>
                <w:lang w:val="en-US" w:eastAsia="zh-CN" w:bidi="ar"/>
              </w:rPr>
              <w:t>各村、社区</w:t>
            </w:r>
          </w:p>
        </w:tc>
        <w:tc>
          <w:tcPr>
            <w:tcW w:w="90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trPr>
        <w:tc>
          <w:tcPr>
            <w:tcW w:w="723"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rPr>
            </w:pPr>
            <w:r>
              <w:rPr>
                <w:rFonts w:hint="eastAsia" w:ascii="Times New Roman" w:hAnsi="Times New Roman" w:eastAsia="方正仿宋_GBK" w:cs="Times New Roman"/>
                <w:i w:val="0"/>
                <w:color w:val="auto"/>
                <w:kern w:val="0"/>
                <w:sz w:val="21"/>
                <w:szCs w:val="21"/>
                <w:u w:val="none"/>
                <w:lang w:val="en-US" w:eastAsia="zh-CN" w:bidi="ar"/>
              </w:rPr>
              <w:t>8</w:t>
            </w:r>
          </w:p>
        </w:tc>
        <w:tc>
          <w:tcPr>
            <w:tcW w:w="139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农田建设项目建设安全监管</w:t>
            </w:r>
          </w:p>
        </w:tc>
        <w:tc>
          <w:tcPr>
            <w:tcW w:w="73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highlight w:val="none"/>
                <w:u w:val="none"/>
                <w:lang w:val="en-US" w:eastAsia="zh-CN" w:bidi="ar"/>
              </w:rPr>
              <w:t>督促项目业主和施工单位落实安全生产责任，配合各镇街对项目建设施工过程中的道路安全隐患开展一次排查治理，对不能通行车辆的生产便道，要采取物理隔离，禁止车辆通行。确保不发生亡人安全事故。</w:t>
            </w:r>
          </w:p>
        </w:tc>
        <w:tc>
          <w:tcPr>
            <w:tcW w:w="16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lang w:val="en-US"/>
              </w:rPr>
            </w:pPr>
            <w:r>
              <w:rPr>
                <w:rFonts w:hint="eastAsia" w:ascii="Times New Roman" w:hAnsi="Times New Roman" w:eastAsia="方正仿宋_GBK" w:cs="Times New Roman"/>
                <w:i w:val="0"/>
                <w:color w:val="auto"/>
                <w:kern w:val="0"/>
                <w:sz w:val="21"/>
                <w:szCs w:val="21"/>
                <w:u w:val="none"/>
                <w:lang w:val="en-US" w:eastAsia="zh-CN" w:bidi="ar"/>
              </w:rPr>
              <w:t>产业培育中心、建管办</w:t>
            </w:r>
          </w:p>
        </w:tc>
        <w:tc>
          <w:tcPr>
            <w:tcW w:w="167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lang w:eastAsia="zh-CN"/>
              </w:rPr>
            </w:pPr>
            <w:r>
              <w:rPr>
                <w:rFonts w:hint="eastAsia" w:ascii="Times New Roman" w:hAnsi="Times New Roman" w:eastAsia="方正仿宋_GBK" w:cs="Times New Roman"/>
                <w:i w:val="0"/>
                <w:color w:val="auto"/>
                <w:kern w:val="0"/>
                <w:sz w:val="21"/>
                <w:szCs w:val="21"/>
                <w:u w:val="none"/>
                <w:lang w:val="en-US" w:eastAsia="zh-CN" w:bidi="ar"/>
              </w:rPr>
              <w:t>各村、社区</w:t>
            </w:r>
          </w:p>
        </w:tc>
        <w:tc>
          <w:tcPr>
            <w:tcW w:w="90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trPr>
        <w:tc>
          <w:tcPr>
            <w:tcW w:w="723"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eastAsia" w:ascii="Times New Roman" w:hAnsi="Times New Roman" w:eastAsia="方正仿宋_GBK" w:cs="Times New Roman"/>
                <w:i w:val="0"/>
                <w:color w:val="auto"/>
                <w:kern w:val="0"/>
                <w:sz w:val="21"/>
                <w:szCs w:val="21"/>
                <w:u w:val="none"/>
                <w:lang w:val="en-US" w:eastAsia="zh-CN" w:bidi="ar"/>
              </w:rPr>
              <w:t>9</w:t>
            </w:r>
          </w:p>
        </w:tc>
        <w:tc>
          <w:tcPr>
            <w:tcW w:w="139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default" w:ascii="Times New Roman" w:hAnsi="Times New Roman" w:eastAsia="方正仿宋_GBK" w:cs="Times New Roman"/>
                <w:i w:val="0"/>
                <w:color w:val="auto"/>
                <w:kern w:val="0"/>
                <w:sz w:val="21"/>
                <w:szCs w:val="21"/>
                <w:u w:val="none"/>
                <w:lang w:val="en-US" w:eastAsia="zh-CN" w:bidi="ar"/>
              </w:rPr>
              <w:t>安全监管</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default" w:ascii="Times New Roman" w:hAnsi="Times New Roman" w:eastAsia="方正仿宋_GBK" w:cs="Times New Roman"/>
                <w:i w:val="0"/>
                <w:color w:val="auto"/>
                <w:kern w:val="0"/>
                <w:sz w:val="21"/>
                <w:szCs w:val="21"/>
                <w:u w:val="none"/>
                <w:lang w:val="en-US" w:eastAsia="zh-CN" w:bidi="ar"/>
              </w:rPr>
              <w:t>执法</w:t>
            </w:r>
          </w:p>
        </w:tc>
        <w:tc>
          <w:tcPr>
            <w:tcW w:w="733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default" w:ascii="Times New Roman" w:hAnsi="Times New Roman" w:eastAsia="方正仿宋_GBK" w:cs="Times New Roman"/>
                <w:i w:val="0"/>
                <w:color w:val="auto"/>
                <w:kern w:val="0"/>
                <w:sz w:val="21"/>
                <w:szCs w:val="21"/>
                <w:u w:val="none"/>
                <w:lang w:val="en-US" w:eastAsia="zh-CN" w:bidi="ar"/>
              </w:rPr>
              <w:t>要严格落实安全生产行政执法要求，对安全检查发现的违法违规行为依法严处；对屡查屡犯、拒不整改的，要坚决予以曝光；对情节特别严重，需要司法机关联动的，做好与司法机关的协调，联合开展处置。</w:t>
            </w:r>
          </w:p>
        </w:tc>
        <w:tc>
          <w:tcPr>
            <w:tcW w:w="16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kern w:val="0"/>
                <w:sz w:val="21"/>
                <w:szCs w:val="21"/>
                <w:u w:val="none"/>
                <w:lang w:val="en-US" w:eastAsia="zh-CN" w:bidi="ar"/>
              </w:rPr>
            </w:pPr>
            <w:r>
              <w:rPr>
                <w:rFonts w:hint="eastAsia" w:ascii="Times New Roman" w:hAnsi="Times New Roman" w:eastAsia="方正仿宋_GBK" w:cs="Times New Roman"/>
                <w:i w:val="0"/>
                <w:color w:val="auto"/>
                <w:kern w:val="0"/>
                <w:sz w:val="21"/>
                <w:szCs w:val="21"/>
                <w:u w:val="none"/>
                <w:lang w:val="en-US" w:eastAsia="zh-CN" w:bidi="ar"/>
              </w:rPr>
              <w:t>涉及执法相关办所</w:t>
            </w:r>
          </w:p>
        </w:tc>
        <w:tc>
          <w:tcPr>
            <w:tcW w:w="167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color w:val="auto"/>
                <w:kern w:val="0"/>
                <w:sz w:val="21"/>
                <w:szCs w:val="21"/>
                <w:u w:val="none"/>
                <w:lang w:val="en-US" w:eastAsia="zh-CN" w:bidi="ar"/>
              </w:rPr>
            </w:pPr>
            <w:r>
              <w:rPr>
                <w:rFonts w:hint="eastAsia" w:ascii="Times New Roman" w:hAnsi="Times New Roman" w:eastAsia="方正仿宋_GBK" w:cs="Times New Roman"/>
                <w:i w:val="0"/>
                <w:color w:val="auto"/>
                <w:kern w:val="0"/>
                <w:sz w:val="21"/>
                <w:szCs w:val="21"/>
                <w:u w:val="none"/>
                <w:lang w:val="en-US" w:eastAsia="zh-CN" w:bidi="ar"/>
              </w:rPr>
              <w:t>各村、社区</w:t>
            </w:r>
          </w:p>
        </w:tc>
        <w:tc>
          <w:tcPr>
            <w:tcW w:w="90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color w:val="auto"/>
                <w:sz w:val="21"/>
                <w:szCs w:val="21"/>
                <w:u w:val="none"/>
              </w:rPr>
            </w:pPr>
          </w:p>
        </w:tc>
      </w:tr>
    </w:tbl>
    <w:p>
      <w:pPr>
        <w:widowControl w:val="0"/>
        <w:spacing w:line="594" w:lineRule="exact"/>
        <w:ind w:left="0" w:leftChars="0" w:firstLine="0" w:firstLineChars="0"/>
        <w:jc w:val="both"/>
        <w:rPr>
          <w:rFonts w:hint="default" w:ascii="Calibri" w:hAnsi="Calibri" w:eastAsia="方正仿宋_GBK" w:cs="宋体"/>
          <w:kern w:val="2"/>
          <w:sz w:val="32"/>
          <w:szCs w:val="24"/>
          <w:lang w:val="en-US" w:eastAsia="zh-CN" w:bidi="ar-SA"/>
        </w:rPr>
      </w:pPr>
    </w:p>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C54BD"/>
    <w:rsid w:val="67CC5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缩进）"/>
    <w:basedOn w:val="1"/>
    <w:next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2024-03-04T06:55:00Z</dcterms:created>
  <dc:creator>Administrator</dc:creator>
  <cp:lastModifiedBy>Administrator</cp:lastModifiedBy>
  <dcterms:modified xsi:type="dcterms:W3CDTF">2024-03-04T06:56:57Z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BCCE41506A534403BFB4A20077EE28C6</vt:lpwstr>
  </property>
</Properties>
</file>