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ind w:firstLine="720" w:firstLineChars="200"/>
        <w:jc w:val="center"/>
        <w:rPr>
          <w:rFonts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重庆市铜梁区南城街道办事处</w:t>
      </w:r>
    </w:p>
    <w:p>
      <w:pPr>
        <w:pStyle w:val="5"/>
        <w:spacing w:before="0" w:beforeAutospacing="0"/>
        <w:ind w:firstLine="880" w:firstLineChars="200"/>
        <w:jc w:val="center"/>
        <w:rPr>
          <w:rFonts w:ascii="方正小标宋_GBK" w:hAnsi="方正小标宋_GBK" w:eastAsia="方正小标宋_GBK" w:cs="方正小标宋_GBK"/>
          <w:sz w:val="36"/>
          <w:szCs w:val="36"/>
          <w:shd w:val="clear" w:color="auto" w:fill="FFFFFF"/>
        </w:rPr>
      </w:pPr>
      <w:r>
        <w:rPr>
          <w:rFonts w:ascii="Times New Roman" w:hAnsi="Times New Roman" w:eastAsia="方正小标宋_GBK" w:cs="方正小标宋_GBK"/>
          <w:sz w:val="44"/>
          <w:szCs w:val="44"/>
          <w:shd w:val="clear" w:color="auto" w:fill="FFFFFF"/>
        </w:rPr>
        <w:t>2023</w:t>
      </w:r>
      <w:r>
        <w:rPr>
          <w:rFonts w:ascii="方正小标宋_GBK" w:hAnsi="方正小标宋_GBK" w:eastAsia="方正小标宋_GBK" w:cs="方正小标宋_GBK"/>
          <w:sz w:val="36"/>
          <w:szCs w:val="36"/>
          <w:shd w:val="clear" w:color="auto" w:fill="FFFFFF"/>
        </w:rPr>
        <w:t>年度决算公开说明</w:t>
      </w:r>
    </w:p>
    <w:p>
      <w:pPr>
        <w:pStyle w:val="5"/>
        <w:shd w:val="clear" w:color="auto" w:fill="FFFFFF"/>
        <w:ind w:firstLine="640" w:firstLineChars="200"/>
        <w:rPr>
          <w:rFonts w:ascii="方正黑体_GBK" w:hAnsi="黑体" w:eastAsia="方正黑体_GBK" w:cs="黑体"/>
          <w:sz w:val="32"/>
          <w:szCs w:val="32"/>
        </w:rPr>
      </w:pPr>
      <w:r>
        <w:rPr>
          <w:rStyle w:val="7"/>
          <w:rFonts w:hint="eastAsia" w:ascii="方正黑体_GBK" w:hAnsi="黑体" w:eastAsia="方正黑体_GBK" w:cs="黑体"/>
          <w:b w:val="0"/>
          <w:sz w:val="32"/>
          <w:szCs w:val="32"/>
          <w:shd w:val="clear" w:color="auto" w:fill="FFFFFF"/>
        </w:rPr>
        <w:t>一、部门基本情况</w:t>
      </w:r>
    </w:p>
    <w:p>
      <w:pPr>
        <w:pStyle w:val="5"/>
        <w:shd w:val="clear" w:color="auto" w:fill="FFFFFF"/>
        <w:ind w:left="319" w:leftChars="152" w:firstLine="640" w:firstLineChars="200"/>
        <w:rPr>
          <w:rStyle w:val="7"/>
          <w:rFonts w:ascii="方正楷体_GBK" w:hAnsi="楷体" w:eastAsia="方正楷体_GBK" w:cs="楷体"/>
          <w:b w:val="0"/>
          <w:sz w:val="32"/>
          <w:szCs w:val="32"/>
          <w:shd w:val="clear" w:color="auto" w:fill="FFFFFF"/>
        </w:rPr>
      </w:pPr>
      <w:r>
        <w:rPr>
          <w:rStyle w:val="7"/>
          <w:rFonts w:hint="eastAsia" w:ascii="方正楷体_GBK" w:hAnsi="楷体" w:eastAsia="方正楷体_GBK" w:cs="楷体"/>
          <w:b w:val="0"/>
          <w:sz w:val="32"/>
          <w:szCs w:val="32"/>
          <w:shd w:val="clear" w:color="auto" w:fill="FFFFFF"/>
        </w:rPr>
        <w:t>（一）职能职责</w:t>
      </w:r>
    </w:p>
    <w:p>
      <w:pPr>
        <w:pStyle w:val="5"/>
        <w:shd w:val="clear" w:color="auto" w:fill="FFFFFF"/>
        <w:ind w:firstLine="640" w:firstLineChars="200"/>
        <w:rPr>
          <w:rStyle w:val="7"/>
          <w:rFonts w:ascii="楷体" w:hAnsi="楷体" w:eastAsia="楷体" w:cs="楷体"/>
          <w:b w:val="0"/>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在区委、区政府的领导下，贯彻执行党和国家各项方针、政策、法律、法规；负责辖区内的地区性、群众性、公益性、社会性工作；负责精神文明建设工作，积极组织以提高市民素质为目的的活动，树立文明新风；做好辖区范围内的城市建设和管理、市容环境卫生、园林绿化、环境保护、市政、规划、房地产等监督、管理、服务工作；负责辖区内的稳定工作及社会治安综合治理工作，依照有关政策规定做好出租屋和外来人口的管理工作；负责民事调解，法律服务工作，维护居民的合法权益，负责社区建设和管理，指导开展社区服务工作，大力兴办社会福利事业，发动和组织社区成员开展各类社区公益活动；负责民兵、兵役、拥军优属、优抚安置、社会救济、社会福利、社区文化、科普、体育、教育、旅游工作；发展街道和村集体经济，管理街道国有资产和集体资产，为街道、行政村经济组织提供人才、科技、信息和其他服务，以经济、法律和必要的行政手段推动街道、村级经济发展和维护市场秩序；负责计划生育、劳动就业、安全生产监督、初级卫生保健、侨务、调解等工作；指导和帮助居（村）民委员会搞好组织建设和制度建设，发挥村（居）民委员会的群众自治作用；配合有关部门做好防汛、防风、防火、防震、抢险和救灾工作。向区人民政府反映群众的意见和要求，办理人民群众的来信来访事项，承办区政府交办的其他工作。</w:t>
      </w:r>
    </w:p>
    <w:p>
      <w:pPr>
        <w:pStyle w:val="5"/>
        <w:shd w:val="clear" w:color="auto" w:fill="FFFFFF"/>
        <w:ind w:firstLine="640" w:firstLineChars="200"/>
        <w:rPr>
          <w:rStyle w:val="7"/>
          <w:rFonts w:ascii="方正楷体_GBK" w:hAnsi="楷体" w:eastAsia="方正楷体_GBK" w:cs="楷体"/>
          <w:b w:val="0"/>
          <w:sz w:val="32"/>
          <w:szCs w:val="32"/>
          <w:shd w:val="clear" w:color="auto" w:fill="FFFFFF"/>
        </w:rPr>
      </w:pPr>
      <w:r>
        <w:rPr>
          <w:rStyle w:val="7"/>
          <w:rFonts w:hint="eastAsia" w:ascii="方正楷体_GBK" w:hAnsi="楷体" w:eastAsia="方正楷体_GBK" w:cs="楷体"/>
          <w:b w:val="0"/>
          <w:sz w:val="32"/>
          <w:szCs w:val="32"/>
          <w:shd w:val="clear" w:color="auto" w:fill="FFFFFF"/>
        </w:rPr>
        <w:t>（二）</w:t>
      </w:r>
      <w:r>
        <w:rPr>
          <w:rStyle w:val="7"/>
          <w:rFonts w:ascii="方正楷体_GBK" w:hAnsi="楷体" w:eastAsia="方正楷体_GBK" w:cs="楷体"/>
          <w:b w:val="0"/>
          <w:sz w:val="32"/>
          <w:szCs w:val="32"/>
          <w:shd w:val="clear" w:color="auto" w:fill="FFFFFF"/>
        </w:rPr>
        <w:t>机构设置</w:t>
      </w:r>
    </w:p>
    <w:p>
      <w:pPr>
        <w:pStyle w:val="5"/>
        <w:widowControl/>
        <w:shd w:val="clear" w:color="auto" w:fill="FFFFFF"/>
        <w:spacing w:before="225" w:beforeAutospacing="0" w:after="225" w:afterAutospacing="0" w:line="555" w:lineRule="atLeast"/>
        <w:ind w:firstLine="645"/>
        <w:rPr>
          <w:rStyle w:val="7"/>
          <w:rFonts w:ascii="楷体" w:hAnsi="楷体" w:eastAsia="楷体" w:cs="楷体"/>
          <w:b w:val="0"/>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南城街道共有机构</w:t>
      </w:r>
      <w:r>
        <w:rPr>
          <w:rFonts w:ascii="Times New Roman" w:hAnsi="Times New Roman" w:eastAsia="方正仿宋_GBK" w:cs="Times New Roman"/>
          <w:color w:val="333333"/>
          <w:sz w:val="32"/>
          <w:szCs w:val="32"/>
          <w:shd w:val="clear" w:color="auto" w:fill="FFFFFF"/>
        </w:rPr>
        <w:t>9</w:t>
      </w:r>
      <w:r>
        <w:rPr>
          <w:rFonts w:hint="eastAsia" w:ascii="方正仿宋_GBK" w:hAnsi="方正仿宋_GBK" w:eastAsia="方正仿宋_GBK" w:cs="方正仿宋_GBK"/>
          <w:color w:val="333333"/>
          <w:sz w:val="32"/>
          <w:szCs w:val="32"/>
          <w:shd w:val="clear" w:color="auto" w:fill="FFFFFF"/>
        </w:rPr>
        <w:t>个，其中</w:t>
      </w:r>
      <w:r>
        <w:rPr>
          <w:rFonts w:hint="eastAsia" w:ascii="方正仿宋_GBK" w:hAnsi="方正仿宋_GBK" w:eastAsia="方正仿宋_GBK" w:cs="方正仿宋_GBK"/>
          <w:color w:val="333333"/>
          <w:sz w:val="32"/>
          <w:szCs w:val="32"/>
          <w:shd w:val="clear" w:color="auto" w:fill="FFFFFF"/>
          <w:lang w:val="en-US" w:eastAsia="zh-CN"/>
        </w:rPr>
        <w:t>中</w:t>
      </w:r>
      <w:r>
        <w:rPr>
          <w:rFonts w:hint="eastAsia" w:ascii="方正仿宋_GBK" w:hAnsi="方正仿宋_GBK" w:eastAsia="方正仿宋_GBK" w:cs="方正仿宋_GBK"/>
          <w:color w:val="333333"/>
          <w:sz w:val="32"/>
          <w:szCs w:val="32"/>
          <w:shd w:val="clear" w:color="auto" w:fill="FFFFFF"/>
        </w:rPr>
        <w:t>国共产党机关</w:t>
      </w:r>
      <w:r>
        <w:rPr>
          <w:rFonts w:ascii="Times New Roman" w:hAnsi="Times New Roman" w:eastAsia="方正仿宋_GBK" w:cs="Times New Roman"/>
          <w:color w:val="333333"/>
          <w:sz w:val="32"/>
          <w:szCs w:val="32"/>
          <w:shd w:val="clear" w:color="auto" w:fill="FFFFFF"/>
        </w:rPr>
        <w:t>1</w:t>
      </w:r>
      <w:r>
        <w:rPr>
          <w:rFonts w:hint="eastAsia" w:ascii="方正仿宋_GBK" w:hAnsi="方正仿宋_GBK" w:eastAsia="方正仿宋_GBK" w:cs="方正仿宋_GBK"/>
          <w:color w:val="333333"/>
          <w:sz w:val="32"/>
          <w:szCs w:val="32"/>
          <w:shd w:val="clear" w:color="auto" w:fill="FFFFFF"/>
        </w:rPr>
        <w:t>个，政府机关</w:t>
      </w:r>
      <w:r>
        <w:rPr>
          <w:rFonts w:ascii="Times New Roman" w:hAnsi="Times New Roman" w:eastAsia="方正仿宋_GBK" w:cs="Times New Roman"/>
          <w:color w:val="333333"/>
          <w:sz w:val="32"/>
          <w:szCs w:val="32"/>
          <w:shd w:val="clear" w:color="auto" w:fill="FFFFFF"/>
        </w:rPr>
        <w:t>1</w:t>
      </w:r>
      <w:r>
        <w:rPr>
          <w:rFonts w:hint="eastAsia" w:ascii="方正仿宋_GBK" w:hAnsi="方正仿宋_GBK" w:eastAsia="方正仿宋_GBK" w:cs="方正仿宋_GBK"/>
          <w:color w:val="333333"/>
          <w:sz w:val="32"/>
          <w:szCs w:val="32"/>
          <w:shd w:val="clear" w:color="auto" w:fill="FFFFFF"/>
        </w:rPr>
        <w:t>个，事业单位有产业培育中心、社区文化服务中心、劳动和社会保障服务所、退役军人事务站、综合行政执法大队、社区事务服务中心、城市提升服务中心共</w:t>
      </w:r>
      <w:r>
        <w:rPr>
          <w:rFonts w:ascii="Times New Roman" w:hAnsi="Times New Roman" w:eastAsia="方正仿宋_GBK" w:cs="Times New Roman"/>
          <w:color w:val="333333"/>
          <w:sz w:val="32"/>
          <w:szCs w:val="32"/>
          <w:shd w:val="clear" w:color="auto" w:fill="FFFFFF"/>
        </w:rPr>
        <w:t>7</w:t>
      </w:r>
      <w:r>
        <w:rPr>
          <w:rFonts w:hint="eastAsia" w:ascii="方正仿宋_GBK" w:hAnsi="方正仿宋_GBK" w:eastAsia="方正仿宋_GBK" w:cs="方正仿宋_GBK"/>
          <w:color w:val="333333"/>
          <w:sz w:val="32"/>
          <w:szCs w:val="32"/>
          <w:shd w:val="clear" w:color="auto" w:fill="FFFFFF"/>
        </w:rPr>
        <w:t>个。</w:t>
      </w:r>
    </w:p>
    <w:p>
      <w:pPr>
        <w:pStyle w:val="5"/>
        <w:shd w:val="clear" w:color="auto" w:fill="FFFFFF"/>
        <w:ind w:firstLine="640" w:firstLineChars="200"/>
        <w:rPr>
          <w:rStyle w:val="7"/>
          <w:rFonts w:ascii="方正黑体_GBK" w:hAnsi="黑体" w:eastAsia="方正黑体_GBK" w:cs="黑体"/>
          <w:b w:val="0"/>
          <w:sz w:val="32"/>
          <w:szCs w:val="32"/>
          <w:shd w:val="clear" w:color="auto" w:fill="FFFFFF"/>
        </w:rPr>
      </w:pPr>
      <w:r>
        <w:rPr>
          <w:rStyle w:val="7"/>
          <w:rFonts w:hint="eastAsia" w:ascii="方正黑体_GBK" w:hAnsi="黑体" w:eastAsia="方正黑体_GBK" w:cs="黑体"/>
          <w:b w:val="0"/>
          <w:sz w:val="32"/>
          <w:szCs w:val="32"/>
          <w:shd w:val="clear" w:color="auto" w:fill="FFFFFF"/>
        </w:rPr>
        <w:t>二、部门决算情况说明</w:t>
      </w:r>
    </w:p>
    <w:p>
      <w:pPr>
        <w:pStyle w:val="5"/>
        <w:shd w:val="clear" w:color="auto" w:fill="FFFFFF"/>
        <w:ind w:left="319" w:leftChars="152" w:firstLine="640" w:firstLineChars="200"/>
        <w:rPr>
          <w:rFonts w:ascii="楷体" w:hAnsi="楷体" w:eastAsia="楷体" w:cs="楷体"/>
          <w:bCs/>
          <w:sz w:val="32"/>
          <w:szCs w:val="32"/>
          <w:shd w:val="clear" w:color="auto" w:fill="FFFFFF"/>
        </w:rPr>
      </w:pPr>
      <w:r>
        <w:rPr>
          <w:rStyle w:val="7"/>
          <w:rFonts w:hint="eastAsia" w:ascii="方正楷体_GBK" w:eastAsia="方正楷体_GBK"/>
          <w:b w:val="0"/>
          <w:sz w:val="32"/>
          <w:szCs w:val="32"/>
        </w:rPr>
        <w:t>（一）收入支出决算总体情况说明</w:t>
      </w:r>
    </w:p>
    <w:p>
      <w:pPr>
        <w:pStyle w:val="5"/>
        <w:shd w:val="clear" w:color="auto" w:fill="FFFFFF"/>
        <w:ind w:firstLine="640" w:firstLineChars="200"/>
        <w:rPr>
          <w:rFonts w:ascii="方正仿宋_GBK" w:hAnsi="方正仿宋_GBK" w:eastAsia="方正仿宋_GBK" w:cs="方正仿宋_GBK"/>
          <w:sz w:val="32"/>
          <w:szCs w:val="32"/>
        </w:rPr>
      </w:pPr>
      <w:r>
        <w:rPr>
          <w:rStyle w:val="7"/>
          <w:rFonts w:ascii="Times New Roman" w:hAnsi="Times New Roman" w:eastAsia="方正仿宋_GBK" w:cs="方正仿宋_GBK"/>
          <w:b w:val="0"/>
          <w:sz w:val="32"/>
          <w:szCs w:val="32"/>
          <w:shd w:val="clear" w:color="auto" w:fill="FFFFFF"/>
        </w:rPr>
        <w:t>1</w:t>
      </w:r>
      <w:r>
        <w:rPr>
          <w:rStyle w:val="7"/>
          <w:rFonts w:ascii="方正仿宋_GBK" w:hAnsi="方正仿宋_GBK" w:eastAsia="方正仿宋_GBK" w:cs="方正仿宋_GBK"/>
          <w:b w:val="0"/>
          <w:sz w:val="32"/>
          <w:szCs w:val="32"/>
          <w:shd w:val="clear" w:color="auto" w:fill="FFFFFF"/>
        </w:rPr>
        <w:t>.总体情况。</w:t>
      </w:r>
      <w:r>
        <w:rPr>
          <w:rFonts w:ascii="Times New Roman" w:hAnsi="Times New Roman" w:eastAsia="方正仿宋_GBK" w:cs="Times New Roman"/>
          <w:color w:val="333333"/>
          <w:sz w:val="32"/>
          <w:szCs w:val="32"/>
          <w:shd w:val="clear" w:color="auto" w:fill="FFFFFF"/>
        </w:rPr>
        <w:t>2023</w:t>
      </w:r>
      <w:r>
        <w:rPr>
          <w:rFonts w:ascii="方正仿宋_GBK" w:hAnsi="方正仿宋_GBK" w:eastAsia="方正仿宋_GBK" w:cs="方正仿宋_GBK"/>
          <w:sz w:val="32"/>
          <w:szCs w:val="32"/>
          <w:shd w:val="clear" w:color="auto" w:fill="FFFFFF"/>
        </w:rPr>
        <w:t>年度收入总计</w:t>
      </w:r>
      <w:r>
        <w:rPr>
          <w:rFonts w:ascii="Times New Roman" w:hAnsi="Times New Roman" w:eastAsia="方正仿宋_GBK" w:cs="Times New Roman"/>
          <w:color w:val="333333"/>
          <w:sz w:val="32"/>
          <w:szCs w:val="32"/>
          <w:shd w:val="clear" w:color="auto" w:fill="FFFFFF"/>
        </w:rPr>
        <w:t>6413.26</w:t>
      </w:r>
      <w:r>
        <w:rPr>
          <w:rFonts w:ascii="方正仿宋_GBK" w:hAnsi="方正仿宋_GBK" w:eastAsia="方正仿宋_GBK" w:cs="方正仿宋_GBK"/>
          <w:sz w:val="32"/>
          <w:szCs w:val="32"/>
          <w:shd w:val="clear" w:color="auto" w:fill="FFFFFF"/>
        </w:rPr>
        <w:t>万元，支出总计</w:t>
      </w:r>
      <w:r>
        <w:rPr>
          <w:rFonts w:ascii="Times New Roman" w:hAnsi="Times New Roman" w:eastAsia="方正仿宋_GBK" w:cs="Times New Roman"/>
          <w:color w:val="333333"/>
          <w:sz w:val="32"/>
          <w:szCs w:val="32"/>
          <w:shd w:val="clear" w:color="auto" w:fill="FFFFFF"/>
        </w:rPr>
        <w:t>6413.26</w:t>
      </w:r>
      <w:r>
        <w:rPr>
          <w:rFonts w:ascii="方正仿宋_GBK" w:hAnsi="方正仿宋_GBK" w:eastAsia="方正仿宋_GBK" w:cs="方正仿宋_GBK"/>
          <w:sz w:val="32"/>
          <w:szCs w:val="32"/>
          <w:shd w:val="clear" w:color="auto" w:fill="FFFFFF"/>
        </w:rPr>
        <w:t>万元。收支较上年决算数增加</w:t>
      </w:r>
      <w:r>
        <w:rPr>
          <w:rFonts w:ascii="Times New Roman" w:hAnsi="Times New Roman" w:eastAsia="方正仿宋_GBK" w:cs="Times New Roman"/>
          <w:color w:val="333333"/>
          <w:sz w:val="32"/>
          <w:szCs w:val="32"/>
          <w:shd w:val="clear" w:color="auto" w:fill="FFFFFF"/>
        </w:rPr>
        <w:t>936.37</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Times New Roman"/>
          <w:color w:val="333333"/>
          <w:sz w:val="32"/>
          <w:szCs w:val="32"/>
          <w:shd w:val="clear" w:color="auto" w:fill="FFFFFF"/>
        </w:rPr>
        <w:t>17.10%</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rPr>
        <w:t>一是特定目标类项目增加，如绿道维护、高空喷雾等。二是城区环卫人员支出增加、村社区干部工资及保险增加。</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Times New Roman" w:hAnsi="Times New Roman" w:eastAsia="方正仿宋_GBK"/>
          <w:sz w:val="32"/>
          <w:szCs w:val="32"/>
        </w:rPr>
        <w:t>2</w:t>
      </w:r>
      <w:r>
        <w:rPr>
          <w:rFonts w:hint="eastAsia" w:ascii="方正仿宋_GBK" w:eastAsia="方正仿宋_GBK"/>
          <w:sz w:val="32"/>
          <w:szCs w:val="32"/>
        </w:rPr>
        <w:t>.收入情况。</w:t>
      </w:r>
      <w:r>
        <w:rPr>
          <w:rFonts w:ascii="Times New Roman" w:hAnsi="Times New Roman" w:eastAsia="方正仿宋_GBK" w:cs="Times New Roman"/>
          <w:color w:val="333333"/>
          <w:sz w:val="32"/>
          <w:szCs w:val="32"/>
          <w:shd w:val="clear" w:color="auto" w:fill="FFFFFF"/>
        </w:rPr>
        <w:t>2023</w:t>
      </w:r>
      <w:r>
        <w:rPr>
          <w:rFonts w:ascii="方正仿宋_GBK" w:hAnsi="方正仿宋_GBK" w:eastAsia="方正仿宋_GBK" w:cs="方正仿宋_GBK"/>
          <w:sz w:val="32"/>
          <w:szCs w:val="32"/>
          <w:shd w:val="clear" w:color="auto" w:fill="FFFFFF"/>
        </w:rPr>
        <w:t>年度收入合计</w:t>
      </w:r>
      <w:r>
        <w:rPr>
          <w:rFonts w:ascii="Times New Roman" w:hAnsi="Times New Roman" w:eastAsia="方正仿宋_GBK" w:cs="Times New Roman"/>
          <w:color w:val="333333"/>
          <w:sz w:val="32"/>
          <w:szCs w:val="32"/>
          <w:shd w:val="clear" w:color="auto" w:fill="FFFFFF"/>
        </w:rPr>
        <w:t>6346.30</w:t>
      </w:r>
      <w:r>
        <w:rPr>
          <w:rFonts w:ascii="方正仿宋_GBK" w:hAnsi="方正仿宋_GBK" w:eastAsia="方正仿宋_GBK" w:cs="方正仿宋_GBK"/>
          <w:sz w:val="32"/>
          <w:szCs w:val="32"/>
          <w:shd w:val="clear" w:color="auto" w:fill="FFFFFF"/>
        </w:rPr>
        <w:t>万元，较上年决算数增加</w:t>
      </w:r>
      <w:r>
        <w:rPr>
          <w:rFonts w:ascii="Times New Roman" w:hAnsi="Times New Roman" w:eastAsia="方正仿宋_GBK" w:cs="Times New Roman"/>
          <w:color w:val="333333"/>
          <w:sz w:val="32"/>
          <w:szCs w:val="32"/>
          <w:shd w:val="clear" w:color="auto" w:fill="FFFFFF"/>
        </w:rPr>
        <w:t>936.37</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Times New Roman"/>
          <w:color w:val="333333"/>
          <w:sz w:val="32"/>
          <w:szCs w:val="32"/>
          <w:shd w:val="clear" w:color="auto" w:fill="FFFFFF"/>
        </w:rPr>
        <w:t>17.31%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一是特定目标类项目增加，如绿道维护、高空喷雾等。二是城区环卫人员支出增加、村社区干部工资及保险增加</w:t>
      </w:r>
      <w:r>
        <w:rPr>
          <w:rFonts w:ascii="方正仿宋_GBK" w:hAnsi="方正仿宋_GBK" w:eastAsia="方正仿宋_GBK" w:cs="方正仿宋_GBK"/>
          <w:sz w:val="32"/>
          <w:szCs w:val="32"/>
          <w:shd w:val="clear" w:color="auto" w:fill="FFFFFF"/>
        </w:rPr>
        <w:t>其中：财政拨款收入</w:t>
      </w:r>
      <w:r>
        <w:rPr>
          <w:rFonts w:ascii="Times New Roman" w:hAnsi="Times New Roman" w:eastAsia="方正仿宋_GBK" w:cs="Times New Roman"/>
          <w:color w:val="333333"/>
          <w:sz w:val="32"/>
          <w:szCs w:val="32"/>
          <w:shd w:val="clear" w:color="auto" w:fill="FFFFFF"/>
        </w:rPr>
        <w:t>6346.30</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Times New Roman"/>
          <w:color w:val="333333"/>
          <w:sz w:val="32"/>
          <w:szCs w:val="32"/>
          <w:shd w:val="clear" w:color="auto" w:fill="FFFFFF"/>
        </w:rPr>
        <w:t>100.00%</w:t>
      </w:r>
      <w:r>
        <w:rPr>
          <w:rFonts w:ascii="方正仿宋_GBK" w:hAnsi="方正仿宋_GBK" w:eastAsia="方正仿宋_GBK" w:cs="方正仿宋_GBK"/>
          <w:sz w:val="32"/>
          <w:szCs w:val="32"/>
          <w:shd w:val="clear" w:color="auto" w:fill="FFFFFF"/>
        </w:rPr>
        <w:t>；事业收入</w:t>
      </w:r>
      <w:r>
        <w:rPr>
          <w:rFonts w:ascii="Times New Roman" w:hAnsi="Times New Roman" w:eastAsia="方正仿宋_GBK" w:cs="Times New Roman"/>
          <w:color w:val="333333"/>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Times New Roman"/>
          <w:color w:val="333333"/>
          <w:sz w:val="32"/>
          <w:szCs w:val="32"/>
          <w:shd w:val="clear" w:color="auto" w:fill="FFFFFF"/>
        </w:rPr>
        <w:t>0.00%</w:t>
      </w:r>
      <w:r>
        <w:rPr>
          <w:rFonts w:ascii="方正仿宋_GBK" w:hAnsi="方正仿宋_GBK" w:eastAsia="方正仿宋_GBK" w:cs="方正仿宋_GBK"/>
          <w:sz w:val="32"/>
          <w:szCs w:val="32"/>
          <w:shd w:val="clear" w:color="auto" w:fill="FFFFFF"/>
        </w:rPr>
        <w:t>；经营收入</w:t>
      </w:r>
      <w:r>
        <w:rPr>
          <w:rFonts w:ascii="Times New Roman" w:hAnsi="Times New Roman" w:eastAsia="方正仿宋_GBK" w:cs="Times New Roman"/>
          <w:color w:val="333333"/>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Times New Roman"/>
          <w:color w:val="333333"/>
          <w:sz w:val="32"/>
          <w:szCs w:val="32"/>
          <w:shd w:val="clear" w:color="auto" w:fill="FFFFFF"/>
        </w:rPr>
        <w:t>0.00%</w:t>
      </w:r>
      <w:r>
        <w:rPr>
          <w:rFonts w:ascii="方正仿宋_GBK" w:hAnsi="方正仿宋_GBK" w:eastAsia="方正仿宋_GBK" w:cs="方正仿宋_GBK"/>
          <w:sz w:val="32"/>
          <w:szCs w:val="32"/>
          <w:shd w:val="clear" w:color="auto" w:fill="FFFFFF"/>
        </w:rPr>
        <w:t>；其他收入</w:t>
      </w:r>
      <w:r>
        <w:rPr>
          <w:rFonts w:ascii="Times New Roman" w:hAnsi="Times New Roman" w:eastAsia="方正仿宋_GBK" w:cs="Times New Roman"/>
          <w:color w:val="333333"/>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Times New Roman"/>
          <w:color w:val="333333"/>
          <w:sz w:val="32"/>
          <w:szCs w:val="32"/>
          <w:shd w:val="clear" w:color="auto" w:fill="FFFFFF"/>
        </w:rPr>
        <w:t>0.00%</w:t>
      </w:r>
      <w:r>
        <w:rPr>
          <w:rFonts w:ascii="方正仿宋_GBK" w:hAnsi="方正仿宋_GBK" w:eastAsia="方正仿宋_GBK" w:cs="方正仿宋_GBK"/>
          <w:sz w:val="32"/>
          <w:szCs w:val="32"/>
          <w:shd w:val="clear" w:color="auto" w:fill="FFFFFF"/>
        </w:rPr>
        <w:t>。此外，使用非财政拨款结余和专用结余</w:t>
      </w:r>
      <w:r>
        <w:rPr>
          <w:rFonts w:ascii="Times New Roman" w:hAnsi="Times New Roman" w:eastAsia="方正仿宋_GBK" w:cs="Times New Roman"/>
          <w:color w:val="333333"/>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ascii="Times New Roman" w:hAnsi="Times New Roman" w:eastAsia="方正仿宋_GBK" w:cs="Times New Roman"/>
          <w:color w:val="333333"/>
          <w:sz w:val="32"/>
          <w:szCs w:val="32"/>
          <w:shd w:val="clear" w:color="auto" w:fill="FFFFFF"/>
        </w:rPr>
        <w:t>66.96</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Style w:val="7"/>
          <w:rFonts w:ascii="Times New Roman" w:hAnsi="Times New Roman" w:eastAsia="方正仿宋_GBK" w:cs="方正仿宋_GBK"/>
          <w:b w:val="0"/>
          <w:sz w:val="32"/>
          <w:szCs w:val="32"/>
          <w:shd w:val="clear" w:color="auto" w:fill="FFFFFF"/>
        </w:rPr>
        <w:t>3</w:t>
      </w:r>
      <w:r>
        <w:rPr>
          <w:rStyle w:val="7"/>
          <w:rFonts w:ascii="方正仿宋_GBK" w:hAnsi="方正仿宋_GBK" w:eastAsia="方正仿宋_GBK" w:cs="方正仿宋_GBK"/>
          <w:b w:val="0"/>
          <w:sz w:val="32"/>
          <w:szCs w:val="32"/>
          <w:shd w:val="clear" w:color="auto" w:fill="FFFFFF"/>
        </w:rPr>
        <w:t>.支出情况。</w:t>
      </w:r>
      <w:r>
        <w:rPr>
          <w:rFonts w:ascii="Times New Roman" w:hAnsi="Times New Roman" w:eastAsia="方正仿宋_GBK" w:cs="Times New Roman"/>
          <w:color w:val="333333"/>
          <w:sz w:val="32"/>
          <w:szCs w:val="32"/>
          <w:shd w:val="clear" w:color="auto" w:fill="FFFFFF"/>
        </w:rPr>
        <w:t>2023</w:t>
      </w:r>
      <w:r>
        <w:rPr>
          <w:rFonts w:ascii="方正仿宋_GBK" w:hAnsi="方正仿宋_GBK" w:eastAsia="方正仿宋_GBK" w:cs="方正仿宋_GBK"/>
          <w:sz w:val="32"/>
          <w:szCs w:val="32"/>
          <w:shd w:val="clear" w:color="auto" w:fill="FFFFFF"/>
        </w:rPr>
        <w:t>年度支出合计</w:t>
      </w:r>
      <w:r>
        <w:rPr>
          <w:rFonts w:ascii="Times New Roman" w:hAnsi="Times New Roman" w:eastAsia="方正仿宋_GBK" w:cs="Times New Roman"/>
          <w:color w:val="333333"/>
          <w:sz w:val="32"/>
          <w:szCs w:val="32"/>
          <w:shd w:val="clear" w:color="auto" w:fill="FFFFFF"/>
        </w:rPr>
        <w:t>6346.30</w:t>
      </w:r>
      <w:r>
        <w:rPr>
          <w:rFonts w:ascii="方正仿宋_GBK" w:hAnsi="方正仿宋_GBK" w:eastAsia="方正仿宋_GBK" w:cs="方正仿宋_GBK"/>
          <w:sz w:val="32"/>
          <w:szCs w:val="32"/>
          <w:shd w:val="clear" w:color="auto" w:fill="FFFFFF"/>
        </w:rPr>
        <w:t>万元，较上年决算数增加</w:t>
      </w:r>
      <w:r>
        <w:rPr>
          <w:rFonts w:ascii="Times New Roman" w:hAnsi="Times New Roman" w:eastAsia="方正仿宋_GBK" w:cs="Times New Roman"/>
          <w:color w:val="333333"/>
          <w:sz w:val="32"/>
          <w:szCs w:val="32"/>
          <w:shd w:val="clear" w:color="auto" w:fill="FFFFFF"/>
        </w:rPr>
        <w:t>936.37</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Times New Roman"/>
          <w:color w:val="333333"/>
          <w:sz w:val="32"/>
          <w:szCs w:val="32"/>
          <w:shd w:val="clear" w:color="auto" w:fill="FFFFFF"/>
        </w:rPr>
        <w:t>17.31%</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rPr>
        <w:t>一是特定目标类项目增加，如绿道维护、高空喷雾等；二是城区环卫人员支出增加、村社区干部工资及保险增加。</w:t>
      </w:r>
      <w:r>
        <w:rPr>
          <w:rFonts w:ascii="方正仿宋_GBK" w:hAnsi="方正仿宋_GBK" w:eastAsia="方正仿宋_GBK" w:cs="方正仿宋_GBK"/>
          <w:sz w:val="32"/>
          <w:szCs w:val="32"/>
          <w:shd w:val="clear" w:color="auto" w:fill="FFFFFF"/>
        </w:rPr>
        <w:t>其中：基本支出</w:t>
      </w:r>
      <w:r>
        <w:rPr>
          <w:rFonts w:ascii="Times New Roman" w:hAnsi="Times New Roman" w:eastAsia="方正仿宋_GBK" w:cs="Times New Roman"/>
          <w:color w:val="333333"/>
          <w:sz w:val="32"/>
          <w:szCs w:val="32"/>
          <w:shd w:val="clear" w:color="auto" w:fill="FFFFFF"/>
        </w:rPr>
        <w:t>2713.79</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Times New Roman"/>
          <w:color w:val="333333"/>
          <w:sz w:val="32"/>
          <w:szCs w:val="32"/>
          <w:shd w:val="clear" w:color="auto" w:fill="FFFFFF"/>
        </w:rPr>
        <w:t>42.76%</w:t>
      </w:r>
      <w:r>
        <w:rPr>
          <w:rFonts w:ascii="方正仿宋_GBK" w:hAnsi="方正仿宋_GBK" w:eastAsia="方正仿宋_GBK" w:cs="方正仿宋_GBK"/>
          <w:sz w:val="32"/>
          <w:szCs w:val="32"/>
          <w:shd w:val="clear" w:color="auto" w:fill="FFFFFF"/>
        </w:rPr>
        <w:t>；项目支出</w:t>
      </w:r>
      <w:r>
        <w:rPr>
          <w:rFonts w:ascii="Times New Roman" w:hAnsi="Times New Roman" w:eastAsia="方正仿宋_GBK" w:cs="Times New Roman"/>
          <w:color w:val="333333"/>
          <w:sz w:val="32"/>
          <w:szCs w:val="32"/>
          <w:shd w:val="clear" w:color="auto" w:fill="FFFFFF"/>
        </w:rPr>
        <w:t>3632.51</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Times New Roman"/>
          <w:color w:val="333333"/>
          <w:sz w:val="32"/>
          <w:szCs w:val="32"/>
          <w:shd w:val="clear" w:color="auto" w:fill="FFFFFF"/>
        </w:rPr>
        <w:t>57.24%</w:t>
      </w:r>
      <w:r>
        <w:rPr>
          <w:rFonts w:ascii="方正仿宋_GBK" w:hAnsi="方正仿宋_GBK" w:eastAsia="方正仿宋_GBK" w:cs="方正仿宋_GBK"/>
          <w:sz w:val="32"/>
          <w:szCs w:val="32"/>
          <w:shd w:val="clear" w:color="auto" w:fill="FFFFFF"/>
        </w:rPr>
        <w:t>；经营支出</w:t>
      </w:r>
      <w:r>
        <w:rPr>
          <w:rFonts w:ascii="Times New Roman" w:hAnsi="Times New Roman" w:eastAsia="方正仿宋_GBK" w:cs="Times New Roman"/>
          <w:color w:val="333333"/>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Times New Roman"/>
          <w:color w:val="333333"/>
          <w:sz w:val="32"/>
          <w:szCs w:val="32"/>
          <w:shd w:val="clear" w:color="auto" w:fill="FFFFFF"/>
        </w:rPr>
        <w:t>0.00%</w:t>
      </w:r>
      <w:r>
        <w:rPr>
          <w:rFonts w:ascii="方正仿宋_GBK" w:hAnsi="方正仿宋_GBK" w:eastAsia="方正仿宋_GBK" w:cs="方正仿宋_GBK"/>
          <w:sz w:val="32"/>
          <w:szCs w:val="32"/>
          <w:shd w:val="clear" w:color="auto" w:fill="FFFFFF"/>
        </w:rPr>
        <w:t>。此外，结余分配</w:t>
      </w:r>
      <w:r>
        <w:rPr>
          <w:rFonts w:ascii="Times New Roman" w:hAnsi="Times New Roman" w:eastAsia="方正仿宋_GBK" w:cs="Times New Roman"/>
          <w:color w:val="333333"/>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widowControl/>
        <w:ind w:firstLine="640" w:firstLineChars="200"/>
        <w:jc w:val="left"/>
      </w:pPr>
      <w:r>
        <w:rPr>
          <w:rStyle w:val="7"/>
          <w:rFonts w:ascii="Times New Roman" w:hAnsi="Times New Roman" w:eastAsia="方正仿宋_GBK" w:cs="方正仿宋_GBK"/>
          <w:b w:val="0"/>
          <w:sz w:val="32"/>
          <w:szCs w:val="32"/>
          <w:shd w:val="clear" w:color="auto" w:fill="FFFFFF"/>
        </w:rPr>
        <w:t>4</w:t>
      </w:r>
      <w:r>
        <w:rPr>
          <w:rStyle w:val="7"/>
          <w:rFonts w:ascii="方正仿宋_GBK" w:hAnsi="方正仿宋_GBK" w:eastAsia="方正仿宋_GBK" w:cs="方正仿宋_GBK"/>
          <w:b w:val="0"/>
          <w:sz w:val="32"/>
          <w:szCs w:val="32"/>
          <w:shd w:val="clear" w:color="auto" w:fill="FFFFFF"/>
        </w:rPr>
        <w:t>.结转结余情况。</w:t>
      </w:r>
      <w:r>
        <w:rPr>
          <w:rFonts w:ascii="Times New Roman" w:hAnsi="Times New Roman" w:eastAsia="方正仿宋_GBK" w:cs="Times New Roman"/>
          <w:color w:val="333333"/>
          <w:sz w:val="32"/>
          <w:szCs w:val="32"/>
          <w:shd w:val="clear" w:color="auto" w:fill="FFFFFF"/>
        </w:rPr>
        <w:t>2023</w:t>
      </w:r>
      <w:r>
        <w:rPr>
          <w:rFonts w:ascii="方正仿宋_GBK" w:hAnsi="方正仿宋_GBK" w:eastAsia="方正仿宋_GBK" w:cs="方正仿宋_GBK"/>
          <w:sz w:val="32"/>
          <w:szCs w:val="32"/>
          <w:shd w:val="clear" w:color="auto" w:fill="FFFFFF"/>
        </w:rPr>
        <w:t>年度年末结转和结余</w:t>
      </w:r>
      <w:r>
        <w:rPr>
          <w:rFonts w:ascii="Times New Roman" w:hAnsi="Times New Roman" w:eastAsia="方正仿宋_GBK" w:cs="Times New Roman"/>
          <w:color w:val="333333"/>
          <w:sz w:val="32"/>
          <w:szCs w:val="32"/>
          <w:shd w:val="clear" w:color="auto" w:fill="FFFFFF"/>
        </w:rPr>
        <w:t>66.96</w:t>
      </w:r>
      <w:r>
        <w:rPr>
          <w:rFonts w:ascii="方正仿宋_GBK" w:hAnsi="方正仿宋_GBK" w:eastAsia="方正仿宋_GBK" w:cs="方正仿宋_GBK"/>
          <w:sz w:val="32"/>
          <w:szCs w:val="32"/>
          <w:shd w:val="clear" w:color="auto" w:fill="FFFFFF"/>
        </w:rPr>
        <w:t>万元，较上年决算数无增减，主要原因是</w:t>
      </w:r>
      <w:r>
        <w:rPr>
          <w:rFonts w:hint="eastAsia" w:ascii="方正仿宋_GBK" w:hAnsi="方正仿宋_GBK" w:eastAsia="方正仿宋_GBK" w:cs="方正仿宋_GBK"/>
          <w:sz w:val="32"/>
          <w:szCs w:val="32"/>
          <w:shd w:val="clear" w:color="auto" w:fill="FFFFFF"/>
        </w:rPr>
        <w:t>未动用结转结余。</w:t>
      </w:r>
    </w:p>
    <w:p>
      <w:pPr>
        <w:pStyle w:val="9"/>
        <w:autoSpaceDE w:val="0"/>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（二）财政拨款收入支出决算总体情况说明</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Fonts w:ascii="Times New Roman" w:hAnsi="Times New Roman" w:eastAsia="方正仿宋_GBK" w:cs="Times New Roman"/>
          <w:color w:val="333333"/>
          <w:sz w:val="32"/>
          <w:szCs w:val="32"/>
          <w:shd w:val="clear" w:color="auto" w:fill="FFFFFF"/>
        </w:rPr>
        <w:t>2023</w:t>
      </w:r>
      <w:r>
        <w:rPr>
          <w:rFonts w:ascii="方正仿宋_GBK" w:hAnsi="方正仿宋_GBK" w:eastAsia="方正仿宋_GBK" w:cs="方正仿宋_GBK"/>
          <w:sz w:val="32"/>
          <w:szCs w:val="32"/>
          <w:shd w:val="clear" w:color="auto" w:fill="FFFFFF"/>
        </w:rPr>
        <w:t>年度财政拨款收、支总计</w:t>
      </w:r>
      <w:r>
        <w:rPr>
          <w:rFonts w:ascii="Times New Roman" w:hAnsi="Times New Roman" w:eastAsia="方正仿宋_GBK" w:cs="Times New Roman"/>
          <w:color w:val="333333"/>
          <w:sz w:val="32"/>
          <w:szCs w:val="32"/>
          <w:shd w:val="clear" w:color="auto" w:fill="FFFFFF"/>
        </w:rPr>
        <w:t>6413.26</w:t>
      </w:r>
      <w:r>
        <w:rPr>
          <w:rFonts w:ascii="方正仿宋_GBK" w:hAnsi="方正仿宋_GBK" w:eastAsia="方正仿宋_GBK" w:cs="方正仿宋_GBK"/>
          <w:sz w:val="32"/>
          <w:szCs w:val="32"/>
          <w:shd w:val="clear" w:color="auto" w:fill="FFFFFF"/>
        </w:rPr>
        <w:t>万元。与</w:t>
      </w:r>
      <w:r>
        <w:rPr>
          <w:rFonts w:ascii="Times New Roman" w:hAnsi="Times New Roman" w:eastAsia="方正仿宋_GBK" w:cs="Times New Roman"/>
          <w:color w:val="333333"/>
          <w:sz w:val="32"/>
          <w:szCs w:val="32"/>
          <w:shd w:val="clear" w:color="auto" w:fill="FFFFFF"/>
        </w:rPr>
        <w:t>2022</w:t>
      </w:r>
      <w:r>
        <w:rPr>
          <w:rFonts w:ascii="方正仿宋_GBK" w:hAnsi="方正仿宋_GBK" w:eastAsia="方正仿宋_GBK" w:cs="方正仿宋_GBK"/>
          <w:sz w:val="32"/>
          <w:szCs w:val="32"/>
          <w:shd w:val="clear" w:color="auto" w:fill="FFFFFF"/>
        </w:rPr>
        <w:t>年相比，财政拨款收、支总计各增加</w:t>
      </w:r>
      <w:r>
        <w:rPr>
          <w:rFonts w:ascii="Times New Roman" w:hAnsi="Times New Roman" w:eastAsia="方正仿宋_GBK" w:cs="Times New Roman"/>
          <w:color w:val="333333"/>
          <w:sz w:val="32"/>
          <w:szCs w:val="32"/>
          <w:shd w:val="clear" w:color="auto" w:fill="FFFFFF"/>
        </w:rPr>
        <w:t>936.37</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Times New Roman"/>
          <w:color w:val="333333"/>
          <w:sz w:val="32"/>
          <w:szCs w:val="32"/>
          <w:shd w:val="clear" w:color="auto" w:fill="FFFFFF"/>
        </w:rPr>
        <w:t>17.10%</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rPr>
        <w:t>一是特定目标类项目增加，如绿道维护、高空喷雾等；二是城区环卫人员支出增加、村社区干部工资及保险增加。</w:t>
      </w:r>
    </w:p>
    <w:p>
      <w:pPr>
        <w:pStyle w:val="9"/>
        <w:autoSpaceDE w:val="0"/>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（三）一般公共预算财政拨款收入支出决算情况说明</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7"/>
          <w:rFonts w:ascii="Times New Roman" w:hAnsi="Times New Roman" w:eastAsia="方正仿宋_GBK" w:cs="方正仿宋_GBK"/>
          <w:b w:val="0"/>
          <w:sz w:val="32"/>
          <w:szCs w:val="32"/>
          <w:shd w:val="clear" w:color="auto" w:fill="FFFFFF"/>
        </w:rPr>
        <w:t>1</w:t>
      </w:r>
      <w:r>
        <w:rPr>
          <w:rStyle w:val="7"/>
          <w:rFonts w:ascii="方正仿宋_GBK" w:hAnsi="方正仿宋_GBK" w:eastAsia="方正仿宋_GBK" w:cs="方正仿宋_GBK"/>
          <w:b w:val="0"/>
          <w:sz w:val="32"/>
          <w:szCs w:val="32"/>
          <w:shd w:val="clear" w:color="auto" w:fill="FFFFFF"/>
        </w:rPr>
        <w:t>.收入情况</w:t>
      </w:r>
      <w:r>
        <w:rPr>
          <w:rStyle w:val="7"/>
          <w:rFonts w:hint="eastAsia" w:ascii="方正仿宋_GBK" w:hAnsi="方正仿宋_GBK" w:eastAsia="方正仿宋_GBK" w:cs="方正仿宋_GBK"/>
          <w:b w:val="0"/>
          <w:sz w:val="32"/>
          <w:szCs w:val="32"/>
          <w:shd w:val="clear" w:color="auto" w:fill="FFFFFF"/>
        </w:rPr>
        <w:t>。</w:t>
      </w:r>
      <w:r>
        <w:rPr>
          <w:rFonts w:ascii="Times New Roman" w:hAnsi="Times New Roman" w:eastAsia="方正仿宋_GBK" w:cs="Times New Roman"/>
          <w:color w:val="333333"/>
          <w:sz w:val="32"/>
          <w:szCs w:val="32"/>
          <w:shd w:val="clear" w:color="auto" w:fill="FFFFFF"/>
        </w:rPr>
        <w:t>2023</w:t>
      </w:r>
      <w:r>
        <w:rPr>
          <w:rFonts w:ascii="方正仿宋_GBK" w:hAnsi="方正仿宋_GBK" w:eastAsia="方正仿宋_GBK" w:cs="方正仿宋_GBK"/>
          <w:sz w:val="32"/>
          <w:szCs w:val="32"/>
          <w:shd w:val="clear" w:color="auto" w:fill="FFFFFF"/>
        </w:rPr>
        <w:t>年度一般公共预算财政拨款收入</w:t>
      </w:r>
      <w:r>
        <w:rPr>
          <w:rFonts w:ascii="Times New Roman" w:hAnsi="Times New Roman" w:eastAsia="方正仿宋_GBK" w:cs="Times New Roman"/>
          <w:color w:val="333333"/>
          <w:sz w:val="32"/>
          <w:szCs w:val="32"/>
          <w:shd w:val="clear" w:color="auto" w:fill="FFFFFF"/>
        </w:rPr>
        <w:t>6346.30</w:t>
      </w:r>
      <w:r>
        <w:rPr>
          <w:rFonts w:ascii="方正仿宋_GBK" w:hAnsi="方正仿宋_GBK" w:eastAsia="方正仿宋_GBK" w:cs="方正仿宋_GBK"/>
          <w:sz w:val="32"/>
          <w:szCs w:val="32"/>
          <w:shd w:val="clear" w:color="auto" w:fill="FFFFFF"/>
        </w:rPr>
        <w:t>万元，较上年决算数增加</w:t>
      </w:r>
      <w:r>
        <w:rPr>
          <w:rFonts w:ascii="Times New Roman" w:hAnsi="Times New Roman" w:eastAsia="方正仿宋_GBK" w:cs="Times New Roman"/>
          <w:color w:val="333333"/>
          <w:sz w:val="32"/>
          <w:szCs w:val="32"/>
          <w:shd w:val="clear" w:color="auto" w:fill="FFFFFF"/>
        </w:rPr>
        <w:t>936.37</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Times New Roman"/>
          <w:color w:val="333333"/>
          <w:sz w:val="32"/>
          <w:szCs w:val="32"/>
          <w:shd w:val="clear" w:color="auto" w:fill="FFFFFF"/>
        </w:rPr>
        <w:t>17.31%</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rPr>
        <w:t>一是特定目标类项目增加，如绿道维护、高空喷雾等；二是城区环卫人员支出增加、村社区干部工资及保险增加。</w:t>
      </w:r>
    </w:p>
    <w:p>
      <w:pPr>
        <w:pStyle w:val="5"/>
        <w:snapToGrid w:val="0"/>
        <w:spacing w:before="0" w:beforeAutospacing="0" w:after="0" w:afterAutospacing="0" w:line="600" w:lineRule="exact"/>
        <w:ind w:firstLine="640" w:firstLineChars="200"/>
        <w:jc w:val="left"/>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较年初预算数增加</w:t>
      </w:r>
      <w:r>
        <w:rPr>
          <w:rFonts w:ascii="Times New Roman" w:hAnsi="Times New Roman" w:eastAsia="方正仿宋_GBK" w:cs="Times New Roman"/>
          <w:color w:val="333333"/>
          <w:sz w:val="32"/>
          <w:szCs w:val="32"/>
          <w:shd w:val="clear" w:color="auto" w:fill="FFFFFF"/>
        </w:rPr>
        <w:t>638.29</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Times New Roman"/>
          <w:color w:val="333333"/>
          <w:sz w:val="32"/>
          <w:szCs w:val="32"/>
          <w:shd w:val="clear" w:color="auto" w:fill="FFFFFF"/>
        </w:rPr>
        <w:t>11.18%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一是特定目标类项目增加，如绿道维护、高空喷雾等；二是城区环卫人员支出增加、村社区干部工资及保险增加。</w:t>
      </w:r>
      <w:r>
        <w:rPr>
          <w:rFonts w:ascii="方正仿宋_GBK" w:hAnsi="方正仿宋_GBK" w:eastAsia="方正仿宋_GBK" w:cs="方正仿宋_GBK"/>
          <w:sz w:val="32"/>
          <w:szCs w:val="32"/>
          <w:shd w:val="clear" w:color="auto" w:fill="FFFFFF"/>
        </w:rPr>
        <w:t>此外，年初财政拨款结转和结余</w:t>
      </w:r>
      <w:r>
        <w:rPr>
          <w:rFonts w:ascii="Times New Roman" w:hAnsi="Times New Roman" w:eastAsia="方正仿宋_GBK" w:cs="Times New Roman"/>
          <w:color w:val="333333"/>
          <w:sz w:val="32"/>
          <w:szCs w:val="32"/>
          <w:shd w:val="clear" w:color="auto" w:fill="FFFFFF"/>
        </w:rPr>
        <w:t>56.96</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7"/>
          <w:rFonts w:ascii="Times New Roman" w:hAnsi="Times New Roman" w:eastAsia="方正仿宋_GBK" w:cs="方正仿宋_GBK"/>
          <w:b w:val="0"/>
          <w:sz w:val="32"/>
          <w:szCs w:val="32"/>
          <w:shd w:val="clear" w:color="auto" w:fill="FFFFFF"/>
        </w:rPr>
        <w:t>2</w:t>
      </w:r>
      <w:r>
        <w:rPr>
          <w:rStyle w:val="7"/>
          <w:rFonts w:ascii="方正仿宋_GBK" w:hAnsi="方正仿宋_GBK" w:eastAsia="方正仿宋_GBK" w:cs="方正仿宋_GBK"/>
          <w:b w:val="0"/>
          <w:sz w:val="32"/>
          <w:szCs w:val="32"/>
          <w:shd w:val="clear" w:color="auto" w:fill="FFFFFF"/>
        </w:rPr>
        <w:t>.支出情况。</w:t>
      </w:r>
      <w:r>
        <w:rPr>
          <w:rFonts w:ascii="Times New Roman" w:hAnsi="Times New Roman" w:eastAsia="方正仿宋_GBK" w:cs="Times New Roman"/>
          <w:color w:val="333333"/>
          <w:sz w:val="32"/>
          <w:szCs w:val="32"/>
          <w:shd w:val="clear" w:color="auto" w:fill="FFFFFF"/>
        </w:rPr>
        <w:t>2023</w:t>
      </w:r>
      <w:r>
        <w:rPr>
          <w:rFonts w:ascii="方正仿宋_GBK" w:hAnsi="方正仿宋_GBK" w:eastAsia="方正仿宋_GBK" w:cs="方正仿宋_GBK"/>
          <w:sz w:val="32"/>
          <w:szCs w:val="32"/>
          <w:shd w:val="clear" w:color="auto" w:fill="FFFFFF"/>
        </w:rPr>
        <w:t>年度一般公共预算财政拨款支出</w:t>
      </w:r>
      <w:r>
        <w:rPr>
          <w:rFonts w:ascii="Times New Roman" w:hAnsi="Times New Roman" w:eastAsia="方正仿宋_GBK" w:cs="Times New Roman"/>
          <w:color w:val="333333"/>
          <w:sz w:val="32"/>
          <w:szCs w:val="32"/>
          <w:shd w:val="clear" w:color="auto" w:fill="FFFFFF"/>
        </w:rPr>
        <w:t>6346.30</w:t>
      </w:r>
      <w:r>
        <w:rPr>
          <w:rFonts w:ascii="方正仿宋_GBK" w:hAnsi="方正仿宋_GBK" w:eastAsia="方正仿宋_GBK" w:cs="方正仿宋_GBK"/>
          <w:sz w:val="32"/>
          <w:szCs w:val="32"/>
          <w:shd w:val="clear" w:color="auto" w:fill="FFFFFF"/>
        </w:rPr>
        <w:t>万元，较上年决算数增加</w:t>
      </w:r>
      <w:r>
        <w:rPr>
          <w:rFonts w:ascii="Times New Roman" w:hAnsi="Times New Roman" w:eastAsia="方正仿宋_GBK" w:cs="Times New Roman"/>
          <w:color w:val="333333"/>
          <w:sz w:val="32"/>
          <w:szCs w:val="32"/>
          <w:shd w:val="clear" w:color="auto" w:fill="FFFFFF"/>
        </w:rPr>
        <w:t>936.37</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Times New Roman"/>
          <w:color w:val="333333"/>
          <w:sz w:val="32"/>
          <w:szCs w:val="32"/>
          <w:shd w:val="clear" w:color="auto" w:fill="FFFFFF"/>
        </w:rPr>
        <w:t>17.31%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一是特定目标类项目增加，如绿道维护、高空喷雾等；二是城区环卫人员支出增加、村社区干部工资及保险增加。</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较年初预算数增加</w:t>
      </w:r>
      <w:r>
        <w:rPr>
          <w:rFonts w:ascii="Times New Roman" w:hAnsi="Times New Roman" w:eastAsia="方正仿宋_GBK" w:cs="Times New Roman"/>
          <w:color w:val="333333"/>
          <w:sz w:val="32"/>
          <w:szCs w:val="32"/>
          <w:shd w:val="clear" w:color="auto" w:fill="FFFFFF"/>
        </w:rPr>
        <w:t>638.29</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Times New Roman"/>
          <w:color w:val="333333"/>
          <w:sz w:val="32"/>
          <w:szCs w:val="32"/>
          <w:shd w:val="clear" w:color="auto" w:fill="FFFFFF"/>
        </w:rPr>
        <w:t>11.18%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一是特定目标类项目增加，如绿道维护、高空喷雾等；二是城区环卫人员支出增加、村社区干部工资及保险增加。</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7"/>
          <w:rFonts w:ascii="Times New Roman" w:hAnsi="Times New Roman" w:eastAsia="方正仿宋_GBK" w:cs="方正仿宋_GBK"/>
          <w:b w:val="0"/>
          <w:sz w:val="32"/>
          <w:szCs w:val="32"/>
          <w:shd w:val="clear" w:color="auto" w:fill="FFFFFF"/>
        </w:rPr>
        <w:t>3</w:t>
      </w:r>
      <w:r>
        <w:rPr>
          <w:rStyle w:val="7"/>
          <w:rFonts w:ascii="方正仿宋_GBK" w:hAnsi="方正仿宋_GBK" w:eastAsia="方正仿宋_GBK" w:cs="方正仿宋_GBK"/>
          <w:b w:val="0"/>
          <w:sz w:val="32"/>
          <w:szCs w:val="32"/>
          <w:shd w:val="clear" w:color="auto" w:fill="FFFFFF"/>
        </w:rPr>
        <w:t>.结转结余情况。</w:t>
      </w:r>
      <w:r>
        <w:rPr>
          <w:rFonts w:ascii="Times New Roman" w:hAnsi="Times New Roman" w:eastAsia="方正仿宋_GBK" w:cs="Times New Roman"/>
          <w:color w:val="333333"/>
          <w:sz w:val="32"/>
          <w:szCs w:val="32"/>
          <w:shd w:val="clear" w:color="auto" w:fill="FFFFFF"/>
        </w:rPr>
        <w:t>2023</w:t>
      </w:r>
      <w:r>
        <w:rPr>
          <w:rFonts w:ascii="方正仿宋_GBK" w:hAnsi="方正仿宋_GBK" w:eastAsia="方正仿宋_GBK" w:cs="方正仿宋_GBK"/>
          <w:sz w:val="32"/>
          <w:szCs w:val="32"/>
          <w:shd w:val="clear" w:color="auto" w:fill="FFFFFF"/>
        </w:rPr>
        <w:t>年度年末一般公共预算财政拨款结转和结余</w:t>
      </w:r>
      <w:r>
        <w:rPr>
          <w:rFonts w:ascii="Times New Roman" w:hAnsi="Times New Roman" w:eastAsia="方正仿宋_GBK" w:cs="Times New Roman"/>
          <w:color w:val="333333"/>
          <w:sz w:val="32"/>
          <w:szCs w:val="32"/>
          <w:shd w:val="clear" w:color="auto" w:fill="FFFFFF"/>
        </w:rPr>
        <w:t>56.96</w:t>
      </w:r>
      <w:r>
        <w:rPr>
          <w:rFonts w:ascii="方正仿宋_GBK" w:hAnsi="方正仿宋_GBK" w:eastAsia="方正仿宋_GBK" w:cs="方正仿宋_GBK"/>
          <w:sz w:val="32"/>
          <w:szCs w:val="32"/>
          <w:shd w:val="clear" w:color="auto" w:fill="FFFFFF"/>
        </w:rPr>
        <w:t>万元，较上年决算数无增减，主要原因是</w:t>
      </w:r>
      <w:r>
        <w:rPr>
          <w:rFonts w:hint="eastAsia" w:ascii="方正仿宋_GBK" w:hAnsi="方正仿宋_GBK" w:eastAsia="方正仿宋_GBK" w:cs="方正仿宋_GBK"/>
          <w:sz w:val="32"/>
          <w:szCs w:val="32"/>
          <w:shd w:val="clear" w:color="auto" w:fill="FFFFFF"/>
        </w:rPr>
        <w:t>未动用结转结余。</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color w:val="FF0000"/>
          <w:sz w:val="32"/>
          <w:szCs w:val="32"/>
          <w:highlight w:val="cyan"/>
          <w:shd w:val="clear" w:color="auto" w:fill="FFFFFF"/>
        </w:rPr>
      </w:pPr>
      <w:r>
        <w:rPr>
          <w:rStyle w:val="7"/>
          <w:rFonts w:ascii="方正仿宋_GBK" w:hAnsi="方正仿宋_GBK" w:eastAsia="方正仿宋_GBK" w:cs="方正仿宋_GBK"/>
          <w:b w:val="0"/>
          <w:sz w:val="32"/>
          <w:szCs w:val="32"/>
          <w:shd w:val="clear" w:color="auto" w:fill="FFFFFF"/>
        </w:rPr>
        <w:t xml:space="preserve"> </w:t>
      </w:r>
      <w:r>
        <w:rPr>
          <w:rStyle w:val="7"/>
          <w:rFonts w:ascii="Times New Roman" w:hAnsi="Times New Roman" w:eastAsia="方正仿宋_GBK" w:cs="方正仿宋_GBK"/>
          <w:b w:val="0"/>
          <w:sz w:val="32"/>
          <w:szCs w:val="32"/>
          <w:shd w:val="clear" w:color="auto" w:fill="FFFFFF"/>
        </w:rPr>
        <w:t>4</w:t>
      </w:r>
      <w:r>
        <w:rPr>
          <w:rStyle w:val="7"/>
          <w:rFonts w:ascii="方正仿宋_GBK" w:hAnsi="方正仿宋_GBK" w:eastAsia="方正仿宋_GBK" w:cs="方正仿宋_GBK"/>
          <w:b w:val="0"/>
          <w:sz w:val="32"/>
          <w:szCs w:val="32"/>
          <w:shd w:val="clear" w:color="auto" w:fill="FFFFFF"/>
        </w:rPr>
        <w:t>.比较情况。</w:t>
      </w:r>
      <w:r>
        <w:rPr>
          <w:rFonts w:ascii="方正仿宋_GBK" w:hAnsi="方正仿宋_GBK" w:eastAsia="方正仿宋_GBK" w:cs="方正仿宋_GBK"/>
          <w:sz w:val="32"/>
          <w:szCs w:val="32"/>
          <w:shd w:val="clear" w:color="auto" w:fill="FFFFFF"/>
        </w:rPr>
        <w:t>本部门</w:t>
      </w:r>
      <w:r>
        <w:rPr>
          <w:rFonts w:ascii="Times New Roman" w:hAnsi="Times New Roman" w:eastAsia="方正仿宋_GBK" w:cs="Times New Roman"/>
          <w:color w:val="333333"/>
          <w:sz w:val="32"/>
          <w:szCs w:val="32"/>
          <w:shd w:val="clear" w:color="auto" w:fill="FFFFFF"/>
        </w:rPr>
        <w:t>2023</w:t>
      </w:r>
      <w:r>
        <w:rPr>
          <w:rFonts w:ascii="方正仿宋_GBK" w:hAnsi="方正仿宋_GBK" w:eastAsia="方正仿宋_GBK" w:cs="方正仿宋_GBK"/>
          <w:sz w:val="32"/>
          <w:szCs w:val="32"/>
          <w:shd w:val="clear" w:color="auto" w:fill="FFFFFF"/>
        </w:rPr>
        <w:t>年度一般公共预算财政拨款支出主要用于以下几个方面：</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ascii="Times New Roman" w:hAnsi="Times New Roman" w:eastAsia="方正仿宋_GBK" w:cs="Times New Roman"/>
          <w:color w:val="333333"/>
          <w:sz w:val="32"/>
          <w:szCs w:val="32"/>
          <w:shd w:val="clear" w:color="auto" w:fill="FFFFFF"/>
        </w:rPr>
        <w:t>1413.60</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Times New Roman"/>
          <w:color w:val="333333"/>
          <w:sz w:val="32"/>
          <w:szCs w:val="32"/>
          <w:shd w:val="clear" w:color="auto" w:fill="FFFFFF"/>
        </w:rPr>
        <w:t>22.27%</w:t>
      </w:r>
      <w:r>
        <w:rPr>
          <w:rFonts w:ascii="方正仿宋_GBK" w:hAnsi="方正仿宋_GBK" w:eastAsia="方正仿宋_GBK" w:cs="方正仿宋_GBK"/>
          <w:sz w:val="32"/>
          <w:szCs w:val="32"/>
          <w:shd w:val="clear" w:color="auto" w:fill="FFFFFF"/>
        </w:rPr>
        <w:t>，较年初预算数增加</w:t>
      </w:r>
      <w:r>
        <w:rPr>
          <w:rFonts w:ascii="Times New Roman" w:hAnsi="Times New Roman" w:eastAsia="方正仿宋_GBK" w:cs="Times New Roman"/>
          <w:color w:val="333333"/>
          <w:sz w:val="32"/>
          <w:szCs w:val="32"/>
          <w:shd w:val="clear" w:color="auto" w:fill="FFFFFF"/>
        </w:rPr>
        <w:t>347.99</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Times New Roman"/>
          <w:color w:val="333333"/>
          <w:sz w:val="32"/>
          <w:szCs w:val="32"/>
          <w:shd w:val="clear" w:color="auto" w:fill="FFFFFF"/>
        </w:rPr>
        <w:t>32.66%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人员经费稍有上涨。</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rPr>
        <w:t>2</w:t>
      </w:r>
      <w:r>
        <w:rPr>
          <w:rFonts w:ascii="方正仿宋_GBK" w:hAnsi="方正仿宋_GBK" w:eastAsia="方正仿宋_GBK" w:cs="方正仿宋_GBK"/>
          <w:sz w:val="32"/>
          <w:szCs w:val="32"/>
          <w:shd w:val="clear" w:color="auto" w:fill="FFFFFF"/>
        </w:rPr>
        <w:t>）国防支出</w:t>
      </w:r>
      <w:r>
        <w:rPr>
          <w:rFonts w:ascii="Times New Roman" w:hAnsi="Times New Roman" w:eastAsia="方正仿宋_GBK" w:cs="Times New Roman"/>
          <w:color w:val="333333"/>
          <w:sz w:val="32"/>
          <w:szCs w:val="32"/>
          <w:shd w:val="clear" w:color="auto" w:fill="FFFFFF"/>
        </w:rPr>
        <w:t>68.34</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Times New Roman"/>
          <w:color w:val="333333"/>
          <w:sz w:val="32"/>
          <w:szCs w:val="32"/>
          <w:shd w:val="clear" w:color="auto" w:fill="FFFFFF"/>
        </w:rPr>
        <w:t>1.08%</w:t>
      </w:r>
      <w:r>
        <w:rPr>
          <w:rFonts w:ascii="方正仿宋_GBK" w:hAnsi="方正仿宋_GBK" w:eastAsia="方正仿宋_GBK" w:cs="方正仿宋_GBK"/>
          <w:sz w:val="32"/>
          <w:szCs w:val="32"/>
          <w:shd w:val="clear" w:color="auto" w:fill="FFFFFF"/>
        </w:rPr>
        <w:t>，较年初预算数增加</w:t>
      </w:r>
      <w:r>
        <w:rPr>
          <w:rFonts w:ascii="Times New Roman" w:hAnsi="Times New Roman" w:eastAsia="方正仿宋_GBK" w:cs="Times New Roman"/>
          <w:color w:val="333333"/>
          <w:sz w:val="32"/>
          <w:szCs w:val="32"/>
          <w:shd w:val="clear" w:color="auto" w:fill="FFFFFF"/>
        </w:rPr>
        <w:t>50.34</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Times New Roman"/>
          <w:color w:val="333333"/>
          <w:sz w:val="32"/>
          <w:szCs w:val="32"/>
          <w:shd w:val="clear" w:color="auto" w:fill="FFFFFF"/>
        </w:rPr>
        <w:t>279.67%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民兵训练增加。</w:t>
      </w:r>
    </w:p>
    <w:p>
      <w:pPr>
        <w:widowControl/>
        <w:jc w:val="left"/>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rPr>
        <w:t>3</w:t>
      </w:r>
      <w:r>
        <w:rPr>
          <w:rFonts w:ascii="方正仿宋_GBK" w:hAnsi="方正仿宋_GBK" w:eastAsia="方正仿宋_GBK" w:cs="方正仿宋_GBK"/>
          <w:sz w:val="32"/>
          <w:szCs w:val="32"/>
          <w:shd w:val="clear" w:color="auto" w:fill="FFFFFF"/>
        </w:rPr>
        <w:t>）文化旅游体育与传媒支出</w:t>
      </w:r>
      <w:r>
        <w:rPr>
          <w:rFonts w:ascii="Times New Roman" w:hAnsi="Times New Roman" w:eastAsia="方正仿宋_GBK" w:cs="Times New Roman"/>
          <w:color w:val="333333"/>
          <w:sz w:val="32"/>
          <w:szCs w:val="32"/>
          <w:shd w:val="clear" w:color="auto" w:fill="FFFFFF"/>
        </w:rPr>
        <w:t>94.60</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Times New Roman"/>
          <w:color w:val="333333"/>
          <w:sz w:val="32"/>
          <w:szCs w:val="32"/>
          <w:shd w:val="clear" w:color="auto" w:fill="FFFFFF"/>
        </w:rPr>
        <w:t>1.49%</w:t>
      </w:r>
      <w:r>
        <w:rPr>
          <w:rFonts w:ascii="方正仿宋_GBK" w:hAnsi="方正仿宋_GBK" w:eastAsia="方正仿宋_GBK" w:cs="方正仿宋_GBK"/>
          <w:sz w:val="32"/>
          <w:szCs w:val="32"/>
          <w:shd w:val="clear" w:color="auto" w:fill="FFFFFF"/>
        </w:rPr>
        <w:t>，较年初预算数增加</w:t>
      </w:r>
      <w:r>
        <w:rPr>
          <w:rFonts w:ascii="Times New Roman" w:hAnsi="Times New Roman" w:eastAsia="方正仿宋_GBK" w:cs="Times New Roman"/>
          <w:color w:val="333333"/>
          <w:sz w:val="32"/>
          <w:szCs w:val="32"/>
          <w:shd w:val="clear" w:color="auto" w:fill="FFFFFF"/>
        </w:rPr>
        <w:t>74.60</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Times New Roman"/>
          <w:color w:val="333333"/>
          <w:sz w:val="32"/>
          <w:szCs w:val="32"/>
          <w:shd w:val="clear" w:color="auto" w:fill="FFFFFF"/>
        </w:rPr>
        <w:t>373.00%</w:t>
      </w:r>
      <w:r>
        <w:rPr>
          <w:rFonts w:ascii="方正仿宋_GBK" w:hAnsi="方正仿宋_GBK" w:eastAsia="方正仿宋_GBK" w:cs="方正仿宋_GBK"/>
          <w:sz w:val="32"/>
          <w:szCs w:val="32"/>
          <w:shd w:val="clear" w:color="auto" w:fill="FFFFFF"/>
        </w:rPr>
        <w:t>，主要原因是文化下乡、文化运行经费较年初预算有所增加。</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）社会保障与就业支出</w:t>
      </w:r>
      <w:r>
        <w:rPr>
          <w:rFonts w:ascii="Times New Roman" w:hAnsi="Times New Roman" w:eastAsia="方正仿宋_GBK" w:cs="Times New Roman"/>
          <w:color w:val="333333"/>
          <w:sz w:val="32"/>
          <w:szCs w:val="32"/>
          <w:shd w:val="clear" w:color="auto" w:fill="FFFFFF"/>
        </w:rPr>
        <w:t>598.52</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Times New Roman"/>
          <w:color w:val="333333"/>
          <w:sz w:val="32"/>
          <w:szCs w:val="32"/>
          <w:shd w:val="clear" w:color="auto" w:fill="FFFFFF"/>
        </w:rPr>
        <w:t>9.43%</w:t>
      </w:r>
      <w:r>
        <w:rPr>
          <w:rFonts w:ascii="方正仿宋_GBK" w:hAnsi="方正仿宋_GBK" w:eastAsia="方正仿宋_GBK" w:cs="方正仿宋_GBK"/>
          <w:sz w:val="32"/>
          <w:szCs w:val="32"/>
          <w:shd w:val="clear" w:color="auto" w:fill="FFFFFF"/>
        </w:rPr>
        <w:t>，较年初预算数增加</w:t>
      </w:r>
      <w:r>
        <w:rPr>
          <w:rFonts w:ascii="Times New Roman" w:hAnsi="Times New Roman" w:eastAsia="方正仿宋_GBK" w:cs="Times New Roman"/>
          <w:color w:val="333333"/>
          <w:sz w:val="32"/>
          <w:szCs w:val="32"/>
          <w:shd w:val="clear" w:color="auto" w:fill="FFFFFF"/>
        </w:rPr>
        <w:t>178.81</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Times New Roman"/>
          <w:color w:val="333333"/>
          <w:sz w:val="32"/>
          <w:szCs w:val="32"/>
          <w:shd w:val="clear" w:color="auto" w:fill="FFFFFF"/>
        </w:rPr>
        <w:t>42.60%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退休人员增加。</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rPr>
        <w:t>5</w:t>
      </w:r>
      <w:r>
        <w:rPr>
          <w:rFonts w:ascii="方正仿宋_GBK" w:hAnsi="方正仿宋_GBK" w:eastAsia="方正仿宋_GBK" w:cs="方正仿宋_GBK"/>
          <w:sz w:val="32"/>
          <w:szCs w:val="32"/>
          <w:shd w:val="clear" w:color="auto" w:fill="FFFFFF"/>
        </w:rPr>
        <w:t>）卫生健康支出</w:t>
      </w:r>
      <w:r>
        <w:rPr>
          <w:rFonts w:ascii="Times New Roman" w:hAnsi="Times New Roman" w:eastAsia="方正仿宋_GBK" w:cs="Times New Roman"/>
          <w:color w:val="333333"/>
          <w:sz w:val="32"/>
          <w:szCs w:val="32"/>
          <w:shd w:val="clear" w:color="auto" w:fill="FFFFFF"/>
        </w:rPr>
        <w:t>139.42</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Times New Roman"/>
          <w:color w:val="333333"/>
          <w:sz w:val="32"/>
          <w:szCs w:val="32"/>
          <w:shd w:val="clear" w:color="auto" w:fill="FFFFFF"/>
        </w:rPr>
        <w:t>2.20%</w:t>
      </w:r>
      <w:r>
        <w:rPr>
          <w:rFonts w:ascii="方正仿宋_GBK" w:hAnsi="方正仿宋_GBK" w:eastAsia="方正仿宋_GBK" w:cs="方正仿宋_GBK"/>
          <w:sz w:val="32"/>
          <w:szCs w:val="32"/>
          <w:shd w:val="clear" w:color="auto" w:fill="FFFFFF"/>
        </w:rPr>
        <w:t>，较年初预算数减少</w:t>
      </w:r>
      <w:r>
        <w:rPr>
          <w:rFonts w:ascii="Times New Roman" w:hAnsi="Times New Roman" w:eastAsia="方正仿宋_GBK" w:cs="Times New Roman"/>
          <w:color w:val="333333"/>
          <w:sz w:val="32"/>
          <w:szCs w:val="32"/>
          <w:shd w:val="clear" w:color="auto" w:fill="FFFFFF"/>
        </w:rPr>
        <w:t>92.31</w:t>
      </w:r>
      <w:r>
        <w:rPr>
          <w:rFonts w:ascii="方正仿宋_GBK" w:hAnsi="方正仿宋_GBK" w:eastAsia="方正仿宋_GBK" w:cs="方正仿宋_GBK"/>
          <w:sz w:val="32"/>
          <w:szCs w:val="32"/>
          <w:shd w:val="clear" w:color="auto" w:fill="FFFFFF"/>
        </w:rPr>
        <w:t>万元，下降</w:t>
      </w:r>
      <w:r>
        <w:rPr>
          <w:rFonts w:ascii="Times New Roman" w:hAnsi="Times New Roman" w:eastAsia="方正仿宋_GBK" w:cs="Times New Roman"/>
          <w:color w:val="333333"/>
          <w:sz w:val="32"/>
          <w:szCs w:val="32"/>
          <w:shd w:val="clear" w:color="auto" w:fill="FFFFFF"/>
        </w:rPr>
        <w:t>39.84%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常态化的疫情防控支出减少。</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rPr>
        <w:t>6</w:t>
      </w:r>
      <w:r>
        <w:rPr>
          <w:rFonts w:ascii="方正仿宋_GBK" w:hAnsi="方正仿宋_GBK" w:eastAsia="方正仿宋_GBK" w:cs="方正仿宋_GBK"/>
          <w:sz w:val="32"/>
          <w:szCs w:val="32"/>
          <w:shd w:val="clear" w:color="auto" w:fill="FFFFFF"/>
        </w:rPr>
        <w:t>）节能环保支出</w:t>
      </w:r>
      <w:r>
        <w:rPr>
          <w:rFonts w:ascii="Times New Roman" w:hAnsi="Times New Roman" w:eastAsia="方正仿宋_GBK" w:cs="Times New Roman"/>
          <w:color w:val="333333"/>
          <w:sz w:val="32"/>
          <w:szCs w:val="32"/>
          <w:shd w:val="clear" w:color="auto" w:fill="FFFFFF"/>
        </w:rPr>
        <w:t>63.41</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Times New Roman"/>
          <w:color w:val="333333"/>
          <w:sz w:val="32"/>
          <w:szCs w:val="32"/>
          <w:shd w:val="clear" w:color="auto" w:fill="FFFFFF"/>
        </w:rPr>
        <w:t>1.00%</w:t>
      </w:r>
      <w:r>
        <w:rPr>
          <w:rFonts w:ascii="方正仿宋_GBK" w:hAnsi="方正仿宋_GBK" w:eastAsia="方正仿宋_GBK" w:cs="方正仿宋_GBK"/>
          <w:sz w:val="32"/>
          <w:szCs w:val="32"/>
          <w:shd w:val="clear" w:color="auto" w:fill="FFFFFF"/>
        </w:rPr>
        <w:t>，较年初预算数增加</w:t>
      </w:r>
      <w:r>
        <w:rPr>
          <w:rFonts w:ascii="Times New Roman" w:hAnsi="Times New Roman" w:eastAsia="方正仿宋_GBK" w:cs="Times New Roman"/>
          <w:color w:val="333333"/>
          <w:sz w:val="32"/>
          <w:szCs w:val="32"/>
          <w:shd w:val="clear" w:color="auto" w:fill="FFFFFF"/>
        </w:rPr>
        <w:t>63.41</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Times New Roman"/>
          <w:color w:val="333333"/>
          <w:sz w:val="32"/>
          <w:szCs w:val="32"/>
          <w:shd w:val="clear" w:color="auto" w:fill="FFFFFF"/>
        </w:rPr>
        <w:t>100.00%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年初未预算。</w:t>
      </w:r>
    </w:p>
    <w:p>
      <w:pPr>
        <w:widowControl/>
        <w:ind w:firstLine="640" w:firstLineChars="200"/>
        <w:jc w:val="left"/>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rPr>
        <w:t>7</w:t>
      </w:r>
      <w:r>
        <w:rPr>
          <w:rFonts w:ascii="方正仿宋_GBK" w:hAnsi="方正仿宋_GBK" w:eastAsia="方正仿宋_GBK" w:cs="方正仿宋_GBK"/>
          <w:sz w:val="32"/>
          <w:szCs w:val="32"/>
          <w:shd w:val="clear" w:color="auto" w:fill="FFFFFF"/>
        </w:rPr>
        <w:t>）城乡社区支出</w:t>
      </w:r>
      <w:r>
        <w:rPr>
          <w:rFonts w:ascii="Times New Roman" w:hAnsi="Times New Roman" w:eastAsia="方正仿宋_GBK" w:cs="Times New Roman"/>
          <w:color w:val="333333"/>
          <w:sz w:val="32"/>
          <w:szCs w:val="32"/>
          <w:shd w:val="clear" w:color="auto" w:fill="FFFFFF"/>
        </w:rPr>
        <w:t>1904.04</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Times New Roman"/>
          <w:color w:val="333333"/>
          <w:sz w:val="32"/>
          <w:szCs w:val="32"/>
          <w:shd w:val="clear" w:color="auto" w:fill="FFFFFF"/>
        </w:rPr>
        <w:t>30.00%</w:t>
      </w:r>
      <w:r>
        <w:rPr>
          <w:rFonts w:ascii="方正仿宋_GBK" w:hAnsi="方正仿宋_GBK" w:eastAsia="方正仿宋_GBK" w:cs="方正仿宋_GBK"/>
          <w:sz w:val="32"/>
          <w:szCs w:val="32"/>
          <w:shd w:val="clear" w:color="auto" w:fill="FFFFFF"/>
        </w:rPr>
        <w:t>，较年初预算数减少</w:t>
      </w:r>
      <w:r>
        <w:rPr>
          <w:rFonts w:ascii="Times New Roman" w:hAnsi="Times New Roman" w:eastAsia="方正仿宋_GBK" w:cs="Times New Roman"/>
          <w:color w:val="333333"/>
          <w:sz w:val="32"/>
          <w:szCs w:val="32"/>
          <w:shd w:val="clear" w:color="auto" w:fill="FFFFFF"/>
        </w:rPr>
        <w:t>833.48</w:t>
      </w:r>
      <w:r>
        <w:rPr>
          <w:rFonts w:ascii="方正仿宋_GBK" w:hAnsi="方正仿宋_GBK" w:eastAsia="方正仿宋_GBK" w:cs="方正仿宋_GBK"/>
          <w:sz w:val="32"/>
          <w:szCs w:val="32"/>
          <w:shd w:val="clear" w:color="auto" w:fill="FFFFFF"/>
        </w:rPr>
        <w:t>万元，下降</w:t>
      </w:r>
      <w:r>
        <w:rPr>
          <w:rFonts w:ascii="Times New Roman" w:hAnsi="Times New Roman" w:eastAsia="方正仿宋_GBK" w:cs="Times New Roman"/>
          <w:color w:val="333333"/>
          <w:sz w:val="32"/>
          <w:szCs w:val="32"/>
          <w:shd w:val="clear" w:color="auto" w:fill="FFFFFF"/>
        </w:rPr>
        <w:t>30.45%</w:t>
      </w:r>
      <w:r>
        <w:rPr>
          <w:rFonts w:ascii="方正仿宋_GBK" w:hAnsi="方正仿宋_GBK" w:eastAsia="方正仿宋_GBK" w:cs="方正仿宋_GBK"/>
          <w:sz w:val="32"/>
          <w:szCs w:val="32"/>
          <w:shd w:val="clear" w:color="auto" w:fill="FFFFFF"/>
        </w:rPr>
        <w:t>，主要原因是城管临聘人员体制改革，减少了人员支出。</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rPr>
        <w:t>8</w:t>
      </w:r>
      <w:r>
        <w:rPr>
          <w:rFonts w:ascii="方正仿宋_GBK" w:hAnsi="方正仿宋_GBK" w:eastAsia="方正仿宋_GBK" w:cs="方正仿宋_GBK"/>
          <w:sz w:val="32"/>
          <w:szCs w:val="32"/>
          <w:shd w:val="clear" w:color="auto" w:fill="FFFFFF"/>
        </w:rPr>
        <w:t>）农林水支出</w:t>
      </w:r>
      <w:r>
        <w:rPr>
          <w:rFonts w:ascii="Times New Roman" w:hAnsi="Times New Roman" w:eastAsia="方正仿宋_GBK" w:cs="Times New Roman"/>
          <w:color w:val="333333"/>
          <w:sz w:val="32"/>
          <w:szCs w:val="32"/>
          <w:shd w:val="clear" w:color="auto" w:fill="FFFFFF"/>
        </w:rPr>
        <w:t>1596.50</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Times New Roman"/>
          <w:color w:val="333333"/>
          <w:sz w:val="32"/>
          <w:szCs w:val="32"/>
          <w:shd w:val="clear" w:color="auto" w:fill="FFFFFF"/>
        </w:rPr>
        <w:t>25.16%</w:t>
      </w:r>
      <w:r>
        <w:rPr>
          <w:rFonts w:ascii="方正仿宋_GBK" w:hAnsi="方正仿宋_GBK" w:eastAsia="方正仿宋_GBK" w:cs="方正仿宋_GBK"/>
          <w:sz w:val="32"/>
          <w:szCs w:val="32"/>
          <w:shd w:val="clear" w:color="auto" w:fill="FFFFFF"/>
        </w:rPr>
        <w:t>，较年初预算数增加</w:t>
      </w:r>
      <w:r>
        <w:rPr>
          <w:rFonts w:ascii="Times New Roman" w:hAnsi="Times New Roman" w:eastAsia="方正仿宋_GBK" w:cs="Times New Roman"/>
          <w:color w:val="333333"/>
          <w:sz w:val="32"/>
          <w:szCs w:val="32"/>
          <w:shd w:val="clear" w:color="auto" w:fill="FFFFFF"/>
        </w:rPr>
        <w:t>543.50</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Times New Roman"/>
          <w:color w:val="333333"/>
          <w:sz w:val="32"/>
          <w:szCs w:val="32"/>
          <w:shd w:val="clear" w:color="auto" w:fill="FFFFFF"/>
        </w:rPr>
        <w:t>51.61%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增加了农林设施类关键性投入。</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rPr>
        <w:t>9</w:t>
      </w:r>
      <w:r>
        <w:rPr>
          <w:rFonts w:ascii="方正仿宋_GBK" w:hAnsi="方正仿宋_GBK" w:eastAsia="方正仿宋_GBK" w:cs="方正仿宋_GBK"/>
          <w:sz w:val="32"/>
          <w:szCs w:val="32"/>
          <w:shd w:val="clear" w:color="auto" w:fill="FFFFFF"/>
        </w:rPr>
        <w:t>）交通运输支出</w:t>
      </w:r>
      <w:r>
        <w:rPr>
          <w:rFonts w:ascii="Times New Roman" w:hAnsi="Times New Roman" w:eastAsia="方正仿宋_GBK" w:cs="Times New Roman"/>
          <w:color w:val="333333"/>
          <w:sz w:val="32"/>
          <w:szCs w:val="32"/>
          <w:shd w:val="clear" w:color="auto" w:fill="FFFFFF"/>
        </w:rPr>
        <w:t>253.07</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Times New Roman"/>
          <w:color w:val="333333"/>
          <w:sz w:val="32"/>
          <w:szCs w:val="32"/>
          <w:shd w:val="clear" w:color="auto" w:fill="FFFFFF"/>
        </w:rPr>
        <w:t>3.99%</w:t>
      </w:r>
      <w:r>
        <w:rPr>
          <w:rFonts w:ascii="方正仿宋_GBK" w:hAnsi="方正仿宋_GBK" w:eastAsia="方正仿宋_GBK" w:cs="方正仿宋_GBK"/>
          <w:sz w:val="32"/>
          <w:szCs w:val="32"/>
          <w:shd w:val="clear" w:color="auto" w:fill="FFFFFF"/>
        </w:rPr>
        <w:t>，较年初预算数增加</w:t>
      </w:r>
      <w:r>
        <w:rPr>
          <w:rFonts w:ascii="Times New Roman" w:hAnsi="Times New Roman" w:eastAsia="方正仿宋_GBK" w:cs="Times New Roman"/>
          <w:color w:val="333333"/>
          <w:sz w:val="32"/>
          <w:szCs w:val="32"/>
          <w:shd w:val="clear" w:color="auto" w:fill="FFFFFF"/>
        </w:rPr>
        <w:t>253.07</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Times New Roman"/>
          <w:color w:val="333333"/>
          <w:sz w:val="32"/>
          <w:szCs w:val="32"/>
          <w:shd w:val="clear" w:color="auto" w:fill="FFFFFF"/>
        </w:rPr>
        <w:t>100.00%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年初未预算。</w:t>
      </w:r>
    </w:p>
    <w:p>
      <w:pPr>
        <w:widowControl/>
        <w:ind w:firstLine="640" w:firstLineChars="200"/>
        <w:jc w:val="left"/>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rPr>
        <w:t>10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ascii="Times New Roman" w:hAnsi="Times New Roman" w:eastAsia="方正仿宋_GBK" w:cs="Times New Roman"/>
          <w:color w:val="333333"/>
          <w:sz w:val="32"/>
          <w:szCs w:val="32"/>
          <w:shd w:val="clear" w:color="auto" w:fill="FFFFFF"/>
        </w:rPr>
        <w:t>132.44</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Times New Roman"/>
          <w:color w:val="333333"/>
          <w:sz w:val="32"/>
          <w:szCs w:val="32"/>
          <w:shd w:val="clear" w:color="auto" w:fill="FFFFFF"/>
        </w:rPr>
        <w:t>2.09%</w:t>
      </w:r>
      <w:r>
        <w:rPr>
          <w:rFonts w:ascii="方正仿宋_GBK" w:hAnsi="方正仿宋_GBK" w:eastAsia="方正仿宋_GBK" w:cs="方正仿宋_GBK"/>
          <w:sz w:val="32"/>
          <w:szCs w:val="32"/>
          <w:shd w:val="clear" w:color="auto" w:fill="FFFFFF"/>
        </w:rPr>
        <w:t>，较年初预算数无增减，主要原因是住房公积金年初已按人头数生成。</w:t>
      </w:r>
    </w:p>
    <w:p>
      <w:pPr>
        <w:ind w:firstLine="640" w:firstLineChars="200"/>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rPr>
        <w:t>11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ascii="Times New Roman" w:hAnsi="Times New Roman" w:eastAsia="方正仿宋_GBK" w:cs="Times New Roman"/>
          <w:color w:val="333333"/>
          <w:sz w:val="32"/>
          <w:szCs w:val="32"/>
          <w:shd w:val="clear" w:color="auto" w:fill="FFFFFF"/>
        </w:rPr>
        <w:t>82.38</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Times New Roman"/>
          <w:color w:val="333333"/>
          <w:sz w:val="32"/>
          <w:szCs w:val="32"/>
          <w:shd w:val="clear" w:color="auto" w:fill="FFFFFF"/>
        </w:rPr>
        <w:t>1.30%</w:t>
      </w:r>
      <w:r>
        <w:rPr>
          <w:rFonts w:ascii="方正仿宋_GBK" w:hAnsi="方正仿宋_GBK" w:eastAsia="方正仿宋_GBK" w:cs="方正仿宋_GBK"/>
          <w:sz w:val="32"/>
          <w:szCs w:val="32"/>
          <w:shd w:val="clear" w:color="auto" w:fill="FFFFFF"/>
        </w:rPr>
        <w:t>，较年初预算数增加</w:t>
      </w:r>
      <w:r>
        <w:rPr>
          <w:rFonts w:ascii="Times New Roman" w:hAnsi="Times New Roman" w:eastAsia="方正仿宋_GBK" w:cs="方正仿宋_GBK"/>
          <w:sz w:val="32"/>
          <w:szCs w:val="32"/>
        </w:rPr>
        <w:t>52.38</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rPr>
        <w:t>174.60%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新增了应急救灾项目。</w:t>
      </w:r>
    </w:p>
    <w:p>
      <w:pPr>
        <w:pStyle w:val="9"/>
        <w:autoSpaceDE w:val="0"/>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（四）一般公共预算财政拨款基本支出决算情况说明</w:t>
      </w:r>
    </w:p>
    <w:p>
      <w:pPr>
        <w:widowControl/>
        <w:ind w:firstLine="640" w:firstLineChars="200"/>
        <w:jc w:val="left"/>
      </w:pPr>
      <w:r>
        <w:rPr>
          <w:rFonts w:ascii="Times New Roman" w:hAnsi="Times New Roman" w:eastAsia="方正仿宋_GBK" w:cs="Times New Roman"/>
          <w:sz w:val="32"/>
          <w:szCs w:val="32"/>
        </w:rPr>
        <w:t> 2023</w:t>
      </w:r>
      <w:r>
        <w:rPr>
          <w:rFonts w:ascii="方正仿宋_GBK" w:hAnsi="方正仿宋_GBK" w:eastAsia="方正仿宋_GBK" w:cs="方正仿宋_GBK"/>
          <w:sz w:val="32"/>
          <w:szCs w:val="32"/>
          <w:shd w:val="clear" w:color="auto" w:fill="FFFFFF"/>
        </w:rPr>
        <w:t>年度一般公共财政拨款基本支出</w:t>
      </w:r>
      <w:r>
        <w:rPr>
          <w:rFonts w:ascii="Times New Roman" w:hAnsi="Times New Roman" w:eastAsia="方正仿宋_GBK" w:cs="Times New Roman"/>
          <w:sz w:val="32"/>
          <w:szCs w:val="32"/>
        </w:rPr>
        <w:t>2713.79</w:t>
      </w:r>
      <w:r>
        <w:rPr>
          <w:rFonts w:ascii="方正仿宋_GBK" w:hAnsi="方正仿宋_GBK" w:eastAsia="方正仿宋_GBK" w:cs="方正仿宋_GBK"/>
          <w:sz w:val="32"/>
          <w:szCs w:val="32"/>
          <w:shd w:val="clear" w:color="auto" w:fill="FFFFFF"/>
        </w:rPr>
        <w:t>万元。其中：人员经费</w:t>
      </w:r>
      <w:r>
        <w:rPr>
          <w:rFonts w:ascii="Times New Roman" w:hAnsi="Times New Roman" w:eastAsia="方正仿宋_GBK" w:cs="方正仿宋_GBK"/>
          <w:sz w:val="32"/>
          <w:szCs w:val="32"/>
        </w:rPr>
        <w:t>2178</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96</w:t>
      </w:r>
      <w:r>
        <w:rPr>
          <w:rFonts w:ascii="方正仿宋_GBK" w:hAnsi="方正仿宋_GBK" w:eastAsia="方正仿宋_GBK" w:cs="方正仿宋_GBK"/>
          <w:sz w:val="32"/>
          <w:szCs w:val="32"/>
          <w:shd w:val="clear" w:color="auto" w:fill="FFFFFF"/>
        </w:rPr>
        <w:t>万元，较上年决算数增加</w:t>
      </w:r>
      <w:r>
        <w:rPr>
          <w:rFonts w:ascii="Times New Roman" w:hAnsi="Times New Roman" w:eastAsia="方正仿宋_GBK" w:cs="方正仿宋_GBK"/>
          <w:sz w:val="32"/>
          <w:szCs w:val="32"/>
          <w:shd w:val="clear" w:color="auto" w:fill="FFFFFF"/>
        </w:rPr>
        <w:t>150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28</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shd w:val="clear" w:color="auto" w:fill="FFFFFF"/>
        </w:rPr>
        <w:t>7</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41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退休</w:t>
      </w:r>
      <w:r>
        <w:rPr>
          <w:rFonts w:ascii="方正仿宋_GBK" w:hAnsi="方正仿宋_GBK" w:eastAsia="方正仿宋_GBK" w:cs="方正仿宋_GBK"/>
          <w:sz w:val="32"/>
          <w:szCs w:val="32"/>
          <w:shd w:val="clear" w:color="auto" w:fill="FFFFFF"/>
        </w:rPr>
        <w:t>人员健康休养费提高标准、增加新入职人员等</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人员经费用途主要包括基本工资、津贴补贴、奖金、社保缴费、事业单位绩效工资</w:t>
      </w:r>
      <w:bookmarkStart w:id="0" w:name="_GoBack"/>
      <w:bookmarkEnd w:id="0"/>
      <w:r>
        <w:rPr>
          <w:rFonts w:ascii="方正仿宋_GBK" w:hAnsi="方正仿宋_GBK" w:eastAsia="方正仿宋_GBK" w:cs="方正仿宋_GBK"/>
          <w:sz w:val="32"/>
          <w:szCs w:val="32"/>
          <w:shd w:val="clear" w:color="auto" w:fill="FFFFFF"/>
        </w:rPr>
        <w:t>以及其他工资福利</w:t>
      </w:r>
      <w:r>
        <w:rPr>
          <w:rFonts w:hint="eastAsia" w:ascii="方正仿宋_GBK" w:hAnsi="方正仿宋_GBK" w:eastAsia="方正仿宋_GBK" w:cs="方正仿宋_GBK"/>
          <w:sz w:val="32"/>
          <w:szCs w:val="32"/>
          <w:shd w:val="clear" w:color="auto" w:fill="FFFFFF"/>
        </w:rPr>
        <w:t>。</w:t>
      </w:r>
    </w:p>
    <w:p>
      <w:pPr>
        <w:widowControl/>
        <w:ind w:firstLine="640" w:firstLineChars="200"/>
        <w:jc w:val="left"/>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ascii="Times New Roman" w:hAnsi="Times New Roman" w:eastAsia="方正仿宋_GBK" w:cs="方正仿宋_GBK"/>
          <w:sz w:val="32"/>
          <w:szCs w:val="32"/>
        </w:rPr>
        <w:t>534</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83</w:t>
      </w:r>
      <w:r>
        <w:rPr>
          <w:rFonts w:ascii="方正仿宋_GBK" w:hAnsi="方正仿宋_GBK" w:eastAsia="方正仿宋_GBK" w:cs="方正仿宋_GBK"/>
          <w:sz w:val="32"/>
          <w:szCs w:val="32"/>
          <w:shd w:val="clear" w:color="auto" w:fill="FFFFFF"/>
        </w:rPr>
        <w:t>万元，较上年决算数增加</w:t>
      </w:r>
      <w:r>
        <w:rPr>
          <w:rFonts w:ascii="Times New Roman" w:hAnsi="Times New Roman" w:eastAsia="方正仿宋_GBK" w:cs="方正仿宋_GBK"/>
          <w:sz w:val="32"/>
          <w:szCs w:val="32"/>
          <w:shd w:val="clear" w:color="auto" w:fill="FFFFFF"/>
        </w:rPr>
        <w:t>228</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34</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shd w:val="clear" w:color="auto" w:fill="FFFFFF"/>
        </w:rPr>
        <w:t>74</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50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人员增加，相应支出增加；</w:t>
      </w:r>
      <w:r>
        <w:rPr>
          <w:rFonts w:ascii="方正仿宋_GBK" w:hAnsi="方正仿宋_GBK" w:eastAsia="方正仿宋_GBK" w:cs="方正仿宋_GBK"/>
          <w:sz w:val="32"/>
          <w:szCs w:val="32"/>
        </w:rPr>
        <w:t>物价上涨，商品和服务有所增加。</w:t>
      </w:r>
    </w:p>
    <w:p>
      <w:pPr>
        <w:widowControl/>
        <w:ind w:firstLine="640" w:firstLineChars="200"/>
        <w:jc w:val="left"/>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公用经费用途主要包括办公费、水费、电费、手续费、邮电费、物业管理费、差旅费、维修（护）费、租赁费、会议费、培训费、专用材料费、劳务费、工会经费、公务用车运行维护费等</w:t>
      </w:r>
      <w:r>
        <w:rPr>
          <w:rFonts w:hint="eastAsia" w:ascii="方正仿宋_GBK" w:hAnsi="方正仿宋_GBK" w:eastAsia="方正仿宋_GBK" w:cs="方正仿宋_GBK"/>
          <w:sz w:val="32"/>
          <w:szCs w:val="32"/>
          <w:shd w:val="clear" w:color="auto" w:fill="FFFFFF"/>
        </w:rPr>
        <w:t>。</w:t>
      </w:r>
    </w:p>
    <w:p>
      <w:pPr>
        <w:pStyle w:val="9"/>
        <w:autoSpaceDE w:val="0"/>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（五）政府性基金预算收支决算情况说明</w:t>
      </w:r>
    </w:p>
    <w:p>
      <w:pPr>
        <w:widowControl/>
        <w:ind w:firstLine="640" w:firstLineChars="200"/>
        <w:jc w:val="left"/>
        <w:rPr>
          <w:rFonts w:ascii="方正仿宋_GBK" w:hAnsi="方正仿宋_GBK"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年度政府性基金预算财政拨款年初结转结余</w:t>
      </w:r>
      <w:r>
        <w:rPr>
          <w:rFonts w:ascii="Times New Roman" w:hAnsi="Times New Roman" w:eastAsia="方正仿宋_GBK" w:cs="方正仿宋_GBK"/>
          <w:sz w:val="32"/>
          <w:szCs w:val="32"/>
        </w:rPr>
        <w:t>10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万元，年末结转结余</w:t>
      </w:r>
      <w:r>
        <w:rPr>
          <w:rFonts w:ascii="Times New Roman" w:hAnsi="Times New Roman" w:eastAsia="方正仿宋_GBK" w:cs="方正仿宋_GBK"/>
          <w:sz w:val="32"/>
          <w:szCs w:val="32"/>
        </w:rPr>
        <w:t>10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万元。本年收入</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主要原因是本部门</w:t>
      </w: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rPr>
        <w:t>3</w:t>
      </w:r>
      <w:r>
        <w:rPr>
          <w:rFonts w:hint="eastAsia" w:ascii="方正仿宋_GBK" w:hAnsi="方正仿宋_GBK" w:eastAsia="方正仿宋_GBK" w:cs="方正仿宋_GBK"/>
          <w:sz w:val="32"/>
          <w:szCs w:val="32"/>
          <w:shd w:val="clear" w:color="auto" w:fill="FFFFFF"/>
        </w:rPr>
        <w:t>年度无政府性基金预算财政拨款收支。</w:t>
      </w:r>
    </w:p>
    <w:p>
      <w:pPr>
        <w:widowControl/>
        <w:jc w:val="left"/>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本年支出</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00</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，主要原因是本部门</w:t>
      </w: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rPr>
        <w:t>3</w:t>
      </w:r>
      <w:r>
        <w:rPr>
          <w:rFonts w:hint="eastAsia" w:ascii="方正仿宋_GBK" w:hAnsi="方正仿宋_GBK" w:eastAsia="方正仿宋_GBK" w:cs="方正仿宋_GBK"/>
          <w:sz w:val="32"/>
          <w:szCs w:val="32"/>
          <w:shd w:val="clear" w:color="auto" w:fill="FFFFFF"/>
        </w:rPr>
        <w:t>年度无政府性基金预算财政拨款收支。</w:t>
      </w:r>
    </w:p>
    <w:p>
      <w:pPr>
        <w:pStyle w:val="9"/>
        <w:numPr>
          <w:ilvl w:val="0"/>
          <w:numId w:val="1"/>
        </w:numPr>
        <w:autoSpaceDE w:val="0"/>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国有资本经营预算财政拨款支出决算情况说明</w:t>
      </w:r>
    </w:p>
    <w:p>
      <w:pPr>
        <w:widowControl/>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本部门</w:t>
      </w:r>
      <w:r>
        <w:rPr>
          <w:rFonts w:hint="eastAsia" w:ascii="Times New Roman" w:hAnsi="Times New Roman" w:eastAsia="方正仿宋_GBK" w:cs="方正仿宋_GBK"/>
          <w:sz w:val="32"/>
          <w:szCs w:val="32"/>
        </w:rPr>
        <w:t>2023</w:t>
      </w:r>
      <w:r>
        <w:rPr>
          <w:rFonts w:hint="eastAsia" w:ascii="方正仿宋_GBK" w:hAnsi="方正仿宋_GBK" w:eastAsia="方正仿宋_GBK" w:cs="方正仿宋_GBK"/>
          <w:sz w:val="32"/>
          <w:szCs w:val="32"/>
        </w:rPr>
        <w:t>年度无国有资本运营预算财政拨款支出。</w:t>
      </w:r>
    </w:p>
    <w:p>
      <w:pPr>
        <w:pStyle w:val="5"/>
        <w:shd w:val="clear" w:color="auto" w:fill="FFFFFF"/>
        <w:ind w:firstLine="640" w:firstLineChars="200"/>
        <w:rPr>
          <w:rStyle w:val="7"/>
          <w:rFonts w:ascii="方正黑体_GBK" w:hAnsi="黑体" w:eastAsia="方正黑体_GBK" w:cs="黑体"/>
          <w:b w:val="0"/>
          <w:sz w:val="32"/>
          <w:szCs w:val="32"/>
          <w:shd w:val="clear" w:color="auto" w:fill="FFFFFF"/>
        </w:rPr>
      </w:pPr>
      <w:r>
        <w:rPr>
          <w:rStyle w:val="7"/>
          <w:rFonts w:hint="eastAsia" w:ascii="方正黑体_GBK" w:hAnsi="黑体" w:eastAsia="方正黑体_GBK" w:cs="黑体"/>
          <w:b w:val="0"/>
          <w:sz w:val="32"/>
          <w:szCs w:val="32"/>
          <w:shd w:val="clear" w:color="auto" w:fill="FFFFFF"/>
        </w:rPr>
        <w:t>三、“三公”经费情况说明</w:t>
      </w:r>
    </w:p>
    <w:p>
      <w:pPr>
        <w:pStyle w:val="9"/>
        <w:autoSpaceDE w:val="0"/>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 xml:space="preserve"> （一）“三公”经费支出总体情况说明</w:t>
      </w:r>
    </w:p>
    <w:p>
      <w:pPr>
        <w:widowControl/>
        <w:ind w:firstLine="640" w:firstLineChars="200"/>
        <w:jc w:val="left"/>
        <w:rPr>
          <w:rFonts w:ascii="方正仿宋_GBK" w:hAnsi="方正仿宋_GBK"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年度“三公”经费支出共计</w:t>
      </w:r>
      <w:r>
        <w:rPr>
          <w:rFonts w:ascii="Times New Roman" w:hAnsi="Times New Roman" w:eastAsia="方正仿宋_GBK" w:cs="方正仿宋_GBK"/>
          <w:sz w:val="32"/>
          <w:szCs w:val="32"/>
        </w:rPr>
        <w:t>133</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92</w:t>
      </w:r>
      <w:r>
        <w:rPr>
          <w:rFonts w:ascii="方正仿宋_GBK" w:hAnsi="方正仿宋_GBK" w:eastAsia="方正仿宋_GBK" w:cs="方正仿宋_GBK"/>
          <w:sz w:val="32"/>
          <w:szCs w:val="32"/>
          <w:shd w:val="clear" w:color="auto" w:fill="FFFFFF"/>
        </w:rPr>
        <w:t>万元，较年初预算数减少</w:t>
      </w:r>
      <w:r>
        <w:rPr>
          <w:rFonts w:ascii="Times New Roman" w:hAnsi="Times New Roman" w:eastAsia="方正仿宋_GBK" w:cs="方正仿宋_GBK"/>
          <w:sz w:val="32"/>
          <w:szCs w:val="32"/>
          <w:shd w:val="clear" w:color="auto" w:fill="FFFFFF"/>
        </w:rPr>
        <w:t>11</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08</w:t>
      </w:r>
      <w:r>
        <w:rPr>
          <w:rFonts w:ascii="方正仿宋_GBK" w:hAnsi="方正仿宋_GBK" w:eastAsia="方正仿宋_GBK" w:cs="方正仿宋_GBK"/>
          <w:sz w:val="32"/>
          <w:szCs w:val="32"/>
          <w:shd w:val="clear" w:color="auto" w:fill="FFFFFF"/>
        </w:rPr>
        <w:t>万元，下降</w:t>
      </w:r>
      <w:r>
        <w:rPr>
          <w:rFonts w:ascii="Times New Roman" w:hAnsi="Times New Roman" w:eastAsia="方正仿宋_GBK" w:cs="方正仿宋_GBK"/>
          <w:sz w:val="32"/>
          <w:szCs w:val="32"/>
          <w:shd w:val="clear" w:color="auto" w:fill="FFFFFF"/>
        </w:rPr>
        <w:t>7</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64</w:t>
      </w:r>
      <w:r>
        <w:rPr>
          <w:rFonts w:ascii="方正仿宋_GBK" w:hAnsi="方正仿宋_GBK" w:eastAsia="方正仿宋_GBK" w:cs="方正仿宋_GBK"/>
          <w:sz w:val="32"/>
          <w:szCs w:val="32"/>
          <w:shd w:val="clear" w:color="auto" w:fill="FFFFFF"/>
        </w:rPr>
        <w:t>%，主要原因是一是认真贯彻落实中央八项规定精神和厉行节约要求，按照只减不增的要求从严控制三公经费。强化公务接待支出管理，严格遵守公务接待开支范围和开支标准，严格控制陪餐人数；二是进一步规范因公出国（境）活动，今年未安排单位人员出国（境）。</w:t>
      </w:r>
    </w:p>
    <w:p>
      <w:pPr>
        <w:widowControl/>
        <w:ind w:firstLine="640" w:firstLineChars="200"/>
        <w:jc w:val="left"/>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较上年支出数减少</w:t>
      </w:r>
      <w:r>
        <w:rPr>
          <w:rFonts w:ascii="Times New Roman" w:hAnsi="Times New Roman" w:eastAsia="方正仿宋_GBK" w:cs="方正仿宋_GBK"/>
          <w:sz w:val="32"/>
          <w:szCs w:val="32"/>
          <w:shd w:val="clear" w:color="auto" w:fill="FFFFFF"/>
        </w:rPr>
        <w:t>21</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14</w:t>
      </w:r>
      <w:r>
        <w:rPr>
          <w:rFonts w:ascii="方正仿宋_GBK" w:hAnsi="方正仿宋_GBK" w:eastAsia="方正仿宋_GBK" w:cs="方正仿宋_GBK"/>
          <w:sz w:val="32"/>
          <w:szCs w:val="32"/>
          <w:shd w:val="clear" w:color="auto" w:fill="FFFFFF"/>
        </w:rPr>
        <w:t>万元，下降</w:t>
      </w:r>
      <w:r>
        <w:rPr>
          <w:rFonts w:ascii="Times New Roman" w:hAnsi="Times New Roman" w:eastAsia="方正仿宋_GBK" w:cs="方正仿宋_GBK"/>
          <w:sz w:val="32"/>
          <w:szCs w:val="32"/>
          <w:shd w:val="clear" w:color="auto" w:fill="FFFFFF"/>
        </w:rPr>
        <w:t>13</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63</w:t>
      </w:r>
      <w:r>
        <w:rPr>
          <w:rFonts w:ascii="方正仿宋_GBK" w:hAnsi="方正仿宋_GBK" w:eastAsia="方正仿宋_GBK" w:cs="方正仿宋_GBK"/>
          <w:sz w:val="32"/>
          <w:szCs w:val="32"/>
          <w:shd w:val="clear" w:color="auto" w:fill="FFFFFF"/>
        </w:rPr>
        <w:t>%，主要原因是一是认真贯彻落实中央八项规定精神和厉行节约要求，按照只减不增的要求从严控制三公经费。强化公务接待支出管理，严格遵守公务接待开支范围和开支标准，严格控制陪餐人数；二是进一步规范因公出国（境）活动，今年未安排单位人员出国（境）。</w:t>
      </w:r>
    </w:p>
    <w:p>
      <w:pPr>
        <w:pStyle w:val="9"/>
        <w:autoSpaceDE w:val="0"/>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（二）“三公”经费分项支出情况</w:t>
      </w:r>
    </w:p>
    <w:p>
      <w:pPr>
        <w:ind w:firstLine="640" w:firstLineChars="200"/>
        <w:rPr>
          <w:rFonts w:ascii="方正仿宋_GBK" w:hAnsi="方正仿宋_GBK" w:eastAsia="方正仿宋_GBK" w:cs="方正仿宋_GBK"/>
          <w:sz w:val="32"/>
          <w:szCs w:val="32"/>
        </w:rPr>
      </w:pP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年度本部门因公出国（境）费用</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万元，费用支出</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00</w:t>
      </w:r>
      <w:r>
        <w:rPr>
          <w:rFonts w:ascii="方正仿宋_GBK" w:hAnsi="方正仿宋_GBK" w:eastAsia="方正仿宋_GBK" w:cs="方正仿宋_GBK"/>
          <w:sz w:val="32"/>
          <w:szCs w:val="32"/>
          <w:shd w:val="clear" w:color="auto" w:fill="FFFFFF"/>
        </w:rPr>
        <w:t>万元，较上年支出数增加</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年度我单位无因公出国（境）支出，与上年度决算持平。</w:t>
      </w:r>
    </w:p>
    <w:p>
      <w:pPr>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公务车购置费</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万元，费用支出较年初预算数增加</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%。较上年支出数增加</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rPr>
        <w:t>部门</w:t>
      </w: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年度未发生公务用车购置费，与上年决算数持平。</w:t>
      </w:r>
    </w:p>
    <w:p>
      <w:pPr>
        <w:widowControl/>
        <w:jc w:val="left"/>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公务车运行维护费</w:t>
      </w:r>
      <w:r>
        <w:rPr>
          <w:rFonts w:ascii="Times New Roman" w:hAnsi="Times New Roman" w:eastAsia="方正仿宋_GBK" w:cs="方正仿宋_GBK"/>
          <w:sz w:val="32"/>
          <w:szCs w:val="32"/>
        </w:rPr>
        <w:t>133</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88</w:t>
      </w:r>
      <w:r>
        <w:rPr>
          <w:rFonts w:ascii="方正仿宋_GBK" w:hAnsi="方正仿宋_GBK" w:eastAsia="方正仿宋_GBK" w:cs="方正仿宋_GBK"/>
          <w:sz w:val="32"/>
          <w:szCs w:val="32"/>
          <w:shd w:val="clear" w:color="auto" w:fill="FFFFFF"/>
        </w:rPr>
        <w:t>万元，主要用于机要文件交换、市内因公出行、执法检查等工作所需车辆的燃料费、维修费、路桥费、保险费等。</w:t>
      </w:r>
    </w:p>
    <w:p>
      <w:pPr>
        <w:widowControl/>
        <w:ind w:firstLine="640" w:firstLineChars="200"/>
        <w:jc w:val="left"/>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费用支出较年初预算数减少</w:t>
      </w:r>
      <w:r>
        <w:rPr>
          <w:rFonts w:ascii="Times New Roman" w:hAnsi="Times New Roman" w:eastAsia="方正仿宋_GBK" w:cs="方正仿宋_GBK"/>
          <w:sz w:val="32"/>
          <w:szCs w:val="32"/>
          <w:shd w:val="clear" w:color="auto" w:fill="FFFFFF"/>
        </w:rPr>
        <w:t>6</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12</w:t>
      </w:r>
      <w:r>
        <w:rPr>
          <w:rFonts w:ascii="方正仿宋_GBK" w:hAnsi="方正仿宋_GBK" w:eastAsia="方正仿宋_GBK" w:cs="方正仿宋_GBK"/>
          <w:sz w:val="32"/>
          <w:szCs w:val="32"/>
          <w:shd w:val="clear" w:color="auto" w:fill="FFFFFF"/>
        </w:rPr>
        <w:t>万元，下降</w:t>
      </w:r>
      <w:r>
        <w:rPr>
          <w:rFonts w:ascii="Times New Roman" w:hAnsi="Times New Roman"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37</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rPr>
        <w:t>严格控制预算，合理安排公车出行。较上年支出数减少</w:t>
      </w:r>
      <w:r>
        <w:rPr>
          <w:rFonts w:ascii="Times New Roman" w:hAnsi="Times New Roman" w:eastAsia="方正仿宋_GBK" w:cs="方正仿宋_GBK"/>
          <w:sz w:val="32"/>
          <w:szCs w:val="32"/>
        </w:rPr>
        <w:t>20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42</w:t>
      </w:r>
      <w:r>
        <w:rPr>
          <w:rFonts w:ascii="方正仿宋_GBK" w:hAnsi="方正仿宋_GBK" w:eastAsia="方正仿宋_GBK" w:cs="方正仿宋_GBK"/>
          <w:sz w:val="32"/>
          <w:szCs w:val="32"/>
        </w:rPr>
        <w:t>万元，下降</w:t>
      </w:r>
      <w:r>
        <w:rPr>
          <w:rFonts w:ascii="Times New Roman" w:hAnsi="Times New Roman" w:eastAsia="方正仿宋_GBK" w:cs="方正仿宋_GBK"/>
          <w:sz w:val="32"/>
          <w:szCs w:val="32"/>
        </w:rPr>
        <w:t>13</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6</w:t>
      </w:r>
      <w:r>
        <w:rPr>
          <w:rFonts w:ascii="方正仿宋_GBK" w:hAnsi="方正仿宋_GBK" w:eastAsia="方正仿宋_GBK" w:cs="方正仿宋_GBK"/>
          <w:sz w:val="32"/>
          <w:szCs w:val="32"/>
        </w:rPr>
        <w:t>%，主要原因：严格公务车管理，合理安排公务用车使用。</w:t>
      </w:r>
      <w:r>
        <w:rPr>
          <w:rFonts w:ascii="方正仿宋_GBK" w:hAnsi="方正仿宋_GBK" w:eastAsia="方正仿宋_GBK" w:cs="方正仿宋_GBK"/>
          <w:sz w:val="32"/>
          <w:szCs w:val="32"/>
          <w:shd w:val="clear" w:color="auto" w:fill="FFFFFF"/>
        </w:rPr>
        <w:t>较上年支出数减少</w:t>
      </w:r>
      <w:r>
        <w:rPr>
          <w:rFonts w:ascii="Times New Roman" w:hAnsi="Times New Roman" w:eastAsia="方正仿宋_GBK" w:cs="方正仿宋_GBK"/>
          <w:sz w:val="32"/>
          <w:szCs w:val="32"/>
          <w:shd w:val="clear" w:color="auto" w:fill="FFFFFF"/>
        </w:rPr>
        <w:t>20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91</w:t>
      </w:r>
      <w:r>
        <w:rPr>
          <w:rFonts w:ascii="方正仿宋_GBK" w:hAnsi="方正仿宋_GBK" w:eastAsia="方正仿宋_GBK" w:cs="方正仿宋_GBK"/>
          <w:sz w:val="32"/>
          <w:szCs w:val="32"/>
          <w:shd w:val="clear" w:color="auto" w:fill="FFFFFF"/>
        </w:rPr>
        <w:t>万元，下降</w:t>
      </w:r>
      <w:r>
        <w:rPr>
          <w:rFonts w:ascii="Times New Roman" w:hAnsi="Times New Roman" w:eastAsia="方正仿宋_GBK" w:cs="方正仿宋_GBK"/>
          <w:sz w:val="32"/>
          <w:szCs w:val="32"/>
          <w:shd w:val="clear" w:color="auto" w:fill="FFFFFF"/>
        </w:rPr>
        <w:t>13</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51</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rPr>
        <w:t>严格公务车管理，合理安排公务用车使用。</w:t>
      </w:r>
    </w:p>
    <w:p>
      <w:pPr>
        <w:widowControl/>
        <w:jc w:val="left"/>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公务接待费</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04</w:t>
      </w:r>
      <w:r>
        <w:rPr>
          <w:rFonts w:ascii="方正仿宋_GBK" w:hAnsi="方正仿宋_GBK" w:eastAsia="方正仿宋_GBK" w:cs="方正仿宋_GBK"/>
          <w:sz w:val="32"/>
          <w:szCs w:val="32"/>
          <w:shd w:val="clear" w:color="auto" w:fill="FFFFFF"/>
        </w:rPr>
        <w:t>万元，主要用于接待区外单位来我单位交流学习产生的费用。</w:t>
      </w:r>
    </w:p>
    <w:p>
      <w:pPr>
        <w:widowControl/>
        <w:ind w:firstLine="640" w:firstLineChars="200"/>
        <w:jc w:val="left"/>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费用支出较年初预算数减少</w:t>
      </w:r>
      <w:r>
        <w:rPr>
          <w:rFonts w:ascii="Times New Roman" w:hAnsi="Times New Roman"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96</w:t>
      </w:r>
      <w:r>
        <w:rPr>
          <w:rFonts w:ascii="方正仿宋_GBK" w:hAnsi="方正仿宋_GBK" w:eastAsia="方正仿宋_GBK" w:cs="方正仿宋_GBK"/>
          <w:sz w:val="32"/>
          <w:szCs w:val="32"/>
          <w:shd w:val="clear" w:color="auto" w:fill="FFFFFF"/>
        </w:rPr>
        <w:t>万元，下降</w:t>
      </w:r>
      <w:r>
        <w:rPr>
          <w:rFonts w:ascii="Times New Roman" w:hAnsi="Times New Roman" w:eastAsia="方正仿宋_GBK" w:cs="方正仿宋_GBK"/>
          <w:sz w:val="32"/>
          <w:szCs w:val="32"/>
          <w:shd w:val="clear" w:color="auto" w:fill="FFFFFF"/>
        </w:rPr>
        <w:t>99</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20</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rPr>
        <w:t>认真贯彻落实中央八项规定精神和厉行节约要求，按照只减不增的要求从严控制“三公”经费，严格遵守公务接待开支范围和开支标准。强化公务接待支出管理，严格控制陪餐人数。</w:t>
      </w:r>
      <w:r>
        <w:rPr>
          <w:rFonts w:ascii="方正仿宋_GBK" w:hAnsi="方正仿宋_GBK" w:eastAsia="方正仿宋_GBK" w:cs="方正仿宋_GBK"/>
          <w:sz w:val="32"/>
          <w:szCs w:val="32"/>
          <w:shd w:val="clear" w:color="auto" w:fill="FFFFFF"/>
        </w:rPr>
        <w:t>较上年支出数减少</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23</w:t>
      </w:r>
      <w:r>
        <w:rPr>
          <w:rFonts w:ascii="方正仿宋_GBK" w:hAnsi="方正仿宋_GBK" w:eastAsia="方正仿宋_GBK" w:cs="方正仿宋_GBK"/>
          <w:sz w:val="32"/>
          <w:szCs w:val="32"/>
          <w:shd w:val="clear" w:color="auto" w:fill="FFFFFF"/>
        </w:rPr>
        <w:t>万元，下降</w:t>
      </w:r>
      <w:r>
        <w:rPr>
          <w:rFonts w:ascii="Times New Roman" w:hAnsi="Times New Roman" w:eastAsia="方正仿宋_GBK" w:cs="方正仿宋_GBK"/>
          <w:sz w:val="32"/>
          <w:szCs w:val="32"/>
          <w:shd w:val="clear" w:color="auto" w:fill="FFFFFF"/>
        </w:rPr>
        <w:t>85</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19</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rPr>
        <w:t>严格按照公务接待的规定据实报销。</w:t>
      </w:r>
    </w:p>
    <w:p>
      <w:pPr>
        <w:pStyle w:val="9"/>
        <w:autoSpaceDE w:val="0"/>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（三）“三公”经费实物量情况</w:t>
      </w:r>
    </w:p>
    <w:p>
      <w:pPr>
        <w:pStyle w:val="5"/>
        <w:snapToGrid w:val="0"/>
        <w:spacing w:before="0" w:beforeAutospacing="0" w:after="0" w:afterAutospacing="0" w:line="600" w:lineRule="exact"/>
        <w:ind w:firstLine="640" w:firstLineChars="200"/>
        <w:rPr>
          <w:rFonts w:ascii="Times New Roman" w:hAnsi="Times New Roman" w:eastAsia="方正仿宋_GBK"/>
          <w:bCs/>
          <w:sz w:val="32"/>
          <w:szCs w:val="32"/>
        </w:rPr>
      </w:pP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年度本部门因公出国（境）共计</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Times New Roman" w:hAnsi="Times New Roman" w:eastAsia="方正仿宋_GBK" w:cs="方正仿宋_GBK"/>
          <w:sz w:val="32"/>
          <w:szCs w:val="32"/>
        </w:rPr>
        <w:t>16</w:t>
      </w:r>
      <w:r>
        <w:rPr>
          <w:rFonts w:ascii="方正仿宋_GBK" w:hAnsi="方正仿宋_GBK" w:eastAsia="方正仿宋_GBK" w:cs="方正仿宋_GBK"/>
          <w:sz w:val="32"/>
          <w:szCs w:val="32"/>
          <w:shd w:val="clear" w:color="auto" w:fill="FFFFFF"/>
        </w:rPr>
        <w:t>辆；国内公务接待</w:t>
      </w:r>
      <w:r>
        <w:rPr>
          <w:rFonts w:ascii="Times New Roman" w:hAnsi="Times New Roman" w:eastAsia="方正仿宋_GBK" w:cs="方正仿宋_GBK"/>
          <w:sz w:val="32"/>
          <w:szCs w:val="32"/>
        </w:rPr>
        <w:t>1</w:t>
      </w:r>
      <w:r>
        <w:rPr>
          <w:rFonts w:ascii="方正仿宋_GBK" w:hAnsi="方正仿宋_GBK" w:eastAsia="方正仿宋_GBK" w:cs="方正仿宋_GBK"/>
          <w:sz w:val="32"/>
          <w:szCs w:val="32"/>
          <w:shd w:val="clear" w:color="auto" w:fill="FFFFFF"/>
        </w:rPr>
        <w:t>批次</w:t>
      </w:r>
      <w:r>
        <w:rPr>
          <w:rFonts w:ascii="Times New Roman" w:hAnsi="Times New Roman" w:eastAsia="方正仿宋_GBK" w:cs="方正仿宋_GBK"/>
          <w:sz w:val="32"/>
          <w:szCs w:val="32"/>
        </w:rPr>
        <w:t>3</w:t>
      </w:r>
      <w:r>
        <w:rPr>
          <w:rFonts w:ascii="方正仿宋_GBK" w:hAnsi="方正仿宋_GBK" w:eastAsia="方正仿宋_GBK" w:cs="方正仿宋_GBK"/>
          <w:sz w:val="32"/>
          <w:szCs w:val="32"/>
          <w:shd w:val="clear" w:color="auto" w:fill="FFFFFF"/>
        </w:rPr>
        <w:t>人，其中：国内外事接待</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年本部门人均接待费</w:t>
      </w:r>
      <w:r>
        <w:rPr>
          <w:rFonts w:ascii="Times New Roman" w:hAnsi="Times New Roman" w:eastAsia="方正仿宋_GBK" w:cs="方正仿宋_GBK"/>
          <w:sz w:val="32"/>
          <w:szCs w:val="32"/>
        </w:rPr>
        <w:t>144</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元，车均购置费</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Times New Roman" w:hAnsi="Times New Roman" w:eastAsia="方正仿宋_GBK" w:cs="方正仿宋_GBK"/>
          <w:sz w:val="32"/>
          <w:szCs w:val="32"/>
        </w:rPr>
        <w:t>8</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37</w:t>
      </w:r>
      <w:r>
        <w:rPr>
          <w:rFonts w:ascii="方正仿宋_GBK" w:hAnsi="方正仿宋_GBK" w:eastAsia="方正仿宋_GBK" w:cs="方正仿宋_GBK"/>
          <w:sz w:val="32"/>
          <w:szCs w:val="32"/>
          <w:shd w:val="clear" w:color="auto" w:fill="FFFFFF"/>
        </w:rPr>
        <w:t>万元。</w:t>
      </w:r>
    </w:p>
    <w:p>
      <w:pPr>
        <w:pStyle w:val="5"/>
        <w:shd w:val="clear" w:color="auto" w:fill="FFFFFF"/>
        <w:ind w:firstLine="640" w:firstLineChars="200"/>
        <w:rPr>
          <w:rStyle w:val="7"/>
          <w:rFonts w:ascii="方正黑体_GBK" w:hAnsi="方正仿宋_GBK" w:eastAsia="方正黑体_GBK" w:cs="方正仿宋_GBK"/>
          <w:b w:val="0"/>
          <w:sz w:val="32"/>
          <w:szCs w:val="32"/>
          <w:shd w:val="clear" w:color="auto" w:fill="FFFFFF"/>
        </w:rPr>
      </w:pPr>
      <w:r>
        <w:rPr>
          <w:rStyle w:val="7"/>
          <w:rFonts w:hint="eastAsia" w:ascii="方正黑体_GBK" w:hAnsi="黑体" w:eastAsia="方正黑体_GBK" w:cs="黑体"/>
          <w:b w:val="0"/>
          <w:sz w:val="32"/>
          <w:szCs w:val="32"/>
          <w:shd w:val="clear" w:color="auto" w:fill="FFFFFF"/>
        </w:rPr>
        <w:t>四、其他需要说明的事项</w:t>
      </w:r>
    </w:p>
    <w:p>
      <w:pPr>
        <w:pStyle w:val="9"/>
        <w:autoSpaceDE w:val="0"/>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（一）财政拨款会议费和培训费情况说明</w:t>
      </w:r>
    </w:p>
    <w:p>
      <w:pPr>
        <w:widowControl/>
        <w:ind w:firstLine="640" w:firstLineChars="200"/>
        <w:jc w:val="left"/>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ascii="Times New Roman" w:hAnsi="Times New Roman" w:eastAsia="方正仿宋_GBK" w:cs="方正仿宋_GBK"/>
          <w:sz w:val="32"/>
          <w:szCs w:val="32"/>
        </w:rPr>
        <w:t>5</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64</w:t>
      </w:r>
      <w:r>
        <w:rPr>
          <w:rFonts w:ascii="方正仿宋_GBK" w:hAnsi="方正仿宋_GBK" w:eastAsia="方正仿宋_GBK" w:cs="方正仿宋_GBK"/>
          <w:sz w:val="32"/>
          <w:szCs w:val="32"/>
          <w:shd w:val="clear" w:color="auto" w:fill="FFFFFF"/>
        </w:rPr>
        <w:t>万元，较上年决算数增加</w:t>
      </w:r>
      <w:r>
        <w:rPr>
          <w:rFonts w:ascii="Times New Roman" w:hAnsi="Times New Roman"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98</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shd w:val="clear" w:color="auto" w:fill="FFFFFF"/>
        </w:rPr>
        <w:t>754</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55</w:t>
      </w:r>
      <w:r>
        <w:rPr>
          <w:rFonts w:ascii="方正仿宋_GBK" w:hAnsi="方正仿宋_GBK" w:eastAsia="方正仿宋_GBK" w:cs="方正仿宋_GBK"/>
          <w:sz w:val="32"/>
          <w:szCs w:val="32"/>
          <w:shd w:val="clear" w:color="auto" w:fill="FFFFFF"/>
        </w:rPr>
        <w:t>%，主要原因是因工作需要，较上年度会议有所增加。</w:t>
      </w:r>
    </w:p>
    <w:p>
      <w:pPr>
        <w:widowControl/>
        <w:ind w:firstLine="640" w:firstLineChars="200"/>
        <w:jc w:val="left"/>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本年度培训费支出</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94</w:t>
      </w:r>
      <w:r>
        <w:rPr>
          <w:rFonts w:ascii="方正仿宋_GBK" w:hAnsi="方正仿宋_GBK" w:eastAsia="方正仿宋_GBK" w:cs="方正仿宋_GBK"/>
          <w:sz w:val="32"/>
          <w:szCs w:val="32"/>
          <w:shd w:val="clear" w:color="auto" w:fill="FFFFFF"/>
        </w:rPr>
        <w:t>万元，较上年决算数增加</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75</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shd w:val="clear" w:color="auto" w:fill="FFFFFF"/>
        </w:rPr>
        <w:t>394</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74</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rPr>
        <w:t>事业单位技术人员按照人力资源和社会保障局要求进行专业技能培训。</w:t>
      </w:r>
    </w:p>
    <w:p>
      <w:pPr>
        <w:pStyle w:val="9"/>
        <w:autoSpaceDE w:val="0"/>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（二）机关运行经费情况说明</w:t>
      </w:r>
    </w:p>
    <w:p>
      <w:pPr>
        <w:widowControl/>
        <w:ind w:firstLine="640" w:firstLineChars="200"/>
        <w:jc w:val="left"/>
        <w:rPr>
          <w:rFonts w:ascii="方正仿宋_GBK" w:hAnsi="方正仿宋_GBK" w:eastAsia="方正仿宋_GBK" w:cs="方正仿宋_GBK"/>
          <w:sz w:val="32"/>
          <w:szCs w:val="32"/>
        </w:rPr>
      </w:pP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年度本部门机关运行经费支出</w:t>
      </w:r>
      <w:r>
        <w:rPr>
          <w:rFonts w:ascii="Times New Roman" w:hAnsi="Times New Roman" w:eastAsia="方正仿宋_GBK" w:cs="方正仿宋_GBK"/>
          <w:sz w:val="32"/>
          <w:szCs w:val="32"/>
        </w:rPr>
        <w:t>400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78</w:t>
      </w:r>
      <w:r>
        <w:rPr>
          <w:rFonts w:ascii="方正仿宋_GBK" w:hAnsi="方正仿宋_GBK" w:eastAsia="方正仿宋_GBK" w:cs="方正仿宋_GBK"/>
          <w:sz w:val="32"/>
          <w:szCs w:val="32"/>
          <w:shd w:val="clear" w:color="auto" w:fill="FFFFFF"/>
        </w:rPr>
        <w:t>万元，机关运行经费主要用于开支办公费、手续费、水费、电费、物业管理费、差旅费、维修（护）费、会议费、培训费、劳务费、公务接待、公车运行等。机关运行经费较上年支出数增加</w:t>
      </w:r>
      <w:r>
        <w:rPr>
          <w:rFonts w:ascii="Times New Roman" w:hAnsi="Times New Roman" w:eastAsia="方正仿宋_GBK" w:cs="方正仿宋_GBK"/>
          <w:sz w:val="32"/>
          <w:szCs w:val="32"/>
          <w:shd w:val="clear" w:color="auto" w:fill="FFFFFF"/>
        </w:rPr>
        <w:t>95</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85</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shd w:val="clear" w:color="auto" w:fill="FFFFFF"/>
        </w:rPr>
        <w:t>31</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43</w:t>
      </w:r>
      <w:r>
        <w:rPr>
          <w:rFonts w:ascii="方正仿宋_GBK" w:hAnsi="方正仿宋_GBK" w:eastAsia="方正仿宋_GBK" w:cs="方正仿宋_GBK"/>
          <w:sz w:val="32"/>
          <w:szCs w:val="32"/>
          <w:shd w:val="clear" w:color="auto" w:fill="FFFFFF"/>
        </w:rPr>
        <w:t>%，主要原因是物价上涨，人员增加。</w:t>
      </w:r>
    </w:p>
    <w:p>
      <w:pPr>
        <w:pStyle w:val="9"/>
        <w:autoSpaceDE w:val="0"/>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（三）国有资产占用情况说明</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ascii="Times New Roman" w:hAnsi="Times New Roman" w:eastAsia="方正仿宋_GBK" w:cs="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ascii="Times New Roman" w:hAnsi="Times New Roman" w:eastAsia="方正仿宋_GBK" w:cs="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ascii="Times New Roman" w:hAnsi="Times New Roman" w:eastAsia="方正仿宋_GBK" w:cs="方正仿宋_GBK"/>
          <w:sz w:val="32"/>
          <w:szCs w:val="32"/>
        </w:rPr>
        <w:t>16</w:t>
      </w:r>
      <w:r>
        <w:rPr>
          <w:rFonts w:ascii="方正仿宋_GBK" w:hAnsi="方正仿宋_GBK" w:eastAsia="方正仿宋_GBK" w:cs="方正仿宋_GBK"/>
          <w:sz w:val="32"/>
          <w:szCs w:val="32"/>
          <w:shd w:val="clear" w:color="auto" w:fill="FFFFFF"/>
        </w:rPr>
        <w:t>辆，其中，副部（省）级及以上领导用车</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Times New Roman" w:hAnsi="Times New Roman" w:eastAsia="方正仿宋_GBK" w:cs="方正仿宋_GBK"/>
          <w:sz w:val="32"/>
          <w:szCs w:val="32"/>
        </w:rPr>
        <w:t>1</w:t>
      </w:r>
      <w:r>
        <w:rPr>
          <w:rFonts w:ascii="方正仿宋_GBK" w:hAnsi="方正仿宋_GBK" w:eastAsia="方正仿宋_GBK" w:cs="方正仿宋_GBK"/>
          <w:sz w:val="32"/>
          <w:szCs w:val="32"/>
          <w:shd w:val="clear" w:color="auto" w:fill="FFFFFF"/>
        </w:rPr>
        <w:t>辆、应急保障用车</w:t>
      </w:r>
      <w:r>
        <w:rPr>
          <w:rFonts w:ascii="Times New Roman" w:hAnsi="Times New Roman" w:eastAsia="方正仿宋_GBK" w:cs="方正仿宋_GBK"/>
          <w:sz w:val="32"/>
          <w:szCs w:val="32"/>
        </w:rPr>
        <w:t>1</w:t>
      </w:r>
      <w:r>
        <w:rPr>
          <w:rFonts w:ascii="方正仿宋_GBK" w:hAnsi="方正仿宋_GBK" w:eastAsia="方正仿宋_GBK" w:cs="方正仿宋_GBK"/>
          <w:sz w:val="32"/>
          <w:szCs w:val="32"/>
          <w:shd w:val="clear" w:color="auto" w:fill="FFFFFF"/>
        </w:rPr>
        <w:t>辆、执法执勤用车</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Times New Roman" w:hAnsi="Times New Roman" w:eastAsia="方正仿宋_GBK" w:cs="方正仿宋_GBK"/>
          <w:sz w:val="32"/>
          <w:szCs w:val="32"/>
        </w:rPr>
        <w:t>14</w:t>
      </w:r>
      <w:r>
        <w:rPr>
          <w:rFonts w:ascii="方正仿宋_GBK" w:hAnsi="方正仿宋_GBK" w:eastAsia="方正仿宋_GBK" w:cs="方正仿宋_GBK"/>
          <w:sz w:val="32"/>
          <w:szCs w:val="32"/>
          <w:shd w:val="clear" w:color="auto" w:fill="FFFFFF"/>
        </w:rPr>
        <w:t>辆，离退休干部用车</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辆。单价</w:t>
      </w:r>
      <w:r>
        <w:rPr>
          <w:rFonts w:ascii="Times New Roman" w:hAnsi="Times New Roman" w:eastAsia="方正仿宋_GBK" w:cs="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9"/>
        <w:autoSpaceDE w:val="0"/>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（四）政府采购支出情况说明</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年度本部门政府采购支出总额</w:t>
      </w:r>
      <w:r>
        <w:rPr>
          <w:rFonts w:ascii="Times New Roman" w:hAnsi="Times New Roman" w:eastAsia="方正仿宋_GBK" w:cs="方正仿宋_GBK"/>
          <w:sz w:val="32"/>
          <w:szCs w:val="32"/>
        </w:rPr>
        <w:t>99</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万元，其中：政府采购货物支出</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万元、政府采购工程支出</w:t>
      </w:r>
      <w:r>
        <w:rPr>
          <w:rFonts w:ascii="Times New Roman" w:hAnsi="Times New Roman" w:eastAsia="方正仿宋_GBK" w:cs="方正仿宋_GBK"/>
          <w:sz w:val="32"/>
          <w:szCs w:val="32"/>
        </w:rPr>
        <w:t>99</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万元、政府采购服务支出</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万元。授予中小企业合同金额</w:t>
      </w:r>
      <w:r>
        <w:rPr>
          <w:rFonts w:ascii="Times New Roman" w:hAnsi="Times New Roman" w:eastAsia="方正仿宋_GBK" w:cs="方正仿宋_GBK"/>
          <w:sz w:val="32"/>
          <w:szCs w:val="32"/>
        </w:rPr>
        <w:t>99</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ascii="Times New Roman" w:hAnsi="Times New Roman" w:eastAsia="方正仿宋_GBK" w:cs="方正仿宋_GBK"/>
          <w:sz w:val="32"/>
          <w:szCs w:val="32"/>
        </w:rPr>
        <w:t>100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%，其中：授予小微企业合同金额</w:t>
      </w:r>
      <w:r>
        <w:rPr>
          <w:rFonts w:ascii="Times New Roman" w:hAnsi="Times New Roman" w:eastAsia="方正仿宋_GBK" w:cs="方正仿宋_GBK"/>
          <w:sz w:val="32"/>
          <w:szCs w:val="32"/>
        </w:rPr>
        <w:t>99</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万元，占政府采购支出总额的</w:t>
      </w:r>
      <w:r>
        <w:rPr>
          <w:rFonts w:ascii="Times New Roman" w:hAnsi="Times New Roman" w:eastAsia="方正仿宋_GBK" w:cs="方正仿宋_GBK"/>
          <w:sz w:val="32"/>
          <w:szCs w:val="32"/>
        </w:rPr>
        <w:t>100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sz w:val="32"/>
          <w:szCs w:val="32"/>
          <w:shd w:val="clear" w:color="auto" w:fill="FFFFFF"/>
        </w:rPr>
        <w:t>农村联网路（梯子村十四组）建设项目。</w:t>
      </w:r>
    </w:p>
    <w:p>
      <w:pPr>
        <w:pStyle w:val="5"/>
        <w:numPr>
          <w:ilvl w:val="0"/>
          <w:numId w:val="2"/>
        </w:numPr>
        <w:shd w:val="clear" w:color="auto" w:fill="FFFFFF"/>
        <w:ind w:firstLine="640" w:firstLineChars="200"/>
        <w:rPr>
          <w:rStyle w:val="7"/>
          <w:rFonts w:ascii="方正黑体_GBK" w:hAnsi="黑体" w:eastAsia="方正黑体_GBK" w:cs="黑体"/>
          <w:b w:val="0"/>
          <w:sz w:val="32"/>
          <w:szCs w:val="32"/>
          <w:shd w:val="clear" w:color="auto" w:fill="FFFFFF"/>
        </w:rPr>
      </w:pPr>
      <w:r>
        <w:rPr>
          <w:rStyle w:val="7"/>
          <w:rFonts w:hint="eastAsia" w:ascii="方正黑体_GBK" w:hAnsi="黑体" w:eastAsia="方正黑体_GBK" w:cs="黑体"/>
          <w:b w:val="0"/>
          <w:sz w:val="32"/>
          <w:szCs w:val="32"/>
          <w:shd w:val="clear" w:color="auto" w:fill="FFFFFF"/>
        </w:rPr>
        <w:t>预算绩效管理情况说明</w:t>
      </w:r>
    </w:p>
    <w:p>
      <w:pPr>
        <w:ind w:firstLine="640" w:firstLineChars="200"/>
      </w:pPr>
      <w:r>
        <w:rPr>
          <w:rFonts w:hint="eastAsia" w:ascii="方正楷体_GBK" w:hAnsi="方正楷体_GBK" w:eastAsia="方正楷体_GBK" w:cs="方正楷体_GBK"/>
          <w:sz w:val="32"/>
          <w:szCs w:val="32"/>
        </w:rPr>
        <w:t>（一）预算绩效管理工作开展情况</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根据预算绩效管理要求，我单位对部门整体和</w:t>
      </w:r>
      <w:r>
        <w:rPr>
          <w:rFonts w:hint="eastAsia" w:ascii="Times New Roman" w:hAnsi="Times New Roman" w:eastAsia="方正仿宋_GBK" w:cs="方正仿宋_GBK"/>
          <w:sz w:val="32"/>
          <w:szCs w:val="32"/>
        </w:rPr>
        <w:t>55</w:t>
      </w:r>
      <w:r>
        <w:rPr>
          <w:rFonts w:hint="eastAsia" w:ascii="方正仿宋_GBK" w:hAnsi="方正仿宋_GBK" w:eastAsia="方正仿宋_GBK" w:cs="方正仿宋_GBK"/>
          <w:sz w:val="32"/>
          <w:szCs w:val="32"/>
        </w:rPr>
        <w:t>个项目开展了绩效自评，其中，以填报自评表形式开展自评</w:t>
      </w:r>
      <w:r>
        <w:rPr>
          <w:rFonts w:hint="eastAsia" w:ascii="Times New Roman" w:hAnsi="Times New Roman" w:eastAsia="方正仿宋_GBK" w:cs="方正仿宋_GBK"/>
          <w:sz w:val="32"/>
          <w:szCs w:val="32"/>
        </w:rPr>
        <w:t>55</w:t>
      </w:r>
      <w:r>
        <w:rPr>
          <w:rFonts w:hint="eastAsia" w:ascii="方正仿宋_GBK" w:hAnsi="方正仿宋_GBK" w:eastAsia="方正仿宋_GBK" w:cs="方正仿宋_GBK"/>
          <w:sz w:val="32"/>
          <w:szCs w:val="32"/>
        </w:rPr>
        <w:t>项，涉及资金</w:t>
      </w:r>
      <w:r>
        <w:rPr>
          <w:rFonts w:hint="eastAsia" w:ascii="Times New Roman" w:hAnsi="Times New Roman" w:eastAsia="方正仿宋_GBK" w:cs="方正仿宋_GBK"/>
          <w:sz w:val="32"/>
          <w:szCs w:val="32"/>
        </w:rPr>
        <w:t>3632</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51</w:t>
      </w:r>
      <w:r>
        <w:rPr>
          <w:rFonts w:hint="eastAsia" w:ascii="方正仿宋_GBK" w:hAnsi="方正仿宋_GBK" w:eastAsia="方正仿宋_GBK" w:cs="方正仿宋_GBK"/>
          <w:sz w:val="32"/>
          <w:szCs w:val="32"/>
        </w:rPr>
        <w:t>万元。</w:t>
      </w:r>
    </w:p>
    <w:p>
      <w:pPr>
        <w:ind w:firstLine="420" w:firstLineChars="200"/>
      </w:pPr>
      <w:r>
        <w:t xml:space="preserve">  </w:t>
      </w:r>
      <w:r>
        <w:rPr>
          <w:rFonts w:hint="eastAsia" w:ascii="方正楷体_GBK" w:hAnsi="方正楷体_GBK" w:eastAsia="方正楷体_GBK" w:cs="方正楷体_GBK"/>
          <w:sz w:val="32"/>
          <w:szCs w:val="32"/>
        </w:rPr>
        <w:t xml:space="preserve"> （二）绩效自评结果</w:t>
      </w:r>
    </w:p>
    <w:p>
      <w:pPr>
        <w:ind w:firstLine="640" w:firstLineChars="200"/>
        <w:rPr>
          <w:rFonts w:ascii="方正仿宋_GBK" w:hAnsi="方正仿宋_GBK" w:eastAsia="方正仿宋_GBK" w:cs="方正仿宋_GBK"/>
          <w:sz w:val="32"/>
          <w:szCs w:val="32"/>
        </w:rPr>
      </w:pPr>
      <w:r>
        <w:rPr>
          <w:rFonts w:hint="eastAsia" w:ascii="Times New Roman" w:hAnsi="Times New Roman" w:eastAsia="方正仿宋_GBK" w:cs="方正仿宋_GBK"/>
          <w:sz w:val="32"/>
          <w:szCs w:val="32"/>
        </w:rPr>
        <w:t>1</w:t>
      </w:r>
      <w:r>
        <w:rPr>
          <w:rFonts w:hint="eastAsia" w:ascii="方正仿宋_GBK" w:hAnsi="方正仿宋_GBK" w:eastAsia="方正仿宋_GBK" w:cs="方正仿宋_GBK"/>
          <w:sz w:val="32"/>
          <w:szCs w:val="32"/>
        </w:rPr>
        <w:t>.绩效目标自评表。</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1</w:t>
      </w:r>
      <w:r>
        <w:rPr>
          <w:rFonts w:hint="eastAsia" w:ascii="方正仿宋_GBK" w:hAnsi="方正仿宋_GBK" w:eastAsia="方正仿宋_GBK" w:cs="方正仿宋_GBK"/>
          <w:sz w:val="32"/>
          <w:szCs w:val="32"/>
        </w:rPr>
        <w:t>）部门整体绩效自评表。</w:t>
      </w:r>
    </w:p>
    <w:p>
      <w:pPr>
        <w:ind w:firstLine="640" w:firstLineChars="200"/>
        <w:rPr>
          <w:rFonts w:ascii="方正仿宋_GBK" w:hAnsi="方正仿宋_GBK" w:eastAsia="方正仿宋_GBK" w:cs="方正仿宋_GBK"/>
          <w:sz w:val="32"/>
          <w:szCs w:val="32"/>
          <w:highlight w:val="yellow"/>
        </w:rPr>
      </w:pPr>
      <w:r>
        <w:rPr>
          <w:rFonts w:hint="eastAsia" w:ascii="方正仿宋_GBK" w:hAnsi="方正仿宋_GBK" w:eastAsia="方正仿宋_GBK" w:cs="方正仿宋_GBK"/>
          <w:sz w:val="32"/>
          <w:szCs w:val="32"/>
        </w:rPr>
        <w:t>　   详见附件。</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2</w:t>
      </w:r>
      <w:r>
        <w:rPr>
          <w:rFonts w:hint="eastAsia" w:ascii="方正仿宋_GBK" w:hAnsi="方正仿宋_GBK" w:eastAsia="方正仿宋_GBK" w:cs="方正仿宋_GBK"/>
          <w:sz w:val="32"/>
          <w:szCs w:val="32"/>
        </w:rPr>
        <w:t>）项目绩效自评表。</w:t>
      </w:r>
    </w:p>
    <w:p>
      <w:pPr>
        <w:ind w:firstLine="1280" w:firstLineChars="4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详见附件。</w:t>
      </w:r>
    </w:p>
    <w:p>
      <w:pPr>
        <w:ind w:firstLine="640" w:firstLineChars="200"/>
        <w:rPr>
          <w:rFonts w:ascii="方正仿宋_GBK" w:hAnsi="方正仿宋_GBK" w:eastAsia="方正仿宋_GBK" w:cs="方正仿宋_GBK"/>
          <w:sz w:val="32"/>
          <w:szCs w:val="32"/>
        </w:rPr>
      </w:pPr>
      <w:r>
        <w:rPr>
          <w:rFonts w:hint="eastAsia" w:ascii="Times New Roman" w:hAnsi="Times New Roman" w:eastAsia="方正仿宋_GBK" w:cs="方正仿宋_GBK"/>
          <w:sz w:val="32"/>
          <w:szCs w:val="32"/>
        </w:rPr>
        <w:t>2</w:t>
      </w:r>
      <w:r>
        <w:rPr>
          <w:rFonts w:hint="eastAsia" w:ascii="方正仿宋_GBK" w:hAnsi="方正仿宋_GBK" w:eastAsia="方正仿宋_GBK" w:cs="方正仿宋_GBK"/>
          <w:sz w:val="32"/>
          <w:szCs w:val="32"/>
        </w:rPr>
        <w:t>.绩效自评报告或案例。</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我单位未委托第三方开展绩效评价。</w:t>
      </w:r>
    </w:p>
    <w:p>
      <w:pPr>
        <w:ind w:firstLine="640" w:firstLineChars="200"/>
        <w:rPr>
          <w:rFonts w:ascii="方正仿宋_GBK" w:hAnsi="方正仿宋_GBK" w:eastAsia="方正仿宋_GBK" w:cs="方正仿宋_GBK"/>
          <w:sz w:val="32"/>
          <w:szCs w:val="32"/>
        </w:rPr>
      </w:pPr>
      <w:r>
        <w:rPr>
          <w:rFonts w:hint="eastAsia" w:ascii="Times New Roman" w:hAnsi="Times New Roman" w:eastAsia="方正仿宋_GBK" w:cs="方正仿宋_GBK"/>
          <w:sz w:val="32"/>
          <w:szCs w:val="32"/>
        </w:rPr>
        <w:t>3</w:t>
      </w:r>
      <w:r>
        <w:rPr>
          <w:rFonts w:hint="eastAsia" w:ascii="方正仿宋_GBK" w:hAnsi="方正仿宋_GBK" w:eastAsia="方正仿宋_GBK" w:cs="方正仿宋_GBK"/>
          <w:sz w:val="32"/>
          <w:szCs w:val="32"/>
        </w:rPr>
        <w:t>.关于绩效自评结果的说明。</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我单位对</w:t>
      </w:r>
      <w:r>
        <w:rPr>
          <w:rFonts w:hint="eastAsia" w:ascii="Times New Roman" w:hAnsi="Times New Roman" w:eastAsia="方正仿宋_GBK" w:cs="方正仿宋_GBK"/>
          <w:sz w:val="32"/>
          <w:szCs w:val="32"/>
        </w:rPr>
        <w:t>55</w:t>
      </w:r>
      <w:r>
        <w:rPr>
          <w:rFonts w:hint="eastAsia" w:ascii="方正仿宋_GBK" w:hAnsi="方正仿宋_GBK" w:eastAsia="方正仿宋_GBK" w:cs="方正仿宋_GBK"/>
          <w:sz w:val="32"/>
          <w:szCs w:val="32"/>
        </w:rPr>
        <w:t>个项目进行绩效自评，其中</w:t>
      </w:r>
      <w:r>
        <w:rPr>
          <w:rFonts w:hint="eastAsia" w:ascii="Times New Roman" w:hAnsi="Times New Roman" w:eastAsia="方正仿宋_GBK" w:cs="方正仿宋_GBK"/>
          <w:sz w:val="32"/>
          <w:szCs w:val="32"/>
        </w:rPr>
        <w:t>55</w:t>
      </w:r>
      <w:r>
        <w:rPr>
          <w:rFonts w:hint="eastAsia" w:ascii="方正仿宋_GBK" w:hAnsi="方正仿宋_GBK" w:eastAsia="方正仿宋_GBK" w:cs="方正仿宋_GBK"/>
          <w:sz w:val="32"/>
          <w:szCs w:val="32"/>
        </w:rPr>
        <w:t>个已完成年度绩效目标，</w:t>
      </w:r>
      <w:r>
        <w:rPr>
          <w:rFonts w:hint="eastAsia" w:ascii="Times New Roman" w:hAnsi="Times New Roman" w:eastAsia="方正仿宋_GBK" w:cs="方正仿宋_GBK"/>
          <w:sz w:val="32"/>
          <w:szCs w:val="32"/>
        </w:rPr>
        <w:t>0</w:t>
      </w:r>
      <w:r>
        <w:rPr>
          <w:rFonts w:hint="eastAsia" w:ascii="方正仿宋_GBK" w:hAnsi="方正仿宋_GBK" w:eastAsia="方正仿宋_GBK" w:cs="方正仿宋_GBK"/>
          <w:sz w:val="32"/>
          <w:szCs w:val="32"/>
        </w:rPr>
        <w:t>个未完成年度绩效目标。</w:t>
      </w:r>
    </w:p>
    <w:p>
      <w:pPr>
        <w:ind w:firstLine="640" w:firstLineChars="200"/>
      </w:pPr>
      <w:r>
        <w:rPr>
          <w:rFonts w:hint="eastAsia" w:ascii="方正楷体_GBK" w:hAnsi="方正楷体_GBK" w:eastAsia="方正楷体_GBK" w:cs="方正楷体_GBK"/>
          <w:sz w:val="32"/>
          <w:szCs w:val="32"/>
        </w:rPr>
        <w:t>（三）重点绩效评价结果。</w:t>
      </w:r>
    </w:p>
    <w:p>
      <w:pPr>
        <w:pStyle w:val="5"/>
        <w:shd w:val="clear" w:color="auto" w:fill="FFFFFF"/>
        <w:ind w:firstLine="420" w:firstLineChars="200"/>
        <w:rPr>
          <w:rFonts w:ascii="方正仿宋_GBK" w:hAnsi="方正仿宋_GBK" w:eastAsia="方正仿宋_GBK" w:cs="方正仿宋_GBK"/>
          <w:sz w:val="32"/>
          <w:szCs w:val="32"/>
        </w:rPr>
      </w:pPr>
      <w:r>
        <w:t xml:space="preserve">   </w:t>
      </w:r>
      <w:r>
        <w:rPr>
          <w:rFonts w:hint="eastAsia" w:ascii="方正仿宋_GBK" w:hAnsi="方正仿宋_GBK" w:eastAsia="方正仿宋_GBK" w:cs="方正仿宋_GBK"/>
          <w:sz w:val="32"/>
          <w:szCs w:val="32"/>
        </w:rPr>
        <w:t>详见各二级预算单位决算公开报告。</w:t>
      </w:r>
    </w:p>
    <w:p>
      <w:pPr>
        <w:pStyle w:val="5"/>
        <w:shd w:val="clear" w:color="auto" w:fill="FFFFFF"/>
        <w:ind w:firstLine="640" w:firstLineChars="200"/>
        <w:rPr>
          <w:rStyle w:val="7"/>
          <w:rFonts w:ascii="方正黑体_GBK" w:hAnsi="方正仿宋_GBK" w:eastAsia="方正黑体_GBK" w:cs="方正仿宋_GBK"/>
          <w:b w:val="0"/>
          <w:sz w:val="32"/>
          <w:szCs w:val="32"/>
          <w:shd w:val="clear" w:color="auto" w:fill="FFFFFF"/>
        </w:rPr>
      </w:pPr>
      <w:r>
        <w:rPr>
          <w:rStyle w:val="7"/>
          <w:rFonts w:hint="eastAsia" w:ascii="方正黑体_GBK" w:hAnsi="黑体" w:eastAsia="方正黑体_GBK" w:cs="黑体"/>
          <w:b w:val="0"/>
          <w:sz w:val="32"/>
          <w:szCs w:val="32"/>
          <w:shd w:val="clear" w:color="auto" w:fill="FFFFFF"/>
        </w:rPr>
        <w:t>六、专业名词解释</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Fonts w:hint="eastAsia" w:ascii="方正楷体_GBK" w:hAnsi="楷体" w:eastAsia="方正楷体_GBK" w:cs="楷体"/>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Fonts w:ascii="方正楷体_GBK" w:eastAsia="方正楷体_GBK"/>
          <w:bCs/>
          <w:sz w:val="32"/>
          <w:szCs w:val="32"/>
        </w:rPr>
        <w:t>（二）事业收入</w:t>
      </w:r>
      <w:r>
        <w:rPr>
          <w:rFonts w:ascii="方正楷体_GBK" w:hAnsi="楷体" w:eastAsia="方正楷体_GBK" w:cs="楷体"/>
          <w:bCs/>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Fonts w:hint="eastAsia" w:ascii="方正楷体_GBK" w:eastAsia="方正楷体_GBK"/>
          <w:bCs/>
          <w:sz w:val="32"/>
          <w:szCs w:val="32"/>
        </w:rPr>
        <w:t>（三）经营收入</w:t>
      </w:r>
      <w:r>
        <w:rPr>
          <w:rFonts w:hint="eastAsia" w:ascii="方正楷体_GBK" w:eastAsia="方正楷体_GBK"/>
          <w:b/>
          <w:bCs/>
          <w:sz w:val="32"/>
          <w:szCs w:val="32"/>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Fonts w:hint="eastAsia" w:ascii="方正楷体_GBK" w:eastAsia="方正楷体_GBK"/>
          <w:bCs/>
          <w:sz w:val="32"/>
          <w:szCs w:val="32"/>
        </w:rPr>
        <w:t>（四）其他收入</w:t>
      </w:r>
      <w:r>
        <w:rPr>
          <w:rFonts w:hint="eastAsia" w:ascii="方正楷体_GBK" w:eastAsia="方正楷体_GBK"/>
          <w:b/>
          <w:bCs/>
          <w:sz w:val="32"/>
          <w:szCs w:val="32"/>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7"/>
          <w:rFonts w:ascii="方正楷体_GBK" w:hAnsi="楷体" w:eastAsia="方正楷体_GBK" w:cs="楷体"/>
          <w:b w:val="0"/>
          <w:sz w:val="32"/>
          <w:szCs w:val="32"/>
          <w:shd w:val="clear" w:color="auto" w:fill="FFFFFF"/>
        </w:rPr>
        <w:t>（五）使用非财政拨款结余</w:t>
      </w:r>
      <w:r>
        <w:rPr>
          <w:rStyle w:val="7"/>
          <w:rFonts w:ascii="方正楷体_GBK" w:eastAsia="方正楷体_GBK"/>
          <w:sz w:val="32"/>
          <w:szCs w:val="32"/>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7"/>
          <w:rFonts w:ascii="方正楷体_GBK" w:hAnsi="楷体" w:eastAsia="方正楷体_GBK" w:cs="楷体"/>
          <w:b w:val="0"/>
          <w:sz w:val="32"/>
          <w:szCs w:val="32"/>
          <w:shd w:val="clear" w:color="auto" w:fill="FFFFFF"/>
        </w:rPr>
        <w:t>（六）年初结转和结余</w:t>
      </w:r>
      <w:r>
        <w:rPr>
          <w:rStyle w:val="7"/>
          <w:rFonts w:ascii="方正楷体_GBK" w:eastAsia="方正楷体_GBK"/>
          <w:sz w:val="32"/>
          <w:szCs w:val="32"/>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5"/>
        <w:snapToGrid w:val="0"/>
        <w:spacing w:before="0" w:beforeAutospacing="0" w:after="0" w:afterAutospacing="0" w:line="600" w:lineRule="exact"/>
        <w:ind w:firstLine="640" w:firstLineChars="200"/>
        <w:rPr>
          <w:rStyle w:val="7"/>
          <w:rFonts w:ascii="方正楷体_GBK" w:hAnsi="楷体" w:eastAsia="方正楷体_GBK" w:cs="楷体"/>
          <w:shd w:val="clear" w:color="auto" w:fill="FFFFFF"/>
        </w:rPr>
      </w:pPr>
      <w:r>
        <w:rPr>
          <w:rStyle w:val="7"/>
          <w:rFonts w:hint="eastAsia" w:ascii="方正楷体_GBK" w:hAnsi="楷体" w:eastAsia="方正楷体_GBK" w:cs="楷体"/>
          <w:b w:val="0"/>
          <w:sz w:val="32"/>
          <w:szCs w:val="32"/>
          <w:shd w:val="clear" w:color="auto" w:fill="FFFFFF"/>
        </w:rPr>
        <w:t>（七）结余分配</w:t>
      </w:r>
      <w:r>
        <w:rPr>
          <w:rFonts w:hint="eastAsia" w:ascii="方正楷体_GBK" w:hAnsi="楷体" w:eastAsia="方正楷体_GBK"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7"/>
          <w:rFonts w:ascii="方正楷体_GBK" w:hAnsi="楷体" w:eastAsia="方正楷体_GBK" w:cs="楷体"/>
          <w:b w:val="0"/>
          <w:sz w:val="32"/>
          <w:szCs w:val="32"/>
          <w:shd w:val="clear" w:color="auto" w:fill="FFFFFF"/>
        </w:rPr>
        <w:t>（八）年末结转和结余</w:t>
      </w:r>
      <w:r>
        <w:rPr>
          <w:rStyle w:val="7"/>
          <w:rFonts w:ascii="方正楷体_GBK" w:eastAsia="方正楷体_GBK"/>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7"/>
          <w:rFonts w:ascii="方正楷体_GBK" w:hAnsi="楷体" w:eastAsia="方正楷体_GBK" w:cs="楷体"/>
          <w:b w:val="0"/>
          <w:sz w:val="32"/>
          <w:szCs w:val="32"/>
          <w:shd w:val="clear" w:color="auto" w:fill="FFFFFF"/>
        </w:rPr>
        <w:t>（九）基本支出</w:t>
      </w:r>
      <w:r>
        <w:rPr>
          <w:rStyle w:val="7"/>
          <w:rFonts w:ascii="方正楷体_GBK" w:eastAsia="方正楷体_GBK"/>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7"/>
          <w:rFonts w:ascii="方正楷体_GBK" w:hAnsi="楷体" w:eastAsia="方正楷体_GBK" w:cs="楷体"/>
          <w:b w:val="0"/>
          <w:sz w:val="32"/>
          <w:szCs w:val="32"/>
          <w:shd w:val="clear" w:color="auto" w:fill="FFFFFF"/>
        </w:rPr>
        <w:t>（十）项目支出</w:t>
      </w:r>
      <w:r>
        <w:rPr>
          <w:rStyle w:val="7"/>
          <w:rFonts w:ascii="方正楷体_GBK" w:eastAsia="方正楷体_GBK"/>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7"/>
          <w:rFonts w:ascii="方正楷体_GBK" w:hAnsi="楷体" w:eastAsia="方正楷体_GBK" w:cs="楷体"/>
          <w:b w:val="0"/>
          <w:sz w:val="32"/>
          <w:szCs w:val="32"/>
          <w:shd w:val="clear" w:color="auto" w:fill="FFFFFF"/>
        </w:rPr>
        <w:t>（十一）经营支出</w:t>
      </w:r>
      <w:r>
        <w:rPr>
          <w:rStyle w:val="7"/>
          <w:rFonts w:ascii="方正楷体_GBK" w:eastAsia="方正楷体_GBK"/>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7"/>
          <w:rFonts w:ascii="方正楷体_GBK" w:hAnsi="楷体" w:eastAsia="方正楷体_GBK" w:cs="楷体"/>
          <w:b w:val="0"/>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7"/>
          <w:rFonts w:ascii="方正楷体_GBK" w:hAnsi="楷体" w:eastAsia="方正楷体_GBK" w:cs="楷体"/>
          <w:b w:val="0"/>
          <w:sz w:val="32"/>
          <w:szCs w:val="32"/>
          <w:shd w:val="clear" w:color="auto" w:fill="FFFFFF"/>
        </w:rPr>
        <w:t>（十三）机关运行经费</w:t>
      </w:r>
      <w:r>
        <w:rPr>
          <w:rStyle w:val="7"/>
          <w:rFonts w:ascii="方正楷体_GBK" w:eastAsia="方正楷体_GBK"/>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7"/>
          <w:rFonts w:ascii="方正楷体_GBK" w:hAnsi="楷体" w:eastAsia="方正楷体_GBK" w:cs="楷体"/>
          <w:b w:val="0"/>
          <w:sz w:val="32"/>
          <w:szCs w:val="32"/>
          <w:shd w:val="clear" w:color="auto" w:fill="FFFFFF"/>
        </w:rPr>
        <w:t>（十四）工资福利支出（支出经济分类科目类级）</w:t>
      </w:r>
      <w:r>
        <w:rPr>
          <w:rStyle w:val="7"/>
          <w:rFonts w:ascii="方正楷体_GBK" w:eastAsia="方正楷体_GBK"/>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7"/>
          <w:rFonts w:ascii="方正楷体_GBK" w:hAnsi="楷体" w:eastAsia="方正楷体_GBK" w:cs="楷体"/>
          <w:b w:val="0"/>
          <w:sz w:val="32"/>
          <w:szCs w:val="32"/>
          <w:shd w:val="clear" w:color="auto" w:fill="FFFFFF"/>
        </w:rPr>
        <w:t>（十五）商品和服务支出（支出经济分类科目类级）</w:t>
      </w:r>
      <w:r>
        <w:rPr>
          <w:rStyle w:val="7"/>
          <w:rFonts w:ascii="方正楷体_GBK" w:eastAsia="方正楷体_GBK"/>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7"/>
          <w:rFonts w:ascii="方正楷体_GBK" w:hAnsi="楷体" w:eastAsia="方正楷体_GBK" w:cs="楷体"/>
          <w:b w:val="0"/>
          <w:sz w:val="32"/>
          <w:szCs w:val="32"/>
          <w:shd w:val="clear" w:color="auto" w:fill="FFFFFF"/>
        </w:rPr>
        <w:t>（十六）对个人和家庭的补助（支出经济分类科目类级）</w:t>
      </w:r>
      <w:r>
        <w:rPr>
          <w:rStyle w:val="7"/>
          <w:rFonts w:ascii="方正楷体_GBK" w:eastAsia="方正楷体_GBK"/>
        </w:rPr>
        <w:t>：</w:t>
      </w:r>
      <w:r>
        <w:rPr>
          <w:rFonts w:ascii="方正仿宋_GBK" w:hAnsi="方正仿宋_GBK" w:eastAsia="方正仿宋_GBK" w:cs="方正仿宋_GBK"/>
          <w:sz w:val="32"/>
          <w:szCs w:val="32"/>
          <w:shd w:val="clear" w:color="auto" w:fill="FFFFFF"/>
        </w:rPr>
        <w:t>反映用于对个人和家庭的补助支出。</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7"/>
          <w:rFonts w:hint="eastAsia" w:ascii="方正楷体_GBK" w:hAnsi="楷体" w:eastAsia="方正楷体_GBK" w:cs="楷体"/>
          <w:b w:val="0"/>
          <w:sz w:val="32"/>
          <w:szCs w:val="32"/>
          <w:shd w:val="clear" w:color="auto" w:fill="FFFFFF"/>
        </w:rPr>
        <w:t>（十七）其他资本性支出（支出经济分类科目类级）</w:t>
      </w:r>
      <w:r>
        <w:rPr>
          <w:rFonts w:hint="eastAsia" w:ascii="方正楷体_GBK" w:hAnsi="楷体" w:eastAsia="方正楷体_GBK"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5"/>
        <w:shd w:val="clear" w:color="auto" w:fill="FFFFFF"/>
        <w:ind w:firstLine="640" w:firstLineChars="200"/>
        <w:rPr>
          <w:rStyle w:val="7"/>
          <w:rFonts w:ascii="方正黑体_GBK" w:hAnsi="方正仿宋_GBK" w:eastAsia="方正黑体_GBK" w:cs="方正仿宋_GBK"/>
          <w:b w:val="0"/>
          <w:sz w:val="32"/>
          <w:szCs w:val="32"/>
          <w:shd w:val="clear" w:color="auto" w:fill="FFFFFF"/>
        </w:rPr>
      </w:pPr>
      <w:r>
        <w:rPr>
          <w:rStyle w:val="7"/>
          <w:rFonts w:hint="eastAsia" w:ascii="方正黑体_GBK" w:hAnsi="黑体" w:eastAsia="方正黑体_GBK" w:cs="黑体"/>
          <w:b w:val="0"/>
          <w:sz w:val="32"/>
          <w:szCs w:val="32"/>
          <w:shd w:val="clear" w:color="auto" w:fill="FFFFFF"/>
        </w:rPr>
        <w:t>七、决算公开联系方式及信息反馈渠道</w:t>
      </w:r>
    </w:p>
    <w:p>
      <w:pPr>
        <w:pStyle w:val="13"/>
        <w:snapToGrid w:val="0"/>
        <w:spacing w:beforeAutospacing="0" w:after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本单位决算公开信息反馈和联系方式：</w:t>
      </w:r>
    </w:p>
    <w:p>
      <w:pPr>
        <w:pStyle w:val="13"/>
        <w:snapToGrid w:val="0"/>
        <w:spacing w:beforeAutospacing="0" w:afterAutospacing="0" w:line="600" w:lineRule="exact"/>
        <w:ind w:firstLine="640" w:firstLineChars="200"/>
        <w:jc w:val="left"/>
        <w:rPr>
          <w:rFonts w:ascii="方正仿宋_GBK" w:hAnsi="方正仿宋_GBK" w:eastAsia="方正仿宋_GBK" w:cs="方正仿宋_GBK"/>
          <w:sz w:val="32"/>
          <w:szCs w:val="32"/>
          <w:highlight w:val="yellow"/>
          <w:shd w:val="clear" w:color="auto" w:fill="FFFFFF"/>
        </w:rPr>
      </w:pPr>
      <w:r>
        <w:rPr>
          <w:rFonts w:hint="eastAsia" w:ascii="方正仿宋_GBK" w:hAnsi="方正仿宋_GBK" w:eastAsia="方正仿宋_GBK" w:cs="方正仿宋_GBK"/>
          <w:sz w:val="32"/>
          <w:szCs w:val="32"/>
          <w:shd w:val="clear" w:color="auto" w:fill="FFFFFF"/>
        </w:rPr>
        <w:t xml:space="preserve">罗渝闽 </w:t>
      </w:r>
      <w:r>
        <w:rPr>
          <w:rFonts w:hint="eastAsia" w:ascii="Times New Roman" w:hAnsi="Times New Roman" w:eastAsia="方正仿宋_GBK" w:cs="方正仿宋_GBK"/>
          <w:sz w:val="32"/>
          <w:szCs w:val="32"/>
          <w:shd w:val="clear" w:color="auto" w:fill="FFFFFF"/>
        </w:rPr>
        <w:t>18723226276</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2"/>
                </w:pPr>
                <w:r>
                  <w:fldChar w:fldCharType="begin"/>
                </w:r>
                <w:r>
                  <w:instrText xml:space="preserve"> PAGE  \* MERGEFORMAT </w:instrText>
                </w:r>
                <w:r>
                  <w:fldChar w:fldCharType="separate"/>
                </w:r>
                <w:r>
                  <w:t>14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2607D4"/>
    <w:multiLevelType w:val="singleLevel"/>
    <w:tmpl w:val="D42607D4"/>
    <w:lvl w:ilvl="0" w:tentative="0">
      <w:start w:val="5"/>
      <w:numFmt w:val="chineseCounting"/>
      <w:suff w:val="nothing"/>
      <w:lvlText w:val="%1、"/>
      <w:lvlJc w:val="left"/>
      <w:rPr>
        <w:rFonts w:hint="eastAsia"/>
      </w:rPr>
    </w:lvl>
  </w:abstractNum>
  <w:abstractNum w:abstractNumId="1">
    <w:nsid w:val="EEFF4721"/>
    <w:multiLevelType w:val="singleLevel"/>
    <w:tmpl w:val="EEFF4721"/>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A2YThjZjZkZDUwMDQzMTU2OWE4NDRlYTg4MmE2ZDcifQ=="/>
  </w:docVars>
  <w:rsids>
    <w:rsidRoot w:val="00FA1909"/>
    <w:rsid w:val="00017B19"/>
    <w:rsid w:val="0002221A"/>
    <w:rsid w:val="0016352D"/>
    <w:rsid w:val="00174194"/>
    <w:rsid w:val="004A77AC"/>
    <w:rsid w:val="00681903"/>
    <w:rsid w:val="006B773D"/>
    <w:rsid w:val="0077194C"/>
    <w:rsid w:val="007B2FFE"/>
    <w:rsid w:val="007F6C22"/>
    <w:rsid w:val="00825A0D"/>
    <w:rsid w:val="0087291D"/>
    <w:rsid w:val="00885141"/>
    <w:rsid w:val="0099655E"/>
    <w:rsid w:val="00A07B61"/>
    <w:rsid w:val="00AC54C1"/>
    <w:rsid w:val="00CF54A1"/>
    <w:rsid w:val="00F037D9"/>
    <w:rsid w:val="00FA1909"/>
    <w:rsid w:val="00FA6F0D"/>
    <w:rsid w:val="00FC7C82"/>
    <w:rsid w:val="00FD05F3"/>
    <w:rsid w:val="0EA746EC"/>
    <w:rsid w:val="0F615FD7"/>
    <w:rsid w:val="12A06977"/>
    <w:rsid w:val="1A771084"/>
    <w:rsid w:val="22E220F1"/>
    <w:rsid w:val="277A156A"/>
    <w:rsid w:val="28EB4A94"/>
    <w:rsid w:val="326C3B92"/>
    <w:rsid w:val="32D47F9A"/>
    <w:rsid w:val="377147D2"/>
    <w:rsid w:val="3A2666EE"/>
    <w:rsid w:val="3F4F4936"/>
    <w:rsid w:val="43ED10CC"/>
    <w:rsid w:val="44321EB7"/>
    <w:rsid w:val="4C9E4055"/>
    <w:rsid w:val="4F5C6639"/>
    <w:rsid w:val="551A1EC8"/>
    <w:rsid w:val="57395C87"/>
    <w:rsid w:val="58305A91"/>
    <w:rsid w:val="585D70BF"/>
    <w:rsid w:val="593054FB"/>
    <w:rsid w:val="5E2B7481"/>
    <w:rsid w:val="60B821C4"/>
    <w:rsid w:val="66576AAB"/>
    <w:rsid w:val="6AEB1816"/>
    <w:rsid w:val="6DA81E2E"/>
    <w:rsid w:val="6DC55E69"/>
    <w:rsid w:val="6E7E4132"/>
    <w:rsid w:val="6FA71205"/>
    <w:rsid w:val="6FB81FE1"/>
    <w:rsid w:val="7F397345"/>
    <w:rsid w:val="BDECC4EB"/>
    <w:rsid w:val="D49A5A31"/>
    <w:rsid w:val="DA5EA770"/>
    <w:rsid w:val="E9F979C7"/>
    <w:rsid w:val="FB6F3F63"/>
    <w:rsid w:val="FBD7AD8E"/>
    <w:rsid w:val="FFDBD9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7">
    <w:name w:val="Strong"/>
    <w:qFormat/>
    <w:uiPriority w:val="0"/>
    <w:rPr>
      <w:b/>
    </w:rPr>
  </w:style>
  <w:style w:type="paragraph" w:customStyle="1" w:styleId="9">
    <w:name w:val="列出段落1"/>
    <w:basedOn w:val="1"/>
    <w:qFormat/>
    <w:uiPriority w:val="99"/>
    <w:pPr>
      <w:ind w:firstLine="420" w:firstLineChars="200"/>
    </w:p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列出段落2"/>
    <w:qFormat/>
    <w:uiPriority w:val="99"/>
    <w:pPr>
      <w:ind w:firstLine="420" w:firstLineChars="200"/>
    </w:pPr>
    <w:rPr>
      <w:rFonts w:ascii="宋体" w:hAnsi="宋体" w:eastAsia="宋体" w:cs="Times New Roman"/>
      <w:sz w:val="24"/>
      <w:szCs w:val="24"/>
      <w:lang w:val="en-US" w:eastAsia="zh-CN" w:bidi="ar-SA"/>
    </w:rPr>
  </w:style>
  <w:style w:type="paragraph" w:customStyle="1" w:styleId="13">
    <w:name w:val="普通(网站)1"/>
    <w:basedOn w:val="1"/>
    <w:qFormat/>
    <w:uiPriority w:val="0"/>
    <w:pPr>
      <w:spacing w:beforeAutospacing="1" w:afterAutospacing="1"/>
    </w:pPr>
  </w:style>
  <w:style w:type="character" w:customStyle="1" w:styleId="14">
    <w:name w:val="页眉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5962</Words>
  <Characters>6701</Characters>
  <Lines>48</Lines>
  <Paragraphs>13</Paragraphs>
  <TotalTime>0</TotalTime>
  <ScaleCrop>false</ScaleCrop>
  <LinksUpToDate>false</LinksUpToDate>
  <CharactersWithSpaces>6720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2024-10-14T17:12:00Z</dcterms:created>
  <dc:creator>hp99</dc:creator>
  <cp:lastModifiedBy>Administrator</cp:lastModifiedBy>
  <dcterms:modified xsi:type="dcterms:W3CDTF">2024-11-01T02:37:12Z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D33B339D307A9E9CE0CA10670A516DB0</vt:lpwstr>
  </property>
</Properties>
</file>