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eastAsia="方正黑体_GBK"/>
        </w:rPr>
      </w:pPr>
      <w:r>
        <w:rPr>
          <w:rFonts w:hint="eastAsia" w:eastAsia="方正黑体_GBK" w:cs="方正黑体_GBK"/>
        </w:rPr>
        <w:t>附件</w:t>
      </w:r>
      <w:r>
        <w:rPr>
          <w:rFonts w:eastAsia="方正黑体_GBK"/>
        </w:rPr>
        <w:t>1</w:t>
      </w:r>
    </w:p>
    <w:p>
      <w:pPr>
        <w:adjustRightInd w:val="0"/>
        <w:snapToGrid w:val="0"/>
        <w:spacing w:line="560" w:lineRule="exact"/>
        <w:ind w:firstLine="640" w:firstLineChars="200"/>
      </w:pPr>
    </w:p>
    <w:p>
      <w:pPr>
        <w:adjustRightInd w:val="0"/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</w:rPr>
        <w:t>普通公路路侧护栏排查要点</w:t>
      </w:r>
    </w:p>
    <w:p>
      <w:pPr>
        <w:adjustRightInd w:val="0"/>
        <w:snapToGrid w:val="0"/>
        <w:spacing w:line="560" w:lineRule="exact"/>
        <w:ind w:firstLine="640" w:firstLineChars="200"/>
      </w:pPr>
      <w:bookmarkStart w:id="0" w:name="_GoBack"/>
      <w:bookmarkEnd w:id="0"/>
    </w:p>
    <w:p>
      <w:pPr>
        <w:adjustRightInd w:val="0"/>
        <w:snapToGrid w:val="0"/>
        <w:spacing w:line="560" w:lineRule="exact"/>
        <w:ind w:firstLine="640" w:firstLineChars="200"/>
        <w:rPr>
          <w:color w:val="000000"/>
        </w:rPr>
      </w:pPr>
      <w:r>
        <w:rPr>
          <w:rFonts w:hint="eastAsia" w:cs="方正仿宋_GBK"/>
        </w:rPr>
        <w:t>依据《公路交通安全设施涉及规范》</w:t>
      </w:r>
      <w:r>
        <w:t>(JTGD81-2017)</w:t>
      </w:r>
      <w:r>
        <w:rPr>
          <w:rFonts w:hint="eastAsia" w:cs="方正仿宋_GBK"/>
        </w:rPr>
        <w:t>，路侧计算净区宽度范围内符合设置路侧护栏的</w:t>
      </w:r>
      <w:r>
        <w:t>9</w:t>
      </w:r>
      <w:r>
        <w:rPr>
          <w:rFonts w:hint="eastAsia" w:cs="方正仿宋_GBK"/>
        </w:rPr>
        <w:t>种情形，以及按照市安委办《关于进一步加强道路交通安全隐患排查治理工作的通知》（渝安办〔</w:t>
      </w:r>
      <w:r>
        <w:t>2016</w:t>
      </w:r>
      <w:r>
        <w:rPr>
          <w:rFonts w:hint="eastAsia" w:cs="方正仿宋_GBK"/>
        </w:rPr>
        <w:t>〕</w:t>
      </w:r>
      <w:r>
        <w:t>41</w:t>
      </w:r>
      <w:r>
        <w:rPr>
          <w:rFonts w:hint="eastAsia" w:cs="方正仿宋_GBK"/>
        </w:rPr>
        <w:t>号），应将①道路沿线的路侧陡崖、深沟路段和高填方、高挡墙路段（陡崖、深沟深度和填方、挡墙高度大于或等于</w:t>
      </w:r>
      <w:r>
        <w:t>6</w:t>
      </w:r>
      <w:r>
        <w:rPr>
          <w:rFonts w:hint="eastAsia" w:cs="方正仿宋_GBK"/>
        </w:rPr>
        <w:t>米）；②路侧距离路肩边缘</w:t>
      </w:r>
      <w:r>
        <w:t>3</w:t>
      </w:r>
      <w:r>
        <w:rPr>
          <w:rFonts w:hint="eastAsia" w:cs="方正仿宋_GBK"/>
        </w:rPr>
        <w:t>米内有江河、湖泊、沟渠、沼泽等路段，路侧无护栏或护栏存在损毁、缺失不能满足规范要求作为排查范围。</w:t>
      </w:r>
    </w:p>
    <w:p>
      <w:pPr>
        <w:adjustRightInd w:val="0"/>
        <w:snapToGrid w:val="0"/>
        <w:spacing w:line="560" w:lineRule="exact"/>
        <w:ind w:firstLine="643" w:firstLineChars="200"/>
      </w:pPr>
      <w:r>
        <w:rPr>
          <w:rFonts w:hint="eastAsia" w:cs="方正仿宋_GBK"/>
          <w:b/>
          <w:bCs/>
        </w:rPr>
        <w:t>如属于小交通量农村公路</w:t>
      </w:r>
      <w:r>
        <w:rPr>
          <w:rFonts w:hint="eastAsia" w:cs="方正仿宋_GBK"/>
        </w:rPr>
        <w:t>，可依据《小交通量农村公路交通安全设施设计细则》</w:t>
      </w:r>
      <w:r>
        <w:t>(JTGT3381-03-2024)</w:t>
      </w:r>
      <w:r>
        <w:rPr>
          <w:rFonts w:hint="eastAsia" w:cs="方正仿宋_GBK"/>
        </w:rPr>
        <w:t>，将小半径曲线路段车行道边缘线外侧</w:t>
      </w:r>
      <w:r>
        <w:t>3m</w:t>
      </w:r>
      <w:r>
        <w:rPr>
          <w:rFonts w:hint="eastAsia" w:cs="方正仿宋_GBK"/>
        </w:rPr>
        <w:t>内，或其他路段车行道边缘线外侧</w:t>
      </w:r>
      <w:r>
        <w:t>2m</w:t>
      </w:r>
      <w:r>
        <w:rPr>
          <w:rFonts w:hint="eastAsia" w:cs="方正仿宋_GBK"/>
        </w:rPr>
        <w:t>内的以下情况作为路侧护栏设置排查范围：一是深度大于</w:t>
      </w:r>
      <w:r>
        <w:t>4m</w:t>
      </w:r>
      <w:r>
        <w:rPr>
          <w:rFonts w:hint="eastAsia" w:cs="方正仿宋_GBK"/>
        </w:rPr>
        <w:t>的悬崖、深谷、深沟等；二是江、河、湖、海、沼泽等水深</w:t>
      </w:r>
      <w:r>
        <w:t xml:space="preserve">1.5m </w:t>
      </w:r>
      <w:r>
        <w:rPr>
          <w:rFonts w:hint="eastAsia" w:cs="方正仿宋_GBK"/>
        </w:rPr>
        <w:t>以上水域；三是村民房屋位于小半径平曲线外侧或下坡坡底路侧；四是边坡坡度陡于</w:t>
      </w:r>
      <w:r>
        <w:t>1:1</w:t>
      </w:r>
      <w:r>
        <w:rPr>
          <w:rFonts w:hint="eastAsia" w:cs="方正仿宋_GBK"/>
        </w:rPr>
        <w:t>，且填方大于</w:t>
      </w:r>
      <w:r>
        <w:t>4m</w:t>
      </w:r>
      <w:r>
        <w:rPr>
          <w:rFonts w:hint="eastAsia" w:cs="方正仿宋_GBK"/>
        </w:rPr>
        <w:t>；五是急弯或连续下坡路段小半径平曲线外侧，且填方大于</w:t>
      </w:r>
      <w:r>
        <w:t>4m</w:t>
      </w:r>
      <w:r>
        <w:rPr>
          <w:rFonts w:hint="eastAsia" w:cs="方正仿宋_GBK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63698"/>
    <w:rsid w:val="57F63698"/>
    <w:rsid w:val="5953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Cambr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2024-06-29T04:55:00Z</dcterms:created>
  <dc:creator>Administrator</dc:creator>
  <cp:lastModifiedBy>嗷呜</cp:lastModifiedBy>
  <dcterms:modified xsi:type="dcterms:W3CDTF">2024-07-18T02:55:48Z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