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left="0" w:right="0" w:firstLine="42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/>
        </w:rPr>
        <w:t>华兴镇分时电价安装统计表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right="0" w:firstLine="840" w:firstLineChars="3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填报单位：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130"/>
        <w:gridCol w:w="2172"/>
        <w:gridCol w:w="3978"/>
        <w:gridCol w:w="1650"/>
        <w:gridCol w:w="28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户名</w:t>
            </w:r>
          </w:p>
        </w:tc>
        <w:tc>
          <w:tcPr>
            <w:tcW w:w="217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用电户号</w:t>
            </w:r>
          </w:p>
        </w:tc>
        <w:tc>
          <w:tcPr>
            <w:tcW w:w="3978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用电地址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78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78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78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570" w:lineRule="atLeast"/>
              <w:ind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right="0" w:firstLine="840" w:firstLineChars="3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填报人:                                      联系方式：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注：若无法准确提供户号、地址等信息的，请确保联系人及联系方式准确。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left="320" w:leftChars="0" w:right="0" w:rightChars="0"/>
        <w:jc w:val="left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说明：分时电价属于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用户自愿选择执行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2023年8月31日前自愿选择执行居民分时电价的用户，2023年9月30日前可选择退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2023年9月30日前未申请退出的，执行满一年后方可申请退出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退出后仍可再次申请执行。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0E54593D"/>
    <w:rsid w:val="0E54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2023-07-14T07:01:00Z</dcterms:created>
  <dc:creator>回眸</dc:creator>
  <cp:lastModifiedBy>回眸</cp:lastModifiedBy>
  <dcterms:modified xsi:type="dcterms:W3CDTF">2023-07-14T07:03:35Z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D1F87A2F9A7E4D58A355664C85178BC7_11</vt:lpwstr>
  </property>
</Properties>
</file>