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Lines="0" w:after="0" w:afterLines="0" w:line="579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华兴镇火灾防控“除险清患”专项行动重点任务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表</w:t>
      </w:r>
    </w:p>
    <w:bookmarkEnd w:id="0"/>
    <w:tbl>
      <w:tblPr>
        <w:tblStyle w:val="7"/>
        <w:tblpPr w:leftFromText="180" w:rightFromText="180" w:vertAnchor="text" w:horzAnchor="page" w:tblpX="1845" w:tblpY="7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5"/>
        <w:gridCol w:w="15"/>
        <w:gridCol w:w="45"/>
        <w:gridCol w:w="1845"/>
        <w:gridCol w:w="715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3810" w:type="dxa"/>
            <w:gridSpan w:val="5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</w:rPr>
              <w:t>重点任务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具体工作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</w:rPr>
              <w:t>要点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189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遗留问题大起底</w:t>
            </w:r>
          </w:p>
        </w:tc>
        <w:tc>
          <w:tcPr>
            <w:tcW w:w="1920" w:type="dxa"/>
            <w:gridSpan w:val="4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未经消防验收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许可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投入使用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对未经消防验收或竣工验收备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</w:rPr>
              <w:t>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擅自投入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使用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的遗留问题，开展全面摸排，以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事要解决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为标准，梳理制定问题清单，组织开展现场办公，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一事一议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出台政策措施，完善设施设备和消防验收手续，对经整改仍达不到消防技术标准且无法通过消防审批的，依法责令停止违规使用。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规建办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89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gridSpan w:val="4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未经审批改变使用性质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对违规改变场所火灾危险性定性的行为进行全面摸排，重点整治丁、戊类厂房用作丙类生产储存，丙类厂房用作甲、乙类生产储存，以及将地下车库改建为超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、库房、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场等情形，督促加强完善火灾防范措施，尽快重新办理消防审批手续，对达不到消防技术标准无法通过消防审批的，依法责令停止违规使用。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规建办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10" w:type="dxa"/>
            <w:gridSpan w:val="5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</w:rPr>
              <w:t>重点任务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具体工作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</w:rPr>
              <w:t>要点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905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设施设备大排查</w:t>
            </w:r>
          </w:p>
        </w:tc>
        <w:tc>
          <w:tcPr>
            <w:tcW w:w="1905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防灭火设施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未按要求设置室内外消火栓系统，或水压、水量不能满足灭火需求；未按要求设置火灾自动报警、自动喷水灭火、气体灭火、防排烟等设施，或消防设施系统损坏瘫痪无法正常使用，不具备防灭火功能。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应急办、派出所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905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安全疏散设施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疏散楼梯数量不足或设置不符合要求；占用、堵塞、封闭疏散通道、安全出口；在人员密集场所的门窗上设置影响逃生和灭火救援的障碍物；消防应急广播、消防应急照明、疏散指示标志未保持完好有效。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应急办、派出所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05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防火分隔设施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未按要求设置防火分区；防火门、防火卷帘、防火墙等损坏严重，不具备防火分隔功能；电缆井、管道井等防火封堵不严密，破坏建筑防火分隔。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应急办、派出所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905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林区设施火患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对林区及林缘输电线路、铁路的安全距离，输配电、电信基站等设施设备存在的倒塌、老化、断线、短路、绝缘子脱落，油气管线破损、泄漏等隐患；林区及林缘重要设施的防火隔离带开设，林区公路、林下通道可燃物清理，防火道路通行状况；森林消防水池、山坪塘蓄水状态；林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铁路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沿线森林火灾危险地段防控措施等开展排查。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农服中心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10" w:type="dxa"/>
            <w:gridSpan w:val="5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</w:rPr>
              <w:t>重点任务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具体工作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</w:rPr>
              <w:t>要点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920" w:type="dxa"/>
            <w:gridSpan w:val="3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突出问题大执法</w:t>
            </w:r>
          </w:p>
        </w:tc>
        <w:tc>
          <w:tcPr>
            <w:tcW w:w="1890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违规用火用电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电器线路敷设、照明灯具安装、大功率电器使用不符合规定；电动自行车（蓄电池）违规充电；医院、养老机构、儿童福利领域服务机构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制氧站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氧气瓶间违规使用非防爆电器设备，使用锂离子电池的医疗设备、轮椅未在指定安全区域充电；违规使用瓶装液化石油气。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规建办、经发办、社事办、应急办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920" w:type="dxa"/>
            <w:gridSpan w:val="3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违规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动火作业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电气焊作业人员无证上岗、未建立特种作业人员台帐、未落实动火审批制度、未落实防止火花飞溅措施、现场未配备消防器材、未清理易燃可燃物、未明确专人看护。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应急办、经发办、派出所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920" w:type="dxa"/>
            <w:gridSpan w:val="3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违规易燃可燃材料装修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医院、冷库保温材料燃烧性能不符合要求；违规使用易燃可燃材料装饰装修；违章使用易燃可燃材料夹芯彩钢板。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规建办、社事办、应急办、派出所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810" w:type="dxa"/>
            <w:gridSpan w:val="5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</w:rPr>
              <w:t>重点任务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具体工作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</w:rPr>
              <w:t>要点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965" w:type="dxa"/>
            <w:gridSpan w:val="4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突出问题大执法</w:t>
            </w:r>
          </w:p>
        </w:tc>
        <w:tc>
          <w:tcPr>
            <w:tcW w:w="184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违规生产经营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特种作业人员未持证上岗；违规存放、使用易燃易爆危险品；场所内违规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员工宿舍；电化学储能电站设置在人员密集场所内；违规将住宿与生产、储存、经营场所混合在同一空间内；自动消防设施未落实维护保养。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经发办、规建办、应急办、市场监管所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65" w:type="dxa"/>
            <w:gridSpan w:val="4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占堵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生命通道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开展消防车通道和救援场地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除障、查违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行为，全面清理影响消防车通行和妨碍消防车操作的各类障碍物，严禁电动自行车使用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飞线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在楼道停放充电。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规建办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4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户外违规用火行为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在森林防火期且处于防火区内，严查野外违规用火行为（烧香烧纸、燃放烟花爆竹、烤火、野炊、吸烟、燃放孔明灯、烧蜂驱兽、小孩玩火等非生产性用火，烧荒积肥、烧木炭、焚烧农作物废弃物料、违规焚烧疫木以及未经批准的开山爆破、切割、电焊等生产性用火）；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建成区的城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公园、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城市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道路等区域，在非指定区域内焚烧树叶、垃圾。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农服中心、规建办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965" w:type="dxa"/>
            <w:gridSpan w:val="4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入户宣讲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开展居民家庭防范火灾宣传，制作防火手册和印有防火常识的日用宣传品；村、社区组织开展敲门行动，按照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一户一册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标准，大力宣传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文明用火、安全用电、家庭防火、逃生自救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等防火知识，提升公众防火安全意识。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5" w:type="dxa"/>
            <w:gridSpan w:val="4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多形式宣传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村、社区依托农村“大喇叭”、小区“小广播”开展消防提示警示宣传，不断提高群众消防安全意识。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5" w:type="dxa"/>
            <w:gridSpan w:val="4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应急救援大演练</w:t>
            </w:r>
          </w:p>
        </w:tc>
        <w:tc>
          <w:tcPr>
            <w:tcW w:w="184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开展灭火应急演练</w:t>
            </w:r>
          </w:p>
        </w:tc>
        <w:tc>
          <w:tcPr>
            <w:tcW w:w="7155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全年至少开展1次森林防灭火实战演练和培训。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应急办、农服中心</w:t>
            </w:r>
          </w:p>
        </w:tc>
      </w:tr>
    </w:tbl>
    <w:p>
      <w:pPr>
        <w:tabs>
          <w:tab w:val="left" w:pos="1677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Segoe Print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411B76E8"/>
    <w:rsid w:val="411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after="160" w:afterLines="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ind w:left="109"/>
    </w:pPr>
    <w:rPr>
      <w:rFonts w:ascii="方正仿宋_GBK" w:hAnsi="方正仿宋_GBK" w:eastAsia="方正仿宋_GBK"/>
      <w:sz w:val="32"/>
      <w:szCs w:val="32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2023-06-02T07:16:00Z</dcterms:created>
  <dc:creator>回眸</dc:creator>
  <cp:lastModifiedBy>回眸</cp:lastModifiedBy>
  <dcterms:modified xsi:type="dcterms:W3CDTF">2023-06-02T07:18:33Z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E029C66F96F0496F928C4059F708AA9C_11</vt:lpwstr>
  </property>
</Properties>
</file>