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重庆市铜梁区华兴镇人民政府2023年度“三公”经费决算汇总情况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中华人民共和国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预算法》和《重庆市铜梁区预决算信息公开管理办法》有关要求，现将铜梁区华兴镇人民政府2023年度“三公”经费决算汇总情况公布如下：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2023年度华兴镇人民政府“三公”经费决算3.81万元，较上年决算数减少1.60万元，降幅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29.57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因公出国（境）费0万元，与上年持平，主要原因是2023年度我单位无因公出国（境）费支出。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公务接待费0万元，与上年持平，主要原因是2023年度我单位无公务接待费支出。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公务用车购置及运行维护费3.81万元（公务用车购置费0万元、公务用车运行维护费3.81万元）。较上年决算数减少1.60万元，降幅29.57%，主要原因是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</w:rPr>
        <w:t>认真贯彻落实中央八项规定精神和厉行节约要求，按照只减不增的要求从严控制三公经费，全年实际支出较上年决算均有所下降。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U5ZWMzMGUxZmQ3MTNkZTUwMjZiNmM4ZmVhN2ZkM2IifQ=="/>
  </w:docVars>
  <w:rsids>
    <w:rsidRoot w:val="0026647A"/>
    <w:rsid w:val="0026647A"/>
    <w:rsid w:val="003570EA"/>
    <w:rsid w:val="00F35AA6"/>
    <w:rsid w:val="4CB80751"/>
    <w:rsid w:val="64DE73DB"/>
    <w:rsid w:val="7A5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335</Words>
  <Characters>387</Characters>
  <Lines>2</Lines>
  <Paragraphs>1</Paragraphs>
  <TotalTime>1</TotalTime>
  <ScaleCrop>false</ScaleCrop>
  <LinksUpToDate>false</LinksUpToDate>
  <CharactersWithSpaces>389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2024-10-25T05:40:00Z</dcterms:created>
  <dc:creator>dreamsummit</dc:creator>
  <cp:lastModifiedBy>Administrator</cp:lastModifiedBy>
  <dcterms:modified xsi:type="dcterms:W3CDTF">2024-10-31T02:06:36Z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DB6BF2CBC9874BAEBC4277539EDB635B_12</vt:lpwstr>
  </property>
</Properties>
</file>