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F5E2">
      <w:pPr>
        <w:pStyle w:val="4"/>
        <w:keepNext w:val="0"/>
        <w:keepLines w:val="0"/>
        <w:pageBreakBefore w:val="0"/>
        <w:kinsoku/>
        <w:wordWrap/>
        <w:overflowPunct/>
        <w:topLinePunct w:val="0"/>
        <w:autoSpaceDN/>
        <w:bidi w:val="0"/>
        <w:adjustRightInd/>
        <w:snapToGrid/>
        <w:spacing w:before="0" w:beforeAutospacing="0" w:line="240" w:lineRule="auto"/>
        <w:jc w:val="center"/>
        <w:textAlignment w:val="auto"/>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重庆市铜梁区华兴镇人民政府</w:t>
      </w:r>
    </w:p>
    <w:p w14:paraId="180552DA">
      <w:pPr>
        <w:pStyle w:val="4"/>
        <w:keepNext w:val="0"/>
        <w:keepLines w:val="0"/>
        <w:pageBreakBefore w:val="0"/>
        <w:kinsoku/>
        <w:wordWrap/>
        <w:overflowPunct/>
        <w:topLinePunct w:val="0"/>
        <w:autoSpaceDN/>
        <w:bidi w:val="0"/>
        <w:adjustRightInd/>
        <w:snapToGrid/>
        <w:spacing w:before="0" w:beforeAutospacing="0" w:line="240" w:lineRule="auto"/>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62410CEA">
      <w:pPr>
        <w:pStyle w:val="4"/>
        <w:keepNext w:val="0"/>
        <w:keepLines w:val="0"/>
        <w:pageBreakBefore w:val="0"/>
        <w:shd w:val="clear" w:color="auto" w:fill="FFFFFF"/>
        <w:kinsoku/>
        <w:wordWrap/>
        <w:overflowPunct/>
        <w:topLinePunct w:val="0"/>
        <w:autoSpaceDN/>
        <w:bidi w:val="0"/>
        <w:adjustRightInd/>
        <w:snapToGrid/>
        <w:spacing w:beforeAutospacing="0" w:line="240" w:lineRule="auto"/>
        <w:textAlignment w:val="auto"/>
        <w:rPr>
          <w:rFonts w:hint="default" w:ascii="黑体" w:hAnsi="黑体" w:eastAsia="黑体" w:cs="黑体"/>
          <w:sz w:val="32"/>
          <w:szCs w:val="32"/>
        </w:rPr>
      </w:pPr>
      <w:r>
        <w:rPr>
          <w:rStyle w:val="7"/>
          <w:rFonts w:ascii="黑体" w:hAnsi="黑体" w:eastAsia="黑体" w:cs="黑体"/>
          <w:sz w:val="32"/>
          <w:szCs w:val="32"/>
          <w:shd w:val="clear" w:color="auto" w:fill="FFFFFF"/>
        </w:rPr>
        <w:t>一、部门基本情况</w:t>
      </w:r>
    </w:p>
    <w:p w14:paraId="6046434B">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420"/>
        <w:textAlignment w:val="auto"/>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（一）职能职责</w:t>
      </w:r>
    </w:p>
    <w:p w14:paraId="5A43028C">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1.在区委、区政府的领导下，贯彻执行党和国家各项方针、政策、法律、法规；负责辖区内的地区性、群众性、公益性、社会性工作。</w:t>
      </w:r>
    </w:p>
    <w:p w14:paraId="48FD02CD">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2.负责精神文明建设工作，积极组织以提高市民素质为目的的活动，树立文明新风。</w:t>
      </w:r>
    </w:p>
    <w:p w14:paraId="70248F95">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3.做好辖区范围内的城市建设和管理、市容环境卫生、园林绿化、环境保护、市政等监督、管理、服务工作。</w:t>
      </w:r>
    </w:p>
    <w:p w14:paraId="0AD4F86C">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4.负责辖区内的维护稳定工作及社会治安综合治理工作，依照有关政策规定做好外来人口的管理工作。</w:t>
      </w:r>
    </w:p>
    <w:p w14:paraId="3096C2F9">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5.负责民事调解，法律服务工作，维护居民的合法权益，负责社区建设和管理，指导开展社区服务工作，大力兴办社会福利事业，发动和组织社区成员开展各类社区公益活动。</w:t>
      </w:r>
    </w:p>
    <w:p w14:paraId="13616A11">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6.负责民兵、兵役、拥军优属、优抚安置、社会救济、社会福利、社区文化、科普、体育、教育、旅游工作。</w:t>
      </w:r>
    </w:p>
    <w:p w14:paraId="51138ECC">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14:paraId="006D355C">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8.指导和帮助居（村）民委员会搞好组织建设和制度建设，发挥居（村）民委员会的群众自治作用。</w:t>
      </w:r>
    </w:p>
    <w:p w14:paraId="20377321">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9.配合有关部门做好防汛、防火、防震、抢险和救灾工作。</w:t>
      </w:r>
    </w:p>
    <w:p w14:paraId="48D353E6">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643" w:firstLineChars="200"/>
        <w:textAlignment w:val="auto"/>
        <w:rPr>
          <w:rStyle w:val="7"/>
          <w:rFonts w:ascii="楷体" w:hAnsi="楷体" w:eastAsia="楷体" w:cs="楷体"/>
          <w:sz w:val="32"/>
          <w:szCs w:val="32"/>
          <w:shd w:val="clear" w:color="auto" w:fill="FFFFFF"/>
        </w:rPr>
      </w:pPr>
      <w:r>
        <w:rPr>
          <w:rStyle w:val="7"/>
          <w:rFonts w:ascii="楷体" w:hAnsi="楷体" w:eastAsia="楷体" w:cs="楷体"/>
          <w:sz w:val="32"/>
          <w:szCs w:val="32"/>
          <w:shd w:val="clear" w:color="auto" w:fill="FFFFFF"/>
        </w:rPr>
        <w:t>（二）机构设置</w:t>
      </w:r>
    </w:p>
    <w:p w14:paraId="5F81B963">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640" w:firstLineChars="200"/>
        <w:textAlignment w:val="auto"/>
        <w:rPr>
          <w:rStyle w:val="7"/>
          <w:rFonts w:hint="eastAsia" w:ascii="方正楷体_GBK" w:eastAsia="方正楷体_GBK"/>
          <w:b w:val="0"/>
          <w:sz w:val="32"/>
          <w:szCs w:val="32"/>
        </w:rPr>
      </w:pPr>
      <w:r>
        <w:rPr>
          <w:rStyle w:val="13"/>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3"/>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22826FC9">
      <w:pPr>
        <w:pStyle w:val="4"/>
        <w:keepNext w:val="0"/>
        <w:keepLines w:val="0"/>
        <w:pageBreakBefore w:val="0"/>
        <w:shd w:val="clear" w:color="auto" w:fill="FFFFFF"/>
        <w:kinsoku/>
        <w:wordWrap/>
        <w:overflowPunct/>
        <w:topLinePunct w:val="0"/>
        <w:autoSpaceDN/>
        <w:bidi w:val="0"/>
        <w:adjustRightInd/>
        <w:snapToGrid/>
        <w:spacing w:beforeAutospacing="0" w:line="240" w:lineRule="auto"/>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二、部门决算情况说明</w:t>
      </w:r>
    </w:p>
    <w:p w14:paraId="21288A96">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6A277E0">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643" w:firstLineChars="200"/>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2023年度收入总计3257.73万元，支出总计</w:t>
      </w:r>
      <w:r>
        <w:rPr>
          <w:rFonts w:ascii="方正仿宋_GBK" w:hAnsi="方正仿宋_GBK" w:eastAsia="方正仿宋_GBK" w:cs="方正仿宋_GBK"/>
          <w:sz w:val="32"/>
          <w:szCs w:val="32"/>
        </w:rPr>
        <w:t>3257.73</w:t>
      </w:r>
      <w:r>
        <w:rPr>
          <w:rFonts w:ascii="方正仿宋_GBK" w:hAnsi="方正仿宋_GBK" w:eastAsia="方正仿宋_GBK" w:cs="方正仿宋_GBK"/>
          <w:sz w:val="32"/>
          <w:szCs w:val="32"/>
          <w:shd w:val="clear" w:color="auto" w:fill="FFFFFF"/>
        </w:rPr>
        <w:t>万元。收支较上年决算数增加878.01万元，增长36.90%，主要原因</w:t>
      </w:r>
      <w:r>
        <w:rPr>
          <w:rFonts w:hint="eastAsia" w:ascii="方正仿宋_GBK" w:hAnsi="方正仿宋_GBK" w:eastAsia="方正仿宋_GBK" w:cs="方正仿宋_GBK"/>
          <w:sz w:val="32"/>
          <w:szCs w:val="32"/>
          <w:shd w:val="clear" w:color="auto" w:fill="FFFFFF"/>
          <w:lang w:eastAsia="zh-CN"/>
        </w:rPr>
        <w:t>一是</w:t>
      </w:r>
      <w:r>
        <w:rPr>
          <w:rFonts w:hint="eastAsia" w:ascii="Times New Roman" w:hAnsi="Times New Roman" w:eastAsia="方正仿宋_GBK"/>
          <w:sz w:val="32"/>
          <w:szCs w:val="32"/>
          <w:lang w:eastAsia="zh-CN"/>
        </w:rPr>
        <w:t>专项补助增加，二</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项目划拨土地权益价款和耕地开垦费、泥结石路硬化“一事一议”项目、人员</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4DFE4A3">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2023年度收入合计3185.13万元，较上年决算数增加878.01万元，增长38.06%，主要原因是</w:t>
      </w:r>
      <w:r>
        <w:rPr>
          <w:rFonts w:hint="eastAsia" w:ascii="Times New Roman" w:hAnsi="Times New Roman" w:eastAsia="方正仿宋_GBK"/>
          <w:sz w:val="32"/>
          <w:szCs w:val="32"/>
          <w:lang w:eastAsia="zh-CN"/>
        </w:rPr>
        <w:t>专项补助增加。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3185.13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72.61</w:t>
      </w:r>
      <w:r>
        <w:rPr>
          <w:rFonts w:ascii="方正仿宋_GBK" w:hAnsi="方正仿宋_GBK" w:eastAsia="方正仿宋_GBK" w:cs="方正仿宋_GBK"/>
          <w:sz w:val="32"/>
          <w:szCs w:val="32"/>
          <w:shd w:val="clear" w:color="auto" w:fill="FFFFFF"/>
        </w:rPr>
        <w:t>万元。</w:t>
      </w:r>
    </w:p>
    <w:p w14:paraId="681CDBB3">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3185.13</w:t>
      </w:r>
      <w:r>
        <w:rPr>
          <w:rFonts w:ascii="方正仿宋_GBK" w:hAnsi="方正仿宋_GBK" w:eastAsia="方正仿宋_GBK" w:cs="方正仿宋_GBK"/>
          <w:sz w:val="32"/>
          <w:szCs w:val="32"/>
          <w:shd w:val="clear" w:color="auto" w:fill="FFFFFF"/>
        </w:rPr>
        <w:t>万元，较上年决算数增加878.01万元，增长38.06%，主要原因是</w:t>
      </w:r>
      <w:r>
        <w:rPr>
          <w:rFonts w:hint="eastAsia" w:ascii="方正仿宋_GBK" w:hAnsi="方正仿宋_GBK" w:eastAsia="方正仿宋_GBK" w:cs="方正仿宋_GBK"/>
          <w:sz w:val="32"/>
          <w:szCs w:val="32"/>
          <w:shd w:val="clear" w:color="auto" w:fill="FFFFFF"/>
          <w:lang w:eastAsia="zh-CN"/>
        </w:rPr>
        <w:t>项目划拨土地权益价款和耕地开垦费、泥结石路硬化“一事一议”项目、人员</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1465.07</w:t>
      </w:r>
      <w:r>
        <w:rPr>
          <w:rFonts w:ascii="方正仿宋_GBK" w:hAnsi="方正仿宋_GBK" w:eastAsia="方正仿宋_GBK" w:cs="方正仿宋_GBK"/>
          <w:sz w:val="32"/>
          <w:szCs w:val="32"/>
          <w:shd w:val="clear" w:color="auto" w:fill="FFFFFF"/>
        </w:rPr>
        <w:t>万元，占46.00%；项目支出</w:t>
      </w:r>
      <w:r>
        <w:rPr>
          <w:rFonts w:ascii="方正仿宋_GBK" w:hAnsi="方正仿宋_GBK" w:eastAsia="方正仿宋_GBK" w:cs="方正仿宋_GBK"/>
          <w:sz w:val="32"/>
          <w:szCs w:val="32"/>
        </w:rPr>
        <w:t>1720.05</w:t>
      </w:r>
      <w:r>
        <w:rPr>
          <w:rFonts w:ascii="方正仿宋_GBK" w:hAnsi="方正仿宋_GBK" w:eastAsia="方正仿宋_GBK" w:cs="方正仿宋_GBK"/>
          <w:sz w:val="32"/>
          <w:szCs w:val="32"/>
          <w:shd w:val="clear" w:color="auto" w:fill="FFFFFF"/>
        </w:rPr>
        <w:t>万元，占54.00%；经营支出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207C85A">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72.61</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3359483A">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F1E8719">
      <w:pPr>
        <w:pStyle w:val="4"/>
        <w:keepNext w:val="0"/>
        <w:keepLines w:val="0"/>
        <w:pageBreakBefore w:val="0"/>
        <w:shd w:val="clear" w:color="auto" w:fill="FFFFFF"/>
        <w:kinsoku/>
        <w:wordWrap/>
        <w:overflowPunct/>
        <w:topLinePunct w:val="0"/>
        <w:autoSpaceDN/>
        <w:bidi w:val="0"/>
        <w:adjustRightInd/>
        <w:snapToGrid/>
        <w:spacing w:beforeAutospacing="0" w:line="240" w:lineRule="auto"/>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2023年度财政拨款收、支总计3257.73万元。与2022年相比，财政拨款收、支总计各增加878.01万元，增长36.90%。主要原因</w:t>
      </w:r>
      <w:r>
        <w:rPr>
          <w:rFonts w:hint="eastAsia" w:ascii="方正仿宋_GBK" w:hAnsi="方正仿宋_GBK" w:eastAsia="方正仿宋_GBK" w:cs="方正仿宋_GBK"/>
          <w:sz w:val="32"/>
          <w:szCs w:val="32"/>
          <w:shd w:val="clear" w:color="auto" w:fill="FFFFFF"/>
          <w:lang w:eastAsia="zh-CN"/>
        </w:rPr>
        <w:t>一是</w:t>
      </w:r>
      <w:r>
        <w:rPr>
          <w:rFonts w:hint="eastAsia" w:ascii="Times New Roman" w:hAnsi="Times New Roman" w:eastAsia="方正仿宋_GBK"/>
          <w:sz w:val="32"/>
          <w:szCs w:val="32"/>
          <w:lang w:eastAsia="zh-CN"/>
        </w:rPr>
        <w:t>专项补助增加，二</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项目划拨土地权益价款和耕地开垦费、泥结石路硬化“一事一议”项目、人员</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6FAB21D">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840368A">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2914.75</w:t>
      </w:r>
      <w:r>
        <w:rPr>
          <w:rFonts w:ascii="方正仿宋_GBK" w:hAnsi="方正仿宋_GBK" w:eastAsia="方正仿宋_GBK" w:cs="方正仿宋_GBK"/>
          <w:sz w:val="32"/>
          <w:szCs w:val="32"/>
          <w:shd w:val="clear" w:color="auto" w:fill="FFFFFF"/>
        </w:rPr>
        <w:t>万元，较上年决算数增加607.63万元，增长26.34%。主要原因是</w:t>
      </w:r>
      <w:r>
        <w:rPr>
          <w:rFonts w:hint="eastAsia" w:ascii="Times New Roman" w:hAnsi="Times New Roman" w:eastAsia="方正仿宋_GBK"/>
          <w:sz w:val="32"/>
          <w:szCs w:val="32"/>
          <w:lang w:eastAsia="zh-CN"/>
        </w:rPr>
        <w:t>专项补助增加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较年初预算数增加835.77万元，增长40.20%。主要原</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资源税、耕地占用税增加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50.12</w:t>
      </w:r>
      <w:r>
        <w:rPr>
          <w:rFonts w:ascii="方正仿宋_GBK" w:hAnsi="方正仿宋_GBK" w:eastAsia="方正仿宋_GBK" w:cs="方正仿宋_GBK"/>
          <w:sz w:val="32"/>
          <w:szCs w:val="32"/>
          <w:shd w:val="clear" w:color="auto" w:fill="FFFFFF"/>
        </w:rPr>
        <w:t>万元。</w:t>
      </w:r>
    </w:p>
    <w:p w14:paraId="63C1BDCE">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7"/>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2914.75</w:t>
      </w:r>
      <w:r>
        <w:rPr>
          <w:rFonts w:ascii="方正仿宋_GBK" w:hAnsi="方正仿宋_GBK" w:eastAsia="方正仿宋_GBK" w:cs="方正仿宋_GBK"/>
          <w:sz w:val="32"/>
          <w:szCs w:val="32"/>
          <w:shd w:val="clear" w:color="auto" w:fill="FFFFFF"/>
        </w:rPr>
        <w:t>万元，较上年决算数增加607.63万元，增长26.34%。主要原因是</w:t>
      </w:r>
      <w:r>
        <w:rPr>
          <w:rFonts w:hint="eastAsia" w:ascii="方正仿宋_GBK" w:hAnsi="方正仿宋_GBK" w:eastAsia="方正仿宋_GBK" w:cs="方正仿宋_GBK"/>
          <w:sz w:val="32"/>
          <w:szCs w:val="32"/>
          <w:shd w:val="clear" w:color="auto" w:fill="FFFFFF"/>
          <w:lang w:eastAsia="zh-CN"/>
        </w:rPr>
        <w:t>项目划拨土地权益价款和耕地开垦费、泥结石路硬化“一事一议”项目、人员</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较年初预算数增加835.77万元，增长40.20%。</w:t>
      </w:r>
      <w:r>
        <w:rPr>
          <w:rFonts w:hint="eastAsia" w:ascii="方正仿宋_GBK" w:hAnsi="方正仿宋_GBK" w:eastAsia="方正仿宋_GBK" w:cs="方正仿宋_GBK"/>
          <w:sz w:val="32"/>
          <w:szCs w:val="32"/>
          <w:shd w:val="clear" w:color="auto" w:fill="FFFFFF"/>
          <w:lang w:eastAsia="zh-CN"/>
        </w:rPr>
        <w:t>主要原因是项目划拨土地权益价款和耕地开垦费、人员</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97560AE">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eastAsia" w:ascii="方正仿宋_GBK" w:hAnsi="方正仿宋_GBK" w:eastAsia="方正仿宋_GBK" w:cs="方正仿宋_GBK"/>
          <w:sz w:val="32"/>
          <w:szCs w:val="32"/>
          <w:lang w:eastAsia="zh-CN"/>
        </w:rPr>
      </w:pPr>
      <w:r>
        <w:rPr>
          <w:rStyle w:val="7"/>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50.12</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14:paraId="21855561">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7"/>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62FF1E02">
      <w:pPr>
        <w:pStyle w:val="4"/>
        <w:keepNext w:val="0"/>
        <w:keepLines w:val="0"/>
        <w:pageBreakBefore w:val="0"/>
        <w:kinsoku/>
        <w:wordWrap/>
        <w:overflowPunct/>
        <w:topLinePunct w:val="0"/>
        <w:autoSpaceDN/>
        <w:bidi w:val="0"/>
        <w:adjustRightInd/>
        <w:snapToGrid/>
        <w:spacing w:beforeAutospacing="0" w:line="240" w:lineRule="auto"/>
        <w:ind w:firstLine="640" w:firstLineChars="200"/>
        <w:textAlignment w:val="auto"/>
        <w:rPr>
          <w:rFonts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796.26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27.32</w:t>
      </w:r>
      <w:r>
        <w:rPr>
          <w:rFonts w:ascii="方正仿宋_GBK" w:hAnsi="方正仿宋_GBK" w:eastAsia="方正仿宋_GBK" w:cs="方正仿宋_GBK"/>
          <w:sz w:val="32"/>
          <w:szCs w:val="32"/>
          <w:shd w:val="clear" w:color="auto" w:fill="FFFFFF"/>
        </w:rPr>
        <w:t>%，较年初预算数增加281.01万元，增长54.54%，主要原因是</w:t>
      </w:r>
      <w:r>
        <w:rPr>
          <w:rFonts w:hint="eastAsia" w:ascii="Times New Roman" w:hAnsi="Times New Roman" w:eastAsia="方正仿宋_GBK"/>
          <w:bCs/>
          <w:sz w:val="32"/>
          <w:szCs w:val="32"/>
          <w:lang w:eastAsia="zh-CN"/>
        </w:rPr>
        <w:t>一般公共服务投入增加</w:t>
      </w:r>
      <w:r>
        <w:rPr>
          <w:rFonts w:ascii="Times New Roman" w:hAnsi="Times New Roman" w:eastAsia="方正仿宋_GBK"/>
          <w:bCs/>
          <w:sz w:val="32"/>
          <w:szCs w:val="32"/>
        </w:rPr>
        <w:t>。</w:t>
      </w:r>
    </w:p>
    <w:p w14:paraId="67B21038">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%，较年初预算数增</w:t>
      </w:r>
      <w:r>
        <w:rPr>
          <w:rFonts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加2.00万元，增长100.00%，主要原因是</w:t>
      </w:r>
      <w:r>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t>追加社区教育项目支出。</w:t>
      </w:r>
    </w:p>
    <w:p w14:paraId="6948CCA4">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kern w:val="0"/>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64.28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%，较年初预算数增加64.28万元，增长100.00%，主要原因是</w:t>
      </w:r>
      <w:r>
        <w:rPr>
          <w:rFonts w:hint="eastAsia" w:ascii="方正仿宋_GBK" w:hAnsi="方正仿宋_GBK" w:eastAsia="方正仿宋_GBK" w:cs="方正仿宋_GBK"/>
          <w:kern w:val="0"/>
          <w:sz w:val="32"/>
          <w:szCs w:val="32"/>
          <w:highlight w:val="none"/>
          <w:shd w:val="clear" w:color="auto" w:fill="FFFFFF"/>
        </w:rPr>
        <w:t>追</w:t>
      </w:r>
      <w:r>
        <w:rPr>
          <w:rFonts w:hint="eastAsia" w:ascii="方正仿宋_GBK" w:hAnsi="方正仿宋_GBK" w:eastAsia="方正仿宋_GBK" w:cs="方正仿宋_GBK"/>
          <w:kern w:val="0"/>
          <w:sz w:val="32"/>
          <w:szCs w:val="32"/>
          <w:highlight w:val="none"/>
          <w:shd w:val="clear" w:color="auto" w:fill="FFFFFF"/>
          <w:lang w:eastAsia="zh-CN"/>
        </w:rPr>
        <w:t>加</w:t>
      </w:r>
      <w:r>
        <w:rPr>
          <w:rFonts w:hint="eastAsia" w:ascii="方正仿宋_GBK" w:hAnsi="方正仿宋_GBK" w:eastAsia="方正仿宋_GBK" w:cs="方正仿宋_GBK"/>
          <w:kern w:val="0"/>
          <w:sz w:val="32"/>
          <w:szCs w:val="32"/>
          <w:highlight w:val="none"/>
          <w:shd w:val="clear" w:color="auto" w:fill="FFFFFF"/>
        </w:rPr>
        <w:t>文化经费投入。</w:t>
      </w:r>
    </w:p>
    <w:p w14:paraId="17D42991">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firstLine="640" w:firstLineChars="200"/>
        <w:jc w:val="left"/>
        <w:textAlignment w:val="auto"/>
        <w:rPr>
          <w:rFonts w:hint="eastAsia" w:ascii="方正仿宋_GBK" w:hAnsi="方正仿宋_GBK" w:eastAsia="方正仿宋_GBK" w:cs="方正仿宋_GBK"/>
          <w:color w:val="000000"/>
          <w:kern w:val="0"/>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10.30</w:t>
      </w:r>
      <w:r>
        <w:rPr>
          <w:rFonts w:ascii="方正仿宋_GBK" w:hAnsi="方正仿宋_GBK" w:eastAsia="方正仿宋_GBK" w:cs="方正仿宋_GBK"/>
          <w:sz w:val="32"/>
          <w:szCs w:val="32"/>
          <w:shd w:val="clear" w:color="auto" w:fill="FFFFFF"/>
        </w:rPr>
        <w:t>%，较年初预算数增加104.88万元，增长53.69%，主要原因是</w:t>
      </w:r>
      <w:r>
        <w:rPr>
          <w:rFonts w:hint="eastAsia" w:ascii="方正仿宋_GBK" w:hAnsi="方正仿宋_GBK" w:eastAsia="方正仿宋_GBK" w:cs="方正仿宋_GBK"/>
          <w:color w:val="000000"/>
          <w:kern w:val="0"/>
          <w:sz w:val="32"/>
          <w:szCs w:val="32"/>
          <w:highlight w:val="none"/>
          <w:shd w:val="clear" w:color="auto" w:fill="FFFFFF"/>
        </w:rPr>
        <w:t>增加社会保障与就业投入。</w:t>
      </w:r>
    </w:p>
    <w:p w14:paraId="1D1E2609">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000000"/>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56.98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w:t>
      </w:r>
      <w:r>
        <w:rPr>
          <w:rFonts w:ascii="方正仿宋_GBK" w:hAnsi="方正仿宋_GBK" w:eastAsia="方正仿宋_GBK" w:cs="方正仿宋_GBK"/>
          <w:sz w:val="32"/>
          <w:szCs w:val="32"/>
          <w:shd w:val="clear" w:color="auto" w:fill="FFFFFF"/>
        </w:rPr>
        <w:t>%，较年初预算数减少22.24万元，下降28.07%，主要原因是</w:t>
      </w:r>
      <w:r>
        <w:rPr>
          <w:rFonts w:hint="eastAsia" w:ascii="方正仿宋_GBK" w:hAnsi="方正仿宋_GBK" w:eastAsia="方正仿宋_GBK" w:cs="方正仿宋_GBK"/>
          <w:color w:val="000000"/>
          <w:kern w:val="0"/>
          <w:sz w:val="32"/>
          <w:szCs w:val="32"/>
          <w:highlight w:val="none"/>
          <w:shd w:val="clear" w:color="auto" w:fill="FFFFFF"/>
          <w:lang w:eastAsia="zh-CN"/>
        </w:rPr>
        <w:t>减少</w:t>
      </w:r>
      <w:r>
        <w:rPr>
          <w:rFonts w:hint="eastAsia" w:ascii="方正仿宋_GBK" w:hAnsi="方正仿宋_GBK" w:eastAsia="方正仿宋_GBK" w:cs="方正仿宋_GBK"/>
          <w:color w:val="000000"/>
          <w:kern w:val="0"/>
          <w:sz w:val="32"/>
          <w:szCs w:val="32"/>
          <w:highlight w:val="none"/>
          <w:shd w:val="clear" w:color="auto" w:fill="FFFFFF"/>
        </w:rPr>
        <w:t>卫生健康投入。</w:t>
      </w:r>
    </w:p>
    <w:p w14:paraId="078934E2">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0"/>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54.30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%，较年初预算数减少10.16万元，下降15.76%，主要原因是</w:t>
      </w:r>
      <w:r>
        <w:rPr>
          <w:rFonts w:hint="eastAsia" w:ascii="方正仿宋_GBK" w:hAnsi="方正仿宋_GBK" w:eastAsia="方正仿宋_GBK" w:cs="方正仿宋_GBK"/>
          <w:kern w:val="0"/>
          <w:sz w:val="32"/>
          <w:szCs w:val="32"/>
          <w:highlight w:val="none"/>
          <w:shd w:val="clear" w:color="auto" w:fill="FFFFFF"/>
        </w:rPr>
        <w:t>追减人居环境整治投入。</w:t>
      </w:r>
    </w:p>
    <w:p w14:paraId="29C690BF">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463.69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15.91</w:t>
      </w:r>
      <w:r>
        <w:rPr>
          <w:rFonts w:ascii="方正仿宋_GBK" w:hAnsi="方正仿宋_GBK" w:eastAsia="方正仿宋_GBK" w:cs="方正仿宋_GBK"/>
          <w:sz w:val="32"/>
          <w:szCs w:val="32"/>
          <w:shd w:val="clear" w:color="auto" w:fill="FFFFFF"/>
        </w:rPr>
        <w:t>%，较年初预算数增加367.98万元，增长384.47%，主要原因是</w:t>
      </w:r>
      <w:r>
        <w:rPr>
          <w:rFonts w:hint="eastAsia" w:ascii="方正仿宋_GBK" w:hAnsi="方正仿宋_GBK" w:eastAsia="方正仿宋_GBK" w:cs="方正仿宋_GBK"/>
          <w:sz w:val="32"/>
          <w:szCs w:val="32"/>
          <w:shd w:val="clear" w:color="auto" w:fill="FFFFFF"/>
          <w:lang w:eastAsia="zh-CN"/>
        </w:rPr>
        <w:t>项目划拨土地权益价款、耕地开垦费等增加。</w:t>
      </w:r>
    </w:p>
    <w:p w14:paraId="44E0816A">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597.44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20.50</w:t>
      </w:r>
      <w:r>
        <w:rPr>
          <w:rFonts w:ascii="方正仿宋_GBK" w:hAnsi="方正仿宋_GBK" w:eastAsia="方正仿宋_GBK" w:cs="方正仿宋_GBK"/>
          <w:sz w:val="32"/>
          <w:szCs w:val="32"/>
          <w:shd w:val="clear" w:color="auto" w:fill="FFFFFF"/>
        </w:rPr>
        <w:t>%，较年初预算数减少390.76万元，下降39.54%，主要原因是</w:t>
      </w:r>
      <w:r>
        <w:rPr>
          <w:rFonts w:hint="eastAsia" w:ascii="方正仿宋_GBK" w:hAnsi="方正仿宋_GBK" w:eastAsia="方正仿宋_GBK" w:cs="方正仿宋_GBK"/>
          <w:kern w:val="0"/>
          <w:sz w:val="32"/>
          <w:szCs w:val="32"/>
          <w:highlight w:val="none"/>
          <w:shd w:val="clear" w:color="auto" w:fill="FFFFFF"/>
          <w:lang w:eastAsia="zh-CN"/>
        </w:rPr>
        <w:t>减少</w:t>
      </w:r>
      <w:r>
        <w:rPr>
          <w:rFonts w:hint="eastAsia" w:ascii="方正仿宋_GBK" w:hAnsi="方正仿宋_GBK" w:eastAsia="方正仿宋_GBK" w:cs="方正仿宋_GBK"/>
          <w:kern w:val="0"/>
          <w:sz w:val="32"/>
          <w:szCs w:val="32"/>
          <w:highlight w:val="none"/>
          <w:shd w:val="clear" w:color="auto" w:fill="FFFFFF"/>
        </w:rPr>
        <w:t>农林水投入</w:t>
      </w:r>
      <w:r>
        <w:rPr>
          <w:rFonts w:hint="eastAsia" w:ascii="方正仿宋_GBK" w:hAnsi="方正仿宋_GBK" w:eastAsia="方正仿宋_GBK" w:cs="方正仿宋_GBK"/>
          <w:color w:val="FF0000"/>
          <w:kern w:val="0"/>
          <w:sz w:val="32"/>
          <w:szCs w:val="32"/>
          <w:highlight w:val="none"/>
          <w:shd w:val="clear" w:color="auto" w:fill="FFFFFF"/>
        </w:rPr>
        <w:t xml:space="preserve"> </w:t>
      </w:r>
      <w:r>
        <w:rPr>
          <w:rFonts w:hint="eastAsia" w:ascii="方正仿宋_GBK" w:hAnsi="方正仿宋_GBK" w:eastAsia="方正仿宋_GBK" w:cs="方正仿宋_GBK"/>
          <w:kern w:val="0"/>
          <w:sz w:val="32"/>
          <w:szCs w:val="32"/>
          <w:highlight w:val="none"/>
          <w:shd w:val="clear" w:color="auto" w:fill="FFFFFF"/>
        </w:rPr>
        <w:t>。</w:t>
      </w:r>
    </w:p>
    <w:p w14:paraId="1D3D9E88">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line="240" w:lineRule="auto"/>
        <w:ind w:left="0" w:firstLine="640" w:firstLineChars="200"/>
        <w:jc w:val="left"/>
        <w:textAlignment w:val="auto"/>
        <w:rPr>
          <w:rFonts w:hint="eastAsia" w:ascii="方正仿宋_GBK" w:hAnsi="方正仿宋_GBK" w:eastAsia="方正仿宋_GBK" w:cs="方正仿宋_GBK"/>
          <w:kern w:val="0"/>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463.03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15.89</w:t>
      </w:r>
      <w:r>
        <w:rPr>
          <w:rFonts w:ascii="方正仿宋_GBK" w:hAnsi="方正仿宋_GBK" w:eastAsia="方正仿宋_GBK" w:cs="方正仿宋_GBK"/>
          <w:sz w:val="32"/>
          <w:szCs w:val="32"/>
          <w:shd w:val="clear" w:color="auto" w:fill="FFFFFF"/>
        </w:rPr>
        <w:t>%，较年初预算数增加397.96万元，增长611.59%，主要原因</w:t>
      </w:r>
      <w:r>
        <w:rPr>
          <w:rFonts w:hint="eastAsia" w:ascii="方正仿宋_GBK" w:hAnsi="方正仿宋_GBK" w:eastAsia="方正仿宋_GBK" w:cs="方正仿宋_GBK"/>
          <w:kern w:val="0"/>
          <w:sz w:val="32"/>
          <w:szCs w:val="32"/>
          <w:highlight w:val="none"/>
          <w:shd w:val="clear" w:color="auto" w:fill="FFFFFF"/>
        </w:rPr>
        <w:t>是农村四好公路建设增加。</w:t>
      </w:r>
    </w:p>
    <w:p w14:paraId="15C503C9">
      <w:pPr>
        <w:keepNext w:val="0"/>
        <w:keepLines w:val="0"/>
        <w:pageBreakBefore w:val="0"/>
        <w:kinsoku/>
        <w:wordWrap/>
        <w:overflowPunct/>
        <w:topLinePunct w:val="0"/>
        <w:autoSpaceDN/>
        <w:bidi w:val="0"/>
        <w:adjustRightInd/>
        <w:snapToGrid/>
        <w:spacing w:beforeAutospacing="0" w:line="240" w:lineRule="auto"/>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%，较年初预算数减少0.03万元，下降0.05%</w:t>
      </w:r>
      <w:r>
        <w:rPr>
          <w:rFonts w:hint="eastAsia" w:ascii="方正仿宋_GBK" w:hAnsi="方正仿宋_GBK" w:eastAsia="方正仿宋_GBK" w:cs="方正仿宋_GBK"/>
          <w:sz w:val="32"/>
          <w:szCs w:val="32"/>
          <w:shd w:val="clear" w:color="auto" w:fill="FFFFFF"/>
          <w:lang w:eastAsia="zh-CN"/>
        </w:rPr>
        <w:t>。</w:t>
      </w:r>
    </w:p>
    <w:p w14:paraId="576CA540">
      <w:pPr>
        <w:keepNext w:val="0"/>
        <w:keepLines w:val="0"/>
        <w:pageBreakBefore w:val="0"/>
        <w:kinsoku/>
        <w:wordWrap/>
        <w:overflowPunct/>
        <w:topLinePunct w:val="0"/>
        <w:autoSpaceDN/>
        <w:bidi w:val="0"/>
        <w:adjustRightInd/>
        <w:snapToGrid/>
        <w:spacing w:beforeAutospacing="0" w:line="240" w:lineRule="auto"/>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%，较年初预算数增加40.85万元，增长408.50%，主要原因是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追加防汛救灾专项资金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F5F0102">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C0E49F4">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1465.07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1156.71</w:t>
      </w:r>
      <w:r>
        <w:rPr>
          <w:rFonts w:ascii="方正仿宋_GBK" w:hAnsi="方正仿宋_GBK" w:eastAsia="方正仿宋_GBK" w:cs="方正仿宋_GBK"/>
          <w:sz w:val="32"/>
          <w:szCs w:val="32"/>
          <w:shd w:val="clear" w:color="auto" w:fill="FFFFFF"/>
        </w:rPr>
        <w:t>万元，较上年决算数增加24.49万元，增长2.16%，主要原因是</w:t>
      </w:r>
      <w:r>
        <w:rPr>
          <w:rFonts w:hint="eastAsia" w:ascii="方正仿宋_GBK" w:hAnsi="方正仿宋_GBK" w:eastAsia="方正仿宋_GBK" w:cs="方正仿宋_GBK"/>
          <w:kern w:val="0"/>
          <w:sz w:val="32"/>
          <w:szCs w:val="32"/>
          <w:shd w:val="clear" w:color="auto" w:fill="FFFFFF"/>
        </w:rPr>
        <w:t>人员</w:t>
      </w:r>
      <w:r>
        <w:rPr>
          <w:rFonts w:hint="eastAsia" w:ascii="方正仿宋_GBK" w:hAnsi="方正仿宋_GBK" w:eastAsia="方正仿宋_GBK" w:cs="方正仿宋_GBK"/>
          <w:kern w:val="0"/>
          <w:sz w:val="32"/>
          <w:szCs w:val="32"/>
          <w:shd w:val="clear" w:color="auto" w:fill="FFFFFF"/>
          <w:lang w:eastAsia="zh-CN"/>
        </w:rPr>
        <w:t>增加</w:t>
      </w:r>
      <w:r>
        <w:rPr>
          <w:rFonts w:hint="eastAsia" w:ascii="方正仿宋_GBK" w:hAnsi="方正仿宋_GBK" w:eastAsia="方正仿宋_GBK" w:cs="方正仿宋_GBK"/>
          <w:kern w:val="0"/>
          <w:sz w:val="32"/>
          <w:szCs w:val="32"/>
          <w:shd w:val="clear" w:color="auto" w:fill="FFFFFF"/>
        </w:rPr>
        <w:t>、社会保障缴费</w:t>
      </w:r>
      <w:r>
        <w:rPr>
          <w:rFonts w:hint="eastAsia" w:ascii="方正仿宋_GBK" w:hAnsi="方正仿宋_GBK" w:eastAsia="方正仿宋_GBK" w:cs="方正仿宋_GBK"/>
          <w:kern w:val="0"/>
          <w:sz w:val="32"/>
          <w:szCs w:val="32"/>
          <w:shd w:val="clear" w:color="auto" w:fill="FFFFFF"/>
          <w:lang w:eastAsia="zh-CN"/>
        </w:rPr>
        <w:t>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eastAsia="zh-CN"/>
        </w:rPr>
        <w:t>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308.36</w:t>
      </w:r>
      <w:r>
        <w:rPr>
          <w:rFonts w:ascii="方正仿宋_GBK" w:hAnsi="方正仿宋_GBK" w:eastAsia="方正仿宋_GBK" w:cs="方正仿宋_GBK"/>
          <w:sz w:val="32"/>
          <w:szCs w:val="32"/>
          <w:shd w:val="clear" w:color="auto" w:fill="FFFFFF"/>
        </w:rPr>
        <w:t>万元，较上年决算数减少7.09万元，下降2.25%，主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劳务费、其他交通费减少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14:paraId="5E74AF7D">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5E257E5">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22.48</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22.48</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270.37</w:t>
      </w:r>
      <w:r>
        <w:rPr>
          <w:rFonts w:ascii="方正仿宋_GBK" w:hAnsi="方正仿宋_GBK" w:eastAsia="方正仿宋_GBK" w:cs="方正仿宋_GBK"/>
          <w:sz w:val="32"/>
          <w:szCs w:val="32"/>
          <w:shd w:val="clear" w:color="auto" w:fill="FFFFFF"/>
        </w:rPr>
        <w:t>万元，较上年决算数增加270.37万元，增长100.00%，主要原因是</w:t>
      </w:r>
      <w:r>
        <w:rPr>
          <w:rFonts w:hint="eastAsia" w:ascii="方正仿宋_GBK" w:hAnsi="方正仿宋_GBK" w:eastAsia="方正仿宋_GBK" w:cs="方正仿宋_GBK"/>
          <w:sz w:val="32"/>
          <w:szCs w:val="32"/>
          <w:shd w:val="clear" w:color="auto" w:fill="FFFFFF"/>
          <w:lang w:eastAsia="zh-CN"/>
        </w:rPr>
        <w:t>追加生态停车场建设项目划拨土地权益价款</w:t>
      </w:r>
      <w:r>
        <w:rPr>
          <w:rFonts w:hint="eastAsia" w:ascii="宋体" w:hAnsi="宋体" w:eastAsia="宋体" w:cs="宋体"/>
          <w:sz w:val="24"/>
          <w:szCs w:val="24"/>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270.37</w:t>
      </w:r>
      <w:r>
        <w:rPr>
          <w:rFonts w:ascii="方正仿宋_GBK" w:hAnsi="方正仿宋_GBK" w:eastAsia="方正仿宋_GBK" w:cs="方正仿宋_GBK"/>
          <w:sz w:val="32"/>
          <w:szCs w:val="32"/>
          <w:shd w:val="clear" w:color="auto" w:fill="FFFFFF"/>
        </w:rPr>
        <w:t>万元，较上年决算数增加270.37万元，增长100.00%，主要原因是</w:t>
      </w:r>
      <w:r>
        <w:rPr>
          <w:rFonts w:hint="eastAsia" w:ascii="方正仿宋_GBK" w:hAnsi="方正仿宋_GBK" w:eastAsia="方正仿宋_GBK" w:cs="方正仿宋_GBK"/>
          <w:sz w:val="32"/>
          <w:szCs w:val="32"/>
          <w:shd w:val="clear" w:color="auto" w:fill="FFFFFF"/>
          <w:lang w:eastAsia="zh-CN"/>
        </w:rPr>
        <w:t>生态停车场建设项目划拨土地权益价款的支出。</w:t>
      </w:r>
    </w:p>
    <w:p w14:paraId="3E63E0B3">
      <w:pPr>
        <w:pStyle w:val="8"/>
        <w:keepNext w:val="0"/>
        <w:keepLines w:val="0"/>
        <w:pageBreakBefore w:val="0"/>
        <w:numPr>
          <w:ilvl w:val="0"/>
          <w:numId w:val="1"/>
        </w:numPr>
        <w:kinsoku/>
        <w:wordWrap/>
        <w:overflowPunct/>
        <w:topLinePunct w:val="0"/>
        <w:autoSpaceDE w:val="0"/>
        <w:autoSpaceDN/>
        <w:bidi w:val="0"/>
        <w:adjustRightInd/>
        <w:snapToGrid/>
        <w:spacing w:beforeAutospacing="0" w:line="240" w:lineRule="auto"/>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680AE108">
      <w:pPr>
        <w:pStyle w:val="4"/>
        <w:keepNext w:val="0"/>
        <w:keepLines w:val="0"/>
        <w:pageBreakBefore w:val="0"/>
        <w:kinsoku/>
        <w:wordWrap/>
        <w:overflowPunct/>
        <w:topLinePunct w:val="0"/>
        <w:autoSpaceDN/>
        <w:bidi w:val="0"/>
        <w:adjustRightInd/>
        <w:snapToGrid/>
        <w:spacing w:beforeAutospacing="0" w:line="240" w:lineRule="auto"/>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ascii="Times New Roman" w:hAnsi="Times New Roman" w:eastAsia="方正仿宋_GBK"/>
          <w:b w:val="0"/>
          <w:bCs/>
          <w:sz w:val="32"/>
          <w:szCs w:val="32"/>
        </w:rPr>
        <w:t>本部门202</w:t>
      </w:r>
      <w:r>
        <w:rPr>
          <w:rFonts w:hint="eastAsia" w:ascii="Times New Roman" w:hAnsi="Times New Roman" w:eastAsia="方正仿宋_GBK"/>
          <w:b w:val="0"/>
          <w:bCs/>
          <w:sz w:val="32"/>
          <w:szCs w:val="32"/>
          <w:lang w:val="en-US" w:eastAsia="zh-CN"/>
        </w:rPr>
        <w:t>3</w:t>
      </w:r>
      <w:r>
        <w:rPr>
          <w:rFonts w:ascii="Times New Roman" w:hAnsi="Times New Roman" w:eastAsia="方正仿宋_GBK"/>
          <w:b w:val="0"/>
          <w:bCs/>
          <w:sz w:val="32"/>
          <w:szCs w:val="32"/>
        </w:rPr>
        <w:t>年度无国有资本经营预算财政拨款支出。</w:t>
      </w:r>
    </w:p>
    <w:p w14:paraId="1737AB5B">
      <w:pPr>
        <w:pStyle w:val="4"/>
        <w:keepNext w:val="0"/>
        <w:keepLines w:val="0"/>
        <w:pageBreakBefore w:val="0"/>
        <w:shd w:val="clear" w:color="auto" w:fill="FFFFFF"/>
        <w:kinsoku/>
        <w:wordWrap/>
        <w:overflowPunct/>
        <w:topLinePunct w:val="0"/>
        <w:autoSpaceDN/>
        <w:bidi w:val="0"/>
        <w:adjustRightInd/>
        <w:snapToGrid/>
        <w:spacing w:beforeAutospacing="0" w:line="240" w:lineRule="auto"/>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三、“三公”经费情况说明</w:t>
      </w:r>
    </w:p>
    <w:p w14:paraId="301DE157">
      <w:pPr>
        <w:pStyle w:val="8"/>
        <w:keepNext w:val="0"/>
        <w:keepLines w:val="0"/>
        <w:pageBreakBefore w:val="0"/>
        <w:kinsoku/>
        <w:wordWrap/>
        <w:overflowPunct/>
        <w:topLinePunct w:val="0"/>
        <w:autoSpaceDE w:val="0"/>
        <w:autoSpaceDN/>
        <w:bidi w:val="0"/>
        <w:adjustRightInd/>
        <w:snapToGrid/>
        <w:spacing w:beforeAutospacing="0" w:line="240" w:lineRule="auto"/>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4844F7A">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3.81</w:t>
      </w:r>
      <w:r>
        <w:rPr>
          <w:rFonts w:ascii="方正仿宋_GBK" w:hAnsi="方正仿宋_GBK" w:eastAsia="方正仿宋_GBK" w:cs="方正仿宋_GBK"/>
          <w:sz w:val="32"/>
          <w:szCs w:val="32"/>
          <w:shd w:val="clear" w:color="auto" w:fill="FFFFFF"/>
        </w:rPr>
        <w:t>万元，较年初预算数减少6.99万元，下降64.72%，主要原因是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认真贯彻落实中央八项规定精神和厉行节约要求，按照只减不增的要求从严控制三公经费，全年实际支出较预算和决算均有所下降。</w:t>
      </w:r>
      <w:r>
        <w:rPr>
          <w:rFonts w:ascii="方正仿宋_GBK" w:hAnsi="方正仿宋_GBK" w:eastAsia="方正仿宋_GBK" w:cs="方正仿宋_GBK"/>
          <w:sz w:val="32"/>
          <w:szCs w:val="32"/>
          <w:shd w:val="clear" w:color="auto" w:fill="FFFFFF"/>
        </w:rPr>
        <w:t>较上年支出数减少1.60万元，下降29.57%，主要原因是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14:paraId="5D1B1A39">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C143DF4">
      <w:pPr>
        <w:pStyle w:val="4"/>
        <w:keepNext w:val="0"/>
        <w:keepLines w:val="0"/>
        <w:pageBreakBefore w:val="0"/>
        <w:kinsoku/>
        <w:wordWrap/>
        <w:overflowPunct/>
        <w:topLinePunct w:val="0"/>
        <w:autoSpaceDN/>
        <w:bidi w:val="0"/>
        <w:adjustRightInd/>
        <w:snapToGrid/>
        <w:spacing w:beforeAutospacing="0" w:line="240" w:lineRule="auto"/>
        <w:ind w:firstLine="640" w:firstLineChars="200"/>
        <w:textAlignment w:val="auto"/>
        <w:rPr>
          <w:rFonts w:hint="eastAsia" w:ascii="方正仿宋_GBK" w:hAnsi="方正仿宋_GBK" w:eastAsia="方正仿宋_GBK" w:cs="方正仿宋_GBK"/>
          <w:kern w:val="0"/>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ascii="Times New Roman" w:hAnsi="Times New Roman" w:eastAsia="方正仿宋_GBK"/>
          <w:bCs/>
          <w:sz w:val="32"/>
          <w:szCs w:val="32"/>
        </w:rPr>
        <w:t>费用支出较年初预算数增加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较上年支出数增加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hint="eastAsia" w:ascii="Times New Roman" w:hAnsi="Times New Roman" w:eastAsia="方正仿宋_GBK"/>
          <w:bCs/>
          <w:sz w:val="32"/>
          <w:szCs w:val="32"/>
          <w:lang w:eastAsia="zh-CN"/>
        </w:rPr>
        <w:t>，</w:t>
      </w:r>
      <w:r>
        <w:rPr>
          <w:rFonts w:hint="eastAsia" w:ascii="方正仿宋_GBK" w:hAnsi="方正仿宋_GBK" w:eastAsia="方正仿宋_GBK" w:cs="方正仿宋_GBK"/>
          <w:kern w:val="2"/>
          <w:sz w:val="32"/>
          <w:szCs w:val="32"/>
          <w:lang w:val="en-US" w:eastAsia="zh-CN" w:bidi="ar"/>
        </w:rPr>
        <w:t>2023年度我单位无因公出国（境）支出，与上年度决算数持平。</w:t>
      </w:r>
    </w:p>
    <w:p w14:paraId="7AE8A78A">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万元，主要</w:t>
      </w:r>
      <w:r>
        <w:rPr>
          <w:rFonts w:hint="eastAsia" w:ascii="Times New Roman" w:hAnsi="Times New Roman" w:eastAsia="方正仿宋_GBK"/>
          <w:bCs/>
          <w:sz w:val="32"/>
          <w:szCs w:val="32"/>
          <w:lang w:eastAsia="zh-CN"/>
        </w:rPr>
        <w:t>是</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年度未发生公务车购置费</w:t>
      </w:r>
      <w:r>
        <w:rPr>
          <w:rFonts w:ascii="方正仿宋_GBK" w:hAnsi="方正仿宋_GBK" w:eastAsia="方正仿宋_GBK" w:cs="方正仿宋_GBK"/>
          <w:sz w:val="32"/>
          <w:szCs w:val="32"/>
          <w:shd w:val="clear" w:color="auto" w:fill="FFFFFF"/>
        </w:rPr>
        <w:t>。</w:t>
      </w:r>
      <w:r>
        <w:rPr>
          <w:rFonts w:ascii="Times New Roman" w:hAnsi="Times New Roman" w:eastAsia="方正仿宋_GBK"/>
          <w:bCs/>
          <w:sz w:val="32"/>
          <w:szCs w:val="32"/>
        </w:rPr>
        <w:t>费用支出较年初预算数增加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hint="eastAsia" w:ascii="Times New Roman" w:hAnsi="Times New Roman" w:eastAsia="方正仿宋_GBK"/>
          <w:bCs/>
          <w:sz w:val="32"/>
          <w:szCs w:val="32"/>
          <w:lang w:eastAsia="zh-CN"/>
        </w:rPr>
        <w:t>，</w:t>
      </w:r>
      <w:r>
        <w:rPr>
          <w:rFonts w:ascii="Times New Roman" w:hAnsi="Times New Roman" w:eastAsia="方正仿宋_GBK"/>
          <w:bCs/>
          <w:sz w:val="32"/>
          <w:szCs w:val="32"/>
        </w:rPr>
        <w:t>较上年支出数增加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ascii="Times New Roman" w:hAnsi="Times New Roman" w:eastAsia="方正仿宋_GBK"/>
          <w:bCs/>
          <w:sz w:val="32"/>
          <w:szCs w:val="32"/>
        </w:rPr>
        <w:t>。</w:t>
      </w:r>
      <w:r>
        <w:rPr>
          <w:rFonts w:hint="eastAsia" w:ascii="方正仿宋_GBK" w:hAnsi="方正仿宋_GBK" w:eastAsia="方正仿宋_GBK" w:cs="方正仿宋_GBK"/>
          <w:kern w:val="2"/>
          <w:sz w:val="32"/>
          <w:szCs w:val="32"/>
          <w:shd w:val="clear" w:color="auto" w:fill="FFFFFF"/>
          <w:lang w:val="en-US" w:eastAsia="zh-CN" w:bidi="ar"/>
        </w:rPr>
        <w:t>本单位2023年度未发生公务车购置费，</w:t>
      </w:r>
      <w:r>
        <w:rPr>
          <w:rFonts w:hint="eastAsia" w:ascii="方正仿宋_GBK" w:hAnsi="方正仿宋_GBK" w:eastAsia="方正仿宋_GBK" w:cs="方正仿宋_GBK"/>
          <w:kern w:val="2"/>
          <w:sz w:val="32"/>
          <w:szCs w:val="32"/>
          <w:lang w:val="en-US" w:eastAsia="zh-CN" w:bidi="ar"/>
        </w:rPr>
        <w:t>与上年度决算数持平。</w:t>
      </w:r>
    </w:p>
    <w:p w14:paraId="7515DA3E">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3.81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bCs/>
          <w:sz w:val="32"/>
          <w:szCs w:val="32"/>
          <w:lang w:eastAsia="zh-CN"/>
        </w:rPr>
        <w:t>公务车油费、维修费、路桥费、保险费等。</w:t>
      </w:r>
      <w:r>
        <w:rPr>
          <w:rFonts w:ascii="方正仿宋_GBK" w:hAnsi="方正仿宋_GBK" w:eastAsia="方正仿宋_GBK" w:cs="方正仿宋_GBK"/>
          <w:sz w:val="32"/>
          <w:szCs w:val="32"/>
          <w:shd w:val="clear" w:color="auto" w:fill="FFFFFF"/>
        </w:rPr>
        <w:t>费用支出较年初预算数减少6.99万元，下降64.72%，主要原因是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认真贯彻落实中央八项规定精神和厉行节约要求，按照只减不增的要求从严控制三公经费，全年实际支出较预算和决算均有所下降。</w:t>
      </w:r>
      <w:r>
        <w:rPr>
          <w:rFonts w:ascii="方正仿宋_GBK" w:hAnsi="方正仿宋_GBK" w:eastAsia="方正仿宋_GBK" w:cs="方正仿宋_GBK"/>
          <w:sz w:val="32"/>
          <w:szCs w:val="32"/>
          <w:shd w:val="clear" w:color="auto" w:fill="FFFFFF"/>
        </w:rPr>
        <w:t>较上年支出数减少1.60万元，下降29.57%，主要原因是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14:paraId="56B1DFA1">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kern w:val="0"/>
          <w:sz w:val="32"/>
          <w:szCs w:val="32"/>
          <w:shd w:val="clear" w:color="auto" w:fill="FFFFFF"/>
        </w:rPr>
        <w:t>主要是本单位202</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rPr>
        <w:t>年度未发生公务接待费。</w:t>
      </w:r>
      <w:r>
        <w:rPr>
          <w:rStyle w:val="7"/>
          <w:rFonts w:hint="eastAsia" w:ascii="方正楷体_GBK" w:eastAsia="方正楷体_GBK"/>
          <w:b w:val="0"/>
          <w:sz w:val="32"/>
          <w:szCs w:val="32"/>
        </w:rPr>
        <w:t xml:space="preserve"> </w:t>
      </w:r>
      <w:r>
        <w:rPr>
          <w:rFonts w:ascii="Times New Roman" w:hAnsi="Times New Roman" w:eastAsia="方正仿宋_GBK"/>
          <w:bCs/>
          <w:sz w:val="32"/>
          <w:szCs w:val="32"/>
        </w:rPr>
        <w:t>费用支出较年初预算数增加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bCs/>
          <w:sz w:val="32"/>
          <w:szCs w:val="32"/>
          <w:lang w:eastAsia="zh-CN"/>
        </w:rPr>
        <w:t>，</w:t>
      </w:r>
      <w:r>
        <w:rPr>
          <w:rFonts w:ascii="Times New Roman" w:hAnsi="Times New Roman" w:eastAsia="方正仿宋_GBK"/>
          <w:bCs/>
          <w:sz w:val="32"/>
          <w:szCs w:val="32"/>
        </w:rPr>
        <w:t>较上年支出数增加</w:t>
      </w:r>
      <w:r>
        <w:rPr>
          <w:rFonts w:hint="eastAsia" w:ascii="方正仿宋_GBK" w:hAnsi="方正仿宋_GBK" w:eastAsia="方正仿宋_GBK" w:cs="方正仿宋_GBK"/>
          <w:bCs/>
          <w:sz w:val="32"/>
          <w:szCs w:val="32"/>
          <w:lang w:val="en-US" w:eastAsia="zh-CN"/>
        </w:rPr>
        <w:t>0</w:t>
      </w:r>
      <w:r>
        <w:rPr>
          <w:rFonts w:ascii="Times New Roman" w:hAnsi="Times New Roman" w:eastAsia="方正仿宋_GBK"/>
          <w:bCs/>
          <w:sz w:val="32"/>
          <w:szCs w:val="32"/>
        </w:rPr>
        <w:t>万元，增长</w:t>
      </w:r>
      <w:r>
        <w:rPr>
          <w:rFonts w:hint="eastAsia" w:ascii="方正仿宋_GBK" w:hAnsi="方正仿宋_GBK" w:eastAsia="方正仿宋_GBK" w:cs="方正仿宋_GBK"/>
          <w:bCs/>
          <w:sz w:val="32"/>
          <w:szCs w:val="32"/>
          <w:lang w:val="en-US" w:eastAsia="zh-CN"/>
        </w:rPr>
        <w:t>0.0</w:t>
      </w:r>
      <w:r>
        <w:rPr>
          <w:rFonts w:hint="eastAsia" w:ascii="方正仿宋_GBK" w:hAnsi="方正仿宋_GBK" w:eastAsia="方正仿宋_GBK" w:cs="方正仿宋_GBK"/>
          <w:bCs/>
          <w:sz w:val="32"/>
          <w:szCs w:val="32"/>
        </w:rPr>
        <w:t>%</w:t>
      </w:r>
      <w:r>
        <w:rPr>
          <w:rFonts w:ascii="Times New Roman" w:hAnsi="Times New Roman" w:eastAsia="方正仿宋_GBK"/>
          <w:bCs/>
          <w:sz w:val="32"/>
          <w:szCs w:val="32"/>
        </w:rPr>
        <w:t>。</w:t>
      </w:r>
      <w:r>
        <w:rPr>
          <w:rFonts w:hint="eastAsia" w:ascii="方正仿宋_GBK" w:hAnsi="方正仿宋_GBK" w:eastAsia="方正仿宋_GBK" w:cs="方正仿宋_GBK"/>
          <w:kern w:val="2"/>
          <w:sz w:val="32"/>
          <w:szCs w:val="32"/>
          <w:shd w:val="clear" w:color="auto" w:fill="FFFFFF"/>
          <w:lang w:val="en-US" w:eastAsia="zh-CN" w:bidi="ar"/>
        </w:rPr>
        <w:t>本单位2023年度未发生公务接待费，</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14:paraId="2A1431D4">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E1D8EDB">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0.54</w:t>
      </w:r>
      <w:r>
        <w:rPr>
          <w:rFonts w:ascii="方正仿宋_GBK" w:hAnsi="方正仿宋_GBK" w:eastAsia="方正仿宋_GBK" w:cs="方正仿宋_GBK"/>
          <w:sz w:val="32"/>
          <w:szCs w:val="32"/>
          <w:shd w:val="clear" w:color="auto" w:fill="FFFFFF"/>
        </w:rPr>
        <w:t>万元。</w:t>
      </w:r>
    </w:p>
    <w:p w14:paraId="5E0E0CC4">
      <w:pPr>
        <w:pStyle w:val="4"/>
        <w:keepNext w:val="0"/>
        <w:keepLines w:val="0"/>
        <w:pageBreakBefore w:val="0"/>
        <w:shd w:val="clear" w:color="auto" w:fill="FFFFFF"/>
        <w:kinsoku/>
        <w:wordWrap/>
        <w:overflowPunct/>
        <w:topLinePunct w:val="0"/>
        <w:autoSpaceDN/>
        <w:bidi w:val="0"/>
        <w:adjustRightInd/>
        <w:snapToGrid/>
        <w:spacing w:beforeAutospacing="0" w:line="240" w:lineRule="auto"/>
        <w:textAlignment w:val="auto"/>
        <w:rPr>
          <w:rStyle w:val="7"/>
          <w:rFonts w:hint="default" w:ascii="方正仿宋_GBK" w:hAnsi="方正仿宋_GBK" w:eastAsia="方正仿宋_GBK" w:cs="方正仿宋_GBK"/>
          <w:sz w:val="32"/>
          <w:szCs w:val="32"/>
          <w:shd w:val="clear" w:color="auto" w:fill="FFFFFF"/>
        </w:rPr>
      </w:pPr>
      <w:r>
        <w:rPr>
          <w:rStyle w:val="7"/>
          <w:rFonts w:ascii="黑体" w:hAnsi="黑体" w:eastAsia="黑体" w:cs="黑体"/>
          <w:sz w:val="32"/>
          <w:szCs w:val="32"/>
          <w:shd w:val="clear" w:color="auto" w:fill="FFFFFF"/>
        </w:rPr>
        <w:t>四、其他需要说明的事项</w:t>
      </w:r>
    </w:p>
    <w:p w14:paraId="601D6B6D">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755BA8D">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万元，较上年决算数减少0.21万元，下降100.00%，主要原因是</w:t>
      </w:r>
      <w:r>
        <w:rPr>
          <w:rFonts w:hint="eastAsia" w:ascii="方正仿宋_GBK" w:hAnsi="方正仿宋_GBK" w:eastAsia="方正仿宋_GBK" w:cs="方正仿宋_GBK"/>
          <w:sz w:val="32"/>
          <w:szCs w:val="32"/>
          <w:shd w:val="clear" w:color="auto" w:fill="FFFFFF"/>
          <w:lang w:eastAsia="zh-CN"/>
        </w:rPr>
        <w:t>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3.06</w:t>
      </w:r>
      <w:r>
        <w:rPr>
          <w:rFonts w:ascii="方正仿宋_GBK" w:hAnsi="方正仿宋_GBK" w:eastAsia="方正仿宋_GBK" w:cs="方正仿宋_GBK"/>
          <w:sz w:val="32"/>
          <w:szCs w:val="32"/>
          <w:shd w:val="clear" w:color="auto" w:fill="FFFFFF"/>
        </w:rPr>
        <w:t>万元，较上年决算数增加1.72万元，增长128.36%，主要原因是</w:t>
      </w:r>
      <w:r>
        <w:rPr>
          <w:rFonts w:hint="eastAsia" w:ascii="方正仿宋_GBK" w:hAnsi="方正仿宋_GBK" w:eastAsia="方正仿宋_GBK" w:cs="方正仿宋_GBK"/>
          <w:sz w:val="32"/>
          <w:szCs w:val="32"/>
          <w:shd w:val="clear" w:color="auto" w:fill="FFFFFF"/>
          <w:lang w:eastAsia="zh-CN"/>
        </w:rPr>
        <w:t>培训增多</w:t>
      </w:r>
      <w:r>
        <w:rPr>
          <w:rFonts w:ascii="方正仿宋_GBK" w:hAnsi="方正仿宋_GBK" w:eastAsia="方正仿宋_GBK" w:cs="方正仿宋_GBK"/>
          <w:sz w:val="32"/>
          <w:szCs w:val="32"/>
          <w:shd w:val="clear" w:color="auto" w:fill="FFFFFF"/>
        </w:rPr>
        <w:t>。</w:t>
      </w:r>
    </w:p>
    <w:p w14:paraId="0A57234D">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C039E90">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293.56</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kern w:val="0"/>
          <w:sz w:val="32"/>
          <w:szCs w:val="32"/>
          <w:shd w:val="clear" w:color="auto" w:fill="FFFFFF"/>
        </w:rPr>
        <w:t>办公费、咨询费、差旅费、维修费、劳务费、公务用车运行维护费等</w:t>
      </w:r>
      <w:r>
        <w:rPr>
          <w:rFonts w:ascii="Times New Roman" w:hAnsi="Times New Roman" w:eastAsia="方正仿宋_GBK"/>
          <w:bCs/>
          <w:sz w:val="32"/>
          <w:szCs w:val="32"/>
        </w:rPr>
        <w:t>。</w:t>
      </w:r>
      <w:r>
        <w:rPr>
          <w:rFonts w:ascii="方正仿宋_GBK" w:hAnsi="方正仿宋_GBK" w:eastAsia="方正仿宋_GBK" w:cs="方正仿宋_GBK"/>
          <w:sz w:val="32"/>
          <w:szCs w:val="32"/>
          <w:shd w:val="clear" w:color="auto" w:fill="FFFFFF"/>
        </w:rPr>
        <w:t>机关运行经费较上年支出数减少12.21万元，下降3.99%，主要原因是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劳务费、差旅费、</w:t>
      </w:r>
      <w:r>
        <w:rPr>
          <w:rFonts w:hint="eastAsia" w:ascii="Times New Roman" w:hAnsi="Times New Roman" w:eastAsia="方正仿宋_GBK"/>
          <w:bCs/>
          <w:sz w:val="32"/>
          <w:szCs w:val="32"/>
          <w:lang w:eastAsia="zh-CN"/>
        </w:rPr>
        <w:t>公务用车运行维护费、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其他交通费减少。</w:t>
      </w:r>
    </w:p>
    <w:p w14:paraId="3C2E5275">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B669B4C">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2D8FB08">
      <w:pPr>
        <w:pStyle w:val="8"/>
        <w:keepNext w:val="0"/>
        <w:keepLines w:val="0"/>
        <w:pageBreakBefore w:val="0"/>
        <w:kinsoku/>
        <w:wordWrap/>
        <w:overflowPunct/>
        <w:topLinePunct w:val="0"/>
        <w:autoSpaceDE w:val="0"/>
        <w:autoSpaceDN/>
        <w:bidi w:val="0"/>
        <w:adjustRightInd/>
        <w:snapToGrid/>
        <w:spacing w:beforeAutospacing="0" w:line="240" w:lineRule="auto"/>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C5DD5C">
      <w:pPr>
        <w:pStyle w:val="4"/>
        <w:keepNext w:val="0"/>
        <w:keepLines w:val="0"/>
        <w:pageBreakBefore w:val="0"/>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268.75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262.10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140.05万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52.11</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140.05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52.11</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电脑、工程项目等。</w:t>
      </w:r>
    </w:p>
    <w:p w14:paraId="08CBA8C4">
      <w:pPr>
        <w:pStyle w:val="4"/>
        <w:keepNext w:val="0"/>
        <w:keepLines w:val="0"/>
        <w:pageBreakBefore w:val="0"/>
        <w:numPr>
          <w:ilvl w:val="0"/>
          <w:numId w:val="2"/>
        </w:numPr>
        <w:shd w:val="clear" w:color="auto" w:fill="FFFFFF"/>
        <w:kinsoku/>
        <w:wordWrap/>
        <w:overflowPunct/>
        <w:topLinePunct w:val="0"/>
        <w:autoSpaceDN/>
        <w:bidi w:val="0"/>
        <w:adjustRightInd/>
        <w:snapToGrid/>
        <w:spacing w:beforeAutospacing="0" w:line="240" w:lineRule="auto"/>
        <w:textAlignment w:val="auto"/>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预算绩效管理情况说明</w:t>
      </w:r>
    </w:p>
    <w:p w14:paraId="4AD3A085">
      <w:pPr>
        <w:keepNext w:val="0"/>
        <w:keepLines w:val="0"/>
        <w:pageBreakBefore w:val="0"/>
        <w:widowControl w:val="0"/>
        <w:kinsoku/>
        <w:wordWrap/>
        <w:overflowPunct/>
        <w:topLinePunct w:val="0"/>
        <w:autoSpaceDE/>
        <w:autoSpaceDN/>
        <w:bidi w:val="0"/>
        <w:adjustRightInd/>
        <w:snapToGrid/>
        <w:spacing w:beforeAutospacing="0" w:line="240" w:lineRule="auto"/>
        <w:ind w:firstLine="320" w:firstLineChars="100"/>
        <w:textAlignment w:val="auto"/>
      </w:pPr>
      <w:r>
        <w:rPr>
          <w:rFonts w:hint="eastAsia" w:ascii="方正楷体_GBK" w:hAnsi="方正楷体_GBK" w:eastAsia="方正楷体_GBK" w:cs="方正楷体_GBK"/>
          <w:sz w:val="32"/>
          <w:szCs w:val="32"/>
        </w:rPr>
        <w:t>（一）预算绩效管理工作开展情况</w:t>
      </w:r>
    </w:p>
    <w:p w14:paraId="7F03F166">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根据预算绩效管理要求，我单位对部门整体和</w:t>
      </w:r>
      <w:r>
        <w:rPr>
          <w:rFonts w:hint="eastAsia" w:ascii="方正仿宋_GBK" w:hAnsi="方正仿宋_GBK" w:eastAsia="方正仿宋_GBK" w:cs="方正仿宋_GBK"/>
          <w:sz w:val="32"/>
          <w:szCs w:val="32"/>
          <w:lang w:val="en-US" w:eastAsia="zh-CN"/>
        </w:rPr>
        <w:t>40</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highlight w:val="none"/>
        </w:rPr>
        <w:t>(所有二级预算单位的项目个数之和)</w:t>
      </w:r>
      <w:r>
        <w:rPr>
          <w:rFonts w:hint="eastAsia" w:ascii="方正仿宋_GBK" w:hAnsi="方正仿宋_GBK" w:eastAsia="方正仿宋_GBK" w:cs="方正仿宋_GBK"/>
          <w:sz w:val="32"/>
          <w:szCs w:val="32"/>
        </w:rPr>
        <w:t>项目开展了绩效自评，其中，以填报自评表形式开展自评</w:t>
      </w:r>
      <w:r>
        <w:rPr>
          <w:rFonts w:hint="eastAsia" w:ascii="方正仿宋_GBK" w:hAnsi="方正仿宋_GBK" w:eastAsia="方正仿宋_GBK" w:cs="方正仿宋_GBK"/>
          <w:sz w:val="32"/>
          <w:szCs w:val="32"/>
          <w:lang w:val="en-US" w:eastAsia="zh-CN"/>
        </w:rPr>
        <w:t>40</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2035.76</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万元</w:t>
      </w:r>
      <w:r>
        <w:rPr>
          <w:rFonts w:hint="eastAsia" w:ascii="方正仿宋_GBK" w:hAnsi="方正仿宋_GBK" w:eastAsia="方正仿宋_GBK" w:cs="方正仿宋_GBK"/>
          <w:sz w:val="32"/>
          <w:szCs w:val="32"/>
          <w:highlight w:val="none"/>
        </w:rPr>
        <w:t>。</w:t>
      </w:r>
    </w:p>
    <w:p w14:paraId="43A41AE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pPr>
      <w:r>
        <w:t xml:space="preserve">  </w:t>
      </w:r>
      <w:r>
        <w:rPr>
          <w:rFonts w:hint="eastAsia" w:ascii="方正楷体_GBK" w:hAnsi="方正楷体_GBK" w:eastAsia="方正楷体_GBK" w:cs="方正楷体_GBK"/>
          <w:sz w:val="32"/>
          <w:szCs w:val="32"/>
        </w:rPr>
        <w:t xml:space="preserve"> （二）绩效自评结果。</w:t>
      </w:r>
    </w:p>
    <w:p w14:paraId="091E7436">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1.绩</w:t>
      </w:r>
      <w:r>
        <w:rPr>
          <w:rFonts w:hint="eastAsia" w:ascii="方正仿宋_GBK" w:hAnsi="方正仿宋_GBK" w:eastAsia="方正仿宋_GBK" w:cs="方正仿宋_GBK"/>
          <w:sz w:val="32"/>
          <w:szCs w:val="32"/>
          <w:lang w:eastAsia="zh-CN"/>
        </w:rPr>
        <w:t>效目</w:t>
      </w:r>
      <w:r>
        <w:rPr>
          <w:rFonts w:hint="eastAsia" w:ascii="方正仿宋_GBK" w:hAnsi="方正仿宋_GBK" w:eastAsia="方正仿宋_GBK" w:cs="方正仿宋_GBK"/>
          <w:sz w:val="32"/>
          <w:szCs w:val="32"/>
        </w:rPr>
        <w:t>标自评表。</w:t>
      </w:r>
    </w:p>
    <w:p w14:paraId="417B6BD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（1）部门整体绩效自评表。</w:t>
      </w:r>
    </w:p>
    <w:p w14:paraId="17B22ECA">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default"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bookmarkStart w:id="0" w:name="_GoBack"/>
      <w:bookmarkEnd w:id="0"/>
      <w:r>
        <w:rPr>
          <w:rFonts w:hint="eastAsia" w:ascii="方正仿宋_GBK" w:hAnsi="方正仿宋_GBK" w:eastAsia="方正仿宋_GBK" w:cs="方正仿宋_GBK"/>
          <w:sz w:val="32"/>
          <w:szCs w:val="32"/>
        </w:rPr>
        <w:t>详见附件</w:t>
      </w:r>
      <w:r>
        <w:rPr>
          <w:rFonts w:hint="eastAsia" w:ascii="方正仿宋_GBK" w:hAnsi="方正仿宋_GBK" w:eastAsia="方正仿宋_GBK" w:cs="方正仿宋_GBK"/>
          <w:sz w:val="32"/>
          <w:szCs w:val="32"/>
          <w:lang w:val="en-US" w:eastAsia="zh-CN"/>
        </w:rPr>
        <w:t>。</w:t>
      </w:r>
    </w:p>
    <w:p w14:paraId="4D25B80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（2）项目绩效自评表</w:t>
      </w:r>
      <w:r>
        <w:rPr>
          <w:rFonts w:hint="eastAsia" w:ascii="方正仿宋_GBK" w:hAnsi="方正仿宋_GBK" w:eastAsia="方正仿宋_GBK" w:cs="方正仿宋_GBK"/>
          <w:sz w:val="32"/>
          <w:szCs w:val="32"/>
          <w:lang w:eastAsia="zh-CN"/>
        </w:rPr>
        <w:t>。</w:t>
      </w:r>
    </w:p>
    <w:p w14:paraId="432E00B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详见附件。</w:t>
      </w:r>
    </w:p>
    <w:p w14:paraId="181073EC">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2.绩效自评报告或案例。</w:t>
      </w:r>
    </w:p>
    <w:p w14:paraId="3D9FE754">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我单位未委托第三方开展绩效评价。</w:t>
      </w:r>
    </w:p>
    <w:p w14:paraId="7C3749C6">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3.关于绩效自评结果的说明。</w:t>
      </w:r>
    </w:p>
    <w:p w14:paraId="4DAFF158">
      <w:pPr>
        <w:pStyle w:val="4"/>
        <w:keepNext w:val="0"/>
        <w:keepLines w:val="0"/>
        <w:pageBreakBefore w:val="0"/>
        <w:widowControl w:val="0"/>
        <w:kinsoku/>
        <w:wordWrap/>
        <w:overflowPunct/>
        <w:topLinePunct w:val="0"/>
        <w:autoSpaceDE/>
        <w:autoSpaceDN/>
        <w:bidi w:val="0"/>
        <w:adjustRightInd/>
        <w:snapToGrid/>
        <w:spacing w:beforeAutospacing="0" w:line="240" w:lineRule="auto"/>
        <w:ind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我单位对</w:t>
      </w:r>
      <w:r>
        <w:rPr>
          <w:rFonts w:hint="eastAsia" w:ascii="Times New Roman" w:hAnsi="Times New Roman" w:eastAsia="方正仿宋_GBK"/>
          <w:bCs/>
          <w:sz w:val="32"/>
          <w:szCs w:val="32"/>
          <w:lang w:val="en-US" w:eastAsia="zh-CN"/>
        </w:rPr>
        <w:t>40个</w:t>
      </w:r>
      <w:r>
        <w:rPr>
          <w:rFonts w:hint="eastAsia" w:ascii="Times New Roman" w:hAnsi="Times New Roman" w:eastAsia="方正仿宋_GBK"/>
          <w:bCs/>
          <w:sz w:val="32"/>
          <w:szCs w:val="32"/>
        </w:rPr>
        <w:t>项目进行绩效自评，</w:t>
      </w:r>
      <w:r>
        <w:rPr>
          <w:rFonts w:hint="eastAsia" w:ascii="Times New Roman" w:hAnsi="Times New Roman" w:eastAsia="方正仿宋_GBK"/>
          <w:bCs/>
          <w:sz w:val="32"/>
          <w:szCs w:val="32"/>
          <w:lang w:val="en-US" w:eastAsia="zh-CN"/>
        </w:rPr>
        <w:t>40</w:t>
      </w:r>
      <w:r>
        <w:rPr>
          <w:rFonts w:hint="eastAsia" w:ascii="Times New Roman" w:hAnsi="Times New Roman" w:eastAsia="方正仿宋_GBK"/>
          <w:bCs/>
          <w:sz w:val="32"/>
          <w:szCs w:val="32"/>
        </w:rPr>
        <w:t>个</w:t>
      </w:r>
      <w:r>
        <w:rPr>
          <w:rFonts w:hint="eastAsia" w:ascii="Times New Roman" w:hAnsi="Times New Roman" w:eastAsia="方正仿宋_GBK"/>
          <w:bCs/>
          <w:sz w:val="32"/>
          <w:szCs w:val="32"/>
          <w:lang w:eastAsia="zh-CN"/>
        </w:rPr>
        <w:t>全部</w:t>
      </w:r>
      <w:r>
        <w:rPr>
          <w:rFonts w:hint="eastAsia" w:ascii="Times New Roman" w:hAnsi="Times New Roman" w:eastAsia="方正仿宋_GBK"/>
          <w:bCs/>
          <w:sz w:val="32"/>
          <w:szCs w:val="32"/>
        </w:rPr>
        <w:t>已完成年度绩</w:t>
      </w:r>
      <w:r>
        <w:rPr>
          <w:rFonts w:hint="eastAsia" w:ascii="Times New Roman" w:hAnsi="Times New Roman" w:eastAsia="方正仿宋_GBK"/>
          <w:bCs/>
          <w:sz w:val="32"/>
          <w:szCs w:val="32"/>
          <w:lang w:eastAsia="zh-CN"/>
        </w:rPr>
        <w:t>效</w:t>
      </w:r>
      <w:r>
        <w:rPr>
          <w:rFonts w:hint="eastAsia" w:ascii="Times New Roman" w:hAnsi="Times New Roman" w:eastAsia="方正仿宋_GBK"/>
          <w:bCs/>
          <w:sz w:val="32"/>
          <w:szCs w:val="32"/>
        </w:rPr>
        <w:t>。</w:t>
      </w:r>
    </w:p>
    <w:p w14:paraId="5DB800D7">
      <w:pPr>
        <w:keepNext w:val="0"/>
        <w:keepLines w:val="0"/>
        <w:pageBreakBefore w:val="0"/>
        <w:widowControl w:val="0"/>
        <w:kinsoku/>
        <w:wordWrap/>
        <w:overflowPunct/>
        <w:topLinePunct w:val="0"/>
        <w:autoSpaceDE/>
        <w:autoSpaceDN/>
        <w:bidi w:val="0"/>
        <w:adjustRightInd/>
        <w:snapToGrid/>
        <w:spacing w:beforeAutospacing="0" w:line="240" w:lineRule="auto"/>
        <w:textAlignment w:val="auto"/>
      </w:pPr>
      <w:r>
        <w:t xml:space="preserve">    </w:t>
      </w:r>
      <w:r>
        <w:rPr>
          <w:rFonts w:hint="eastAsia" w:ascii="方正楷体_GBK" w:hAnsi="方正楷体_GBK" w:eastAsia="方正楷体_GBK" w:cs="方正楷体_GBK"/>
          <w:sz w:val="32"/>
          <w:szCs w:val="32"/>
        </w:rPr>
        <w:t>（三）重点绩效评价结果。</w:t>
      </w:r>
    </w:p>
    <w:p w14:paraId="4C7EC3E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line="240" w:lineRule="auto"/>
        <w:textAlignment w:val="auto"/>
        <w:rPr>
          <w:rFonts w:hint="eastAsia" w:ascii="方正仿宋_GBK" w:hAnsi="方正仿宋_GBK" w:eastAsia="方正仿宋_GBK" w:cs="方正仿宋_GBK"/>
          <w:sz w:val="32"/>
          <w:szCs w:val="32"/>
        </w:rPr>
      </w:pPr>
      <w:r>
        <w:t xml:space="preserve">   </w:t>
      </w:r>
      <w:r>
        <w:rPr>
          <w:rFonts w:hint="eastAsia" w:ascii="方正仿宋_GBK" w:hAnsi="方正仿宋_GBK" w:eastAsia="方正仿宋_GBK" w:cs="方正仿宋_GBK"/>
          <w:sz w:val="32"/>
          <w:szCs w:val="32"/>
        </w:rPr>
        <w:t xml:space="preserve">  详见各二级预算单位决算公开报告。</w:t>
      </w:r>
    </w:p>
    <w:p w14:paraId="1BC152FA">
      <w:pPr>
        <w:pStyle w:val="4"/>
        <w:shd w:val="clear" w:color="auto" w:fill="FFFFFF"/>
        <w:rPr>
          <w:rStyle w:val="7"/>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六、专业名词解释</w:t>
      </w:r>
    </w:p>
    <w:p w14:paraId="5F43F70F">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39D131E">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294D228">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11F7453">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BB7368">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CF3E80B">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D9E2A24">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7AA0D71">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3C34C71">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506F77B">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748A2A5">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02F9964">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C02C89">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238ED3">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BDBD5D6">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A808ECD">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678B30C">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 </w:t>
      </w:r>
      <w:r>
        <w:rPr>
          <w:rStyle w:val="7"/>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CAA910D">
      <w:pPr>
        <w:pStyle w:val="4"/>
        <w:shd w:val="clear" w:color="auto" w:fill="FFFFFF"/>
        <w:rPr>
          <w:rStyle w:val="7"/>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w:t>
      </w:r>
      <w:r>
        <w:rPr>
          <w:rStyle w:val="7"/>
          <w:rFonts w:ascii="黑体" w:hAnsi="黑体" w:eastAsia="黑体" w:cs="黑体"/>
          <w:sz w:val="32"/>
          <w:szCs w:val="32"/>
          <w:shd w:val="clear" w:color="auto" w:fill="FFFFFF"/>
        </w:rPr>
        <w:t>七、决算公开联系方式及信息反馈渠道</w:t>
      </w:r>
    </w:p>
    <w:p w14:paraId="0AB0B6DF">
      <w:pPr>
        <w:pStyle w:val="12"/>
        <w:snapToGrid w:val="0"/>
        <w:spacing w:before="0" w:beforeLines="0" w:beforeAutospacing="0" w:after="0" w:afterLines="0" w:afterAutospacing="0" w:line="600" w:lineRule="exact"/>
        <w:ind w:firstLine="640" w:firstLineChars="200"/>
        <w:jc w:val="both"/>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严雪丹</w:t>
      </w:r>
      <w:r>
        <w:rPr>
          <w:rFonts w:ascii="Times New Roman" w:hAnsi="Times New Roman" w:eastAsia="方正仿宋_GBK"/>
          <w:bCs/>
          <w:sz w:val="32"/>
          <w:szCs w:val="32"/>
        </w:rPr>
        <w:t>023-</w:t>
      </w:r>
      <w:r>
        <w:rPr>
          <w:rFonts w:hint="eastAsia" w:ascii="Times New Roman" w:hAnsi="Times New Roman" w:eastAsia="方正仿宋_GBK"/>
          <w:bCs/>
          <w:sz w:val="32"/>
          <w:szCs w:val="32"/>
          <w:lang w:val="en-US" w:eastAsia="zh-CN"/>
        </w:rPr>
        <w:t>45363271。</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75D7">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723BAA">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723BAA">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77DF1651"/>
    <w:multiLevelType w:val="singleLevel"/>
    <w:tmpl w:val="77DF165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ThjZjZkZDUwMDQzMTU2OWE4NDRlYTg4MmE2ZDcifQ=="/>
  </w:docVars>
  <w:rsids>
    <w:rsidRoot w:val="00000000"/>
    <w:rsid w:val="052971A9"/>
    <w:rsid w:val="0A771A9A"/>
    <w:rsid w:val="0C0908C3"/>
    <w:rsid w:val="0EA746EC"/>
    <w:rsid w:val="10FF5CA5"/>
    <w:rsid w:val="12A06977"/>
    <w:rsid w:val="1A771084"/>
    <w:rsid w:val="1ACC7F14"/>
    <w:rsid w:val="1B251C11"/>
    <w:rsid w:val="1DD3366F"/>
    <w:rsid w:val="22E220F1"/>
    <w:rsid w:val="262749E0"/>
    <w:rsid w:val="277A156A"/>
    <w:rsid w:val="284E64A2"/>
    <w:rsid w:val="28EB4A94"/>
    <w:rsid w:val="2A236181"/>
    <w:rsid w:val="2B0B4816"/>
    <w:rsid w:val="31A7644C"/>
    <w:rsid w:val="326C3B92"/>
    <w:rsid w:val="32D47F9A"/>
    <w:rsid w:val="37346B40"/>
    <w:rsid w:val="39DA476B"/>
    <w:rsid w:val="3A2666EE"/>
    <w:rsid w:val="3B625226"/>
    <w:rsid w:val="3BBC484A"/>
    <w:rsid w:val="43ED10CC"/>
    <w:rsid w:val="441331CD"/>
    <w:rsid w:val="44321EB7"/>
    <w:rsid w:val="49C93D91"/>
    <w:rsid w:val="4C9E4055"/>
    <w:rsid w:val="4F5C6639"/>
    <w:rsid w:val="54A1452E"/>
    <w:rsid w:val="551A1EC8"/>
    <w:rsid w:val="58305A91"/>
    <w:rsid w:val="585D70BF"/>
    <w:rsid w:val="593054FB"/>
    <w:rsid w:val="5A436E0A"/>
    <w:rsid w:val="5D765031"/>
    <w:rsid w:val="5E2B7481"/>
    <w:rsid w:val="60B821C4"/>
    <w:rsid w:val="6317197F"/>
    <w:rsid w:val="66576AAB"/>
    <w:rsid w:val="6AEB1816"/>
    <w:rsid w:val="6DA81E2E"/>
    <w:rsid w:val="6DC55E69"/>
    <w:rsid w:val="6E7E4132"/>
    <w:rsid w:val="6E8C64CB"/>
    <w:rsid w:val="6F723094"/>
    <w:rsid w:val="6FB81FE1"/>
    <w:rsid w:val="71087D19"/>
    <w:rsid w:val="739277EA"/>
    <w:rsid w:val="77272DBC"/>
    <w:rsid w:val="7AE12B50"/>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character" w:customStyle="1" w:styleId="13">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5445</Words>
  <Characters>6185</Characters>
  <Lines>0</Lines>
  <Paragraphs>0</Paragraphs>
  <TotalTime>2</TotalTime>
  <ScaleCrop>false</ScaleCrop>
  <LinksUpToDate>false</LinksUpToDate>
  <CharactersWithSpaces>6275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cp:lastModifiedBy>
  <dcterms:modified xsi:type="dcterms:W3CDTF">2024-10-30T08:02:34Z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5C52A3121F71444086BD199CB6EFD78E</vt:lpwstr>
  </property>
</Properties>
</file>