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重庆市铜梁区虎峰镇综合行政执法大队</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val="0"/>
          <w:sz w:val="44"/>
          <w:szCs w:val="44"/>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一、</w:t>
      </w:r>
      <w:r>
        <w:rPr>
          <w:rStyle w:val="8"/>
          <w:rFonts w:hint="default" w:ascii="Times New Roman" w:hAnsi="Times New Roman" w:eastAsia="黑体" w:cs="Times New Roman"/>
          <w:b w:val="0"/>
          <w:bCs w:val="0"/>
          <w:sz w:val="32"/>
          <w:szCs w:val="32"/>
          <w:shd w:val="clear" w:color="auto" w:fill="FFFFFF"/>
          <w:lang w:eastAsia="zh-CN"/>
        </w:rPr>
        <w:t>单位</w:t>
      </w:r>
      <w:r>
        <w:rPr>
          <w:rStyle w:val="8"/>
          <w:rFonts w:hint="default" w:ascii="Times New Roman" w:hAnsi="Times New Roman" w:eastAsia="黑体" w:cs="Times New Roman"/>
          <w:b w:val="0"/>
          <w:bCs w:val="0"/>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（一）职能职责</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00" w:firstLineChars="200"/>
        <w:textAlignment w:val="auto"/>
        <w:rPr>
          <w:rFonts w:hint="eastAsia" w:ascii="仿宋" w:hAnsi="仿宋" w:eastAsia="仿宋" w:cs="Times New Roman"/>
          <w:b w:val="0"/>
          <w:bCs w:val="0"/>
          <w:color w:val="000000"/>
          <w:kern w:val="2"/>
          <w:sz w:val="30"/>
          <w:szCs w:val="30"/>
          <w:highlight w:val="none"/>
          <w:lang w:val="en-US" w:eastAsia="zh-CN"/>
        </w:rPr>
      </w:pPr>
      <w:r>
        <w:rPr>
          <w:rFonts w:hint="eastAsia" w:ascii="仿宋" w:hAnsi="仿宋" w:eastAsia="仿宋" w:cs="Times New Roman"/>
          <w:b w:val="0"/>
          <w:bCs w:val="0"/>
          <w:color w:val="000000"/>
          <w:kern w:val="2"/>
          <w:sz w:val="30"/>
          <w:szCs w:val="30"/>
          <w:highlight w:val="none"/>
          <w:lang w:val="en-US" w:eastAsia="zh-CN"/>
        </w:rPr>
        <w:t>我单位主要提供综合行政执法保障。 承担辖区内农林水利、规划建设、生态环境、文化旅游、卫生健康、应急消防、城市管理、交通运输等领域的行政执法工作。</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楷体"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hint="default" w:ascii="Times New Roman" w:hAnsi="Times New Roman" w:eastAsia="仿宋" w:cs="Times New Roman"/>
          <w:b w:val="0"/>
          <w:bCs w:val="0"/>
          <w:color w:val="000030"/>
          <w:sz w:val="30"/>
          <w:szCs w:val="30"/>
          <w:lang w:eastAsia="zh-CN"/>
        </w:rPr>
      </w:pPr>
      <w:r>
        <w:rPr>
          <w:rFonts w:hint="default" w:ascii="Times New Roman" w:hAnsi="Times New Roman" w:eastAsia="仿宋" w:cs="Times New Roman"/>
          <w:b w:val="0"/>
          <w:bCs w:val="0"/>
          <w:color w:val="auto"/>
          <w:sz w:val="30"/>
          <w:szCs w:val="30"/>
          <w:highlight w:val="none"/>
          <w:lang w:val="en-US" w:eastAsia="zh-CN"/>
        </w:rPr>
        <w:t>我</w:t>
      </w:r>
      <w:r>
        <w:rPr>
          <w:rFonts w:hint="default" w:ascii="Times New Roman" w:hAnsi="Times New Roman" w:eastAsia="仿宋" w:cs="Times New Roman"/>
          <w:b w:val="0"/>
          <w:bCs w:val="0"/>
          <w:color w:val="auto"/>
          <w:sz w:val="30"/>
          <w:szCs w:val="30"/>
          <w:highlight w:val="none"/>
        </w:rPr>
        <w:t>单位</w:t>
      </w:r>
      <w:r>
        <w:rPr>
          <w:rFonts w:hint="default" w:ascii="Times New Roman" w:hAnsi="Times New Roman" w:eastAsia="仿宋" w:cs="Times New Roman"/>
          <w:b w:val="0"/>
          <w:bCs w:val="0"/>
          <w:color w:val="auto"/>
          <w:sz w:val="30"/>
          <w:szCs w:val="30"/>
          <w:highlight w:val="none"/>
          <w:lang w:val="en-US" w:eastAsia="zh-CN"/>
        </w:rPr>
        <w:t>为重庆市铜梁区虎峰镇人民政府</w:t>
      </w:r>
      <w:r>
        <w:rPr>
          <w:rFonts w:hint="default" w:ascii="Times New Roman" w:hAnsi="Times New Roman" w:eastAsia="仿宋" w:cs="Times New Roman"/>
          <w:b w:val="0"/>
          <w:bCs w:val="0"/>
          <w:color w:val="auto"/>
          <w:sz w:val="30"/>
          <w:szCs w:val="30"/>
          <w:highlight w:val="none"/>
        </w:rPr>
        <w:t>下</w:t>
      </w:r>
      <w:r>
        <w:rPr>
          <w:rFonts w:hint="default" w:ascii="Times New Roman" w:hAnsi="Times New Roman" w:eastAsia="仿宋" w:cs="Times New Roman"/>
          <w:b w:val="0"/>
          <w:bCs w:val="0"/>
          <w:color w:val="auto"/>
          <w:sz w:val="30"/>
          <w:szCs w:val="30"/>
          <w:highlight w:val="none"/>
          <w:lang w:eastAsia="zh-CN"/>
        </w:rPr>
        <w:t>属事业</w:t>
      </w:r>
      <w:r>
        <w:rPr>
          <w:rFonts w:hint="default" w:ascii="Times New Roman" w:hAnsi="Times New Roman" w:eastAsia="仿宋" w:cs="Times New Roman"/>
          <w:b w:val="0"/>
          <w:bCs w:val="0"/>
          <w:color w:val="000030"/>
          <w:sz w:val="30"/>
          <w:szCs w:val="30"/>
        </w:rPr>
        <w:t>单位</w:t>
      </w:r>
      <w:r>
        <w:rPr>
          <w:rFonts w:hint="default" w:ascii="Times New Roman" w:hAnsi="Times New Roman" w:eastAsia="仿宋" w:cs="Times New Roman"/>
          <w:b w:val="0"/>
          <w:bCs w:val="0"/>
          <w:color w:val="000030"/>
          <w:sz w:val="30"/>
          <w:szCs w:val="30"/>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二、</w:t>
      </w:r>
      <w:r>
        <w:rPr>
          <w:rStyle w:val="8"/>
          <w:rFonts w:hint="default" w:ascii="Times New Roman" w:hAnsi="Times New Roman" w:eastAsia="黑体" w:cs="Times New Roman"/>
          <w:b w:val="0"/>
          <w:bCs w:val="0"/>
          <w:sz w:val="32"/>
          <w:szCs w:val="32"/>
          <w:shd w:val="clear" w:color="auto" w:fill="FFFFFF"/>
          <w:lang w:eastAsia="zh-CN"/>
        </w:rPr>
        <w:t>单位</w:t>
      </w:r>
      <w:r>
        <w:rPr>
          <w:rStyle w:val="8"/>
          <w:rFonts w:hint="default" w:ascii="Times New Roman" w:hAnsi="Times New Roman" w:eastAsia="黑体" w:cs="Times New Roman"/>
          <w:b w:val="0"/>
          <w:bCs w:val="0"/>
          <w:sz w:val="32"/>
          <w:szCs w:val="32"/>
          <w:shd w:val="clear" w:color="auto" w:fill="FFFFFF"/>
        </w:rPr>
        <w:t>决算</w:t>
      </w:r>
      <w:r>
        <w:rPr>
          <w:rStyle w:val="8"/>
          <w:rFonts w:hint="default" w:ascii="Times New Roman" w:hAnsi="Times New Roman" w:eastAsia="黑体" w:cs="Times New Roman"/>
          <w:b w:val="0"/>
          <w:bCs w:val="0"/>
          <w:sz w:val="32"/>
          <w:szCs w:val="32"/>
          <w:shd w:val="clear" w:color="auto" w:fill="FFFFFF"/>
          <w:lang w:eastAsia="zh-CN"/>
        </w:rPr>
        <w:t>收支</w:t>
      </w:r>
      <w:r>
        <w:rPr>
          <w:rStyle w:val="8"/>
          <w:rFonts w:hint="default" w:ascii="Times New Roman" w:hAnsi="Times New Roman" w:eastAsia="黑体" w:cs="Times New Roman"/>
          <w:b w:val="0"/>
          <w:bCs w:val="0"/>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度收入总计150.32万元，支出总计</w:t>
      </w:r>
      <w:r>
        <w:rPr>
          <w:rFonts w:hint="default" w:ascii="Times New Roman" w:hAnsi="Times New Roman" w:eastAsia="方正仿宋_GBK" w:cs="Times New Roman"/>
          <w:b w:val="0"/>
          <w:bCs w:val="0"/>
          <w:sz w:val="32"/>
          <w:szCs w:val="32"/>
        </w:rPr>
        <w:t>150.32</w:t>
      </w:r>
      <w:r>
        <w:rPr>
          <w:rFonts w:hint="default" w:ascii="Times New Roman" w:hAnsi="Times New Roman" w:eastAsia="方正仿宋_GBK" w:cs="Times New Roman"/>
          <w:b w:val="0"/>
          <w:bCs w:val="0"/>
          <w:sz w:val="32"/>
          <w:szCs w:val="32"/>
          <w:shd w:val="clear" w:color="auto" w:fill="FFFFFF"/>
        </w:rPr>
        <w:t>万元。收、支与2023年度相比，增加150.32万元，增长100.0%，主要原因是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2024年根据财政管理要求，虎峰镇人民政府将事业单位划分为7个账套单独核算，上年度本单位未单独核算，收入支出均0，故本年度增长100%。</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度收入合计150.32万元，与2023年度相比，增加150.32万元，增长100.0%，主要原因是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2024年根据财政管理要求，虎峰镇人民政府将事业单位划分为7个账套单独核算，上年度本单位未单独核算，收入为0，故本年度增长100%。</w:t>
      </w:r>
      <w:r>
        <w:rPr>
          <w:rFonts w:hint="default" w:ascii="Times New Roman" w:hAnsi="Times New Roman" w:eastAsia="方正仿宋_GBK" w:cs="Times New Roman"/>
          <w:b w:val="0"/>
          <w:bCs w:val="0"/>
          <w:sz w:val="32"/>
          <w:szCs w:val="32"/>
          <w:shd w:val="clear" w:color="auto" w:fill="FFFFFF"/>
        </w:rPr>
        <w:t>其中：财政拨款收入</w:t>
      </w:r>
      <w:r>
        <w:rPr>
          <w:rFonts w:hint="default" w:ascii="Times New Roman" w:hAnsi="Times New Roman" w:eastAsia="方正仿宋_GBK" w:cs="Times New Roman"/>
          <w:b w:val="0"/>
          <w:bCs w:val="0"/>
          <w:sz w:val="32"/>
          <w:szCs w:val="32"/>
        </w:rPr>
        <w:t>150.32</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100.00</w:t>
      </w:r>
      <w:r>
        <w:rPr>
          <w:rFonts w:hint="default" w:ascii="Times New Roman" w:hAnsi="Times New Roman" w:eastAsia="方正仿宋_GBK" w:cs="Times New Roman"/>
          <w:b w:val="0"/>
          <w:bCs w:val="0"/>
          <w:sz w:val="32"/>
          <w:szCs w:val="32"/>
          <w:shd w:val="clear" w:color="auto" w:fill="FFFFFF"/>
        </w:rPr>
        <w:t>%；事业收入</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万元，占0.00%；经营收入</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万元，占0.00%；其他收入</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万元，占0.00%。此外，使用非财政拨款结余和专用结余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万元，年初结转和结余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度支出合计</w:t>
      </w:r>
      <w:r>
        <w:rPr>
          <w:rFonts w:hint="default" w:ascii="Times New Roman" w:hAnsi="Times New Roman" w:eastAsia="方正仿宋_GBK" w:cs="Times New Roman"/>
          <w:b w:val="0"/>
          <w:bCs w:val="0"/>
          <w:sz w:val="32"/>
          <w:szCs w:val="32"/>
        </w:rPr>
        <w:t>150.32</w:t>
      </w:r>
      <w:r>
        <w:rPr>
          <w:rFonts w:hint="default" w:ascii="Times New Roman" w:hAnsi="Times New Roman" w:eastAsia="方正仿宋_GBK" w:cs="Times New Roman"/>
          <w:b w:val="0"/>
          <w:bCs w:val="0"/>
          <w:sz w:val="32"/>
          <w:szCs w:val="32"/>
          <w:shd w:val="clear" w:color="auto" w:fill="FFFFFF"/>
        </w:rPr>
        <w:t>万元，与2023年度相比，增加150.32万元，增长100.0%，主要原因是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2024年根据财政管理要求，虎峰镇人民政府将事业单位划分为7个账套单独核算，上年度本单位未单独核算，支出为0，故本年度增长100%。</w:t>
      </w:r>
      <w:r>
        <w:rPr>
          <w:rFonts w:hint="default" w:ascii="Times New Roman" w:hAnsi="Times New Roman" w:eastAsia="方正仿宋_GBK" w:cs="Times New Roman"/>
          <w:b w:val="0"/>
          <w:bCs w:val="0"/>
          <w:sz w:val="32"/>
          <w:szCs w:val="32"/>
          <w:shd w:val="clear" w:color="auto" w:fill="FFFFFF"/>
        </w:rPr>
        <w:t>其中：基本支出</w:t>
      </w:r>
      <w:r>
        <w:rPr>
          <w:rFonts w:hint="default" w:ascii="Times New Roman" w:hAnsi="Times New Roman" w:eastAsia="方正仿宋_GBK" w:cs="Times New Roman"/>
          <w:b w:val="0"/>
          <w:bCs w:val="0"/>
          <w:sz w:val="32"/>
          <w:szCs w:val="32"/>
        </w:rPr>
        <w:t>143.53</w:t>
      </w:r>
      <w:r>
        <w:rPr>
          <w:rFonts w:hint="default" w:ascii="Times New Roman" w:hAnsi="Times New Roman" w:eastAsia="方正仿宋_GBK" w:cs="Times New Roman"/>
          <w:b w:val="0"/>
          <w:bCs w:val="0"/>
          <w:sz w:val="32"/>
          <w:szCs w:val="32"/>
          <w:shd w:val="clear" w:color="auto" w:fill="FFFFFF"/>
        </w:rPr>
        <w:t>万元，占95.48%；项目支出</w:t>
      </w:r>
      <w:r>
        <w:rPr>
          <w:rFonts w:hint="default" w:ascii="Times New Roman" w:hAnsi="Times New Roman" w:eastAsia="方正仿宋_GBK" w:cs="Times New Roman"/>
          <w:b w:val="0"/>
          <w:bCs w:val="0"/>
          <w:sz w:val="32"/>
          <w:szCs w:val="32"/>
        </w:rPr>
        <w:t>6.79</w:t>
      </w:r>
      <w:r>
        <w:rPr>
          <w:rFonts w:hint="default" w:ascii="Times New Roman" w:hAnsi="Times New Roman" w:eastAsia="方正仿宋_GBK" w:cs="Times New Roman"/>
          <w:b w:val="0"/>
          <w:bCs w:val="0"/>
          <w:sz w:val="32"/>
          <w:szCs w:val="32"/>
          <w:shd w:val="clear" w:color="auto" w:fill="FFFFFF"/>
        </w:rPr>
        <w:t>万元，占4.52%；经营支出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万元，占0.00%。此外，结余分配</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sz w:val="32"/>
          <w:szCs w:val="32"/>
          <w:lang w:val="en-US" w:eastAsia="zh-CN"/>
        </w:rPr>
      </w:pPr>
      <w:r>
        <w:rPr>
          <w:rStyle w:val="8"/>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万元，与2023年度相比，无增减</w:t>
      </w:r>
      <w:r>
        <w:rPr>
          <w:rFonts w:hint="eastAsia" w:ascii="Times New Roman" w:hAnsi="Times New Roman" w:eastAsia="方正仿宋_GBK" w:cs="Times New Roman"/>
          <w:b w:val="0"/>
          <w:bCs w:val="0"/>
          <w:sz w:val="32"/>
          <w:szCs w:val="32"/>
          <w:shd w:val="clear" w:color="auto" w:fill="FFFFFF"/>
          <w:lang w:val="en-US"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度财政拨款收、支总计150.32万元。与202</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年相比，财政拨款收、支总计各增加150.32万元，增长100.0%。主要原因是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2024年根据财政管理要求，虎峰镇人民政府将事业单位划分为7个账套单独核算，上年度本单位未单独核算，收入支出为0，故本年度增长100%。</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lang w:eastAsia="zh-CN"/>
        </w:rPr>
      </w:pPr>
      <w:r>
        <w:rPr>
          <w:rStyle w:val="8"/>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度一般公共预算财政拨款收入</w:t>
      </w:r>
      <w:r>
        <w:rPr>
          <w:rFonts w:hint="default" w:ascii="Times New Roman" w:hAnsi="Times New Roman" w:eastAsia="方正仿宋_GBK" w:cs="Times New Roman"/>
          <w:b w:val="0"/>
          <w:bCs w:val="0"/>
          <w:sz w:val="32"/>
          <w:szCs w:val="32"/>
        </w:rPr>
        <w:t>150.32</w:t>
      </w:r>
      <w:r>
        <w:rPr>
          <w:rFonts w:hint="default" w:ascii="Times New Roman" w:hAnsi="Times New Roman" w:eastAsia="方正仿宋_GBK" w:cs="Times New Roman"/>
          <w:b w:val="0"/>
          <w:bCs w:val="0"/>
          <w:sz w:val="32"/>
          <w:szCs w:val="32"/>
          <w:shd w:val="clear" w:color="auto" w:fill="FFFFFF"/>
        </w:rPr>
        <w:t>万元，与2023年度相比，增加150.32万元，增长100.0%。主要原因是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2024年根据财政管理要求，虎峰镇人民政府将事业单位划分为7个账套单独核算，上年度本单位未单独核算，收入为0，故本年度增长100%。</w:t>
      </w:r>
      <w:r>
        <w:rPr>
          <w:rFonts w:hint="default" w:ascii="Times New Roman" w:hAnsi="Times New Roman" w:eastAsia="方正仿宋_GBK" w:cs="Times New Roman"/>
          <w:b w:val="0"/>
          <w:bCs w:val="0"/>
          <w:sz w:val="32"/>
          <w:szCs w:val="32"/>
          <w:shd w:val="clear" w:color="auto" w:fill="FFFFFF"/>
        </w:rPr>
        <w:t>较年初预算数增加0.91万元，增长0.6%。主要原因</w:t>
      </w:r>
      <w:r>
        <w:rPr>
          <w:rFonts w:hint="default" w:ascii="Times New Roman" w:hAnsi="Times New Roman" w:eastAsia="方正仿宋_GBK" w:cs="Times New Roman"/>
          <w:b w:val="0"/>
          <w:bCs w:val="0"/>
          <w:color w:val="auto"/>
          <w:sz w:val="32"/>
          <w:szCs w:val="32"/>
          <w:shd w:val="clear" w:color="auto" w:fill="FFFFFF"/>
        </w:rPr>
        <w:t>是</w:t>
      </w:r>
      <w:r>
        <w:rPr>
          <w:rFonts w:hint="eastAsia" w:ascii="Times New Roman" w:hAnsi="Times New Roman" w:eastAsia="方正仿宋_GBK" w:cs="Times New Roman"/>
          <w:b w:val="0"/>
          <w:bCs w:val="0"/>
          <w:color w:val="auto"/>
          <w:sz w:val="32"/>
          <w:szCs w:val="32"/>
          <w:shd w:val="clear" w:color="auto" w:fill="FFFFFF"/>
          <w:lang w:eastAsia="zh-CN"/>
        </w:rPr>
        <w:t>增加了部分离退休相关经费。</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w:t>
      </w:r>
      <w:r>
        <w:rPr>
          <w:rFonts w:hint="default" w:ascii="Times New Roman" w:hAnsi="Times New Roman" w:eastAsia="方正仿宋_GBK" w:cs="Times New Roman"/>
          <w:b w:val="0"/>
          <w:bCs w:val="0"/>
          <w:sz w:val="32"/>
          <w:szCs w:val="32"/>
        </w:rPr>
        <w:t>150.32</w:t>
      </w:r>
      <w:r>
        <w:rPr>
          <w:rFonts w:hint="default" w:ascii="Times New Roman" w:hAnsi="Times New Roman" w:eastAsia="方正仿宋_GBK" w:cs="Times New Roman"/>
          <w:b w:val="0"/>
          <w:bCs w:val="0"/>
          <w:sz w:val="32"/>
          <w:szCs w:val="32"/>
          <w:shd w:val="clear" w:color="auto" w:fill="FFFFFF"/>
        </w:rPr>
        <w:t>万元，与2023年度相比，增加150.32万元，增长100.0%。主要原因是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2024年根据财政管理要求，虎峰镇人民政府将事业单位划分为7个账套单独核算，上年度本单位未单独核算，支出为0，故本年度增长100%。</w:t>
      </w:r>
      <w:r>
        <w:rPr>
          <w:rFonts w:hint="default" w:ascii="Times New Roman" w:hAnsi="Times New Roman" w:eastAsia="方正仿宋_GBK" w:cs="Times New Roman"/>
          <w:b w:val="0"/>
          <w:bCs w:val="0"/>
          <w:sz w:val="32"/>
          <w:szCs w:val="32"/>
          <w:shd w:val="clear" w:color="auto" w:fill="FFFFFF"/>
        </w:rPr>
        <w:t>较年初预算数增加0.91万元，增长0.6%。主要原因是</w:t>
      </w:r>
      <w:r>
        <w:rPr>
          <w:rFonts w:hint="eastAsia" w:ascii="Times New Roman" w:hAnsi="Times New Roman" w:eastAsia="方正仿宋_GBK" w:cs="Times New Roman"/>
          <w:b w:val="0"/>
          <w:bCs w:val="0"/>
          <w:color w:val="auto"/>
          <w:sz w:val="32"/>
          <w:szCs w:val="32"/>
          <w:shd w:val="clear" w:color="auto" w:fill="FFFFFF"/>
          <w:lang w:eastAsia="zh-CN"/>
        </w:rPr>
        <w:t>增加了部分离退休相关经费。</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eastAsia="zh-CN"/>
        </w:rPr>
      </w:pPr>
      <w:r>
        <w:rPr>
          <w:rStyle w:val="8"/>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度年末一般公共预算财政拨款结转和结余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万元，与2023年度相比，无增减</w:t>
      </w:r>
      <w:r>
        <w:rPr>
          <w:rFonts w:hint="eastAsia" w:ascii="Times New Roman" w:hAnsi="Times New Roman" w:eastAsia="方正仿宋_GBK" w:cs="Times New Roman"/>
          <w:b w:val="0"/>
          <w:bCs w:val="0"/>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jc w:val="both"/>
        <w:textAlignment w:val="auto"/>
        <w:rPr>
          <w:rFonts w:hint="default" w:ascii="Times New Roman" w:hAnsi="Times New Roman" w:eastAsia="方正仿宋_GBK" w:cs="Times New Roman"/>
          <w:b w:val="0"/>
          <w:bCs w:val="0"/>
          <w:color w:val="FF0000"/>
          <w:sz w:val="32"/>
          <w:szCs w:val="32"/>
          <w:highlight w:val="cyan"/>
          <w:shd w:val="clear" w:color="auto" w:fill="FFFFFF"/>
        </w:rPr>
      </w:pPr>
      <w:r>
        <w:rPr>
          <w:rFonts w:hint="eastAsia" w:ascii="Times New Roman" w:hAnsi="Times New Roman" w:eastAsia="方正仿宋_GBK" w:cs="Times New Roman"/>
          <w:b w:val="0"/>
          <w:bCs w:val="0"/>
          <w:sz w:val="32"/>
          <w:szCs w:val="32"/>
          <w:shd w:val="clear" w:color="auto" w:fill="FFFFFF"/>
          <w:lang w:eastAsia="zh-CN"/>
        </w:rPr>
        <w:t>　　</w:t>
      </w:r>
      <w:r>
        <w:rPr>
          <w:rStyle w:val="8"/>
          <w:rFonts w:hint="default" w:ascii="Times New Roman" w:hAnsi="Times New Roman" w:eastAsia="方正仿宋_GBK" w:cs="Times New Roman"/>
          <w:b w:val="0"/>
          <w:bCs w:val="0"/>
          <w:sz w:val="32"/>
          <w:szCs w:val="32"/>
          <w:shd w:val="clear" w:color="auto" w:fill="FFFFFF"/>
        </w:rPr>
        <w:t>4.比较情况。</w:t>
      </w: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（1）一般公共服务支出</w:t>
      </w:r>
      <w:r>
        <w:rPr>
          <w:rFonts w:hint="default" w:ascii="Times New Roman" w:hAnsi="Times New Roman" w:eastAsia="方正仿宋_GBK" w:cs="Times New Roman"/>
          <w:b w:val="0"/>
          <w:bCs w:val="0"/>
          <w:sz w:val="32"/>
          <w:szCs w:val="32"/>
        </w:rPr>
        <w:t>129.01</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85.82</w:t>
      </w:r>
      <w:r>
        <w:rPr>
          <w:rFonts w:hint="default" w:ascii="Times New Roman" w:hAnsi="Times New Roman" w:eastAsia="方正仿宋_GBK" w:cs="Times New Roman"/>
          <w:b w:val="0"/>
          <w:bCs w:val="0"/>
          <w:sz w:val="32"/>
          <w:szCs w:val="32"/>
          <w:shd w:val="clear" w:color="auto" w:fill="FFFFFF"/>
        </w:rPr>
        <w:t>%，较年初预算数增加5.06万元，增长4.1%，主要原因是</w:t>
      </w:r>
      <w:r>
        <w:rPr>
          <w:rFonts w:hint="eastAsia" w:ascii="Times New Roman" w:hAnsi="Times New Roman" w:eastAsia="方正仿宋_GBK" w:cs="Times New Roman"/>
          <w:b w:val="0"/>
          <w:bCs w:val="0"/>
          <w:sz w:val="32"/>
          <w:szCs w:val="32"/>
          <w:shd w:val="clear" w:color="auto" w:fill="FFFFFF"/>
          <w:lang w:eastAsia="zh-CN"/>
        </w:rPr>
        <w:t>增加了部分公用经费支出。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）社会保障与就业支出</w:t>
      </w:r>
      <w:r>
        <w:rPr>
          <w:rFonts w:hint="default" w:ascii="Times New Roman" w:hAnsi="Times New Roman" w:eastAsia="方正仿宋_GBK" w:cs="Times New Roman"/>
          <w:b w:val="0"/>
          <w:bCs w:val="0"/>
          <w:sz w:val="32"/>
          <w:szCs w:val="32"/>
        </w:rPr>
        <w:t>12.50</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8.31</w:t>
      </w:r>
      <w:r>
        <w:rPr>
          <w:rFonts w:hint="default" w:ascii="Times New Roman" w:hAnsi="Times New Roman" w:eastAsia="方正仿宋_GBK" w:cs="Times New Roman"/>
          <w:b w:val="0"/>
          <w:bCs w:val="0"/>
          <w:sz w:val="32"/>
          <w:szCs w:val="32"/>
          <w:shd w:val="clear" w:color="auto" w:fill="FFFFFF"/>
        </w:rPr>
        <w:t>%，较年初预算数减少1.45万元，下降10.4%，主要原因是</w:t>
      </w:r>
      <w:r>
        <w:rPr>
          <w:rFonts w:hint="eastAsia" w:ascii="Times New Roman" w:hAnsi="Times New Roman" w:eastAsia="方正仿宋_GBK" w:cs="Times New Roman"/>
          <w:b w:val="0"/>
          <w:bCs w:val="0"/>
          <w:color w:val="auto"/>
          <w:sz w:val="32"/>
          <w:szCs w:val="32"/>
          <w:shd w:val="clear" w:color="auto" w:fill="FFFFFF"/>
          <w:lang w:eastAsia="zh-CN"/>
        </w:rPr>
        <w:t>退休人员增加，减少了社保缴费支出。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）卫生健康支出</w:t>
      </w:r>
      <w:r>
        <w:rPr>
          <w:rFonts w:hint="default" w:ascii="Times New Roman" w:hAnsi="Times New Roman" w:eastAsia="方正仿宋_GBK" w:cs="Times New Roman"/>
          <w:b w:val="0"/>
          <w:bCs w:val="0"/>
          <w:sz w:val="32"/>
          <w:szCs w:val="32"/>
        </w:rPr>
        <w:t>4.37</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2.91</w:t>
      </w:r>
      <w:r>
        <w:rPr>
          <w:rFonts w:hint="default" w:ascii="Times New Roman" w:hAnsi="Times New Roman" w:eastAsia="方正仿宋_GBK" w:cs="Times New Roman"/>
          <w:b w:val="0"/>
          <w:bCs w:val="0"/>
          <w:sz w:val="32"/>
          <w:szCs w:val="32"/>
          <w:shd w:val="clear" w:color="auto" w:fill="FFFFFF"/>
        </w:rPr>
        <w:t>%，较年初预算数减少1.73万元，下降28.4%，主要原因是</w:t>
      </w:r>
      <w:r>
        <w:rPr>
          <w:rFonts w:hint="default" w:ascii="Times New Roman" w:hAnsi="Times New Roman" w:eastAsia="方正仿宋_GBK" w:cs="Times New Roman"/>
          <w:b w:val="0"/>
          <w:bCs w:val="0"/>
          <w:sz w:val="32"/>
          <w:szCs w:val="32"/>
          <w:shd w:val="clear" w:color="auto" w:fill="FFFFFF"/>
          <w:lang w:eastAsia="zh-CN"/>
        </w:rPr>
        <w:t>公务员医疗补助缴费项目。</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FF0000"/>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住房保障支出4.45</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2.96</w:t>
      </w:r>
      <w:r>
        <w:rPr>
          <w:rFonts w:hint="default" w:ascii="Times New Roman" w:hAnsi="Times New Roman" w:eastAsia="方正仿宋_GBK" w:cs="Times New Roman"/>
          <w:b w:val="0"/>
          <w:bCs w:val="0"/>
          <w:sz w:val="32"/>
          <w:szCs w:val="32"/>
          <w:shd w:val="clear" w:color="auto" w:fill="FFFFFF"/>
        </w:rPr>
        <w:t>%，较年初预算数减少0.9</w:t>
      </w:r>
      <w:r>
        <w:rPr>
          <w:rFonts w:hint="default" w:ascii="Times New Roman" w:hAnsi="Times New Roman" w:eastAsia="方正仿宋_GBK" w:cs="Times New Roman"/>
          <w:b w:val="0"/>
          <w:bCs w:val="0"/>
          <w:color w:val="auto"/>
          <w:sz w:val="32"/>
          <w:szCs w:val="32"/>
          <w:shd w:val="clear" w:color="auto" w:fill="FFFFFF"/>
        </w:rPr>
        <w:t>7万元，下降17.9%，主要原因是</w:t>
      </w:r>
      <w:r>
        <w:rPr>
          <w:rFonts w:hint="eastAsia" w:ascii="Times New Roman" w:hAnsi="Times New Roman" w:eastAsia="方正仿宋_GBK" w:cs="Times New Roman"/>
          <w:b w:val="0"/>
          <w:bCs w:val="0"/>
          <w:color w:val="auto"/>
          <w:sz w:val="32"/>
          <w:szCs w:val="32"/>
          <w:shd w:val="clear" w:color="auto" w:fill="FFFFFF"/>
          <w:lang w:eastAsia="zh-CN"/>
        </w:rPr>
        <w:t>退休人员增加，减少了部分公积金缴费支出。</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度一般公共财政拨款基本支出</w:t>
      </w:r>
      <w:r>
        <w:rPr>
          <w:rFonts w:hint="default" w:ascii="Times New Roman" w:hAnsi="Times New Roman" w:eastAsia="方正仿宋_GBK" w:cs="Times New Roman"/>
          <w:b w:val="0"/>
          <w:bCs w:val="0"/>
          <w:sz w:val="32"/>
          <w:szCs w:val="32"/>
        </w:rPr>
        <w:t>143.53</w:t>
      </w:r>
      <w:r>
        <w:rPr>
          <w:rFonts w:hint="default" w:ascii="Times New Roman" w:hAnsi="Times New Roman" w:eastAsia="方正仿宋_GBK" w:cs="Times New Roman"/>
          <w:b w:val="0"/>
          <w:bCs w:val="0"/>
          <w:sz w:val="32"/>
          <w:szCs w:val="32"/>
          <w:shd w:val="clear" w:color="auto" w:fill="FFFFFF"/>
        </w:rPr>
        <w:t>万元。其中：人员经费</w:t>
      </w:r>
      <w:r>
        <w:rPr>
          <w:rFonts w:hint="default" w:ascii="Times New Roman" w:hAnsi="Times New Roman" w:eastAsia="方正仿宋_GBK" w:cs="Times New Roman"/>
          <w:b w:val="0"/>
          <w:bCs w:val="0"/>
          <w:sz w:val="32"/>
          <w:szCs w:val="32"/>
        </w:rPr>
        <w:t>122.96</w:t>
      </w:r>
      <w:r>
        <w:rPr>
          <w:rFonts w:hint="default" w:ascii="Times New Roman" w:hAnsi="Times New Roman" w:eastAsia="方正仿宋_GBK" w:cs="Times New Roman"/>
          <w:b w:val="0"/>
          <w:bCs w:val="0"/>
          <w:sz w:val="32"/>
          <w:szCs w:val="32"/>
          <w:shd w:val="clear" w:color="auto" w:fill="FFFFFF"/>
        </w:rPr>
        <w:t>万元，与2023年度相比，增加122.96万元，增长100.0%，主要原因是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2024年根据财政管理要求，虎峰镇人民政府将事业单位划分为7个账套单独核算，上年度本单位未单独核算，支出为0，故本年度增长100%。</w:t>
      </w:r>
      <w:r>
        <w:rPr>
          <w:rFonts w:hint="default" w:ascii="Times New Roman" w:hAnsi="Times New Roman" w:eastAsia="方正仿宋_GBK" w:cs="Times New Roman"/>
          <w:b w:val="0"/>
          <w:bCs w:val="0"/>
          <w:sz w:val="32"/>
          <w:szCs w:val="32"/>
          <w:shd w:val="clear" w:color="auto" w:fill="FFFFFF"/>
        </w:rPr>
        <w:t>人员经费用途主要包括</w:t>
      </w:r>
      <w:r>
        <w:rPr>
          <w:rFonts w:hint="default" w:ascii="Times New Roman" w:hAnsi="Times New Roman" w:eastAsia="方正仿宋_GBK" w:cs="Times New Roman"/>
          <w:b w:val="0"/>
          <w:bCs w:val="0"/>
          <w:sz w:val="32"/>
          <w:szCs w:val="32"/>
        </w:rPr>
        <w:t>单位给在职人员的各类劳动报酬，以及为其缴纳的各项社会保险费等，退休</w:t>
      </w:r>
      <w:r>
        <w:rPr>
          <w:rFonts w:hint="default" w:ascii="Times New Roman" w:hAnsi="Times New Roman" w:eastAsia="方正仿宋_GBK" w:cs="Times New Roman"/>
          <w:b w:val="0"/>
          <w:bCs w:val="0"/>
          <w:sz w:val="32"/>
          <w:szCs w:val="32"/>
          <w:lang w:eastAsia="zh-CN"/>
        </w:rPr>
        <w:t>人员</w:t>
      </w:r>
      <w:r>
        <w:rPr>
          <w:rFonts w:hint="default" w:ascii="Times New Roman" w:hAnsi="Times New Roman" w:eastAsia="方正仿宋_GBK" w:cs="Times New Roman"/>
          <w:b w:val="0"/>
          <w:bCs w:val="0"/>
          <w:sz w:val="32"/>
          <w:szCs w:val="32"/>
        </w:rPr>
        <w:t>等相关经费</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rPr>
        <w:t>20.57</w:t>
      </w:r>
      <w:r>
        <w:rPr>
          <w:rFonts w:hint="default" w:ascii="Times New Roman" w:hAnsi="Times New Roman" w:eastAsia="方正仿宋_GBK" w:cs="Times New Roman"/>
          <w:b w:val="0"/>
          <w:bCs w:val="0"/>
          <w:sz w:val="32"/>
          <w:szCs w:val="32"/>
          <w:shd w:val="clear" w:color="auto" w:fill="FFFFFF"/>
        </w:rPr>
        <w:t>万元，与2023年度相比，增加20.57万元，增长100.0%，主要原因是主要原因是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2024年根据财政管理要求，虎峰镇人民政府将事业单位划分为7个账套单独核算，上年度本单位未单独核算，支出为0，故本年度增长100%。</w:t>
      </w:r>
      <w:r>
        <w:rPr>
          <w:rFonts w:hint="default" w:ascii="Times New Roman" w:hAnsi="Times New Roman" w:eastAsia="方正仿宋_GBK" w:cs="Times New Roman"/>
          <w:b w:val="0"/>
          <w:bCs w:val="0"/>
          <w:sz w:val="32"/>
          <w:szCs w:val="32"/>
          <w:shd w:val="clear" w:color="auto" w:fill="FFFFFF"/>
        </w:rPr>
        <w:t>公用经费用途主要包括</w:t>
      </w:r>
      <w:r>
        <w:rPr>
          <w:rFonts w:hint="default" w:ascii="Times New Roman" w:hAnsi="Times New Roman" w:eastAsia="方正仿宋_GBK" w:cs="Times New Roman"/>
          <w:b w:val="0"/>
          <w:bCs w:val="0"/>
          <w:sz w:val="32"/>
          <w:szCs w:val="32"/>
          <w:shd w:val="clear" w:color="auto" w:fill="FFFFFF"/>
          <w:lang w:eastAsia="zh-CN"/>
        </w:rPr>
        <w:t>办公费、维修维护费等</w:t>
      </w:r>
      <w:r>
        <w:rPr>
          <w:rFonts w:hint="default" w:ascii="Times New Roman" w:hAnsi="Times New Roman" w:eastAsia="方正仿宋_GBK" w:cs="Times New Roman"/>
          <w:b w:val="0"/>
          <w:bCs w:val="0"/>
          <w:sz w:val="32"/>
          <w:szCs w:val="32"/>
          <w:shd w:val="clear" w:color="auto" w:fill="FFFFFF"/>
        </w:rPr>
        <w:t>保障机关运行</w:t>
      </w:r>
      <w:r>
        <w:rPr>
          <w:rFonts w:hint="default" w:ascii="Times New Roman" w:hAnsi="Times New Roman" w:eastAsia="方正仿宋_GBK" w:cs="Times New Roman"/>
          <w:b w:val="0"/>
          <w:bCs w:val="0"/>
          <w:sz w:val="32"/>
          <w:szCs w:val="32"/>
          <w:shd w:val="clear" w:color="auto" w:fill="FFFFFF"/>
          <w:lang w:eastAsia="zh-CN"/>
        </w:rPr>
        <w:t>的</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相关支出。</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本单位</w:t>
      </w:r>
      <w:r>
        <w:rPr>
          <w:rStyle w:val="8"/>
          <w:rFonts w:hint="default" w:ascii="Times New Roman" w:hAnsi="Times New Roman" w:eastAsia="方正仿宋_GBK" w:cs="Times New Roman"/>
          <w:b w:val="0"/>
          <w:bCs w:val="0"/>
          <w:color w:val="auto"/>
          <w:sz w:val="32"/>
          <w:szCs w:val="32"/>
          <w:shd w:val="clear" w:color="auto" w:fill="auto"/>
          <w:lang w:eastAsia="zh-CN"/>
        </w:rPr>
        <w:t>2024年</w:t>
      </w:r>
      <w:r>
        <w:rPr>
          <w:rStyle w:val="8"/>
          <w:rFonts w:hint="default" w:ascii="Times New Roman" w:hAnsi="Times New Roman" w:eastAsia="方正仿宋_GBK" w:cs="Times New Roman"/>
          <w:b w:val="0"/>
          <w:bCs w:val="0"/>
          <w:color w:val="auto"/>
          <w:sz w:val="32"/>
          <w:szCs w:val="32"/>
          <w:shd w:val="clear" w:color="auto" w:fill="auto"/>
        </w:rPr>
        <w:t>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本单位</w:t>
      </w:r>
      <w:r>
        <w:rPr>
          <w:rStyle w:val="8"/>
          <w:rFonts w:hint="default" w:ascii="Times New Roman" w:hAnsi="Times New Roman" w:eastAsia="方正仿宋_GBK" w:cs="Times New Roman"/>
          <w:b w:val="0"/>
          <w:bCs w:val="0"/>
          <w:color w:val="auto"/>
          <w:sz w:val="32"/>
          <w:szCs w:val="32"/>
          <w:shd w:val="clear" w:color="auto" w:fill="auto"/>
          <w:lang w:eastAsia="zh-CN"/>
        </w:rPr>
        <w:t>2024年</w:t>
      </w:r>
      <w:r>
        <w:rPr>
          <w:rStyle w:val="8"/>
          <w:rFonts w:hint="default" w:ascii="Times New Roman" w:hAnsi="Times New Roman" w:eastAsia="方正仿宋_GBK" w:cs="Times New Roman"/>
          <w:b w:val="0"/>
          <w:bCs w:val="0"/>
          <w:color w:val="auto"/>
          <w:sz w:val="32"/>
          <w:szCs w:val="32"/>
          <w:shd w:val="clear" w:color="auto" w:fill="auto"/>
        </w:rPr>
        <w:t>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三、</w:t>
      </w:r>
      <w:r>
        <w:rPr>
          <w:rStyle w:val="8"/>
          <w:rFonts w:hint="default" w:ascii="Times New Roman" w:hAnsi="Times New Roman" w:eastAsia="黑体" w:cs="Times New Roman"/>
          <w:b w:val="0"/>
          <w:bCs w:val="0"/>
          <w:sz w:val="32"/>
          <w:szCs w:val="32"/>
          <w:shd w:val="clear" w:color="auto" w:fill="FFFFFF"/>
          <w:lang w:eastAsia="zh-CN"/>
        </w:rPr>
        <w:t>财政拨款</w:t>
      </w:r>
      <w:r>
        <w:rPr>
          <w:rStyle w:val="8"/>
          <w:rFonts w:hint="default" w:ascii="Times New Roman" w:hAnsi="Times New Roman" w:eastAsia="黑体" w:cs="Times New Roman"/>
          <w:b w:val="0"/>
          <w:bCs w:val="0"/>
          <w:sz w:val="32"/>
          <w:szCs w:val="32"/>
          <w:shd w:val="clear" w:color="auto" w:fill="FFFFFF"/>
        </w:rPr>
        <w:t>“三公”经费情况说明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auto"/>
          <w:lang w:eastAsia="zh-CN"/>
        </w:rPr>
      </w:pPr>
      <w:r>
        <w:rPr>
          <w:rStyle w:val="8"/>
          <w:rFonts w:hint="default" w:ascii="Times New Roman" w:hAnsi="Times New Roman" w:eastAsia="方正仿宋_GBK" w:cs="Times New Roman"/>
          <w:b w:val="0"/>
          <w:bCs w:val="0"/>
          <w:sz w:val="32"/>
          <w:szCs w:val="32"/>
          <w:shd w:val="clear" w:color="auto" w:fill="auto"/>
        </w:rPr>
        <w:t>我单位属于</w:t>
      </w:r>
      <w:r>
        <w:rPr>
          <w:rStyle w:val="8"/>
          <w:rFonts w:hint="default" w:ascii="Times New Roman" w:hAnsi="Times New Roman" w:eastAsia="方正仿宋_GBK" w:cs="Times New Roman"/>
          <w:b w:val="0"/>
          <w:bCs w:val="0"/>
          <w:sz w:val="32"/>
          <w:szCs w:val="32"/>
          <w:shd w:val="clear" w:color="auto" w:fill="auto"/>
          <w:lang w:eastAsia="zh-CN"/>
        </w:rPr>
        <w:t>虎峰镇人民政府下级预算单位，无“三公”经费支。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万元，与2023年度相比，无增减。本年度培训费支出</w:t>
      </w:r>
      <w:r>
        <w:rPr>
          <w:rFonts w:hint="default" w:ascii="Times New Roman" w:hAnsi="Times New Roman" w:eastAsia="方正仿宋_GBK" w:cs="Times New Roman"/>
          <w:b w:val="0"/>
          <w:bCs w:val="0"/>
          <w:sz w:val="32"/>
          <w:szCs w:val="32"/>
        </w:rPr>
        <w:t>0.33</w:t>
      </w:r>
      <w:r>
        <w:rPr>
          <w:rFonts w:hint="default" w:ascii="Times New Roman" w:hAnsi="Times New Roman" w:eastAsia="方正仿宋_GBK" w:cs="Times New Roman"/>
          <w:b w:val="0"/>
          <w:bCs w:val="0"/>
          <w:sz w:val="32"/>
          <w:szCs w:val="32"/>
          <w:shd w:val="clear" w:color="auto" w:fill="FFFFFF"/>
        </w:rPr>
        <w:t>万元，与2023年度相比，增加0.33万元，增长100.0%，主要</w:t>
      </w:r>
      <w:bookmarkStart w:id="0" w:name="_GoBack"/>
      <w:bookmarkEnd w:id="0"/>
      <w:r>
        <w:rPr>
          <w:rFonts w:hint="default" w:ascii="Times New Roman" w:hAnsi="Times New Roman" w:eastAsia="方正仿宋_GBK" w:cs="Times New Roman"/>
          <w:b w:val="0"/>
          <w:bCs w:val="0"/>
          <w:sz w:val="32"/>
          <w:szCs w:val="32"/>
          <w:shd w:val="clear" w:color="auto" w:fill="FFFFFF"/>
        </w:rPr>
        <w:t>原因是</w:t>
      </w:r>
      <w:r>
        <w:rPr>
          <w:rFonts w:hint="eastAsia" w:ascii="Times New Roman" w:hAnsi="Times New Roman" w:eastAsia="方正仿宋_GBK" w:cs="Times New Roman"/>
          <w:b w:val="0"/>
          <w:bCs w:val="0"/>
          <w:sz w:val="32"/>
          <w:szCs w:val="32"/>
          <w:shd w:val="clear" w:color="auto" w:fill="FFFFFF"/>
          <w:lang w:eastAsia="zh-CN"/>
        </w:rPr>
        <w:t>今年专技人员参加了相关培训</w:t>
      </w:r>
      <w:r>
        <w:rPr>
          <w:rFonts w:hint="default" w:ascii="Times New Roman" w:hAnsi="Times New Roman" w:eastAsia="方正仿宋_GBK" w:cs="Times New Roman"/>
          <w:b w:val="0"/>
          <w:bCs w:val="0"/>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按照部门决算列报口径，我单位不在机关运行经费统计范围之内。</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12月31日，本单位共有车辆</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度我单位未发生政府采购事项，无相关经费支出。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lang w:val="en-US" w:eastAsia="zh-CN" w:bidi="ar-SA"/>
        </w:rPr>
      </w:pPr>
      <w:r>
        <w:rPr>
          <w:rStyle w:val="8"/>
          <w:rFonts w:hint="default" w:ascii="Times New Roman" w:hAnsi="Times New Roman" w:eastAsia="黑体" w:cs="Times New Roman"/>
          <w:b w:val="0"/>
          <w:bCs w:val="0"/>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楷体" w:cs="Times New Roman"/>
          <w:b w:val="0"/>
          <w:bCs w:val="0"/>
          <w:kern w:val="0"/>
          <w:sz w:val="32"/>
          <w:szCs w:val="32"/>
          <w:shd w:val="clear" w:fill="FFFFFF"/>
        </w:rPr>
      </w:pPr>
      <w:r>
        <w:rPr>
          <w:rFonts w:hint="default" w:ascii="Times New Roman" w:hAnsi="Times New Roman" w:eastAsia="楷体" w:cs="Times New Roman"/>
          <w:b w:val="0"/>
          <w:bCs w:val="0"/>
          <w:kern w:val="0"/>
          <w:sz w:val="32"/>
          <w:szCs w:val="32"/>
          <w:shd w:val="clear" w:fill="FFFFFF"/>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Times New Roman" w:hAnsi="Times New Roman" w:eastAsia="方正仿宋_GBK" w:cs="Times New Roman"/>
          <w:b w:val="0"/>
          <w:bCs w:val="0"/>
          <w:kern w:val="0"/>
          <w:sz w:val="32"/>
          <w:szCs w:val="32"/>
          <w:shd w:val="clear" w:fill="FFFFFF"/>
          <w:lang w:eastAsia="zh-CN"/>
        </w:rPr>
      </w:pPr>
      <w:r>
        <w:rPr>
          <w:rFonts w:hint="default" w:ascii="Times New Roman" w:hAnsi="Times New Roman" w:eastAsia="方正仿宋_GBK" w:cs="Times New Roman"/>
          <w:b w:val="0"/>
          <w:bCs w:val="0"/>
          <w:kern w:val="0"/>
          <w:sz w:val="32"/>
          <w:szCs w:val="32"/>
          <w:shd w:val="clear" w:fill="FFFFFF"/>
        </w:rPr>
        <w:t>根据预算绩效管理要求，我单位对</w:t>
      </w:r>
      <w:r>
        <w:rPr>
          <w:rFonts w:hint="eastAsia"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个项目开展了绩效自评，其中，以填报自评表形式开展自评</w:t>
      </w:r>
      <w:r>
        <w:rPr>
          <w:rFonts w:hint="eastAsia"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项，涉及资金</w:t>
      </w:r>
      <w:r>
        <w:rPr>
          <w:rFonts w:hint="eastAsia" w:ascii="Times New Roman" w:hAnsi="Times New Roman" w:eastAsia="方正仿宋_GBK" w:cs="Times New Roman"/>
          <w:b w:val="0"/>
          <w:bCs w:val="0"/>
          <w:kern w:val="0"/>
          <w:sz w:val="32"/>
          <w:szCs w:val="32"/>
          <w:shd w:val="clear" w:fill="FFFFFF"/>
          <w:lang w:val="en-US" w:eastAsia="zh-CN"/>
        </w:rPr>
        <w:t>6.79</w:t>
      </w:r>
      <w:r>
        <w:rPr>
          <w:rFonts w:hint="default" w:ascii="Times New Roman" w:hAnsi="Times New Roman" w:eastAsia="方正仿宋_GBK" w:cs="Times New Roman"/>
          <w:b w:val="0"/>
          <w:bCs w:val="0"/>
          <w:kern w:val="0"/>
          <w:sz w:val="32"/>
          <w:szCs w:val="32"/>
          <w:shd w:val="clear" w:fill="FFFFFF"/>
        </w:rPr>
        <w:t>万元</w:t>
      </w:r>
      <w:r>
        <w:rPr>
          <w:rFonts w:hint="eastAsia" w:ascii="Times New Roman" w:hAnsi="Times New Roman" w:eastAsia="方正仿宋_GBK" w:cs="Times New Roman"/>
          <w:b w:val="0"/>
          <w:bCs w:val="0"/>
          <w:kern w:val="0"/>
          <w:sz w:val="32"/>
          <w:szCs w:val="32"/>
          <w:shd w:val="clear" w:fill="FFFFFF"/>
          <w:lang w:val="en-US" w:eastAsia="zh-CN"/>
        </w:rPr>
        <w:t>.</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楷体" w:cs="Times New Roman"/>
          <w:b w:val="0"/>
          <w:bCs w:val="0"/>
          <w:kern w:val="0"/>
          <w:sz w:val="32"/>
          <w:szCs w:val="32"/>
          <w:shd w:val="clear" w:fill="FFFFFF"/>
        </w:rPr>
      </w:pPr>
      <w:r>
        <w:rPr>
          <w:rFonts w:hint="default" w:ascii="Times New Roman" w:hAnsi="Times New Roman" w:eastAsia="楷体" w:cs="Times New Roman"/>
          <w:b w:val="0"/>
          <w:bCs w:val="0"/>
          <w:kern w:val="0"/>
          <w:sz w:val="32"/>
          <w:szCs w:val="32"/>
          <w:shd w:val="clear" w:fill="FFFFFF"/>
        </w:rPr>
        <w:t>（二）绩效自评结果</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1.项目绩效自评表。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Times New Roman" w:hAnsi="Times New Roman" w:eastAsia="方正仿宋_GBK" w:cs="Times New Roman"/>
          <w:b w:val="0"/>
          <w:bCs w:val="0"/>
          <w:kern w:val="0"/>
          <w:sz w:val="32"/>
          <w:szCs w:val="32"/>
          <w:shd w:val="clear" w:fill="FFFFFF"/>
          <w:lang w:eastAsia="zh-CN"/>
        </w:rPr>
      </w:pPr>
      <w:r>
        <w:rPr>
          <w:rFonts w:hint="default" w:ascii="Times New Roman" w:hAnsi="Times New Roman" w:eastAsia="方正仿宋_GBK" w:cs="Times New Roman"/>
          <w:b w:val="0"/>
          <w:bCs w:val="0"/>
          <w:kern w:val="0"/>
          <w:sz w:val="32"/>
          <w:szCs w:val="32"/>
          <w:shd w:val="clear" w:fill="FFFFFF"/>
        </w:rPr>
        <w:t>详见附件。</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2.项目绩效自评报告或案例。</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3.关于绩效自评结果的说明。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我单位对</w:t>
      </w:r>
      <w:r>
        <w:rPr>
          <w:rFonts w:hint="eastAsia" w:ascii="Times New Roman" w:hAnsi="Times New Roman" w:eastAsia="方正仿宋_GBK" w:cs="Times New Roman"/>
          <w:b w:val="0"/>
          <w:bCs w:val="0"/>
          <w:kern w:val="0"/>
          <w:sz w:val="32"/>
          <w:szCs w:val="32"/>
          <w:shd w:val="clear" w:fill="FFFFFF"/>
          <w:lang w:val="en-US" w:eastAsia="zh-CN"/>
        </w:rPr>
        <w:t>1个</w:t>
      </w:r>
      <w:r>
        <w:rPr>
          <w:rFonts w:hint="default" w:ascii="Times New Roman" w:hAnsi="Times New Roman" w:eastAsia="方正仿宋_GBK" w:cs="Times New Roman"/>
          <w:b w:val="0"/>
          <w:bCs w:val="0"/>
          <w:kern w:val="0"/>
          <w:sz w:val="32"/>
          <w:szCs w:val="32"/>
          <w:shd w:val="clear" w:fill="FFFFFF"/>
        </w:rPr>
        <w:t>项目进行绩效自评，其中</w:t>
      </w:r>
      <w:r>
        <w:rPr>
          <w:rFonts w:hint="eastAsia"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个已完成年度绩效目标，</w:t>
      </w:r>
      <w:r>
        <w:rPr>
          <w:rFonts w:hint="eastAsia"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个未完成年度绩效目标。</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楷体" w:cs="Times New Roman"/>
          <w:b w:val="0"/>
          <w:bCs w:val="0"/>
          <w:kern w:val="0"/>
          <w:sz w:val="32"/>
          <w:szCs w:val="32"/>
          <w:shd w:val="clear" w:fill="FFFFFF"/>
          <w:lang w:val="en-US" w:eastAsia="zh-CN" w:bidi="ar"/>
        </w:rPr>
      </w:pPr>
      <w:r>
        <w:rPr>
          <w:rFonts w:hint="default" w:ascii="Times New Roman" w:hAnsi="Times New Roman" w:eastAsia="楷体" w:cs="Times New Roman"/>
          <w:b w:val="0"/>
          <w:bCs w:val="0"/>
          <w:kern w:val="0"/>
          <w:sz w:val="32"/>
          <w:szCs w:val="32"/>
          <w:shd w:val="clear" w:fill="FFFFFF"/>
          <w:lang w:val="en-US" w:eastAsia="zh-CN" w:bidi="ar"/>
        </w:rPr>
        <w:t xml:space="preserve">（三）财政重点绩效评价情况 </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880" w:firstLineChars="275"/>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我单位无财政重点绩效评价项目。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方正仿宋_GBK" w:cs="Times New Roman"/>
          <w:b w:val="0"/>
          <w:bCs w:val="0"/>
          <w:sz w:val="32"/>
          <w:szCs w:val="32"/>
          <w:shd w:val="clear" w:fill="FFFFFF"/>
        </w:rPr>
        <w:t xml:space="preserve"> </w:t>
      </w:r>
      <w:r>
        <w:rPr>
          <w:rStyle w:val="11"/>
          <w:rFonts w:hint="default" w:ascii="Times New Roman" w:hAnsi="Times New Roman" w:eastAsia="方正仿宋_GBK" w:cs="Times New Roman"/>
          <w:b w:val="0"/>
          <w:bCs w:val="0"/>
          <w:sz w:val="32"/>
          <w:szCs w:val="32"/>
          <w:shd w:val="clear" w:fill="FFFFFF"/>
          <w:lang w:val="en-US" w:eastAsia="zh-CN"/>
        </w:rPr>
        <w:t xml:space="preserve">  </w:t>
      </w:r>
      <w:r>
        <w:rPr>
          <w:rStyle w:val="8"/>
          <w:rFonts w:hint="default" w:ascii="Times New Roman" w:hAnsi="Times New Roman" w:eastAsia="黑体" w:cs="Times New Roman"/>
          <w:b w:val="0"/>
          <w:bCs w:val="0"/>
          <w:sz w:val="32"/>
          <w:szCs w:val="32"/>
          <w:shd w:val="clear" w:color="auto" w:fill="FFFFFF"/>
          <w:lang w:val="en-US" w:eastAsia="zh-CN" w:bidi="ar-SA"/>
        </w:rPr>
        <w:t xml:space="preserve"> 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黑体" w:cs="Times New Roman"/>
          <w:b w:val="0"/>
          <w:bCs w:val="0"/>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shd w:val="clear" w:fill="FFFFFF"/>
        </w:rPr>
        <w:t>本单位决算公开信息反馈和联系方式：</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shd w:val="clear" w:fill="FFFFFF"/>
          <w:lang w:eastAsia="zh-CN"/>
        </w:rPr>
        <w:t>联系人：</w:t>
      </w:r>
      <w:r>
        <w:rPr>
          <w:rFonts w:hint="eastAsia" w:ascii="Times New Roman" w:hAnsi="Times New Roman" w:eastAsia="方正仿宋_GBK" w:cs="Times New Roman"/>
          <w:b w:val="0"/>
          <w:bCs w:val="0"/>
          <w:color w:val="auto"/>
          <w:kern w:val="0"/>
          <w:sz w:val="32"/>
          <w:szCs w:val="32"/>
          <w:shd w:val="clear" w:fill="FFFFFF"/>
          <w:lang w:val="en-US" w:eastAsia="zh-CN"/>
        </w:rPr>
        <w:t xml:space="preserve">吴云胜 </w:t>
      </w:r>
      <w:r>
        <w:rPr>
          <w:rFonts w:hint="default" w:ascii="Times New Roman" w:hAnsi="Times New Roman" w:eastAsia="方正仿宋_GBK" w:cs="Times New Roman"/>
          <w:b w:val="0"/>
          <w:bCs w:val="0"/>
          <w:color w:val="auto"/>
          <w:kern w:val="0"/>
          <w:sz w:val="32"/>
          <w:szCs w:val="32"/>
          <w:shd w:val="clear" w:fill="FFFFFF"/>
          <w:lang w:val="en-US" w:eastAsia="zh-CN"/>
        </w:rPr>
        <w:t xml:space="preserve"> 联系方式：</w:t>
      </w:r>
      <w:r>
        <w:rPr>
          <w:rFonts w:hint="default" w:ascii="Times New Roman" w:hAnsi="Times New Roman" w:eastAsia="方正仿宋_GBK" w:cs="Times New Roman"/>
          <w:b w:val="0"/>
          <w:bCs w:val="0"/>
          <w:color w:val="auto"/>
          <w:kern w:val="0"/>
          <w:sz w:val="32"/>
          <w:szCs w:val="32"/>
          <w:shd w:val="clear" w:fill="FFFFFF"/>
        </w:rPr>
        <w:t>023-</w:t>
      </w:r>
      <w:r>
        <w:rPr>
          <w:rFonts w:hint="eastAsia" w:ascii="Times New Roman" w:hAnsi="Times New Roman" w:eastAsia="方正仿宋_GBK" w:cs="Times New Roman"/>
          <w:b w:val="0"/>
          <w:bCs w:val="0"/>
          <w:color w:val="auto"/>
          <w:kern w:val="0"/>
          <w:sz w:val="32"/>
          <w:szCs w:val="32"/>
          <w:shd w:val="clear" w:fill="FFFFFF"/>
          <w:lang w:val="en-US" w:eastAsia="zh-CN"/>
        </w:rPr>
        <w:t>45511425</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fill="FFFF00"/>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附件：</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1、</w:t>
      </w:r>
      <w:r>
        <w:rPr>
          <w:rStyle w:val="11"/>
          <w:rFonts w:hint="default" w:ascii="Times New Roman" w:hAnsi="Times New Roman" w:eastAsia="方正仿宋_GBK" w:cs="Times New Roman"/>
          <w:b w:val="0"/>
          <w:bCs w:val="0"/>
          <w:sz w:val="32"/>
          <w:szCs w:val="32"/>
          <w:shd w:val="clear" w:color="auto" w:fill="auto"/>
          <w:lang w:val="en-US" w:eastAsia="zh-CN" w:bidi="ar-SA"/>
        </w:rPr>
        <w:t>重庆市铜梁区虎峰镇综合行政执法大队</w:t>
      </w:r>
      <w:r>
        <w:rPr>
          <w:rStyle w:val="11"/>
          <w:rFonts w:hint="default" w:ascii="Times New Roman" w:hAnsi="Times New Roman" w:eastAsia="方正仿宋_GBK" w:cs="Times New Roman"/>
          <w:b w:val="0"/>
          <w:bCs w:val="0"/>
          <w:sz w:val="32"/>
          <w:szCs w:val="32"/>
          <w:shd w:val="clear" w:color="auto" w:fill="auto"/>
          <w:lang w:val="en-US" w:eastAsia="zh-CN"/>
        </w:rPr>
        <w:t>2024年度决算公开说明</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2、</w:t>
      </w:r>
      <w:r>
        <w:rPr>
          <w:rStyle w:val="11"/>
          <w:rFonts w:hint="default" w:ascii="Times New Roman" w:hAnsi="Times New Roman" w:eastAsia="方正仿宋_GBK" w:cs="Times New Roman"/>
          <w:b w:val="0"/>
          <w:bCs w:val="0"/>
          <w:sz w:val="32"/>
          <w:szCs w:val="32"/>
          <w:shd w:val="clear" w:color="auto" w:fill="auto"/>
          <w:lang w:val="en-US" w:eastAsia="zh-CN" w:bidi="ar-SA"/>
        </w:rPr>
        <w:t>重庆市铜梁区虎峰镇综合行政执法大队</w:t>
      </w:r>
      <w:r>
        <w:rPr>
          <w:rStyle w:val="11"/>
          <w:rFonts w:hint="default" w:ascii="Times New Roman" w:hAnsi="Times New Roman" w:eastAsia="方正仿宋_GBK" w:cs="Times New Roman"/>
          <w:b w:val="0"/>
          <w:bCs w:val="0"/>
          <w:sz w:val="32"/>
          <w:szCs w:val="32"/>
          <w:shd w:val="clear" w:color="auto" w:fill="auto"/>
          <w:lang w:val="en-US" w:eastAsia="zh-CN"/>
        </w:rPr>
        <w:t>2024年度决算公开报表</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3、</w:t>
      </w:r>
      <w:r>
        <w:rPr>
          <w:rStyle w:val="11"/>
          <w:rFonts w:hint="default" w:ascii="Times New Roman" w:hAnsi="Times New Roman" w:eastAsia="方正仿宋_GBK" w:cs="Times New Roman"/>
          <w:b w:val="0"/>
          <w:bCs w:val="0"/>
          <w:sz w:val="32"/>
          <w:szCs w:val="32"/>
          <w:shd w:val="clear" w:color="auto" w:fill="auto"/>
          <w:lang w:val="en-US" w:eastAsia="zh-CN" w:bidi="ar-SA"/>
        </w:rPr>
        <w:t>重庆市铜梁区虎峰镇综合行政执法大队</w:t>
      </w:r>
      <w:r>
        <w:rPr>
          <w:rStyle w:val="11"/>
          <w:rFonts w:hint="default" w:ascii="Times New Roman" w:hAnsi="Times New Roman" w:eastAsia="方正仿宋_GBK" w:cs="Times New Roman"/>
          <w:b w:val="0"/>
          <w:bCs w:val="0"/>
          <w:sz w:val="32"/>
          <w:szCs w:val="32"/>
          <w:shd w:val="clear" w:color="auto" w:fill="auto"/>
          <w:lang w:val="en-US" w:eastAsia="zh-CN"/>
        </w:rPr>
        <w:t xml:space="preserve">2024年度项目绩效自评表 </w:t>
      </w:r>
    </w:p>
    <w:sectPr>
      <w:headerReference r:id="rId3" w:type="default"/>
      <w:footerReference r:id="rId4" w:type="default"/>
      <w:pgSz w:w="11850" w:h="16783"/>
      <w:pgMar w:top="2098" w:right="1474" w:bottom="1984" w:left="1587" w:header="0"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yNjQxMjU4YTA4MjlkYWViYzIzOTgwZGQ0YjcxMTI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55488"/>
    <w:rsid w:val="08B84F60"/>
    <w:rsid w:val="08BA052C"/>
    <w:rsid w:val="08DB07BA"/>
    <w:rsid w:val="098305D0"/>
    <w:rsid w:val="09B72B6E"/>
    <w:rsid w:val="0A3851D8"/>
    <w:rsid w:val="0A5C4B69"/>
    <w:rsid w:val="0AEC3BC7"/>
    <w:rsid w:val="0B14512A"/>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7781D54"/>
    <w:rsid w:val="188A7B2C"/>
    <w:rsid w:val="189B0D0B"/>
    <w:rsid w:val="194A1770"/>
    <w:rsid w:val="19673A2B"/>
    <w:rsid w:val="19917D9C"/>
    <w:rsid w:val="19B906A4"/>
    <w:rsid w:val="1A1F744B"/>
    <w:rsid w:val="1A4854EC"/>
    <w:rsid w:val="1A9A2326"/>
    <w:rsid w:val="1B6F15B6"/>
    <w:rsid w:val="1BAA2EDC"/>
    <w:rsid w:val="1CE157EE"/>
    <w:rsid w:val="1D014A01"/>
    <w:rsid w:val="1D022362"/>
    <w:rsid w:val="1DD26311"/>
    <w:rsid w:val="1EF67CA4"/>
    <w:rsid w:val="1F506CE5"/>
    <w:rsid w:val="1FCD26AF"/>
    <w:rsid w:val="1FF3434C"/>
    <w:rsid w:val="20642787"/>
    <w:rsid w:val="21556F04"/>
    <w:rsid w:val="22403BD3"/>
    <w:rsid w:val="22522477"/>
    <w:rsid w:val="24932670"/>
    <w:rsid w:val="24B92327"/>
    <w:rsid w:val="2533755C"/>
    <w:rsid w:val="26396DF4"/>
    <w:rsid w:val="270642A6"/>
    <w:rsid w:val="27167136"/>
    <w:rsid w:val="27B23302"/>
    <w:rsid w:val="29310A5F"/>
    <w:rsid w:val="29C37A35"/>
    <w:rsid w:val="29C95E09"/>
    <w:rsid w:val="2A076083"/>
    <w:rsid w:val="2A73162E"/>
    <w:rsid w:val="2ACA2711"/>
    <w:rsid w:val="2B167953"/>
    <w:rsid w:val="2B200583"/>
    <w:rsid w:val="2B25587B"/>
    <w:rsid w:val="2B8209DE"/>
    <w:rsid w:val="2C161D32"/>
    <w:rsid w:val="2C2D3EC7"/>
    <w:rsid w:val="2C6762A3"/>
    <w:rsid w:val="2D8D2A49"/>
    <w:rsid w:val="2FE029D7"/>
    <w:rsid w:val="2FF06E00"/>
    <w:rsid w:val="309E6EB5"/>
    <w:rsid w:val="315D199F"/>
    <w:rsid w:val="315F0B22"/>
    <w:rsid w:val="31D84415"/>
    <w:rsid w:val="32285F6F"/>
    <w:rsid w:val="32770556"/>
    <w:rsid w:val="329C0913"/>
    <w:rsid w:val="32DF3318"/>
    <w:rsid w:val="3337290D"/>
    <w:rsid w:val="352930DB"/>
    <w:rsid w:val="35424E24"/>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EB24E7"/>
    <w:rsid w:val="3BF014AD"/>
    <w:rsid w:val="3C6A5B02"/>
    <w:rsid w:val="3CF812FF"/>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3C524A6"/>
    <w:rsid w:val="443A3B12"/>
    <w:rsid w:val="44A854C2"/>
    <w:rsid w:val="44DD597D"/>
    <w:rsid w:val="46284392"/>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275945"/>
    <w:rsid w:val="56530F5D"/>
    <w:rsid w:val="5842572D"/>
    <w:rsid w:val="59BD3AA9"/>
    <w:rsid w:val="5AE75037"/>
    <w:rsid w:val="5B58571C"/>
    <w:rsid w:val="5B8376C2"/>
    <w:rsid w:val="5B96133A"/>
    <w:rsid w:val="5C1336B7"/>
    <w:rsid w:val="5C263CE4"/>
    <w:rsid w:val="5C5D2777"/>
    <w:rsid w:val="5D290C69"/>
    <w:rsid w:val="5D537F41"/>
    <w:rsid w:val="5DB5305E"/>
    <w:rsid w:val="5EFA176D"/>
    <w:rsid w:val="5F0247F9"/>
    <w:rsid w:val="5F2D4A41"/>
    <w:rsid w:val="601C34ED"/>
    <w:rsid w:val="60A958A9"/>
    <w:rsid w:val="60D22ADB"/>
    <w:rsid w:val="61025A59"/>
    <w:rsid w:val="613D5BBC"/>
    <w:rsid w:val="614B7B86"/>
    <w:rsid w:val="61536C39"/>
    <w:rsid w:val="62801DE0"/>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8A2BD3"/>
    <w:rsid w:val="6FB442D1"/>
    <w:rsid w:val="6FFB2E76"/>
    <w:rsid w:val="70AB7907"/>
    <w:rsid w:val="70C346B9"/>
    <w:rsid w:val="71C34D91"/>
    <w:rsid w:val="71ED38AA"/>
    <w:rsid w:val="720229AA"/>
    <w:rsid w:val="72DB435C"/>
    <w:rsid w:val="750837F0"/>
    <w:rsid w:val="764F62AB"/>
    <w:rsid w:val="765C45EC"/>
    <w:rsid w:val="768A7619"/>
    <w:rsid w:val="76E14979"/>
    <w:rsid w:val="76E41A31"/>
    <w:rsid w:val="77EA362A"/>
    <w:rsid w:val="7875383E"/>
    <w:rsid w:val="796D60A4"/>
    <w:rsid w:val="79A031D5"/>
    <w:rsid w:val="7A1525F7"/>
    <w:rsid w:val="7A3E6CB6"/>
    <w:rsid w:val="7A680D2D"/>
    <w:rsid w:val="7AB74858"/>
    <w:rsid w:val="7B260559"/>
    <w:rsid w:val="7B420052"/>
    <w:rsid w:val="7BD06A28"/>
    <w:rsid w:val="7C1E4CD7"/>
    <w:rsid w:val="7C3A7C0B"/>
    <w:rsid w:val="7C5248E4"/>
    <w:rsid w:val="7C566698"/>
    <w:rsid w:val="7E2E3EDA"/>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7">
    <w:name w:val="Default Paragraph Font"/>
    <w:autoRedefine/>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autoRedefine/>
    <w:qFormat/>
    <w:uiPriority w:val="99"/>
    <w:pPr>
      <w:ind w:firstLine="420" w:firstLineChars="200"/>
    </w:pPr>
    <w:rPr>
      <w:rFonts w:hint="default"/>
    </w:rPr>
  </w:style>
  <w:style w:type="paragraph" w:customStyle="1" w:styleId="10">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autoRedefine/>
    <w:qFormat/>
    <w:uiPriority w:val="0"/>
    <w:rPr>
      <w:rFonts w:hint="default" w:ascii="Wingdings" w:hAnsi="Wingdings" w:cs="Wingdings"/>
      <w:b/>
      <w:bCs/>
    </w:rPr>
  </w:style>
  <w:style w:type="paragraph" w:customStyle="1" w:styleId="12">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0</TotalTime>
  <ScaleCrop>false</ScaleCrop>
  <LinksUpToDate>false</LinksUpToDate>
  <CharactersWithSpaces>21460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2025-10-17T01:24:05Z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9EDAFD8FD9424A54844071572B3E9A06_13</vt:lpwstr>
  </property>
</Properties>
</file>