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重庆市铜梁区虎峰镇乡村生态治理中心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仿宋" w:cs="Times New Roman"/>
          <w:b w:val="0"/>
          <w:bCs w:val="0"/>
          <w:color w:val="000000"/>
          <w:kern w:val="2"/>
          <w:sz w:val="32"/>
          <w:szCs w:val="32"/>
          <w:highlight w:val="none"/>
          <w:lang w:val="en-US" w:eastAsia="zh-CN"/>
        </w:rPr>
        <w:t>我单位主要</w:t>
      </w:r>
      <w:r>
        <w:rPr>
          <w:rFonts w:hint="default" w:ascii="Times New Roman" w:hAnsi="Times New Roman" w:eastAsia="楷体_GB2312" w:cs="Times New Roman"/>
          <w:b w:val="0"/>
          <w:bCs w:val="0"/>
          <w:sz w:val="32"/>
          <w:szCs w:val="32"/>
          <w:lang w:val="en-US" w:eastAsia="zh-CN"/>
        </w:rPr>
        <w:t>为</w:t>
      </w:r>
      <w:r>
        <w:rPr>
          <w:rFonts w:hint="default" w:ascii="Times New Roman" w:hAnsi="Times New Roman" w:eastAsia="仿宋" w:cs="Times New Roman"/>
          <w:b w:val="0"/>
          <w:bCs w:val="0"/>
          <w:color w:val="000000"/>
          <w:kern w:val="2"/>
          <w:sz w:val="32"/>
          <w:szCs w:val="32"/>
          <w:highlight w:val="none"/>
          <w:lang w:val="en-US" w:eastAsia="zh-CN"/>
        </w:rPr>
        <w:t>乡村振兴工作提供服务保障。保障和改善村镇居住环境，促进乡村生态文明发展，加强农村、场镇建设管理和环境卫生管理，提供技术、管理、咨询服务。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 w:cs="Times New Roman"/>
          <w:b w:val="0"/>
          <w:bCs w:val="0"/>
          <w:color w:val="000030"/>
          <w:sz w:val="32"/>
          <w:szCs w:val="32"/>
          <w:lang w:eastAsia="zh-CN"/>
        </w:rPr>
      </w:pPr>
      <w:r>
        <w:rPr>
          <w:rFonts w:hint="default" w:ascii="Times New Roman" w:hAnsi="Times New Roman" w:eastAsia="仿宋" w:cs="Times New Roman"/>
          <w:b w:val="0"/>
          <w:bCs w:val="0"/>
          <w:color w:val="auto"/>
          <w:sz w:val="32"/>
          <w:szCs w:val="32"/>
          <w:highlight w:val="none"/>
          <w:lang w:val="en-US" w:eastAsia="zh-CN"/>
        </w:rPr>
        <w:t>我</w:t>
      </w:r>
      <w:r>
        <w:rPr>
          <w:rFonts w:hint="default" w:ascii="Times New Roman" w:hAnsi="Times New Roman" w:eastAsia="仿宋" w:cs="Times New Roman"/>
          <w:b w:val="0"/>
          <w:bCs w:val="0"/>
          <w:color w:val="auto"/>
          <w:sz w:val="32"/>
          <w:szCs w:val="32"/>
          <w:highlight w:val="none"/>
        </w:rPr>
        <w:t>单位</w:t>
      </w:r>
      <w:r>
        <w:rPr>
          <w:rFonts w:hint="default" w:ascii="Times New Roman" w:hAnsi="Times New Roman" w:eastAsia="仿宋" w:cs="Times New Roman"/>
          <w:b w:val="0"/>
          <w:bCs w:val="0"/>
          <w:color w:val="auto"/>
          <w:sz w:val="32"/>
          <w:szCs w:val="32"/>
          <w:highlight w:val="none"/>
          <w:lang w:val="en-US" w:eastAsia="zh-CN"/>
        </w:rPr>
        <w:t>为重庆市铜梁区虎峰镇人民政府</w:t>
      </w:r>
      <w:r>
        <w:rPr>
          <w:rFonts w:hint="default" w:ascii="Times New Roman" w:hAnsi="Times New Roman" w:eastAsia="仿宋" w:cs="Times New Roman"/>
          <w:b w:val="0"/>
          <w:bCs w:val="0"/>
          <w:color w:val="auto"/>
          <w:sz w:val="32"/>
          <w:szCs w:val="32"/>
          <w:highlight w:val="none"/>
        </w:rPr>
        <w:t>下</w:t>
      </w:r>
      <w:r>
        <w:rPr>
          <w:rFonts w:hint="default" w:ascii="Times New Roman" w:hAnsi="Times New Roman" w:eastAsia="仿宋" w:cs="Times New Roman"/>
          <w:b w:val="0"/>
          <w:bCs w:val="0"/>
          <w:color w:val="auto"/>
          <w:sz w:val="32"/>
          <w:szCs w:val="32"/>
          <w:highlight w:val="none"/>
          <w:lang w:eastAsia="zh-CN"/>
        </w:rPr>
        <w:t>属事业</w:t>
      </w:r>
      <w:r>
        <w:rPr>
          <w:rFonts w:hint="default" w:ascii="Times New Roman" w:hAnsi="Times New Roman" w:eastAsia="仿宋" w:cs="Times New Roman"/>
          <w:b w:val="0"/>
          <w:bCs w:val="0"/>
          <w:color w:val="000030"/>
          <w:sz w:val="32"/>
          <w:szCs w:val="32"/>
        </w:rPr>
        <w:t>单位</w:t>
      </w:r>
      <w:r>
        <w:rPr>
          <w:rFonts w:hint="default" w:ascii="Times New Roman" w:hAnsi="Times New Roman" w:eastAsia="仿宋" w:cs="Times New Roman"/>
          <w:b w:val="0"/>
          <w:bCs w:val="0"/>
          <w:color w:val="000030"/>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度收入总计91.61万元，支出总计</w:t>
      </w:r>
      <w:r>
        <w:rPr>
          <w:rFonts w:hint="default" w:ascii="Times New Roman" w:hAnsi="Times New Roman" w:eastAsia="方正仿宋_GBK" w:cs="Times New Roman"/>
          <w:b w:val="0"/>
          <w:bCs w:val="0"/>
          <w:sz w:val="32"/>
          <w:szCs w:val="32"/>
        </w:rPr>
        <w:t>91.61</w:t>
      </w:r>
      <w:r>
        <w:rPr>
          <w:rFonts w:hint="default" w:ascii="Times New Roman" w:hAnsi="Times New Roman" w:eastAsia="方正仿宋_GBK" w:cs="Times New Roman"/>
          <w:b w:val="0"/>
          <w:bCs w:val="0"/>
          <w:sz w:val="32"/>
          <w:szCs w:val="32"/>
          <w:shd w:val="clear" w:color="auto" w:fill="FFFFFF"/>
        </w:rPr>
        <w:t>万元。收、支与2023年度相比，增加91.61万元，增长100.0%，主要原因是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2024年根据财政管理要求，虎峰镇人民政府将事业单位划分为7个账套单独核算，上年度本单位未单独核算，收入支出均0，故本年度增长100%。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度收入合计91.61万元，与2023年度相比，增加91.61万元，增长100.0%，主要原因是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91.61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91.61</w:t>
      </w:r>
      <w:r>
        <w:rPr>
          <w:rFonts w:hint="default" w:ascii="Times New Roman" w:hAnsi="Times New Roman" w:eastAsia="方正仿宋_GBK" w:cs="Times New Roman"/>
          <w:b w:val="0"/>
          <w:bCs w:val="0"/>
          <w:sz w:val="32"/>
          <w:szCs w:val="32"/>
          <w:shd w:val="clear" w:color="auto" w:fill="FFFFFF"/>
        </w:rPr>
        <w:t>万元，与2023年度相比，增加91.61万元，增长100.0%，主要原因是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85.61</w:t>
      </w:r>
      <w:r>
        <w:rPr>
          <w:rFonts w:hint="default" w:ascii="Times New Roman" w:hAnsi="Times New Roman" w:eastAsia="方正仿宋_GBK" w:cs="Times New Roman"/>
          <w:b w:val="0"/>
          <w:bCs w:val="0"/>
          <w:sz w:val="32"/>
          <w:szCs w:val="32"/>
          <w:shd w:val="clear" w:color="auto" w:fill="FFFFFF"/>
        </w:rPr>
        <w:t>万元，占93.45%；项目支出</w:t>
      </w:r>
      <w:r>
        <w:rPr>
          <w:rFonts w:hint="default" w:ascii="Times New Roman" w:hAnsi="Times New Roman" w:eastAsia="方正仿宋_GBK" w:cs="Times New Roman"/>
          <w:b w:val="0"/>
          <w:bCs w:val="0"/>
          <w:sz w:val="32"/>
          <w:szCs w:val="32"/>
        </w:rPr>
        <w:t>6.00</w:t>
      </w:r>
      <w:r>
        <w:rPr>
          <w:rFonts w:hint="default" w:ascii="Times New Roman" w:hAnsi="Times New Roman" w:eastAsia="方正仿宋_GBK" w:cs="Times New Roman"/>
          <w:b w:val="0"/>
          <w:bCs w:val="0"/>
          <w:sz w:val="32"/>
          <w:szCs w:val="32"/>
          <w:shd w:val="clear" w:color="auto" w:fill="FFFFFF"/>
        </w:rPr>
        <w:t>万元，占6.55%；经营支出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度财政拨款收、支总计91.61万元。与202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年相比，财政拨款收、支总计各增加91.61万元，增长100.0%。主要原因是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2024年根据财政管理要求，虎峰镇人民政府将事业单位划分为7个账套单独核算，上年度本单位未单独核算，收入支出为0，故本年度增长100%。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91.61</w:t>
      </w:r>
      <w:r>
        <w:rPr>
          <w:rFonts w:hint="default" w:ascii="Times New Roman" w:hAnsi="Times New Roman" w:eastAsia="方正仿宋_GBK" w:cs="Times New Roman"/>
          <w:b w:val="0"/>
          <w:bCs w:val="0"/>
          <w:sz w:val="32"/>
          <w:szCs w:val="32"/>
          <w:shd w:val="clear" w:color="auto" w:fill="FFFFFF"/>
        </w:rPr>
        <w:t>万元，与2023年度相比，增加91.61万元，增长100.0%。主要原因是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较年初预算数减少6.81万元，下降6.9%。主要原因是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91.61</w:t>
      </w:r>
      <w:r>
        <w:rPr>
          <w:rFonts w:hint="default" w:ascii="Times New Roman" w:hAnsi="Times New Roman" w:eastAsia="方正仿宋_GBK" w:cs="Times New Roman"/>
          <w:b w:val="0"/>
          <w:bCs w:val="0"/>
          <w:sz w:val="32"/>
          <w:szCs w:val="32"/>
          <w:shd w:val="clear" w:color="auto" w:fill="FFFFFF"/>
        </w:rPr>
        <w:t>万元，与2023年度相比，增加91.61万元，增长100.0%。主要原因是</w:t>
      </w:r>
      <w:r>
        <w:rPr>
          <w:rFonts w:hint="eastAsia" w:ascii="方正仿宋_GBK" w:hAnsi="方正仿宋_GBK" w:eastAsia="方正仿宋_GBK" w:cs="方正仿宋_GBK"/>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较年初预算数减少6.81万元，下降6.9%。主要原因是</w:t>
      </w:r>
      <w:r>
        <w:rPr>
          <w:rFonts w:hint="eastAsia" w:ascii="方正仿宋_GBK" w:hAnsi="方正仿宋_GBK" w:eastAsia="方正仿宋_GBK" w:cs="方正仿宋_GBK"/>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9.34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10.19</w:t>
      </w:r>
      <w:r>
        <w:rPr>
          <w:rFonts w:hint="default" w:ascii="Times New Roman" w:hAnsi="Times New Roman" w:eastAsia="方正仿宋_GBK" w:cs="Times New Roman"/>
          <w:b w:val="0"/>
          <w:bCs w:val="0"/>
          <w:sz w:val="32"/>
          <w:szCs w:val="32"/>
          <w:shd w:val="clear" w:color="auto" w:fill="FFFFFF"/>
        </w:rPr>
        <w:t>%，较年初预算数减少0.69万元，下降6.9%，主要原因是</w:t>
      </w:r>
      <w:r>
        <w:rPr>
          <w:rFonts w:hint="eastAsia" w:ascii="Times New Roman" w:hAnsi="Times New Roman" w:eastAsia="方正仿宋_GBK" w:cs="Times New Roman"/>
          <w:b w:val="0"/>
          <w:bCs w:val="0"/>
          <w:sz w:val="32"/>
          <w:szCs w:val="32"/>
          <w:shd w:val="clear" w:color="auto" w:fill="FFFFFF"/>
          <w:lang w:eastAsia="zh-CN"/>
        </w:rPr>
        <w:t>新退休人员，减少人员保险缴费等支出。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2.89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3.15</w:t>
      </w:r>
      <w:r>
        <w:rPr>
          <w:rFonts w:hint="default" w:ascii="Times New Roman" w:hAnsi="Times New Roman" w:eastAsia="方正仿宋_GBK" w:cs="Times New Roman"/>
          <w:b w:val="0"/>
          <w:bCs w:val="0"/>
          <w:sz w:val="32"/>
          <w:szCs w:val="32"/>
          <w:shd w:val="clear" w:color="auto" w:fill="FFFFFF"/>
        </w:rPr>
        <w:t>%，较年初预算数减少1.04万元，下降26.5%，主要原因是</w:t>
      </w:r>
      <w:r>
        <w:rPr>
          <w:rFonts w:hint="eastAsia" w:ascii="方正仿宋_GBK" w:hAnsi="方正仿宋_GBK" w:eastAsia="方正仿宋_GBK" w:cs="方正仿宋_GBK"/>
          <w:sz w:val="32"/>
          <w:szCs w:val="32"/>
          <w:shd w:val="clear" w:color="auto" w:fill="FFFFFF"/>
          <w:lang w:eastAsia="zh-CN"/>
        </w:rPr>
        <w:t>公务员医疗补助缴费项目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）节能环保支出</w:t>
      </w:r>
      <w:r>
        <w:rPr>
          <w:rFonts w:hint="default" w:ascii="Times New Roman" w:hAnsi="Times New Roman" w:eastAsia="方正仿宋_GBK" w:cs="Times New Roman"/>
          <w:b w:val="0"/>
          <w:bCs w:val="0"/>
          <w:sz w:val="32"/>
          <w:szCs w:val="32"/>
        </w:rPr>
        <w:t>76.58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83.59</w:t>
      </w:r>
      <w:r>
        <w:rPr>
          <w:rFonts w:hint="default" w:ascii="Times New Roman" w:hAnsi="Times New Roman" w:eastAsia="方正仿宋_GBK" w:cs="Times New Roman"/>
          <w:b w:val="0"/>
          <w:bCs w:val="0"/>
          <w:sz w:val="32"/>
          <w:szCs w:val="32"/>
          <w:shd w:val="clear" w:color="auto" w:fill="FFFFFF"/>
        </w:rPr>
        <w:t>%，较年初预算数减少4.45万元，下降5.5%，主要原因是</w:t>
      </w:r>
      <w:r>
        <w:rPr>
          <w:rFonts w:hint="eastAsia" w:ascii="Times New Roman" w:hAnsi="Times New Roman" w:eastAsia="方正仿宋_GBK" w:cs="Times New Roman"/>
          <w:b w:val="0"/>
          <w:bCs w:val="0"/>
          <w:sz w:val="32"/>
          <w:szCs w:val="32"/>
          <w:shd w:val="clear" w:color="auto" w:fill="FFFFFF"/>
          <w:lang w:eastAsia="zh-CN"/>
        </w:rPr>
        <w:t>压减了部分开支。</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    </w:t>
      </w:r>
    </w:p>
    <w:p>
      <w:pPr>
        <w:keepNext w:val="0"/>
        <w:keepLines w:val="0"/>
        <w:pageBreakBefore w:val="0"/>
        <w:widowControl/>
        <w:numPr>
          <w:numId w:val="0"/>
        </w:numPr>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b w:val="0"/>
          <w:bCs w:val="0"/>
          <w:sz w:val="32"/>
          <w:szCs w:val="32"/>
          <w:shd w:val="clear" w:color="auto" w:fill="FFFFFF"/>
          <w:lang w:eastAsia="zh-CN"/>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住房保障支出2.81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3.07</w:t>
      </w:r>
      <w:r>
        <w:rPr>
          <w:rFonts w:hint="default" w:ascii="Times New Roman" w:hAnsi="Times New Roman" w:eastAsia="方正仿宋_GBK" w:cs="Times New Roman"/>
          <w:b w:val="0"/>
          <w:bCs w:val="0"/>
          <w:sz w:val="32"/>
          <w:szCs w:val="32"/>
          <w:shd w:val="clear" w:color="auto" w:fill="FFFFFF"/>
        </w:rPr>
        <w:t>%，较年初预算数减少0.62万元，下降18.1%，主要原因是</w:t>
      </w:r>
      <w:r>
        <w:rPr>
          <w:rFonts w:hint="eastAsia" w:ascii="Times New Roman" w:hAnsi="Times New Roman" w:eastAsia="方正仿宋_GBK" w:cs="Times New Roman"/>
          <w:b w:val="0"/>
          <w:bCs w:val="0"/>
          <w:sz w:val="32"/>
          <w:szCs w:val="32"/>
          <w:shd w:val="clear" w:color="auto" w:fill="FFFFFF"/>
          <w:lang w:eastAsia="zh-CN"/>
        </w:rPr>
        <w:t>新增退休人员，少缴纳部分住房公积金。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85.61</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70.72</w:t>
      </w:r>
      <w:r>
        <w:rPr>
          <w:rFonts w:hint="default" w:ascii="Times New Roman" w:hAnsi="Times New Roman" w:eastAsia="方正仿宋_GBK" w:cs="Times New Roman"/>
          <w:b w:val="0"/>
          <w:bCs w:val="0"/>
          <w:sz w:val="32"/>
          <w:szCs w:val="32"/>
          <w:shd w:val="clear" w:color="auto" w:fill="FFFFFF"/>
        </w:rPr>
        <w:t>万元，与2023年度相比，增加70.72万元，增长100.0%，主要原因是</w:t>
      </w:r>
      <w:r>
        <w:rPr>
          <w:rFonts w:hint="eastAsia" w:ascii="方正仿宋_GBK" w:hAnsi="方正仿宋_GBK" w:eastAsia="方正仿宋_GBK" w:cs="方正仿宋_GBK"/>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单位给在职人员的各类劳动报酬，以及为其缴纳的各项社会保险费等，退休等相关经费</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14.89</w:t>
      </w:r>
      <w:r>
        <w:rPr>
          <w:rFonts w:hint="default" w:ascii="Times New Roman" w:hAnsi="Times New Roman" w:eastAsia="方正仿宋_GBK" w:cs="Times New Roman"/>
          <w:b w:val="0"/>
          <w:bCs w:val="0"/>
          <w:sz w:val="32"/>
          <w:szCs w:val="32"/>
          <w:shd w:val="clear" w:color="auto" w:fill="FFFFFF"/>
        </w:rPr>
        <w:t>万元，与2023年度相比，增加14.89万元，增长100.0%，主要原因是</w:t>
      </w:r>
      <w:r>
        <w:rPr>
          <w:rFonts w:hint="default" w:ascii="Times New Roman" w:hAnsi="Times New Roman" w:eastAsia="方正仿宋_GBK" w:cs="Times New Roman"/>
          <w:b w:val="0"/>
          <w:bCs w:val="0"/>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办公费、水电费、维修维护费等</w:t>
      </w:r>
      <w:r>
        <w:rPr>
          <w:rFonts w:hint="eastAsia" w:ascii="方正仿宋_GBK" w:hAnsi="方正仿宋_GBK" w:eastAsia="方正仿宋_GBK" w:cs="方正仿宋_GBK"/>
          <w:sz w:val="32"/>
          <w:szCs w:val="32"/>
          <w:shd w:val="clear" w:color="auto" w:fill="FFFFFF"/>
        </w:rPr>
        <w:t>保障机关运行</w:t>
      </w:r>
      <w:r>
        <w:rPr>
          <w:rFonts w:hint="eastAsia" w:ascii="方正仿宋_GBK" w:hAnsi="方正仿宋_GBK" w:eastAsia="方正仿宋_GBK" w:cs="方正仿宋_GBK"/>
          <w:sz w:val="32"/>
          <w:szCs w:val="32"/>
          <w:shd w:val="clear" w:color="auto" w:fill="FFFFFF"/>
          <w:lang w:eastAsia="zh-CN"/>
        </w:rPr>
        <w:t>的</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相关支出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auto"/>
          <w:lang w:eastAsia="zh-CN"/>
        </w:rPr>
      </w:pPr>
      <w:r>
        <w:rPr>
          <w:rStyle w:val="8"/>
          <w:rFonts w:ascii="方正仿宋_GBK" w:hAnsi="方正仿宋_GBK" w:eastAsia="方正仿宋_GBK" w:cs="方正仿宋_GBK"/>
          <w:b w:val="0"/>
          <w:bCs/>
          <w:sz w:val="32"/>
          <w:szCs w:val="32"/>
          <w:shd w:val="clear" w:color="auto" w:fill="auto"/>
        </w:rPr>
        <w:t>我单位属于</w:t>
      </w:r>
      <w:r>
        <w:rPr>
          <w:rStyle w:val="8"/>
          <w:rFonts w:hint="eastAsia" w:ascii="方正仿宋_GBK" w:hAnsi="方正仿宋_GBK" w:eastAsia="方正仿宋_GBK" w:cs="方正仿宋_GBK"/>
          <w:b w:val="0"/>
          <w:bCs/>
          <w:sz w:val="32"/>
          <w:szCs w:val="32"/>
          <w:shd w:val="clear" w:color="auto" w:fill="auto"/>
          <w:lang w:eastAsia="zh-CN"/>
        </w:rPr>
        <w:t>虎峰镇人民政府下级预算单位，无“三公”经费支出。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0.07</w:t>
      </w:r>
      <w:r>
        <w:rPr>
          <w:rFonts w:hint="default" w:ascii="Times New Roman" w:hAnsi="Times New Roman" w:eastAsia="方正仿宋_GBK" w:cs="Times New Roman"/>
          <w:b w:val="0"/>
          <w:bCs w:val="0"/>
          <w:sz w:val="32"/>
          <w:szCs w:val="32"/>
          <w:shd w:val="clear" w:color="auto" w:fill="FFFFFF"/>
        </w:rPr>
        <w:t>万元，与2023年度相比，增加0.07万元，增长100.0%，主要原因是</w:t>
      </w:r>
      <w:r>
        <w:rPr>
          <w:rFonts w:hint="eastAsia" w:ascii="Times New Roman" w:hAnsi="Times New Roman" w:eastAsia="方正仿宋_GBK" w:cs="Times New Roman"/>
          <w:b w:val="0"/>
          <w:bCs w:val="0"/>
          <w:sz w:val="32"/>
          <w:szCs w:val="32"/>
          <w:shd w:val="clear" w:color="auto" w:fill="FFFFFF"/>
          <w:lang w:eastAsia="zh-CN"/>
        </w:rPr>
        <w:t>本年专技人员参加技能培训支出增加</w:t>
      </w:r>
      <w:r>
        <w:rPr>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6.00</w:t>
      </w:r>
      <w:r>
        <w:rPr>
          <w:rFonts w:hint="default" w:ascii="Times New Roman" w:hAnsi="Times New Roman" w:eastAsia="方正仿宋_GBK" w:cs="Times New Roman"/>
          <w:b w:val="0"/>
          <w:bCs w:val="0"/>
          <w:kern w:val="0"/>
          <w:sz w:val="32"/>
          <w:szCs w:val="32"/>
          <w:shd w:val="clear" w:fill="FFFFFF"/>
        </w:rPr>
        <w:t>万元</w:t>
      </w:r>
      <w:r>
        <w:rPr>
          <w:rFonts w:hint="eastAsia" w:ascii="Times New Roman" w:hAnsi="Times New Roman" w:eastAsia="方正仿宋_GBK" w:cs="Times New Roman"/>
          <w:b w:val="0"/>
          <w:bCs w:val="0"/>
          <w:kern w:val="0"/>
          <w:sz w:val="32"/>
          <w:szCs w:val="32"/>
          <w:shd w:val="clear" w:fill="FFFFFF"/>
          <w:lang w:val="en-US" w:eastAsia="zh-CN"/>
        </w:rPr>
        <w:t>.</w:t>
      </w: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项目进行绩效自评，已完成年度绩效目标</w:t>
      </w:r>
      <w:r>
        <w:rPr>
          <w:rFonts w:hint="eastAsia" w:ascii="Times New Roman" w:hAnsi="Times New Roman" w:eastAsia="方正仿宋_GBK" w:cs="Times New Roman"/>
          <w:b w:val="0"/>
          <w:bCs w:val="0"/>
          <w:kern w:val="0"/>
          <w:sz w:val="32"/>
          <w:szCs w:val="32"/>
          <w:shd w:val="clear"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w:t>
      </w:r>
      <w:bookmarkStart w:id="0" w:name="_GoBack"/>
      <w:bookmarkEnd w:id="0"/>
      <w:r>
        <w:rPr>
          <w:rStyle w:val="8"/>
          <w:rFonts w:hint="default" w:ascii="Times New Roman" w:hAnsi="Times New Roman" w:eastAsia="楷体" w:cs="Times New Roman"/>
          <w:b w:val="0"/>
          <w:bCs w:val="0"/>
          <w:sz w:val="32"/>
          <w:szCs w:val="32"/>
          <w:shd w:val="clear" w:color="auto" w:fill="FFFFFF"/>
          <w:lang w:val="en-US" w:eastAsia="zh-CN" w:bidi="ar-SA"/>
        </w:rPr>
        <w:t>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lang w:eastAsia="zh-CN"/>
        </w:rPr>
        <w:t>联系人：</w:t>
      </w:r>
      <w:r>
        <w:rPr>
          <w:rFonts w:hint="eastAsia" w:ascii="Times New Roman" w:hAnsi="Times New Roman" w:eastAsia="方正仿宋_GBK" w:cs="Times New Roman"/>
          <w:b w:val="0"/>
          <w:bCs w:val="0"/>
          <w:color w:val="auto"/>
          <w:kern w:val="0"/>
          <w:sz w:val="32"/>
          <w:szCs w:val="32"/>
          <w:shd w:val="clear" w:fill="FFFFFF"/>
          <w:lang w:val="en-US" w:eastAsia="zh-CN"/>
        </w:rPr>
        <w:t>吴云胜</w:t>
      </w:r>
      <w:r>
        <w:rPr>
          <w:rFonts w:hint="default" w:ascii="Times New Roman" w:hAnsi="Times New Roman" w:eastAsia="方正仿宋_GBK" w:cs="Times New Roman"/>
          <w:b w:val="0"/>
          <w:bCs w:val="0"/>
          <w:color w:val="auto"/>
          <w:kern w:val="0"/>
          <w:sz w:val="32"/>
          <w:szCs w:val="32"/>
          <w:shd w:val="clear" w:fill="FFFFFF"/>
          <w:lang w:val="en-US" w:eastAsia="zh-CN"/>
        </w:rPr>
        <w:t xml:space="preserve"> 联系方式：</w:t>
      </w:r>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重庆市铜梁区虎峰镇乡村生态治理中心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重庆市铜梁区虎峰镇乡村生态治理中心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重庆市铜梁区虎峰镇乡村生态治理中心</w:t>
      </w:r>
      <w:r>
        <w:rPr>
          <w:rStyle w:val="11"/>
          <w:rFonts w:hint="default" w:ascii="Times New Roman" w:hAnsi="Times New Roman" w:eastAsia="方正仿宋_GBK" w:cs="Times New Roman"/>
          <w:b w:val="0"/>
          <w:bCs w:val="0"/>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6B3226"/>
    <w:rsid w:val="08051BCA"/>
    <w:rsid w:val="08887FC5"/>
    <w:rsid w:val="08B84F60"/>
    <w:rsid w:val="08BA052C"/>
    <w:rsid w:val="08DB07BA"/>
    <w:rsid w:val="098305D0"/>
    <w:rsid w:val="09B72B6E"/>
    <w:rsid w:val="0A3851D8"/>
    <w:rsid w:val="0A5C4B69"/>
    <w:rsid w:val="0AB91D87"/>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0128C8"/>
    <w:rsid w:val="12C921C4"/>
    <w:rsid w:val="13850DCB"/>
    <w:rsid w:val="13871C70"/>
    <w:rsid w:val="13A71CB4"/>
    <w:rsid w:val="13AF1D43"/>
    <w:rsid w:val="13C643C6"/>
    <w:rsid w:val="13CE1647"/>
    <w:rsid w:val="13FD4410"/>
    <w:rsid w:val="141A11EA"/>
    <w:rsid w:val="14200702"/>
    <w:rsid w:val="148E377E"/>
    <w:rsid w:val="1580711B"/>
    <w:rsid w:val="166E2C6E"/>
    <w:rsid w:val="189B0D0B"/>
    <w:rsid w:val="194A1770"/>
    <w:rsid w:val="19917D9C"/>
    <w:rsid w:val="19B906A4"/>
    <w:rsid w:val="1A1F744B"/>
    <w:rsid w:val="1A4854EC"/>
    <w:rsid w:val="1B516D3B"/>
    <w:rsid w:val="1B6F15B6"/>
    <w:rsid w:val="1BAA2EDC"/>
    <w:rsid w:val="1CE157EE"/>
    <w:rsid w:val="1D014A01"/>
    <w:rsid w:val="1D022362"/>
    <w:rsid w:val="1DD26311"/>
    <w:rsid w:val="1EF67CA4"/>
    <w:rsid w:val="1FCD26AF"/>
    <w:rsid w:val="20642787"/>
    <w:rsid w:val="209122D7"/>
    <w:rsid w:val="21556F04"/>
    <w:rsid w:val="22403BD3"/>
    <w:rsid w:val="24932670"/>
    <w:rsid w:val="24B92327"/>
    <w:rsid w:val="2533755C"/>
    <w:rsid w:val="26396DF4"/>
    <w:rsid w:val="26E80C21"/>
    <w:rsid w:val="26EA6F49"/>
    <w:rsid w:val="270642A6"/>
    <w:rsid w:val="27167136"/>
    <w:rsid w:val="271E423C"/>
    <w:rsid w:val="27B23302"/>
    <w:rsid w:val="29310A5F"/>
    <w:rsid w:val="29C37A35"/>
    <w:rsid w:val="29C95E09"/>
    <w:rsid w:val="2A076083"/>
    <w:rsid w:val="2A73162E"/>
    <w:rsid w:val="2B167953"/>
    <w:rsid w:val="2B200583"/>
    <w:rsid w:val="2B8209DE"/>
    <w:rsid w:val="2C161D32"/>
    <w:rsid w:val="2C2D3EC7"/>
    <w:rsid w:val="2C6762A3"/>
    <w:rsid w:val="2D8D2A49"/>
    <w:rsid w:val="2FE029D7"/>
    <w:rsid w:val="2FE204FD"/>
    <w:rsid w:val="2FF06E00"/>
    <w:rsid w:val="315D199F"/>
    <w:rsid w:val="315F0B22"/>
    <w:rsid w:val="31D84415"/>
    <w:rsid w:val="32285F6F"/>
    <w:rsid w:val="32770556"/>
    <w:rsid w:val="329C0913"/>
    <w:rsid w:val="3337290D"/>
    <w:rsid w:val="352930DB"/>
    <w:rsid w:val="35573069"/>
    <w:rsid w:val="358C217E"/>
    <w:rsid w:val="359F188C"/>
    <w:rsid w:val="35DD71C7"/>
    <w:rsid w:val="362D2433"/>
    <w:rsid w:val="36C9128A"/>
    <w:rsid w:val="37841E99"/>
    <w:rsid w:val="37BF1123"/>
    <w:rsid w:val="37F26E25"/>
    <w:rsid w:val="38BE4696"/>
    <w:rsid w:val="39166507"/>
    <w:rsid w:val="39512495"/>
    <w:rsid w:val="39B82A39"/>
    <w:rsid w:val="39F33306"/>
    <w:rsid w:val="3B1705E5"/>
    <w:rsid w:val="3B18334B"/>
    <w:rsid w:val="3B36794F"/>
    <w:rsid w:val="3B544954"/>
    <w:rsid w:val="3BBF6D9E"/>
    <w:rsid w:val="3BF014AD"/>
    <w:rsid w:val="3C6A5B02"/>
    <w:rsid w:val="3CDA30C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ED0DF4"/>
    <w:rsid w:val="46FC41C7"/>
    <w:rsid w:val="47674801"/>
    <w:rsid w:val="48225EF7"/>
    <w:rsid w:val="495C4A24"/>
    <w:rsid w:val="4AD70EE7"/>
    <w:rsid w:val="4B7951CB"/>
    <w:rsid w:val="4B7C315C"/>
    <w:rsid w:val="4BAB7F90"/>
    <w:rsid w:val="4DAC4ACA"/>
    <w:rsid w:val="4F186D58"/>
    <w:rsid w:val="503F1612"/>
    <w:rsid w:val="50EC262C"/>
    <w:rsid w:val="522F6E0C"/>
    <w:rsid w:val="52463BA1"/>
    <w:rsid w:val="53C0244D"/>
    <w:rsid w:val="53DD4D4E"/>
    <w:rsid w:val="53E578CE"/>
    <w:rsid w:val="543B029D"/>
    <w:rsid w:val="545D0246"/>
    <w:rsid w:val="554E5773"/>
    <w:rsid w:val="555A3CBC"/>
    <w:rsid w:val="56530F5D"/>
    <w:rsid w:val="5842572D"/>
    <w:rsid w:val="59777B12"/>
    <w:rsid w:val="5AE75037"/>
    <w:rsid w:val="5B58571C"/>
    <w:rsid w:val="5B8376C2"/>
    <w:rsid w:val="5B96133A"/>
    <w:rsid w:val="5C1336B7"/>
    <w:rsid w:val="5C263CE4"/>
    <w:rsid w:val="5C5D2777"/>
    <w:rsid w:val="5D290C69"/>
    <w:rsid w:val="5D537F41"/>
    <w:rsid w:val="5E9D755E"/>
    <w:rsid w:val="5EFA176D"/>
    <w:rsid w:val="5F0247F9"/>
    <w:rsid w:val="5F2D4A41"/>
    <w:rsid w:val="601C34ED"/>
    <w:rsid w:val="60A958A9"/>
    <w:rsid w:val="60D22ADB"/>
    <w:rsid w:val="61025A59"/>
    <w:rsid w:val="613D5BBC"/>
    <w:rsid w:val="614B7B86"/>
    <w:rsid w:val="61536C39"/>
    <w:rsid w:val="624E2FF1"/>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2A0976"/>
    <w:rsid w:val="71C34D91"/>
    <w:rsid w:val="71ED38AA"/>
    <w:rsid w:val="720229AA"/>
    <w:rsid w:val="72DB435C"/>
    <w:rsid w:val="750837F0"/>
    <w:rsid w:val="752C11C4"/>
    <w:rsid w:val="764F62AB"/>
    <w:rsid w:val="765C45EC"/>
    <w:rsid w:val="768A7619"/>
    <w:rsid w:val="769C7099"/>
    <w:rsid w:val="76A1458D"/>
    <w:rsid w:val="76E14979"/>
    <w:rsid w:val="77EA362A"/>
    <w:rsid w:val="7875383E"/>
    <w:rsid w:val="796D60A4"/>
    <w:rsid w:val="79A031D5"/>
    <w:rsid w:val="7A1525F7"/>
    <w:rsid w:val="7A3E6CB6"/>
    <w:rsid w:val="7A680D2D"/>
    <w:rsid w:val="7B260559"/>
    <w:rsid w:val="7B420052"/>
    <w:rsid w:val="7BD06A28"/>
    <w:rsid w:val="7C077071"/>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2025-10-17T01:02:53Z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9EDAFD8FD9424A54844071572B3E9A06_13</vt:lpwstr>
  </property>
</Properties>
</file>