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重庆市铜梁区虎峰镇乡村产业培育中心</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jc w:val="center"/>
        <w:textAlignment w:val="auto"/>
        <w:rPr>
          <w:rFonts w:hint="default" w:ascii="Times New Roman" w:hAnsi="Times New Roman" w:eastAsia="方正小标宋_GBK" w:cs="Times New Roman"/>
          <w:b w:val="0"/>
          <w:bCs w:val="0"/>
          <w:sz w:val="44"/>
          <w:szCs w:val="44"/>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（一）职能职责</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00" w:firstLineChars="200"/>
        <w:jc w:val="both"/>
        <w:textAlignment w:val="auto"/>
        <w:rPr>
          <w:rFonts w:hint="default" w:ascii="Times New Roman" w:hAnsi="Times New Roman" w:eastAsia="方正仿宋_GBK" w:cs="Times New Roman"/>
          <w:b w:val="0"/>
          <w:bCs w:val="0"/>
          <w:sz w:val="32"/>
          <w:szCs w:val="32"/>
        </w:rPr>
      </w:pPr>
      <w:r>
        <w:rPr>
          <w:rFonts w:hint="eastAsia" w:ascii="仿宋" w:hAnsi="仿宋" w:eastAsia="仿宋" w:cs="Times New Roman"/>
          <w:color w:val="000000"/>
          <w:kern w:val="2"/>
          <w:sz w:val="30"/>
          <w:szCs w:val="30"/>
          <w:highlight w:val="none"/>
          <w:lang w:val="en-US" w:eastAsia="zh-CN"/>
        </w:rPr>
        <w:t>我单位主要为乡村产业发展提供服务保障。承担产业规划、引进培育等工作，提振乡村经济发展，承担各类招商项目洽谈、推介活动等投资促进具体工作，承担扶贫开发等事务性工作。</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420"/>
        <w:textAlignment w:val="auto"/>
        <w:rPr>
          <w:rFonts w:hint="default" w:ascii="Times New Roman" w:hAnsi="Times New Roman" w:eastAsia="楷体"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00" w:firstLineChars="200"/>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仿宋" w:cs="Times New Roman"/>
          <w:b w:val="0"/>
          <w:bCs w:val="0"/>
          <w:color w:val="auto"/>
          <w:sz w:val="30"/>
          <w:szCs w:val="30"/>
          <w:highlight w:val="none"/>
          <w:lang w:val="en-US" w:eastAsia="zh-CN"/>
        </w:rPr>
        <w:t>我</w:t>
      </w:r>
      <w:r>
        <w:rPr>
          <w:rFonts w:hint="default" w:ascii="Times New Roman" w:hAnsi="Times New Roman" w:eastAsia="仿宋" w:cs="Times New Roman"/>
          <w:b w:val="0"/>
          <w:bCs w:val="0"/>
          <w:color w:val="auto"/>
          <w:sz w:val="30"/>
          <w:szCs w:val="30"/>
          <w:highlight w:val="none"/>
        </w:rPr>
        <w:t>单位</w:t>
      </w:r>
      <w:r>
        <w:rPr>
          <w:rFonts w:hint="default" w:ascii="Times New Roman" w:hAnsi="Times New Roman" w:eastAsia="仿宋" w:cs="Times New Roman"/>
          <w:b w:val="0"/>
          <w:bCs w:val="0"/>
          <w:color w:val="auto"/>
          <w:sz w:val="30"/>
          <w:szCs w:val="30"/>
          <w:highlight w:val="none"/>
          <w:lang w:val="en-US" w:eastAsia="zh-CN"/>
        </w:rPr>
        <w:t>为重庆市铜梁区虎峰镇人民政府</w:t>
      </w:r>
      <w:r>
        <w:rPr>
          <w:rFonts w:hint="default" w:ascii="Times New Roman" w:hAnsi="Times New Roman" w:eastAsia="仿宋" w:cs="Times New Roman"/>
          <w:b w:val="0"/>
          <w:bCs w:val="0"/>
          <w:color w:val="auto"/>
          <w:sz w:val="30"/>
          <w:szCs w:val="30"/>
          <w:highlight w:val="none"/>
        </w:rPr>
        <w:t>下</w:t>
      </w:r>
      <w:r>
        <w:rPr>
          <w:rFonts w:hint="default" w:ascii="Times New Roman" w:hAnsi="Times New Roman" w:eastAsia="仿宋" w:cs="Times New Roman"/>
          <w:b w:val="0"/>
          <w:bCs w:val="0"/>
          <w:color w:val="auto"/>
          <w:sz w:val="30"/>
          <w:szCs w:val="30"/>
          <w:highlight w:val="none"/>
          <w:lang w:eastAsia="zh-CN"/>
        </w:rPr>
        <w:t>属事业</w:t>
      </w:r>
      <w:r>
        <w:rPr>
          <w:rFonts w:hint="default" w:ascii="Times New Roman" w:hAnsi="Times New Roman" w:eastAsia="仿宋" w:cs="Times New Roman"/>
          <w:b w:val="0"/>
          <w:bCs w:val="0"/>
          <w:color w:val="000030"/>
          <w:sz w:val="30"/>
          <w:szCs w:val="30"/>
        </w:rPr>
        <w:t>单位</w:t>
      </w:r>
      <w:r>
        <w:rPr>
          <w:rFonts w:hint="default" w:ascii="Times New Roman" w:hAnsi="Times New Roman" w:eastAsia="仿宋" w:cs="Times New Roman"/>
          <w:b w:val="0"/>
          <w:bCs w:val="0"/>
          <w:color w:val="000030"/>
          <w:sz w:val="30"/>
          <w:szCs w:val="30"/>
          <w:lang w:eastAsia="zh-CN"/>
        </w:rPr>
        <w:t>。</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黑体" w:cs="Times New Roman"/>
          <w:b w:val="0"/>
          <w:bCs w:val="0"/>
          <w:sz w:val="32"/>
          <w:szCs w:val="32"/>
          <w:shd w:val="clear" w:color="auto" w:fill="FFFFFF"/>
        </w:rPr>
        <w:t>二、</w:t>
      </w:r>
      <w:r>
        <w:rPr>
          <w:rStyle w:val="8"/>
          <w:rFonts w:hint="default" w:ascii="Times New Roman" w:hAnsi="Times New Roman" w:eastAsia="黑体" w:cs="Times New Roman"/>
          <w:b w:val="0"/>
          <w:bCs w:val="0"/>
          <w:sz w:val="32"/>
          <w:szCs w:val="32"/>
          <w:shd w:val="clear" w:color="auto" w:fill="FFFFFF"/>
          <w:lang w:eastAsia="zh-CN"/>
        </w:rPr>
        <w:t>单位</w:t>
      </w:r>
      <w:r>
        <w:rPr>
          <w:rStyle w:val="8"/>
          <w:rFonts w:hint="default" w:ascii="Times New Roman" w:hAnsi="Times New Roman" w:eastAsia="黑体" w:cs="Times New Roman"/>
          <w:b w:val="0"/>
          <w:bCs w:val="0"/>
          <w:sz w:val="32"/>
          <w:szCs w:val="32"/>
          <w:shd w:val="clear" w:color="auto" w:fill="FFFFFF"/>
        </w:rPr>
        <w:t>决算</w:t>
      </w:r>
      <w:r>
        <w:rPr>
          <w:rStyle w:val="8"/>
          <w:rFonts w:hint="default" w:ascii="Times New Roman" w:hAnsi="Times New Roman" w:eastAsia="黑体" w:cs="Times New Roman"/>
          <w:b w:val="0"/>
          <w:bCs w:val="0"/>
          <w:sz w:val="32"/>
          <w:szCs w:val="32"/>
          <w:shd w:val="clear" w:color="auto" w:fill="FFFFFF"/>
          <w:lang w:eastAsia="zh-CN"/>
        </w:rPr>
        <w:t>收支</w:t>
      </w:r>
      <w:r>
        <w:rPr>
          <w:rStyle w:val="8"/>
          <w:rFonts w:hint="default" w:ascii="Times New Roman" w:hAnsi="Times New Roman" w:eastAsia="黑体" w:cs="Times New Roman"/>
          <w:b w:val="0"/>
          <w:bCs w:val="0"/>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60" w:lineRule="exact"/>
        <w:ind w:firstLine="640" w:firstLineChars="200"/>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1.总体情况。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度收入总计83.46万元，支出总计</w:t>
      </w:r>
      <w:r>
        <w:rPr>
          <w:rFonts w:hint="default" w:ascii="Times New Roman" w:hAnsi="Times New Roman" w:eastAsia="方正仿宋_GBK" w:cs="Times New Roman"/>
          <w:b w:val="0"/>
          <w:bCs w:val="0"/>
          <w:sz w:val="32"/>
          <w:szCs w:val="32"/>
        </w:rPr>
        <w:t>83.46</w:t>
      </w:r>
      <w:r>
        <w:rPr>
          <w:rFonts w:hint="default" w:ascii="Times New Roman" w:hAnsi="Times New Roman" w:eastAsia="方正仿宋_GBK" w:cs="Times New Roman"/>
          <w:b w:val="0"/>
          <w:bCs w:val="0"/>
          <w:sz w:val="32"/>
          <w:szCs w:val="32"/>
          <w:shd w:val="clear" w:color="auto" w:fill="FFFFFF"/>
        </w:rPr>
        <w:t>万元。收、支与2023年度相比，增加83.46万元，增长100.0%，主要原因是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2024年根据财政管理要求，虎峰镇人民政府将事业单位划分为7个账套单独核算，上年度本单位未单独核算，收入支出均0，故本年度增长100%。</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度收入合计83.46万元，与2023年度相比，增加83.46万元，增长100.0%，主要原因是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2024年根据财政管理要求，虎峰镇人民政府将事业单位划分为7个账套单独核算，上年度本单位未单独核算，收入为0，故本年度增长100%。</w:t>
      </w:r>
      <w:r>
        <w:rPr>
          <w:rFonts w:hint="default" w:ascii="Times New Roman" w:hAnsi="Times New Roman" w:eastAsia="方正仿宋_GBK" w:cs="Times New Roman"/>
          <w:b w:val="0"/>
          <w:bCs w:val="0"/>
          <w:sz w:val="32"/>
          <w:szCs w:val="32"/>
          <w:shd w:val="clear" w:color="auto" w:fill="FFFFFF"/>
        </w:rPr>
        <w:t>其中：财政拨款收入</w:t>
      </w:r>
      <w:r>
        <w:rPr>
          <w:rFonts w:hint="default" w:ascii="Times New Roman" w:hAnsi="Times New Roman" w:eastAsia="方正仿宋_GBK" w:cs="Times New Roman"/>
          <w:b w:val="0"/>
          <w:bCs w:val="0"/>
          <w:sz w:val="32"/>
          <w:szCs w:val="32"/>
        </w:rPr>
        <w:t>83.46</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100.00</w:t>
      </w:r>
      <w:r>
        <w:rPr>
          <w:rFonts w:hint="default" w:ascii="Times New Roman" w:hAnsi="Times New Roman" w:eastAsia="方正仿宋_GBK" w:cs="Times New Roman"/>
          <w:b w:val="0"/>
          <w:bCs w:val="0"/>
          <w:sz w:val="32"/>
          <w:szCs w:val="32"/>
          <w:shd w:val="clear" w:color="auto" w:fill="FFFFFF"/>
        </w:rPr>
        <w:t>%；事业收入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万元，占0.00%；经营收入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万元，占0.00%；其他收入</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万元，占0.00%。此外，使用非财政拨款结余和专用结余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万元，年初结转和结余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3.支出情况。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度支出合计</w:t>
      </w:r>
      <w:r>
        <w:rPr>
          <w:rFonts w:hint="default" w:ascii="Times New Roman" w:hAnsi="Times New Roman" w:eastAsia="方正仿宋_GBK" w:cs="Times New Roman"/>
          <w:b w:val="0"/>
          <w:bCs w:val="0"/>
          <w:sz w:val="32"/>
          <w:szCs w:val="32"/>
        </w:rPr>
        <w:t>83.46</w:t>
      </w:r>
      <w:r>
        <w:rPr>
          <w:rFonts w:hint="default" w:ascii="Times New Roman" w:hAnsi="Times New Roman" w:eastAsia="方正仿宋_GBK" w:cs="Times New Roman"/>
          <w:b w:val="0"/>
          <w:bCs w:val="0"/>
          <w:sz w:val="32"/>
          <w:szCs w:val="32"/>
          <w:shd w:val="clear" w:color="auto" w:fill="FFFFFF"/>
        </w:rPr>
        <w:t>万元，与2023年度相比，增加83.46万元，增长100.0%，主要原因是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其中：基本支出</w:t>
      </w:r>
      <w:r>
        <w:rPr>
          <w:rFonts w:hint="default" w:ascii="Times New Roman" w:hAnsi="Times New Roman" w:eastAsia="方正仿宋_GBK" w:cs="Times New Roman"/>
          <w:b w:val="0"/>
          <w:bCs w:val="0"/>
          <w:sz w:val="32"/>
          <w:szCs w:val="32"/>
        </w:rPr>
        <w:t>77.08</w:t>
      </w:r>
      <w:r>
        <w:rPr>
          <w:rFonts w:hint="default" w:ascii="Times New Roman" w:hAnsi="Times New Roman" w:eastAsia="方正仿宋_GBK" w:cs="Times New Roman"/>
          <w:b w:val="0"/>
          <w:bCs w:val="0"/>
          <w:sz w:val="32"/>
          <w:szCs w:val="32"/>
          <w:shd w:val="clear" w:color="auto" w:fill="FFFFFF"/>
        </w:rPr>
        <w:t>万元，占92.35%；项目支出</w:t>
      </w:r>
      <w:r>
        <w:rPr>
          <w:rFonts w:hint="default" w:ascii="Times New Roman" w:hAnsi="Times New Roman" w:eastAsia="方正仿宋_GBK" w:cs="Times New Roman"/>
          <w:b w:val="0"/>
          <w:bCs w:val="0"/>
          <w:sz w:val="32"/>
          <w:szCs w:val="32"/>
        </w:rPr>
        <w:t>6.38</w:t>
      </w:r>
      <w:r>
        <w:rPr>
          <w:rFonts w:hint="default" w:ascii="Times New Roman" w:hAnsi="Times New Roman" w:eastAsia="方正仿宋_GBK" w:cs="Times New Roman"/>
          <w:b w:val="0"/>
          <w:bCs w:val="0"/>
          <w:sz w:val="32"/>
          <w:szCs w:val="32"/>
          <w:shd w:val="clear" w:color="auto" w:fill="FFFFFF"/>
        </w:rPr>
        <w:t>万元，占7.65%；经营支出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万元，占0.00%。此外，结余分配</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lang w:val="en-US" w:eastAsia="zh-CN"/>
        </w:rPr>
      </w:pPr>
      <w:r>
        <w:rPr>
          <w:rStyle w:val="8"/>
          <w:rFonts w:hint="default" w:ascii="Times New Roman" w:hAnsi="Times New Roman" w:eastAsia="方正仿宋_GBK" w:cs="Times New Roman"/>
          <w:b w:val="0"/>
          <w:bCs w:val="0"/>
          <w:sz w:val="32"/>
          <w:szCs w:val="32"/>
          <w:shd w:val="clear" w:color="auto" w:fill="FFFFFF"/>
        </w:rPr>
        <w:t>4.结转结余情况。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eastAsia" w:ascii="Times New Roman" w:hAnsi="Times New Roman" w:eastAsia="方正仿宋_GBK" w:cs="Times New Roman"/>
          <w:b w:val="0"/>
          <w:bCs w:val="0"/>
          <w:sz w:val="32"/>
          <w:szCs w:val="32"/>
          <w:shd w:val="clear" w:color="auto" w:fill="FFFFFF"/>
          <w:lang w:val="en-US"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度财政拨款收、支总计83.46万元。与202</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年相比，财政拨款收、支总计各增加83.46万元，增长100.0%。主要原因是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2024年根据财政管理要求，虎峰镇人民政府将事业单位划分为7个账套单独核算，上年度本单位未单独核算，收入支出为0，故本年度增长100%。</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度一般公共预算财政拨款收入</w:t>
      </w:r>
      <w:r>
        <w:rPr>
          <w:rFonts w:hint="default" w:ascii="Times New Roman" w:hAnsi="Times New Roman" w:eastAsia="方正仿宋_GBK" w:cs="Times New Roman"/>
          <w:b w:val="0"/>
          <w:bCs w:val="0"/>
          <w:sz w:val="32"/>
          <w:szCs w:val="32"/>
        </w:rPr>
        <w:t>83.46</w:t>
      </w:r>
      <w:r>
        <w:rPr>
          <w:rFonts w:hint="default" w:ascii="Times New Roman" w:hAnsi="Times New Roman" w:eastAsia="方正仿宋_GBK" w:cs="Times New Roman"/>
          <w:b w:val="0"/>
          <w:bCs w:val="0"/>
          <w:sz w:val="32"/>
          <w:szCs w:val="32"/>
          <w:shd w:val="clear" w:color="auto" w:fill="FFFFFF"/>
        </w:rPr>
        <w:t>万元，与2023年度相比，增加83.46万元，增长100.0%。主要原因是</w:t>
      </w:r>
      <w:r>
        <w:rPr>
          <w:rFonts w:hint="default" w:ascii="Times New Roman" w:hAnsi="Times New Roman" w:eastAsia="方正仿宋_GBK" w:cs="Times New Roman"/>
          <w:b w:val="0"/>
          <w:bCs w:val="0"/>
          <w:sz w:val="32"/>
          <w:szCs w:val="32"/>
          <w:shd w:val="clear" w:color="auto" w:fill="FFFFFF"/>
        </w:rPr>
        <w:t>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2024年根据财政管理要求，虎峰镇人民政府将事业单位划分为7个账套单独核算，上年度本单位未单独核算，收入为0，故本年度增长100%</w:t>
      </w:r>
      <w:r>
        <w:rPr>
          <w:rFonts w:hint="eastAsia" w:ascii="Times New Roman" w:hAnsi="Times New Roman" w:eastAsia="方正仿宋_GBK" w:cs="Times New Roman"/>
          <w:b w:val="0"/>
          <w:bCs w:val="0"/>
          <w:sz w:val="32"/>
          <w:szCs w:val="32"/>
          <w:shd w:val="clear" w:color="auto" w:fill="FFFFFF"/>
          <w:lang w:val="en-US" w:eastAsia="zh-CN"/>
        </w:rPr>
        <w:t>。</w:t>
      </w:r>
      <w:r>
        <w:rPr>
          <w:rFonts w:hint="default" w:ascii="Times New Roman" w:hAnsi="Times New Roman" w:eastAsia="方正仿宋_GBK" w:cs="Times New Roman"/>
          <w:b w:val="0"/>
          <w:bCs w:val="0"/>
          <w:sz w:val="32"/>
          <w:szCs w:val="32"/>
          <w:shd w:val="clear" w:color="auto" w:fill="FFFFFF"/>
        </w:rPr>
        <w:t>较年初预算数减少20.56万元，下降19.8%。主要原因是</w:t>
      </w:r>
      <w:r>
        <w:rPr>
          <w:rFonts w:hint="default" w:ascii="Times New Roman" w:hAnsi="Times New Roman" w:eastAsia="方正仿宋_GBK" w:cs="Times New Roman"/>
          <w:b w:val="0"/>
          <w:bCs w:val="0"/>
          <w:sz w:val="32"/>
          <w:szCs w:val="32"/>
          <w:shd w:val="clear" w:color="auto" w:fill="FFFFFF"/>
        </w:rPr>
        <w:t>主要原因是</w:t>
      </w:r>
      <w:r>
        <w:rPr>
          <w:rFonts w:hint="default" w:ascii="Times New Roman" w:hAnsi="Times New Roman" w:eastAsia="方正仿宋_GBK" w:cs="Times New Roman"/>
          <w:b w:val="0"/>
          <w:bCs w:val="0"/>
          <w:color w:val="auto"/>
          <w:sz w:val="32"/>
          <w:szCs w:val="32"/>
          <w:shd w:val="clear" w:color="auto" w:fill="FFFFFF"/>
          <w:lang w:eastAsia="zh-CN"/>
        </w:rPr>
        <w:t>根据财力压减了部分开支。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w:t>
      </w:r>
      <w:r>
        <w:rPr>
          <w:rFonts w:hint="default" w:ascii="Times New Roman" w:hAnsi="Times New Roman" w:eastAsia="方正仿宋_GBK" w:cs="Times New Roman"/>
          <w:b w:val="0"/>
          <w:bCs w:val="0"/>
          <w:sz w:val="32"/>
          <w:szCs w:val="32"/>
        </w:rPr>
        <w:t>83.46</w:t>
      </w:r>
      <w:r>
        <w:rPr>
          <w:rFonts w:hint="default" w:ascii="Times New Roman" w:hAnsi="Times New Roman" w:eastAsia="方正仿宋_GBK" w:cs="Times New Roman"/>
          <w:b w:val="0"/>
          <w:bCs w:val="0"/>
          <w:sz w:val="32"/>
          <w:szCs w:val="32"/>
          <w:shd w:val="clear" w:color="auto" w:fill="FFFFFF"/>
        </w:rPr>
        <w:t>万元，与2023年度相比，增加83.46万元，增长100.0%。主要原因是</w:t>
      </w:r>
      <w:r>
        <w:rPr>
          <w:rFonts w:hint="default" w:ascii="Times New Roman" w:hAnsi="Times New Roman" w:eastAsia="方正仿宋_GBK" w:cs="Times New Roman"/>
          <w:b w:val="0"/>
          <w:bCs w:val="0"/>
          <w:sz w:val="32"/>
          <w:szCs w:val="32"/>
          <w:shd w:val="clear" w:color="auto" w:fill="FFFFFF"/>
        </w:rPr>
        <w:t>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较年初预算数减少20.56万元，下降19.8%。主要原因是</w:t>
      </w:r>
      <w:r>
        <w:rPr>
          <w:rFonts w:hint="default" w:ascii="Times New Roman" w:hAnsi="Times New Roman" w:eastAsia="方正仿宋_GBK" w:cs="Times New Roman"/>
          <w:b w:val="0"/>
          <w:bCs w:val="0"/>
          <w:color w:val="auto"/>
          <w:sz w:val="32"/>
          <w:szCs w:val="32"/>
          <w:shd w:val="clear" w:color="auto" w:fill="FFFFFF"/>
          <w:lang w:eastAsia="zh-CN"/>
        </w:rPr>
        <w:t>根据财力压减了部分开支。</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度年末一般公共预算财政拨款结转和结余</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w:t>
      </w:r>
      <w:r>
        <w:rPr>
          <w:rFonts w:hint="eastAsia"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4.比较情况。</w:t>
      </w:r>
      <w:r>
        <w:rPr>
          <w:rFonts w:hint="default" w:ascii="Times New Roman" w:hAnsi="Times New Roman" w:eastAsia="方正仿宋_GBK" w:cs="Times New Roman"/>
          <w:b w:val="0"/>
          <w:bCs w:val="0"/>
          <w:sz w:val="32"/>
          <w:szCs w:val="32"/>
          <w:shd w:val="clear" w:color="auto" w:fill="FFFFFF"/>
        </w:rPr>
        <w:t>本单位</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）社会保障与就业支出</w:t>
      </w:r>
      <w:r>
        <w:rPr>
          <w:rFonts w:hint="default" w:ascii="Times New Roman" w:hAnsi="Times New Roman" w:eastAsia="方正仿宋_GBK" w:cs="Times New Roman"/>
          <w:b w:val="0"/>
          <w:bCs w:val="0"/>
          <w:sz w:val="32"/>
          <w:szCs w:val="32"/>
        </w:rPr>
        <w:t>14.55</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17.43</w:t>
      </w:r>
      <w:r>
        <w:rPr>
          <w:rFonts w:hint="default" w:ascii="Times New Roman" w:hAnsi="Times New Roman" w:eastAsia="方正仿宋_GBK" w:cs="Times New Roman"/>
          <w:b w:val="0"/>
          <w:bCs w:val="0"/>
          <w:sz w:val="32"/>
          <w:szCs w:val="32"/>
          <w:shd w:val="clear" w:color="auto" w:fill="FFFFFF"/>
        </w:rPr>
        <w:t>%，较年初预算数增加6.30万元，增长76.4%，主要原因是</w:t>
      </w:r>
      <w:r>
        <w:rPr>
          <w:rFonts w:hint="eastAsia" w:ascii="Times New Roman" w:hAnsi="Times New Roman" w:eastAsia="方正仿宋_GBK" w:cs="Times New Roman"/>
          <w:b w:val="0"/>
          <w:bCs w:val="0"/>
          <w:sz w:val="32"/>
          <w:szCs w:val="32"/>
          <w:shd w:val="clear" w:color="auto" w:fill="FFFFFF"/>
          <w:lang w:eastAsia="zh-CN"/>
        </w:rPr>
        <w:t>调整了部分人员经费支出</w:t>
      </w:r>
      <w:bookmarkStart w:id="0" w:name="_GoBack"/>
      <w:bookmarkEnd w:id="0"/>
      <w:r>
        <w:rPr>
          <w:rFonts w:hint="eastAsia" w:ascii="Times New Roman" w:hAnsi="Times New Roman" w:eastAsia="方正仿宋_GBK" w:cs="Times New Roman"/>
          <w:b w:val="0"/>
          <w:bCs w:val="0"/>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）卫生健康支出</w:t>
      </w:r>
      <w:r>
        <w:rPr>
          <w:rFonts w:hint="default" w:ascii="Times New Roman" w:hAnsi="Times New Roman" w:eastAsia="方正仿宋_GBK" w:cs="Times New Roman"/>
          <w:b w:val="0"/>
          <w:bCs w:val="0"/>
          <w:sz w:val="32"/>
          <w:szCs w:val="32"/>
        </w:rPr>
        <w:t>3.60</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4.31</w:t>
      </w:r>
      <w:r>
        <w:rPr>
          <w:rFonts w:hint="default" w:ascii="Times New Roman" w:hAnsi="Times New Roman" w:eastAsia="方正仿宋_GBK" w:cs="Times New Roman"/>
          <w:b w:val="0"/>
          <w:bCs w:val="0"/>
          <w:sz w:val="32"/>
          <w:szCs w:val="32"/>
          <w:shd w:val="clear" w:color="auto" w:fill="FFFFFF"/>
        </w:rPr>
        <w:t>%，较年初预算数减少0.87万元，下降19.5%，主要原因是</w:t>
      </w:r>
      <w:r>
        <w:rPr>
          <w:rFonts w:hint="default" w:ascii="Times New Roman" w:hAnsi="Times New Roman" w:eastAsia="方正仿宋_GBK" w:cs="Times New Roman"/>
          <w:b w:val="0"/>
          <w:bCs w:val="0"/>
          <w:sz w:val="32"/>
          <w:szCs w:val="32"/>
          <w:shd w:val="clear" w:color="auto" w:fill="FFFFFF"/>
          <w:lang w:eastAsia="zh-CN"/>
        </w:rPr>
        <w:t>公务员医疗补助缴费项目。</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b w:val="0"/>
          <w:bCs w:val="0"/>
          <w:color w:val="auto"/>
          <w:sz w:val="32"/>
          <w:szCs w:val="32"/>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）农林水支出</w:t>
      </w:r>
      <w:r>
        <w:rPr>
          <w:rFonts w:hint="default" w:ascii="Times New Roman" w:hAnsi="Times New Roman" w:eastAsia="方正仿宋_GBK" w:cs="Times New Roman"/>
          <w:b w:val="0"/>
          <w:bCs w:val="0"/>
          <w:sz w:val="32"/>
          <w:szCs w:val="32"/>
        </w:rPr>
        <w:t>62.32</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74.68</w:t>
      </w:r>
      <w:r>
        <w:rPr>
          <w:rFonts w:hint="default" w:ascii="Times New Roman" w:hAnsi="Times New Roman" w:eastAsia="方正仿宋_GBK" w:cs="Times New Roman"/>
          <w:b w:val="0"/>
          <w:bCs w:val="0"/>
          <w:sz w:val="32"/>
          <w:szCs w:val="32"/>
          <w:shd w:val="clear" w:color="auto" w:fill="FFFFFF"/>
        </w:rPr>
        <w:t>%，较年初预算数减少24.86万元，下降28.5%，主要原因是</w:t>
      </w:r>
      <w:r>
        <w:rPr>
          <w:rFonts w:hint="eastAsia" w:ascii="Times New Roman" w:hAnsi="Times New Roman" w:eastAsia="方正仿宋_GBK" w:cs="Times New Roman"/>
          <w:b w:val="0"/>
          <w:bCs w:val="0"/>
          <w:color w:val="auto"/>
          <w:sz w:val="32"/>
          <w:szCs w:val="32"/>
          <w:shd w:val="clear" w:color="auto" w:fill="FFFFFF"/>
          <w:lang w:eastAsia="zh-CN"/>
        </w:rPr>
        <w:t>根据财力状况压减了部分支出。</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textAlignment w:val="auto"/>
        <w:rPr>
          <w:rFonts w:hint="eastAsia" w:ascii="Times New Roman" w:hAnsi="Times New Roman" w:eastAsia="方正仿宋_GBK" w:cs="Times New Roman"/>
          <w:b w:val="0"/>
          <w:bCs w:val="0"/>
          <w:color w:val="FF0000"/>
          <w:sz w:val="36"/>
          <w:szCs w:val="36"/>
          <w:shd w:val="clear" w:color="auto" w:fill="FFFFFF"/>
          <w:lang w:eastAsia="zh-CN"/>
        </w:rPr>
      </w:pPr>
      <w:r>
        <w:rPr>
          <w:rFonts w:hint="default" w:ascii="Times New Roman" w:hAnsi="Times New Roman" w:eastAsia="方正仿宋_GBK" w:cs="Times New Roman"/>
          <w:b w:val="0"/>
          <w:bCs w:val="0"/>
          <w:sz w:val="32"/>
          <w:szCs w:val="32"/>
          <w:shd w:val="clear" w:color="auto" w:fill="FFFFFF"/>
        </w:rPr>
        <w:t>（</w:t>
      </w:r>
      <w:r>
        <w:rPr>
          <w:rFonts w:hint="eastAsia"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住房保障支出2.99</w:t>
      </w:r>
      <w:r>
        <w:rPr>
          <w:rFonts w:hint="default" w:ascii="Times New Roman" w:hAnsi="Times New Roman" w:eastAsia="方正仿宋_GBK" w:cs="Times New Roman"/>
          <w:b w:val="0"/>
          <w:bCs w:val="0"/>
          <w:sz w:val="32"/>
          <w:szCs w:val="32"/>
          <w:shd w:val="clear" w:color="auto" w:fill="FFFFFF"/>
        </w:rPr>
        <w:t>万元，占</w:t>
      </w:r>
      <w:r>
        <w:rPr>
          <w:rFonts w:hint="default" w:ascii="Times New Roman" w:hAnsi="Times New Roman" w:eastAsia="方正仿宋_GBK" w:cs="Times New Roman"/>
          <w:b w:val="0"/>
          <w:bCs w:val="0"/>
          <w:sz w:val="32"/>
          <w:szCs w:val="32"/>
        </w:rPr>
        <w:t>3.58</w:t>
      </w:r>
      <w:r>
        <w:rPr>
          <w:rFonts w:hint="default" w:ascii="Times New Roman" w:hAnsi="Times New Roman" w:eastAsia="方正仿宋_GBK" w:cs="Times New Roman"/>
          <w:b w:val="0"/>
          <w:bCs w:val="0"/>
          <w:sz w:val="32"/>
          <w:szCs w:val="32"/>
          <w:shd w:val="clear" w:color="auto" w:fill="FFFFFF"/>
        </w:rPr>
        <w:t>%，较年初预算数减少1.13万元，下降27</w:t>
      </w:r>
      <w:r>
        <w:rPr>
          <w:rFonts w:hint="default" w:ascii="Times New Roman" w:hAnsi="Times New Roman" w:eastAsia="方正仿宋_GBK" w:cs="Times New Roman"/>
          <w:b w:val="0"/>
          <w:bCs w:val="0"/>
          <w:color w:val="auto"/>
          <w:sz w:val="32"/>
          <w:szCs w:val="32"/>
          <w:shd w:val="clear" w:color="auto" w:fill="FFFFFF"/>
        </w:rPr>
        <w:t>.4%</w:t>
      </w:r>
      <w:r>
        <w:rPr>
          <w:rFonts w:hint="default" w:ascii="Times New Roman" w:hAnsi="Times New Roman" w:eastAsia="方正仿宋_GBK" w:cs="Times New Roman"/>
          <w:b w:val="0"/>
          <w:bCs w:val="0"/>
          <w:color w:val="auto"/>
          <w:sz w:val="32"/>
          <w:szCs w:val="32"/>
          <w:shd w:val="clear" w:color="auto" w:fill="FFFFFF"/>
        </w:rPr>
        <w:t>，主要原因是</w:t>
      </w:r>
      <w:r>
        <w:rPr>
          <w:rFonts w:hint="eastAsia" w:ascii="Times New Roman" w:hAnsi="Times New Roman" w:eastAsia="方正仿宋_GBK" w:cs="Times New Roman"/>
          <w:b w:val="0"/>
          <w:bCs w:val="0"/>
          <w:color w:val="auto"/>
          <w:sz w:val="32"/>
          <w:szCs w:val="32"/>
          <w:shd w:val="clear" w:color="auto" w:fill="FFFFFF"/>
          <w:lang w:eastAsia="zh-CN"/>
        </w:rPr>
        <w:t>调整了部分人员经费，公积金预算支出项目较年初少。</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 </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度一般公共财政拨款基本支出</w:t>
      </w:r>
      <w:r>
        <w:rPr>
          <w:rFonts w:hint="default" w:ascii="Times New Roman" w:hAnsi="Times New Roman" w:eastAsia="方正仿宋_GBK" w:cs="Times New Roman"/>
          <w:b w:val="0"/>
          <w:bCs w:val="0"/>
          <w:sz w:val="32"/>
          <w:szCs w:val="32"/>
        </w:rPr>
        <w:t>77.08</w:t>
      </w:r>
      <w:r>
        <w:rPr>
          <w:rFonts w:hint="default" w:ascii="Times New Roman" w:hAnsi="Times New Roman" w:eastAsia="方正仿宋_GBK" w:cs="Times New Roman"/>
          <w:b w:val="0"/>
          <w:bCs w:val="0"/>
          <w:sz w:val="32"/>
          <w:szCs w:val="32"/>
          <w:shd w:val="clear" w:color="auto" w:fill="FFFFFF"/>
        </w:rPr>
        <w:t>万元。其中：人员经费</w:t>
      </w:r>
      <w:r>
        <w:rPr>
          <w:rFonts w:hint="default" w:ascii="Times New Roman" w:hAnsi="Times New Roman" w:eastAsia="方正仿宋_GBK" w:cs="Times New Roman"/>
          <w:b w:val="0"/>
          <w:bCs w:val="0"/>
          <w:sz w:val="32"/>
          <w:szCs w:val="32"/>
        </w:rPr>
        <w:t>63.65</w:t>
      </w:r>
      <w:r>
        <w:rPr>
          <w:rFonts w:hint="default" w:ascii="Times New Roman" w:hAnsi="Times New Roman" w:eastAsia="方正仿宋_GBK" w:cs="Times New Roman"/>
          <w:b w:val="0"/>
          <w:bCs w:val="0"/>
          <w:sz w:val="32"/>
          <w:szCs w:val="32"/>
          <w:shd w:val="clear" w:color="auto" w:fill="FFFFFF"/>
        </w:rPr>
        <w:t>万元，与2023年度相比，增加63.65万元，增长100.0%，主要原因是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人员经费用途主要包括</w:t>
      </w:r>
      <w:r>
        <w:rPr>
          <w:rFonts w:hint="default" w:ascii="Times New Roman" w:hAnsi="Times New Roman" w:eastAsia="方正仿宋_GBK" w:cs="Times New Roman"/>
          <w:b w:val="0"/>
          <w:bCs w:val="0"/>
          <w:sz w:val="32"/>
          <w:szCs w:val="32"/>
        </w:rPr>
        <w:t>单位给在职人员的各类劳动报酬，以及为其缴纳的各项社会保险费等，退休</w:t>
      </w:r>
      <w:r>
        <w:rPr>
          <w:rFonts w:hint="default" w:ascii="Times New Roman" w:hAnsi="Times New Roman" w:eastAsia="方正仿宋_GBK" w:cs="Times New Roman"/>
          <w:b w:val="0"/>
          <w:bCs w:val="0"/>
          <w:sz w:val="32"/>
          <w:szCs w:val="32"/>
          <w:lang w:eastAsia="zh-CN"/>
        </w:rPr>
        <w:t>人员</w:t>
      </w:r>
      <w:r>
        <w:rPr>
          <w:rFonts w:hint="default" w:ascii="Times New Roman" w:hAnsi="Times New Roman" w:eastAsia="方正仿宋_GBK" w:cs="Times New Roman"/>
          <w:b w:val="0"/>
          <w:bCs w:val="0"/>
          <w:sz w:val="32"/>
          <w:szCs w:val="32"/>
        </w:rPr>
        <w:t>等相关经费</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shd w:val="clear" w:color="auto" w:fill="FFFFFF"/>
        </w:rPr>
        <w:t>公用经费</w:t>
      </w:r>
      <w:r>
        <w:rPr>
          <w:rFonts w:hint="default" w:ascii="Times New Roman" w:hAnsi="Times New Roman" w:eastAsia="方正仿宋_GBK" w:cs="Times New Roman"/>
          <w:b w:val="0"/>
          <w:bCs w:val="0"/>
          <w:sz w:val="32"/>
          <w:szCs w:val="32"/>
        </w:rPr>
        <w:t>13.43</w:t>
      </w:r>
      <w:r>
        <w:rPr>
          <w:rFonts w:hint="default" w:ascii="Times New Roman" w:hAnsi="Times New Roman" w:eastAsia="方正仿宋_GBK" w:cs="Times New Roman"/>
          <w:b w:val="0"/>
          <w:bCs w:val="0"/>
          <w:sz w:val="32"/>
          <w:szCs w:val="32"/>
          <w:shd w:val="clear" w:color="auto" w:fill="FFFFFF"/>
        </w:rPr>
        <w:t>万元，与2023年度相比，增加13.43万元，增长100.0%，主要原因是</w:t>
      </w:r>
      <w:r>
        <w:rPr>
          <w:rFonts w:hint="default" w:ascii="Times New Roman" w:hAnsi="Times New Roman" w:eastAsia="方正仿宋_GBK" w:cs="Times New Roman"/>
          <w:b w:val="0"/>
          <w:bCs w:val="0"/>
          <w:sz w:val="32"/>
          <w:szCs w:val="32"/>
          <w:shd w:val="clear" w:color="auto" w:fill="FFFFFF"/>
          <w:lang w:val="en-US" w:eastAsia="zh-CN"/>
        </w:rPr>
        <w:t>2024年根据财政管理要求，虎峰镇人民政府将事业单位划分为7个账套单独核算，上年度本单位未单独核算，支出为0，故本年度增长100%。</w:t>
      </w:r>
      <w:r>
        <w:rPr>
          <w:rFonts w:hint="default" w:ascii="Times New Roman" w:hAnsi="Times New Roman" w:eastAsia="方正仿宋_GBK" w:cs="Times New Roman"/>
          <w:b w:val="0"/>
          <w:bCs w:val="0"/>
          <w:sz w:val="32"/>
          <w:szCs w:val="32"/>
          <w:shd w:val="clear" w:color="auto" w:fill="FFFFFF"/>
        </w:rPr>
        <w:t>公用经费用途主要包括</w:t>
      </w:r>
      <w:r>
        <w:rPr>
          <w:rFonts w:hint="default" w:ascii="Times New Roman" w:hAnsi="Times New Roman" w:eastAsia="方正仿宋_GBK" w:cs="Times New Roman"/>
          <w:b w:val="0"/>
          <w:bCs w:val="0"/>
          <w:sz w:val="32"/>
          <w:szCs w:val="32"/>
          <w:shd w:val="clear" w:color="auto" w:fill="FFFFFF"/>
          <w:lang w:eastAsia="zh-CN"/>
        </w:rPr>
        <w:t>办公费、维修维护费等</w:t>
      </w:r>
      <w:r>
        <w:rPr>
          <w:rFonts w:hint="default" w:ascii="Times New Roman" w:hAnsi="Times New Roman" w:eastAsia="方正仿宋_GBK" w:cs="Times New Roman"/>
          <w:b w:val="0"/>
          <w:bCs w:val="0"/>
          <w:sz w:val="32"/>
          <w:szCs w:val="32"/>
          <w:shd w:val="clear" w:color="auto" w:fill="FFFFFF"/>
        </w:rPr>
        <w:t>保障机关运行</w:t>
      </w:r>
      <w:r>
        <w:rPr>
          <w:rFonts w:hint="default" w:ascii="Times New Roman" w:hAnsi="Times New Roman" w:eastAsia="方正仿宋_GBK" w:cs="Times New Roman"/>
          <w:b w:val="0"/>
          <w:bCs w:val="0"/>
          <w:sz w:val="32"/>
          <w:szCs w:val="32"/>
          <w:shd w:val="clear" w:color="auto" w:fill="FFFFFF"/>
          <w:lang w:eastAsia="zh-CN"/>
        </w:rPr>
        <w:t>的</w:t>
      </w:r>
      <w:r>
        <w:rPr>
          <w:rFonts w:hint="default" w:ascii="Times New Roman" w:hAnsi="Times New Roman" w:eastAsia="方正仿宋_GBK" w:cs="Times New Roman"/>
          <w:b w:val="0"/>
          <w:bCs w:val="0"/>
          <w:color w:val="000000" w:themeColor="text1"/>
          <w:sz w:val="32"/>
          <w:szCs w:val="32"/>
          <w:shd w:val="clear" w:color="auto" w:fill="FFFFFF"/>
          <w14:textFill>
            <w14:solidFill>
              <w14:schemeClr w14:val="tx1"/>
            </w14:solidFill>
          </w14:textFill>
        </w:rPr>
        <w:t>相关支出。</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rPr>
      </w:pPr>
      <w:r>
        <w:rPr>
          <w:rStyle w:val="8"/>
          <w:rFonts w:hint="default" w:ascii="Times New Roman" w:hAnsi="Times New Roman" w:eastAsia="方正仿宋_GBK" w:cs="Times New Roman"/>
          <w:b w:val="0"/>
          <w:bCs w:val="0"/>
          <w:sz w:val="32"/>
          <w:szCs w:val="32"/>
          <w:shd w:val="clear" w:color="auto" w:fill="auto"/>
        </w:rPr>
        <w:t>本单位</w:t>
      </w:r>
      <w:r>
        <w:rPr>
          <w:rStyle w:val="8"/>
          <w:rFonts w:hint="default" w:ascii="Times New Roman" w:hAnsi="Times New Roman" w:eastAsia="方正仿宋_GBK" w:cs="Times New Roman"/>
          <w:b w:val="0"/>
          <w:bCs w:val="0"/>
          <w:sz w:val="32"/>
          <w:szCs w:val="32"/>
          <w:shd w:val="clear" w:color="auto" w:fill="auto"/>
          <w:lang w:eastAsia="zh-CN"/>
        </w:rPr>
        <w:t>2024年</w:t>
      </w:r>
      <w:r>
        <w:rPr>
          <w:rStyle w:val="8"/>
          <w:rFonts w:hint="default" w:ascii="Times New Roman" w:hAnsi="Times New Roman" w:eastAsia="方正仿宋_GBK" w:cs="Times New Roman"/>
          <w:b w:val="0"/>
          <w:bCs w:val="0"/>
          <w:sz w:val="32"/>
          <w:szCs w:val="32"/>
          <w:shd w:val="clear" w:color="auto" w:fill="auto"/>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auto"/>
          <w:lang w:eastAsia="zh-CN"/>
        </w:rPr>
      </w:pPr>
      <w:r>
        <w:rPr>
          <w:rStyle w:val="8"/>
          <w:rFonts w:hint="default" w:ascii="Times New Roman" w:hAnsi="Times New Roman" w:eastAsia="方正仿宋_GBK" w:cs="Times New Roman"/>
          <w:b w:val="0"/>
          <w:bCs w:val="0"/>
          <w:sz w:val="32"/>
          <w:szCs w:val="32"/>
          <w:shd w:val="clear" w:color="auto" w:fill="auto"/>
        </w:rPr>
        <w:t>我单位属于</w:t>
      </w:r>
      <w:r>
        <w:rPr>
          <w:rStyle w:val="8"/>
          <w:rFonts w:hint="default" w:ascii="Times New Roman" w:hAnsi="Times New Roman" w:eastAsia="方正仿宋_GBK" w:cs="Times New Roman"/>
          <w:b w:val="0"/>
          <w:bCs w:val="0"/>
          <w:sz w:val="32"/>
          <w:szCs w:val="32"/>
          <w:shd w:val="clear" w:color="auto" w:fill="auto"/>
          <w:lang w:eastAsia="zh-CN"/>
        </w:rPr>
        <w:t>虎峰镇人民政府下级预算单位，无“三公”经费支。</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 xml:space="preserve"> （一）财政拨款会议费和培训费情况说明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本年度会议费支出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万元，与2023年度相比，无增减，主要原因是。本年度培训费支出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万元，与2023年度相比，无变化。</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color w:val="auto"/>
          <w:sz w:val="32"/>
          <w:szCs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截至</w:t>
      </w:r>
      <w:r>
        <w:rPr>
          <w:rFonts w:hint="default" w:ascii="Times New Roman" w:hAnsi="Times New Roman" w:eastAsia="方正仿宋_GBK" w:cs="Times New Roman"/>
          <w:b w:val="0"/>
          <w:bCs w:val="0"/>
          <w:sz w:val="32"/>
          <w:szCs w:val="32"/>
          <w:shd w:val="clear" w:color="auto" w:fill="FFFFFF"/>
          <w:lang w:eastAsia="zh-CN"/>
        </w:rPr>
        <w:t>2024年</w:t>
      </w:r>
      <w:r>
        <w:rPr>
          <w:rFonts w:hint="default" w:ascii="Times New Roman" w:hAnsi="Times New Roman" w:eastAsia="方正仿宋_GBK" w:cs="Times New Roman"/>
          <w:b w:val="0"/>
          <w:bCs w:val="0"/>
          <w:sz w:val="32"/>
          <w:szCs w:val="32"/>
          <w:shd w:val="clear" w:color="auto" w:fill="FFFFFF"/>
        </w:rPr>
        <w:t>12月31日，本单位共有车辆</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辆，其中，副部（省）级及以上领导用车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辆、主要负责人用车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辆、机要通信用车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辆、应急保障用车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辆、执法执勤用车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辆，特种专业技术用车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辆，离退休干部用车</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辆。单价100万元（含）以上专用设备</w:t>
      </w:r>
      <w:r>
        <w:rPr>
          <w:rFonts w:hint="default" w:ascii="Times New Roman" w:hAnsi="Times New Roman" w:eastAsia="方正仿宋_GBK" w:cs="Times New Roman"/>
          <w:b w:val="0"/>
          <w:bCs w:val="0"/>
          <w:sz w:val="32"/>
          <w:szCs w:val="32"/>
        </w:rPr>
        <w:t>0</w:t>
      </w:r>
      <w:r>
        <w:rPr>
          <w:rFonts w:hint="default" w:ascii="Times New Roman" w:hAnsi="Times New Roman" w:eastAsia="方正仿宋_GBK" w:cs="Times New Roman"/>
          <w:b w:val="0"/>
          <w:bCs w:val="0"/>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60" w:lineRule="exact"/>
        <w:ind w:firstLine="643"/>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val="0"/>
          <w:color w:val="auto"/>
          <w:sz w:val="32"/>
          <w:szCs w:val="32"/>
          <w:shd w:val="clear" w:color="auto" w:fill="FFFFFF"/>
        </w:rPr>
      </w:pPr>
      <w:r>
        <w:rPr>
          <w:rFonts w:hint="default" w:ascii="Times New Roman" w:hAnsi="Times New Roman" w:eastAsia="方正仿宋_GBK" w:cs="Times New Roman"/>
          <w:b w:val="0"/>
          <w:bCs w:val="0"/>
          <w:color w:val="auto"/>
          <w:sz w:val="32"/>
          <w:szCs w:val="32"/>
          <w:shd w:val="clear" w:color="auto" w:fill="FFFFFF"/>
          <w:lang w:eastAsia="zh-CN"/>
        </w:rPr>
        <w:t>2024年</w:t>
      </w:r>
      <w:r>
        <w:rPr>
          <w:rFonts w:hint="default" w:ascii="Times New Roman" w:hAnsi="Times New Roman" w:eastAsia="方正仿宋_GBK" w:cs="Times New Roman"/>
          <w:b w:val="0"/>
          <w:bCs w:val="0"/>
          <w:color w:val="auto"/>
          <w:sz w:val="32"/>
          <w:szCs w:val="32"/>
          <w:shd w:val="clear" w:color="auto" w:fill="FFFFFF"/>
        </w:rPr>
        <w:t>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Style w:val="8"/>
          <w:rFonts w:hint="default" w:ascii="Times New Roman" w:hAnsi="Times New Roman" w:eastAsia="黑体" w:cs="Times New Roman"/>
          <w:b w:val="0"/>
          <w:bCs w:val="0"/>
          <w:sz w:val="32"/>
          <w:szCs w:val="32"/>
          <w:shd w:val="clear" w:color="auto" w:fill="FFFFFF"/>
          <w:lang w:val="en-US" w:eastAsia="zh-CN" w:bidi="ar-SA"/>
        </w:rPr>
      </w:pPr>
      <w:r>
        <w:rPr>
          <w:rStyle w:val="8"/>
          <w:rFonts w:hint="default" w:ascii="Times New Roman" w:hAnsi="Times New Roman" w:eastAsia="黑体" w:cs="Times New Roman"/>
          <w:b w:val="0"/>
          <w:bCs w:val="0"/>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根据预算绩效管理要求，我单位对</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个项目开展了绩效自评，其中，以填报自评表形式开展自评</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项，涉及资金</w:t>
      </w:r>
      <w:r>
        <w:rPr>
          <w:rFonts w:hint="eastAsia" w:ascii="Times New Roman" w:hAnsi="Times New Roman" w:eastAsia="方正仿宋_GBK" w:cs="Times New Roman"/>
          <w:b w:val="0"/>
          <w:bCs w:val="0"/>
          <w:kern w:val="0"/>
          <w:sz w:val="32"/>
          <w:szCs w:val="32"/>
          <w:shd w:val="clear" w:fill="FFFFFF"/>
          <w:lang w:val="en-US" w:eastAsia="zh-CN"/>
        </w:rPr>
        <w:t>6.38</w:t>
      </w:r>
      <w:r>
        <w:rPr>
          <w:rFonts w:hint="default" w:ascii="Times New Roman" w:hAnsi="Times New Roman" w:eastAsia="方正仿宋_GBK" w:cs="Times New Roman"/>
          <w:b w:val="0"/>
          <w:bCs w:val="0"/>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firstLine="640" w:firstLineChars="200"/>
        <w:jc w:val="left"/>
        <w:textAlignment w:val="auto"/>
        <w:rPr>
          <w:rFonts w:hint="default" w:ascii="Times New Roman" w:hAnsi="Times New Roman" w:eastAsia="楷体" w:cs="Times New Roman"/>
          <w:b w:val="0"/>
          <w:bCs w:val="0"/>
          <w:kern w:val="0"/>
          <w:sz w:val="32"/>
          <w:szCs w:val="32"/>
          <w:shd w:val="clear" w:fill="FFFFFF"/>
        </w:rPr>
      </w:pPr>
      <w:r>
        <w:rPr>
          <w:rFonts w:hint="default" w:ascii="Times New Roman" w:hAnsi="Times New Roman" w:eastAsia="楷体" w:cs="Times New Roman"/>
          <w:b w:val="0"/>
          <w:bCs w:val="0"/>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详见附件。</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方正仿宋_GBK" w:cs="Times New Roman"/>
          <w:b w:val="0"/>
          <w:bCs w:val="0"/>
          <w:kern w:val="0"/>
          <w:sz w:val="32"/>
          <w:szCs w:val="32"/>
          <w:shd w:val="clear" w:fill="FFFFFF"/>
        </w:rPr>
      </w:pPr>
      <w:r>
        <w:rPr>
          <w:rFonts w:hint="default" w:ascii="Times New Roman" w:hAnsi="Times New Roman" w:eastAsia="方正仿宋_GBK" w:cs="Times New Roman"/>
          <w:b w:val="0"/>
          <w:bCs w:val="0"/>
          <w:kern w:val="0"/>
          <w:sz w:val="32"/>
          <w:szCs w:val="32"/>
          <w:shd w:val="clear" w:fill="FFFFFF"/>
        </w:rPr>
        <w:t>我单位对</w:t>
      </w:r>
      <w:r>
        <w:rPr>
          <w:rFonts w:hint="eastAsia" w:ascii="Times New Roman" w:hAnsi="Times New Roman" w:eastAsia="方正仿宋_GBK" w:cs="Times New Roman"/>
          <w:b w:val="0"/>
          <w:bCs w:val="0"/>
          <w:kern w:val="0"/>
          <w:sz w:val="32"/>
          <w:szCs w:val="32"/>
          <w:shd w:val="clear" w:fill="FFFFFF"/>
          <w:lang w:val="en-US" w:eastAsia="zh-CN"/>
        </w:rPr>
        <w:t>1个</w:t>
      </w:r>
      <w:r>
        <w:rPr>
          <w:rFonts w:hint="default" w:ascii="Times New Roman" w:hAnsi="Times New Roman" w:eastAsia="方正仿宋_GBK" w:cs="Times New Roman"/>
          <w:b w:val="0"/>
          <w:bCs w:val="0"/>
          <w:kern w:val="0"/>
          <w:sz w:val="32"/>
          <w:szCs w:val="32"/>
          <w:shd w:val="clear" w:fill="FFFFFF"/>
        </w:rPr>
        <w:t>项目进行绩效自评，其中</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个已完成年度绩效目标，</w:t>
      </w:r>
      <w:r>
        <w:rPr>
          <w:rFonts w:hint="eastAsia" w:ascii="Times New Roman" w:hAnsi="Times New Roman" w:eastAsia="方正仿宋_GBK" w:cs="Times New Roman"/>
          <w:b w:val="0"/>
          <w:bCs w:val="0"/>
          <w:kern w:val="0"/>
          <w:sz w:val="32"/>
          <w:szCs w:val="32"/>
          <w:shd w:val="clear" w:fill="FFFFFF"/>
          <w:lang w:val="en-US" w:eastAsia="zh-CN"/>
        </w:rPr>
        <w:t>1</w:t>
      </w:r>
      <w:r>
        <w:rPr>
          <w:rFonts w:hint="default" w:ascii="Times New Roman" w:hAnsi="Times New Roman" w:eastAsia="方正仿宋_GBK" w:cs="Times New Roman"/>
          <w:b w:val="0"/>
          <w:bCs w:val="0"/>
          <w:kern w:val="0"/>
          <w:sz w:val="32"/>
          <w:szCs w:val="32"/>
          <w:shd w:val="clear" w:fill="FFFFFF"/>
        </w:rPr>
        <w:t>个未完成年度绩效目标。对未完成年度绩效目标的，应说明原因及下一步改进措施。</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60" w:lineRule="exact"/>
        <w:ind w:left="0" w:firstLine="640" w:firstLineChars="200"/>
        <w:textAlignment w:val="auto"/>
        <w:rPr>
          <w:rFonts w:hint="default" w:ascii="Times New Roman" w:hAnsi="Times New Roman" w:eastAsia="楷体" w:cs="Times New Roman"/>
          <w:b w:val="0"/>
          <w:bCs w:val="0"/>
          <w:kern w:val="0"/>
          <w:sz w:val="32"/>
          <w:szCs w:val="32"/>
          <w:shd w:val="clear" w:fill="FFFFFF"/>
          <w:lang w:val="en-US" w:eastAsia="zh-CN" w:bidi="ar"/>
        </w:rPr>
      </w:pPr>
      <w:r>
        <w:rPr>
          <w:rFonts w:hint="default" w:ascii="Times New Roman" w:hAnsi="Times New Roman" w:eastAsia="楷体" w:cs="Times New Roman"/>
          <w:b w:val="0"/>
          <w:bCs w:val="0"/>
          <w:kern w:val="0"/>
          <w:sz w:val="32"/>
          <w:szCs w:val="32"/>
          <w:shd w:val="clear" w:fill="FFFFFF"/>
          <w:lang w:val="en-US" w:eastAsia="zh-CN" w:bidi="ar"/>
        </w:rPr>
        <w:t xml:space="preserve">（三）财政重点绩效评价情况 </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shd w:val="clear" w:fill="FFFFFF"/>
          <w:lang w:val="en-US" w:eastAsia="zh-CN"/>
        </w:rPr>
      </w:pPr>
      <w:r>
        <w:rPr>
          <w:rFonts w:hint="default" w:ascii="Times New Roman" w:hAnsi="Times New Roman" w:eastAsia="方正仿宋_GBK" w:cs="Times New Roman"/>
          <w:b w:val="0"/>
          <w:bCs w:val="0"/>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textAlignment w:val="auto"/>
        <w:rPr>
          <w:rFonts w:hint="default" w:ascii="Times New Roman" w:hAnsi="Times New Roman" w:eastAsia="方正仿宋_GBK" w:cs="Times New Roman"/>
          <w:b w:val="0"/>
          <w:bCs w:val="0"/>
          <w:kern w:val="0"/>
          <w:sz w:val="32"/>
          <w:szCs w:val="32"/>
        </w:rPr>
      </w:pPr>
      <w:r>
        <w:rPr>
          <w:rStyle w:val="11"/>
          <w:rFonts w:hint="default" w:ascii="Times New Roman" w:hAnsi="Times New Roman" w:eastAsia="方正仿宋_GBK" w:cs="Times New Roman"/>
          <w:b w:val="0"/>
          <w:bCs w:val="0"/>
          <w:sz w:val="32"/>
          <w:szCs w:val="32"/>
          <w:shd w:val="clear" w:fill="FFFFFF"/>
        </w:rPr>
        <w:t xml:space="preserve"> </w:t>
      </w:r>
      <w:r>
        <w:rPr>
          <w:rStyle w:val="11"/>
          <w:rFonts w:hint="default" w:ascii="Times New Roman" w:hAnsi="Times New Roman" w:eastAsia="方正仿宋_GBK" w:cs="Times New Roman"/>
          <w:b w:val="0"/>
          <w:bCs w:val="0"/>
          <w:sz w:val="32"/>
          <w:szCs w:val="32"/>
          <w:shd w:val="clear" w:fill="FFFFFF"/>
          <w:lang w:val="en-US" w:eastAsia="zh-CN"/>
        </w:rPr>
        <w:t xml:space="preserve">  </w:t>
      </w:r>
      <w:r>
        <w:rPr>
          <w:rStyle w:val="8"/>
          <w:rFonts w:hint="default" w:ascii="Times New Roman" w:hAnsi="Times New Roman" w:eastAsia="黑体" w:cs="Times New Roman"/>
          <w:b w:val="0"/>
          <w:bCs w:val="0"/>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（一）财政拨款收入：</w:t>
      </w:r>
      <w:r>
        <w:rPr>
          <w:rFonts w:hint="default" w:ascii="Times New Roman" w:hAnsi="Times New Roman" w:eastAsia="方正仿宋_GBK" w:cs="Times New Roman"/>
          <w:b w:val="0"/>
          <w:bCs w:val="0"/>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（二）事业收入：</w:t>
      </w:r>
      <w:r>
        <w:rPr>
          <w:rFonts w:hint="default" w:ascii="Times New Roman" w:hAnsi="Times New Roman" w:eastAsia="方正仿宋_GBK" w:cs="Times New Roman"/>
          <w:b w:val="0"/>
          <w:bCs w:val="0"/>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（三）经营收入：</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（四）其他收入：</w:t>
      </w:r>
      <w:r>
        <w:rPr>
          <w:rFonts w:hint="default" w:ascii="Times New Roman" w:hAnsi="Times New Roman" w:eastAsia="方正仿宋_GBK" w:cs="Times New Roman"/>
          <w:b w:val="0"/>
          <w:bCs w:val="0"/>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（五）使用非财政拨款结余：</w:t>
      </w:r>
      <w:r>
        <w:rPr>
          <w:rFonts w:hint="default" w:ascii="Times New Roman" w:hAnsi="Times New Roman" w:eastAsia="方正仿宋_GBK" w:cs="Times New Roman"/>
          <w:b w:val="0"/>
          <w:bCs w:val="0"/>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（六）年初结转和结余：</w:t>
      </w:r>
      <w:r>
        <w:rPr>
          <w:rFonts w:hint="default" w:ascii="Times New Roman" w:hAnsi="Times New Roman" w:eastAsia="方正仿宋_GBK" w:cs="Times New Roman"/>
          <w:b w:val="0"/>
          <w:bCs w:val="0"/>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（七）结余分配：</w:t>
      </w:r>
      <w:r>
        <w:rPr>
          <w:rFonts w:hint="default" w:ascii="Times New Roman" w:hAnsi="Times New Roman" w:eastAsia="方正仿宋_GBK" w:cs="Times New Roman"/>
          <w:b w:val="0"/>
          <w:bCs w:val="0"/>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（八）年末结转和结余：</w:t>
      </w:r>
      <w:r>
        <w:rPr>
          <w:rFonts w:hint="default" w:ascii="Times New Roman" w:hAnsi="Times New Roman" w:eastAsia="方正仿宋_GBK" w:cs="Times New Roman"/>
          <w:b w:val="0"/>
          <w:bCs w:val="0"/>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（九）基本支出：</w:t>
      </w:r>
      <w:r>
        <w:rPr>
          <w:rFonts w:hint="default" w:ascii="Times New Roman" w:hAnsi="Times New Roman" w:eastAsia="方正仿宋_GBK" w:cs="Times New Roman"/>
          <w:b w:val="0"/>
          <w:bCs w:val="0"/>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（十）项目支出：</w:t>
      </w:r>
      <w:r>
        <w:rPr>
          <w:rFonts w:hint="default" w:ascii="Times New Roman" w:hAnsi="Times New Roman" w:eastAsia="方正仿宋_GBK" w:cs="Times New Roman"/>
          <w:b w:val="0"/>
          <w:bCs w:val="0"/>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（十一）经营支出：</w:t>
      </w:r>
      <w:r>
        <w:rPr>
          <w:rFonts w:hint="default" w:ascii="Times New Roman" w:hAnsi="Times New Roman" w:eastAsia="方正仿宋_GBK" w:cs="Times New Roman"/>
          <w:b w:val="0"/>
          <w:bCs w:val="0"/>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（十二）“三公”经费：</w:t>
      </w:r>
      <w:r>
        <w:rPr>
          <w:rFonts w:hint="default" w:ascii="Times New Roman" w:hAnsi="Times New Roman" w:eastAsia="方正仿宋_GBK" w:cs="Times New Roman"/>
          <w:b w:val="0"/>
          <w:bCs w:val="0"/>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（十三）机关运行经费：</w:t>
      </w:r>
      <w:r>
        <w:rPr>
          <w:rFonts w:hint="default" w:ascii="Times New Roman" w:hAnsi="Times New Roman" w:eastAsia="方正仿宋_GBK" w:cs="Times New Roman"/>
          <w:b w:val="0"/>
          <w:bCs w:val="0"/>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（十四）工资福利支出（支出经济分类科目类级）：</w:t>
      </w:r>
      <w:r>
        <w:rPr>
          <w:rFonts w:hint="default" w:ascii="Times New Roman" w:hAnsi="Times New Roman" w:eastAsia="方正仿宋_GBK" w:cs="Times New Roman"/>
          <w:b w:val="0"/>
          <w:bCs w:val="0"/>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（十五）商品和服务支出（支出经济分类科目类级）：</w:t>
      </w:r>
      <w:r>
        <w:rPr>
          <w:rFonts w:hint="default" w:ascii="Times New Roman" w:hAnsi="Times New Roman" w:eastAsia="方正仿宋_GBK" w:cs="Times New Roman"/>
          <w:b w:val="0"/>
          <w:bCs w:val="0"/>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（十六）对个人和家庭的补助（支出经济分类科目类级）：</w:t>
      </w:r>
      <w:r>
        <w:rPr>
          <w:rFonts w:hint="default" w:ascii="Times New Roman" w:hAnsi="Times New Roman" w:eastAsia="方正仿宋_GBK" w:cs="Times New Roman"/>
          <w:b w:val="0"/>
          <w:bCs w:val="0"/>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楷体" w:cs="Times New Roman"/>
          <w:b w:val="0"/>
          <w:bCs w:val="0"/>
          <w:sz w:val="32"/>
          <w:szCs w:val="32"/>
          <w:shd w:val="clear" w:color="auto" w:fill="FFFFFF"/>
          <w:lang w:val="en-US" w:eastAsia="zh-CN" w:bidi="ar-SA"/>
        </w:rPr>
        <w:t>（十七）其他资本性支出（支出经济分类科目类级）：</w:t>
      </w:r>
      <w:r>
        <w:rPr>
          <w:rFonts w:hint="default" w:ascii="Times New Roman" w:hAnsi="Times New Roman" w:eastAsia="方正仿宋_GBK" w:cs="Times New Roman"/>
          <w:b w:val="0"/>
          <w:bCs w:val="0"/>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Style w:val="8"/>
          <w:rFonts w:hint="default" w:ascii="Times New Roman" w:hAnsi="Times New Roman" w:eastAsia="黑体" w:cs="Times New Roman"/>
          <w:b w:val="0"/>
          <w:bCs w:val="0"/>
          <w:sz w:val="32"/>
          <w:szCs w:val="32"/>
          <w:shd w:val="clear" w:color="auto" w:fill="FFFFFF"/>
          <w:lang w:val="en-US" w:eastAsia="zh-CN" w:bidi="ar-SA"/>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shd w:val="clear" w:fill="FFFFFF"/>
        </w:rPr>
        <w:t>本单位决算公开信息反馈和联系方式：</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方正仿宋_GBK" w:cs="Times New Roman"/>
          <w:b w:val="0"/>
          <w:bCs w:val="0"/>
          <w:color w:val="auto"/>
          <w:kern w:val="0"/>
          <w:sz w:val="32"/>
          <w:szCs w:val="32"/>
          <w:shd w:val="clear" w:color="auto" w:fill="auto"/>
          <w:lang w:val="en-US" w:eastAsia="zh-CN"/>
        </w:rPr>
      </w:pPr>
      <w:r>
        <w:rPr>
          <w:rFonts w:hint="default" w:ascii="Times New Roman" w:hAnsi="Times New Roman" w:eastAsia="方正仿宋_GBK" w:cs="Times New Roman"/>
          <w:b w:val="0"/>
          <w:bCs w:val="0"/>
          <w:color w:val="auto"/>
          <w:kern w:val="0"/>
          <w:sz w:val="32"/>
          <w:szCs w:val="32"/>
          <w:shd w:val="clear" w:color="auto" w:fill="auto"/>
          <w:lang w:eastAsia="zh-CN"/>
        </w:rPr>
        <w:t>联系人：</w:t>
      </w:r>
      <w:r>
        <w:rPr>
          <w:rFonts w:hint="eastAsia" w:ascii="Times New Roman" w:hAnsi="Times New Roman" w:eastAsia="方正仿宋_GBK" w:cs="Times New Roman"/>
          <w:b w:val="0"/>
          <w:bCs w:val="0"/>
          <w:color w:val="auto"/>
          <w:kern w:val="0"/>
          <w:sz w:val="32"/>
          <w:szCs w:val="32"/>
          <w:shd w:val="clear" w:color="auto" w:fill="auto"/>
          <w:lang w:val="en-US" w:eastAsia="zh-CN"/>
        </w:rPr>
        <w:t xml:space="preserve">吴云胜 </w:t>
      </w:r>
      <w:r>
        <w:rPr>
          <w:rFonts w:hint="default" w:ascii="Times New Roman" w:hAnsi="Times New Roman" w:eastAsia="方正仿宋_GBK" w:cs="Times New Roman"/>
          <w:b w:val="0"/>
          <w:bCs w:val="0"/>
          <w:color w:val="auto"/>
          <w:kern w:val="0"/>
          <w:sz w:val="32"/>
          <w:szCs w:val="32"/>
          <w:shd w:val="clear" w:color="auto" w:fill="auto"/>
          <w:lang w:val="en-US" w:eastAsia="zh-CN"/>
        </w:rPr>
        <w:t xml:space="preserve"> 联系方式：</w:t>
      </w:r>
      <w:r>
        <w:rPr>
          <w:rFonts w:hint="default" w:ascii="Times New Roman" w:hAnsi="Times New Roman" w:eastAsia="方正仿宋_GBK" w:cs="Times New Roman"/>
          <w:b w:val="0"/>
          <w:bCs w:val="0"/>
          <w:color w:val="auto"/>
          <w:kern w:val="0"/>
          <w:sz w:val="32"/>
          <w:szCs w:val="32"/>
          <w:shd w:val="clear" w:color="auto" w:fill="auto"/>
        </w:rPr>
        <w:t>023-</w:t>
      </w:r>
      <w:r>
        <w:rPr>
          <w:rFonts w:hint="eastAsia" w:ascii="Times New Roman" w:hAnsi="Times New Roman" w:eastAsia="方正仿宋_GBK" w:cs="Times New Roman"/>
          <w:b w:val="0"/>
          <w:bCs w:val="0"/>
          <w:color w:val="auto"/>
          <w:kern w:val="0"/>
          <w:sz w:val="32"/>
          <w:szCs w:val="32"/>
          <w:shd w:val="clear" w:color="auto" w:fill="auto"/>
          <w:lang w:val="en-US" w:eastAsia="zh-CN"/>
        </w:rPr>
        <w:t>45511425</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附件：</w:t>
      </w:r>
    </w:p>
    <w:p>
      <w:pPr>
        <w:pStyle w:val="5"/>
        <w:keepNext w:val="0"/>
        <w:keepLines w:val="0"/>
        <w:pageBreakBefore w:val="0"/>
        <w:widowControl/>
        <w:kinsoku/>
        <w:wordWrap/>
        <w:overflowPunct/>
        <w:topLinePunct w:val="0"/>
        <w:autoSpaceDN/>
        <w:bidi w:val="0"/>
        <w:adjustRightInd/>
        <w:spacing w:before="0" w:beforeAutospacing="0" w:after="0" w:afterAutospacing="0" w:line="560" w:lineRule="exact"/>
        <w:ind w:firstLine="640" w:firstLineChars="20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1、</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重庆市铜梁区虎峰镇乡村产业培育中心</w:t>
      </w:r>
      <w:r>
        <w:rPr>
          <w:rStyle w:val="11"/>
          <w:rFonts w:hint="default" w:ascii="Times New Roman" w:hAnsi="Times New Roman" w:eastAsia="方正仿宋_GBK" w:cs="Times New Roman"/>
          <w:b w:val="0"/>
          <w:bCs w:val="0"/>
          <w:sz w:val="32"/>
          <w:szCs w:val="32"/>
          <w:shd w:val="clear" w:color="auto" w:fill="auto"/>
          <w:lang w:val="en-US" w:eastAsia="zh-CN"/>
        </w:rPr>
        <w:t>2024年度决算公开说明</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2、</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重庆市铜梁区虎峰镇乡村产业培育中心</w:t>
      </w:r>
      <w:r>
        <w:rPr>
          <w:rStyle w:val="11"/>
          <w:rFonts w:hint="default" w:ascii="Times New Roman" w:hAnsi="Times New Roman" w:eastAsia="方正仿宋_GBK" w:cs="Times New Roman"/>
          <w:b w:val="0"/>
          <w:bCs w:val="0"/>
          <w:sz w:val="32"/>
          <w:szCs w:val="32"/>
          <w:shd w:val="clear" w:color="auto" w:fill="auto"/>
          <w:lang w:val="en-US" w:eastAsia="zh-CN"/>
        </w:rPr>
        <w:t>2024年度决算公开报表</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Style w:val="11"/>
          <w:rFonts w:hint="default" w:ascii="Times New Roman" w:hAnsi="Times New Roman" w:eastAsia="方正仿宋_GBK" w:cs="Times New Roman"/>
          <w:b w:val="0"/>
          <w:bCs w:val="0"/>
          <w:sz w:val="32"/>
          <w:szCs w:val="32"/>
          <w:shd w:val="clear" w:color="auto" w:fill="auto"/>
          <w:lang w:val="en-US" w:eastAsia="zh-CN"/>
        </w:rPr>
      </w:pPr>
      <w:r>
        <w:rPr>
          <w:rStyle w:val="11"/>
          <w:rFonts w:hint="default" w:ascii="Times New Roman" w:hAnsi="Times New Roman" w:eastAsia="方正仿宋_GBK" w:cs="Times New Roman"/>
          <w:b w:val="0"/>
          <w:bCs w:val="0"/>
          <w:sz w:val="32"/>
          <w:szCs w:val="32"/>
          <w:shd w:val="clear" w:color="auto" w:fill="auto"/>
          <w:lang w:val="en-US" w:eastAsia="zh-CN"/>
        </w:rPr>
        <w:t>3、</w:t>
      </w:r>
      <w:r>
        <w:rPr>
          <w:rStyle w:val="11"/>
          <w:rFonts w:hint="default" w:ascii="Times New Roman" w:hAnsi="Times New Roman" w:eastAsia="方正仿宋_GBK" w:cs="Times New Roman"/>
          <w:b w:val="0"/>
          <w:bCs w:val="0"/>
          <w:sz w:val="32"/>
          <w:szCs w:val="32"/>
          <w:shd w:val="clear" w:color="auto" w:fill="auto"/>
          <w:lang w:val="en-US" w:eastAsia="zh-CN" w:bidi="ar-SA"/>
        </w:rPr>
        <w:t>重庆市铜梁区虎峰镇乡村产业培育中心</w:t>
      </w:r>
      <w:r>
        <w:rPr>
          <w:rStyle w:val="11"/>
          <w:rFonts w:hint="default" w:ascii="Times New Roman" w:hAnsi="Times New Roman" w:eastAsia="方正仿宋_GBK" w:cs="Times New Roman"/>
          <w:b w:val="0"/>
          <w:bCs w:val="0"/>
          <w:sz w:val="32"/>
          <w:szCs w:val="32"/>
          <w:shd w:val="clear" w:color="auto" w:fill="auto"/>
          <w:lang w:val="en-US" w:eastAsia="zh-CN"/>
        </w:rPr>
        <w:t>2024年度项目绩效自评表</w:t>
      </w:r>
    </w:p>
    <w:sectPr>
      <w:headerReference r:id="rId3" w:type="default"/>
      <w:footerReference r:id="rId4" w:type="default"/>
      <w:pgSz w:w="11850" w:h="16783"/>
      <w:pgMar w:top="2098" w:right="1474" w:bottom="1984" w:left="1587" w:header="0" w:footer="1134"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pPr>
                      <w:pStyle w:val="2"/>
                      <w:rPr>
                        <w:rFonts w:hint="default"/>
                      </w:rPr>
                    </w:pPr>
                    <w: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r>
                      <w:rPr>
                        <w:sz w:val="28"/>
                        <w:szCs w:val="28"/>
                      </w:rP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yNjQxMjU4YTA4MjlkYWViYzIzOTgwZGQ0YjcxMTIifQ=="/>
  </w:docVars>
  <w:rsids>
    <w:rsidRoot w:val="00B03CCD"/>
    <w:rsid w:val="00550ABE"/>
    <w:rsid w:val="007B419D"/>
    <w:rsid w:val="009B67B8"/>
    <w:rsid w:val="00B03CCD"/>
    <w:rsid w:val="00FE7556"/>
    <w:rsid w:val="01474EBF"/>
    <w:rsid w:val="01F3521E"/>
    <w:rsid w:val="024E4B4B"/>
    <w:rsid w:val="02955B20"/>
    <w:rsid w:val="03E3214F"/>
    <w:rsid w:val="04446191"/>
    <w:rsid w:val="044C50BA"/>
    <w:rsid w:val="05F51D24"/>
    <w:rsid w:val="0671705A"/>
    <w:rsid w:val="06A2550B"/>
    <w:rsid w:val="06F80EE2"/>
    <w:rsid w:val="07001CCA"/>
    <w:rsid w:val="075678DB"/>
    <w:rsid w:val="08051BCA"/>
    <w:rsid w:val="08821866"/>
    <w:rsid w:val="08887FC5"/>
    <w:rsid w:val="08B84F60"/>
    <w:rsid w:val="08BA052C"/>
    <w:rsid w:val="08DB07BA"/>
    <w:rsid w:val="096B1CB5"/>
    <w:rsid w:val="098305D0"/>
    <w:rsid w:val="09B72B6E"/>
    <w:rsid w:val="0A3851D8"/>
    <w:rsid w:val="0A5C4B69"/>
    <w:rsid w:val="0AEC3BC7"/>
    <w:rsid w:val="0B9335CE"/>
    <w:rsid w:val="0C7927C4"/>
    <w:rsid w:val="0C9B098C"/>
    <w:rsid w:val="0D11728C"/>
    <w:rsid w:val="0D673E11"/>
    <w:rsid w:val="0DB50EFE"/>
    <w:rsid w:val="0DDA54E4"/>
    <w:rsid w:val="0E3A5F83"/>
    <w:rsid w:val="0F836721"/>
    <w:rsid w:val="10153782"/>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312D22"/>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BF6D9E"/>
    <w:rsid w:val="3BF014AD"/>
    <w:rsid w:val="3C4147DF"/>
    <w:rsid w:val="3C6A5B02"/>
    <w:rsid w:val="3CB20420"/>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3C01595"/>
    <w:rsid w:val="443A3B12"/>
    <w:rsid w:val="44A854C2"/>
    <w:rsid w:val="44DD597D"/>
    <w:rsid w:val="465B470D"/>
    <w:rsid w:val="469D6AD4"/>
    <w:rsid w:val="46FC41C7"/>
    <w:rsid w:val="47674801"/>
    <w:rsid w:val="48225EF7"/>
    <w:rsid w:val="48E629B4"/>
    <w:rsid w:val="48EB76A1"/>
    <w:rsid w:val="495C4A24"/>
    <w:rsid w:val="4AD70EE7"/>
    <w:rsid w:val="4B7951CB"/>
    <w:rsid w:val="4B7C315C"/>
    <w:rsid w:val="4BAB7F90"/>
    <w:rsid w:val="4DAC4ACA"/>
    <w:rsid w:val="4F186D58"/>
    <w:rsid w:val="50EC262C"/>
    <w:rsid w:val="522F6E0C"/>
    <w:rsid w:val="52463BA1"/>
    <w:rsid w:val="52E53424"/>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96C9E"/>
    <w:rsid w:val="5F2D4A41"/>
    <w:rsid w:val="601C34ED"/>
    <w:rsid w:val="60A958A9"/>
    <w:rsid w:val="60D22ADB"/>
    <w:rsid w:val="61025A59"/>
    <w:rsid w:val="613D5BBC"/>
    <w:rsid w:val="614B7B86"/>
    <w:rsid w:val="61536C39"/>
    <w:rsid w:val="628230A6"/>
    <w:rsid w:val="62944DD7"/>
    <w:rsid w:val="62AB52B7"/>
    <w:rsid w:val="634D1435"/>
    <w:rsid w:val="63657F3B"/>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9F426A7"/>
    <w:rsid w:val="6A3829EE"/>
    <w:rsid w:val="6B474EF5"/>
    <w:rsid w:val="6C0250FA"/>
    <w:rsid w:val="6C560CAE"/>
    <w:rsid w:val="6D0615E4"/>
    <w:rsid w:val="6D903FF5"/>
    <w:rsid w:val="6DA955B8"/>
    <w:rsid w:val="6DE346AB"/>
    <w:rsid w:val="6F7F6A2D"/>
    <w:rsid w:val="6FB442D1"/>
    <w:rsid w:val="6FFB2E76"/>
    <w:rsid w:val="71C34D91"/>
    <w:rsid w:val="71ED38AA"/>
    <w:rsid w:val="720229AA"/>
    <w:rsid w:val="72DB435C"/>
    <w:rsid w:val="73E84141"/>
    <w:rsid w:val="750837F0"/>
    <w:rsid w:val="764F62AB"/>
    <w:rsid w:val="765C45EC"/>
    <w:rsid w:val="768A7619"/>
    <w:rsid w:val="76E14979"/>
    <w:rsid w:val="77EA362A"/>
    <w:rsid w:val="7875383E"/>
    <w:rsid w:val="796D60A4"/>
    <w:rsid w:val="79A031D5"/>
    <w:rsid w:val="7A1525F7"/>
    <w:rsid w:val="7A3E6CB6"/>
    <w:rsid w:val="7A680D2D"/>
    <w:rsid w:val="7B260559"/>
    <w:rsid w:val="7B420052"/>
    <w:rsid w:val="7BD06A28"/>
    <w:rsid w:val="7C067289"/>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99"/>
    <w:rPr>
      <w:rFonts w:hint="eastAsia" w:ascii="宋体" w:hAnsi="宋体" w:eastAsia="宋体" w:cs="Times New Roman"/>
      <w:sz w:val="24"/>
      <w:szCs w:val="24"/>
      <w:lang w:val="en-US" w:eastAsia="zh-CN" w:bidi="ar-SA"/>
    </w:rPr>
  </w:style>
  <w:style w:type="character" w:default="1" w:styleId="7">
    <w:name w:val="Default Paragraph Font"/>
    <w:autoRedefine/>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pPr>
    <w:rPr>
      <w:sz w:val="18"/>
      <w:szCs w:val="18"/>
    </w:rPr>
  </w:style>
  <w:style w:type="paragraph" w:styleId="3">
    <w:name w:val="header"/>
    <w:basedOn w:val="1"/>
    <w:autoRedefine/>
    <w:qFormat/>
    <w:uiPriority w:val="0"/>
    <w:pPr>
      <w:tabs>
        <w:tab w:val="center" w:pos="4153"/>
        <w:tab w:val="right" w:pos="8306"/>
      </w:tabs>
      <w:snapToGrid w:val="0"/>
      <w:jc w:val="center"/>
    </w:pPr>
    <w:rPr>
      <w:sz w:val="18"/>
      <w:szCs w:val="18"/>
    </w:rPr>
  </w:style>
  <w:style w:type="paragraph" w:styleId="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autoRedefine/>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autoRedefine/>
    <w:qFormat/>
    <w:uiPriority w:val="99"/>
    <w:pPr>
      <w:ind w:firstLine="420" w:firstLineChars="200"/>
    </w:pPr>
    <w:rPr>
      <w:rFonts w:hint="default"/>
    </w:rPr>
  </w:style>
  <w:style w:type="paragraph" w:customStyle="1" w:styleId="10">
    <w:name w:val="普通(网站) Char"/>
    <w:autoRedefine/>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7"/>
    <w:autoRedefine/>
    <w:qFormat/>
    <w:uiPriority w:val="0"/>
    <w:rPr>
      <w:rFonts w:hint="default" w:ascii="Wingdings" w:hAnsi="Wingdings" w:cs="Wingdings"/>
      <w:b/>
      <w:bCs/>
    </w:rPr>
  </w:style>
  <w:style w:type="paragraph" w:customStyle="1" w:styleId="12">
    <w:name w:val="List Paragraph"/>
    <w:basedOn w:val="1"/>
    <w:autoRedefine/>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1</TotalTime>
  <ScaleCrop>false</ScaleCrop>
  <LinksUpToDate>false</LinksUpToDate>
  <CharactersWithSpaces>21460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2025-10-15T08:30:22Z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9EDAFD8FD9424A54844071572B3E9A06_13</vt:lpwstr>
  </property>
</Properties>
</file>