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重庆市铜梁区虎峰镇文化服务中心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仿宋" w:cs="Times New Roman"/>
          <w:b w:val="0"/>
          <w:bCs w:val="0"/>
          <w:color w:val="000000"/>
          <w:kern w:val="2"/>
          <w:sz w:val="32"/>
          <w:szCs w:val="32"/>
          <w:highlight w:val="none"/>
          <w:lang w:val="en-US" w:eastAsia="zh-CN"/>
        </w:rPr>
        <w:t>组织群众文化活动，繁荣群众文化事业。承担文化旅游、宣传、广播电视、体育、科技培训等方面服务工作，管理农村文艺演出活动和文化市场， 非物质文化遗产搜集、整理等。</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b w:val="0"/>
          <w:bCs w:val="0"/>
          <w:color w:val="000030"/>
          <w:sz w:val="32"/>
          <w:szCs w:val="32"/>
          <w:lang w:eastAsia="zh-CN"/>
        </w:rPr>
      </w:pPr>
      <w:r>
        <w:rPr>
          <w:rFonts w:hint="default" w:ascii="Times New Roman" w:hAnsi="Times New Roman" w:eastAsia="仿宋" w:cs="Times New Roman"/>
          <w:b w:val="0"/>
          <w:bCs w:val="0"/>
          <w:color w:val="auto"/>
          <w:sz w:val="32"/>
          <w:szCs w:val="32"/>
          <w:highlight w:val="none"/>
          <w:lang w:val="en-US" w:eastAsia="zh-CN"/>
        </w:rPr>
        <w:t>我</w:t>
      </w:r>
      <w:r>
        <w:rPr>
          <w:rFonts w:hint="default" w:ascii="Times New Roman" w:hAnsi="Times New Roman" w:eastAsia="仿宋" w:cs="Times New Roman"/>
          <w:b w:val="0"/>
          <w:bCs w:val="0"/>
          <w:color w:val="auto"/>
          <w:sz w:val="32"/>
          <w:szCs w:val="32"/>
          <w:highlight w:val="none"/>
        </w:rPr>
        <w:t>单位</w:t>
      </w:r>
      <w:r>
        <w:rPr>
          <w:rFonts w:hint="default" w:ascii="Times New Roman" w:hAnsi="Times New Roman" w:eastAsia="仿宋" w:cs="Times New Roman"/>
          <w:b w:val="0"/>
          <w:bCs w:val="0"/>
          <w:color w:val="auto"/>
          <w:sz w:val="32"/>
          <w:szCs w:val="32"/>
          <w:highlight w:val="none"/>
          <w:lang w:val="en-US" w:eastAsia="zh-CN"/>
        </w:rPr>
        <w:t>为重庆市铜梁区虎峰镇人民政府</w:t>
      </w:r>
      <w:r>
        <w:rPr>
          <w:rFonts w:hint="default" w:ascii="Times New Roman" w:hAnsi="Times New Roman" w:eastAsia="仿宋" w:cs="Times New Roman"/>
          <w:b w:val="0"/>
          <w:bCs w:val="0"/>
          <w:color w:val="auto"/>
          <w:sz w:val="32"/>
          <w:szCs w:val="32"/>
          <w:highlight w:val="none"/>
        </w:rPr>
        <w:t>下</w:t>
      </w:r>
      <w:r>
        <w:rPr>
          <w:rFonts w:hint="default" w:ascii="Times New Roman" w:hAnsi="Times New Roman" w:eastAsia="仿宋" w:cs="Times New Roman"/>
          <w:b w:val="0"/>
          <w:bCs w:val="0"/>
          <w:color w:val="auto"/>
          <w:sz w:val="32"/>
          <w:szCs w:val="32"/>
          <w:highlight w:val="none"/>
          <w:lang w:eastAsia="zh-CN"/>
        </w:rPr>
        <w:t>属事业</w:t>
      </w:r>
      <w:r>
        <w:rPr>
          <w:rFonts w:hint="default" w:ascii="Times New Roman" w:hAnsi="Times New Roman" w:eastAsia="仿宋" w:cs="Times New Roman"/>
          <w:b w:val="0"/>
          <w:bCs w:val="0"/>
          <w:color w:val="000030"/>
          <w:sz w:val="32"/>
          <w:szCs w:val="32"/>
        </w:rPr>
        <w:t>单位</w:t>
      </w:r>
      <w:r>
        <w:rPr>
          <w:rFonts w:hint="default" w:ascii="Times New Roman" w:hAnsi="Times New Roman" w:eastAsia="仿宋" w:cs="Times New Roman"/>
          <w:b w:val="0"/>
          <w:bCs w:val="0"/>
          <w:color w:val="000030"/>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度收入总计83.14万元，支出总计</w:t>
      </w:r>
      <w:r>
        <w:rPr>
          <w:rFonts w:hint="default" w:ascii="Times New Roman" w:hAnsi="Times New Roman" w:eastAsia="方正仿宋_GBK" w:cs="Times New Roman"/>
          <w:b w:val="0"/>
          <w:bCs w:val="0"/>
          <w:sz w:val="32"/>
          <w:szCs w:val="32"/>
        </w:rPr>
        <w:t>83.14</w:t>
      </w:r>
      <w:r>
        <w:rPr>
          <w:rFonts w:hint="default" w:ascii="Times New Roman" w:hAnsi="Times New Roman" w:eastAsia="方正仿宋_GBK" w:cs="Times New Roman"/>
          <w:b w:val="0"/>
          <w:bCs w:val="0"/>
          <w:sz w:val="32"/>
          <w:szCs w:val="32"/>
          <w:shd w:val="clear" w:color="auto" w:fill="FFFFFF"/>
        </w:rPr>
        <w:t>万元。收、支与2023年度相比，增加83.14万元，增长100.0%，主要原因是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度收入合计83.14万元，与2023年度相比，增加83.14万元，增长100.0%，主要原因是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83.14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83.14</w:t>
      </w:r>
      <w:r>
        <w:rPr>
          <w:rFonts w:hint="default" w:ascii="Times New Roman" w:hAnsi="Times New Roman" w:eastAsia="方正仿宋_GBK" w:cs="Times New Roman"/>
          <w:b w:val="0"/>
          <w:bCs w:val="0"/>
          <w:sz w:val="32"/>
          <w:szCs w:val="32"/>
          <w:shd w:val="clear" w:color="auto" w:fill="FFFFFF"/>
        </w:rPr>
        <w:t>万元，与2023年度相比，增加83.14万元，增长100.0%，主要原因是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79.64</w:t>
      </w:r>
      <w:r>
        <w:rPr>
          <w:rFonts w:hint="default" w:ascii="Times New Roman" w:hAnsi="Times New Roman" w:eastAsia="方正仿宋_GBK" w:cs="Times New Roman"/>
          <w:b w:val="0"/>
          <w:bCs w:val="0"/>
          <w:sz w:val="32"/>
          <w:szCs w:val="32"/>
          <w:shd w:val="clear" w:color="auto" w:fill="FFFFFF"/>
        </w:rPr>
        <w:t>万元，占95.79%；项目支出</w:t>
      </w:r>
      <w:r>
        <w:rPr>
          <w:rFonts w:hint="default" w:ascii="Times New Roman" w:hAnsi="Times New Roman" w:eastAsia="方正仿宋_GBK" w:cs="Times New Roman"/>
          <w:b w:val="0"/>
          <w:bCs w:val="0"/>
          <w:sz w:val="32"/>
          <w:szCs w:val="32"/>
        </w:rPr>
        <w:t>3.50</w:t>
      </w:r>
      <w:r>
        <w:rPr>
          <w:rFonts w:hint="default" w:ascii="Times New Roman" w:hAnsi="Times New Roman" w:eastAsia="方正仿宋_GBK" w:cs="Times New Roman"/>
          <w:b w:val="0"/>
          <w:bCs w:val="0"/>
          <w:sz w:val="32"/>
          <w:szCs w:val="32"/>
          <w:shd w:val="clear" w:color="auto" w:fill="FFFFFF"/>
        </w:rPr>
        <w:t>万元，占4.21%；经营支出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度财政拨款收、支总计83.14万元。与202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年相比，财政拨款收、支总计各增加83.14万元，增长100.0%。主要原因是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83.14</w:t>
      </w:r>
      <w:r>
        <w:rPr>
          <w:rFonts w:hint="default" w:ascii="Times New Roman" w:hAnsi="Times New Roman" w:eastAsia="方正仿宋_GBK" w:cs="Times New Roman"/>
          <w:b w:val="0"/>
          <w:bCs w:val="0"/>
          <w:sz w:val="32"/>
          <w:szCs w:val="32"/>
          <w:shd w:val="clear" w:color="auto" w:fill="FFFFFF"/>
        </w:rPr>
        <w:t>万元，与2023年度相比，增加83.14万元，增长100.0%。主要原因是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较年初预算数减少5.54万元，下降6.3%。主要原因是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83.14</w:t>
      </w:r>
      <w:r>
        <w:rPr>
          <w:rFonts w:hint="default" w:ascii="Times New Roman" w:hAnsi="Times New Roman" w:eastAsia="方正仿宋_GBK" w:cs="Times New Roman"/>
          <w:b w:val="0"/>
          <w:bCs w:val="0"/>
          <w:sz w:val="32"/>
          <w:szCs w:val="32"/>
          <w:shd w:val="clear" w:color="auto" w:fill="FFFFFF"/>
        </w:rPr>
        <w:t>万元，与2023年度相比，增加83.14万元，增长100.0%。主要原因是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较年初预算数减少5.54万元，下降6.3%。主要原因是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rPr>
        <w:t>62.50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75.17</w:t>
      </w:r>
      <w:r>
        <w:rPr>
          <w:rFonts w:hint="default" w:ascii="Times New Roman" w:hAnsi="Times New Roman" w:eastAsia="方正仿宋_GBK" w:cs="Times New Roman"/>
          <w:b w:val="0"/>
          <w:bCs w:val="0"/>
          <w:sz w:val="32"/>
          <w:szCs w:val="32"/>
          <w:shd w:val="clear" w:color="auto" w:fill="FFFFFF"/>
        </w:rPr>
        <w:t>%，较年初</w:t>
      </w:r>
      <w:r>
        <w:rPr>
          <w:rFonts w:hint="default" w:ascii="Times New Roman" w:hAnsi="Times New Roman" w:eastAsia="方正仿宋_GBK" w:cs="Times New Roman"/>
          <w:b w:val="0"/>
          <w:bCs w:val="0"/>
          <w:color w:val="auto"/>
          <w:sz w:val="32"/>
          <w:szCs w:val="32"/>
          <w:shd w:val="clear" w:color="auto" w:fill="FFFFFF"/>
        </w:rPr>
        <w:t>预算数减少3.27万元，下降5.0%，主要原因是</w:t>
      </w:r>
      <w:r>
        <w:rPr>
          <w:rFonts w:hint="default" w:ascii="Times New Roman" w:hAnsi="Times New Roman" w:eastAsia="方正仿宋_GBK" w:cs="Times New Roman"/>
          <w:b w:val="0"/>
          <w:bCs w:val="0"/>
          <w:color w:val="auto"/>
          <w:sz w:val="32"/>
          <w:szCs w:val="32"/>
          <w:shd w:val="clear" w:color="auto" w:fill="FFFFFF"/>
          <w:lang w:eastAsia="zh-CN"/>
        </w:rPr>
        <w:t>压减了部分支出。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14.85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17.86</w:t>
      </w:r>
      <w:r>
        <w:rPr>
          <w:rFonts w:hint="default" w:ascii="Times New Roman" w:hAnsi="Times New Roman" w:eastAsia="方正仿宋_GBK" w:cs="Times New Roman"/>
          <w:b w:val="0"/>
          <w:bCs w:val="0"/>
          <w:sz w:val="32"/>
          <w:szCs w:val="32"/>
          <w:shd w:val="clear" w:color="auto" w:fill="FFFFFF"/>
        </w:rPr>
        <w:t>%，较年初预算数减少0.75万元，下降4.8%，主要原因是</w:t>
      </w:r>
      <w:r>
        <w:rPr>
          <w:rFonts w:hint="default" w:ascii="Times New Roman" w:hAnsi="Times New Roman" w:eastAsia="方正仿宋_GBK" w:cs="Times New Roman"/>
          <w:b w:val="0"/>
          <w:bCs w:val="0"/>
          <w:sz w:val="32"/>
          <w:szCs w:val="32"/>
          <w:shd w:val="clear" w:color="auto" w:fill="FFFFFF"/>
          <w:lang w:eastAsia="zh-CN"/>
        </w:rPr>
        <w:t>减少了部分离退休相关经费的支出</w:t>
      </w:r>
      <w:r>
        <w:rPr>
          <w:rFonts w:hint="default" w:ascii="Times New Roman" w:hAnsi="Times New Roman" w:eastAsia="方正仿宋_GBK" w:cs="Times New Roman"/>
          <w:b w:val="0"/>
          <w:bCs w:val="0"/>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2.86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3.44</w:t>
      </w:r>
      <w:r>
        <w:rPr>
          <w:rFonts w:hint="default" w:ascii="Times New Roman" w:hAnsi="Times New Roman" w:eastAsia="方正仿宋_GBK" w:cs="Times New Roman"/>
          <w:b w:val="0"/>
          <w:bCs w:val="0"/>
          <w:sz w:val="32"/>
          <w:szCs w:val="32"/>
          <w:shd w:val="clear" w:color="auto" w:fill="FFFFFF"/>
        </w:rPr>
        <w:t>%，较年初预算数减少1.32万元，下降31.6%，主要原因是</w:t>
      </w:r>
      <w:r>
        <w:rPr>
          <w:rFonts w:hint="default" w:ascii="Times New Roman" w:hAnsi="Times New Roman" w:eastAsia="方正仿宋_GBK" w:cs="Times New Roman"/>
          <w:b w:val="0"/>
          <w:bCs w:val="0"/>
          <w:sz w:val="32"/>
          <w:szCs w:val="32"/>
          <w:shd w:val="clear" w:color="auto" w:fill="FFFFFF"/>
          <w:lang w:eastAsia="zh-CN"/>
        </w:rPr>
        <w:t>减少了公务员医疗补助缴费项目。</w:t>
      </w:r>
    </w:p>
    <w:p>
      <w:pPr>
        <w:ind w:firstLine="640" w:firstLineChars="200"/>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住房保障支出2.93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3.53</w:t>
      </w:r>
      <w:r>
        <w:rPr>
          <w:rFonts w:hint="default" w:ascii="Times New Roman" w:hAnsi="Times New Roman" w:eastAsia="方正仿宋_GBK" w:cs="Times New Roman"/>
          <w:color w:val="auto"/>
          <w:sz w:val="32"/>
          <w:szCs w:val="32"/>
          <w:shd w:val="clear" w:color="auto" w:fill="FFFFFF"/>
        </w:rPr>
        <w:t>%，较年初预算数减少0.20万元，下降6.4%，主要原因是</w:t>
      </w:r>
      <w:r>
        <w:rPr>
          <w:rFonts w:hint="eastAsia" w:ascii="Times New Roman" w:hAnsi="Times New Roman" w:eastAsia="方正仿宋_GBK" w:cs="Times New Roman"/>
          <w:color w:val="auto"/>
          <w:sz w:val="32"/>
          <w:szCs w:val="32"/>
          <w:shd w:val="clear" w:color="auto" w:fill="FFFFFF"/>
          <w:lang w:eastAsia="zh-CN"/>
        </w:rPr>
        <w:t>新增退休人员，少缴纳部分住房公积金。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79.64</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68.94</w:t>
      </w:r>
      <w:r>
        <w:rPr>
          <w:rFonts w:hint="default" w:ascii="Times New Roman" w:hAnsi="Times New Roman" w:eastAsia="方正仿宋_GBK" w:cs="Times New Roman"/>
          <w:b w:val="0"/>
          <w:bCs w:val="0"/>
          <w:sz w:val="32"/>
          <w:szCs w:val="32"/>
          <w:shd w:val="clear" w:color="auto" w:fill="FFFFFF"/>
        </w:rPr>
        <w:t>万元，与2023年度相比，增加68.94万元，增长100.0%，主要原因是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rPr>
        <w:t>单位给在职人员的各类劳动报酬，以及为其缴纳的各项社会保险费等，退休</w:t>
      </w:r>
      <w:r>
        <w:rPr>
          <w:rFonts w:hint="default" w:ascii="Times New Roman" w:hAnsi="Times New Roman" w:eastAsia="方正仿宋_GBK" w:cs="Times New Roman"/>
          <w:b w:val="0"/>
          <w:bCs w:val="0"/>
          <w:sz w:val="32"/>
          <w:szCs w:val="32"/>
          <w:lang w:eastAsia="zh-CN"/>
        </w:rPr>
        <w:t>人员</w:t>
      </w:r>
      <w:r>
        <w:rPr>
          <w:rFonts w:hint="default" w:ascii="Times New Roman" w:hAnsi="Times New Roman" w:eastAsia="方正仿宋_GBK" w:cs="Times New Roman"/>
          <w:b w:val="0"/>
          <w:bCs w:val="0"/>
          <w:sz w:val="32"/>
          <w:szCs w:val="32"/>
        </w:rPr>
        <w:t>等相关经费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10.70</w:t>
      </w:r>
      <w:r>
        <w:rPr>
          <w:rFonts w:hint="default" w:ascii="Times New Roman" w:hAnsi="Times New Roman" w:eastAsia="方正仿宋_GBK" w:cs="Times New Roman"/>
          <w:b w:val="0"/>
          <w:bCs w:val="0"/>
          <w:sz w:val="32"/>
          <w:szCs w:val="32"/>
          <w:shd w:val="clear" w:color="auto" w:fill="FFFFFF"/>
        </w:rPr>
        <w:t>万元，与2023年度相比，增加10.70万元，增长100.0%，主要原因是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eastAsia="zh-CN"/>
        </w:rPr>
        <w:t>办公费、维修维护费等</w:t>
      </w:r>
      <w:r>
        <w:rPr>
          <w:rFonts w:hint="default" w:ascii="Times New Roman" w:hAnsi="Times New Roman" w:eastAsia="方正仿宋_GBK" w:cs="Times New Roman"/>
          <w:b w:val="0"/>
          <w:bCs w:val="0"/>
          <w:sz w:val="32"/>
          <w:szCs w:val="32"/>
          <w:shd w:val="clear" w:color="auto" w:fill="FFFFFF"/>
        </w:rPr>
        <w:t>保障机关运行</w:t>
      </w:r>
      <w:r>
        <w:rPr>
          <w:rFonts w:hint="default" w:ascii="Times New Roman" w:hAnsi="Times New Roman" w:eastAsia="方正仿宋_GBK" w:cs="Times New Roman"/>
          <w:b w:val="0"/>
          <w:bCs w:val="0"/>
          <w:sz w:val="32"/>
          <w:szCs w:val="32"/>
          <w:shd w:val="clear" w:color="auto" w:fill="FFFFFF"/>
          <w:lang w:eastAsia="zh-CN"/>
        </w:rPr>
        <w:t>的</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相关支出。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lang w:eastAsia="zh-CN"/>
        </w:rPr>
      </w:pPr>
      <w:r>
        <w:rPr>
          <w:rStyle w:val="8"/>
          <w:rFonts w:hint="default" w:ascii="Times New Roman" w:hAnsi="Times New Roman" w:eastAsia="方正仿宋_GBK" w:cs="Times New Roman"/>
          <w:b w:val="0"/>
          <w:bCs w:val="0"/>
          <w:sz w:val="32"/>
          <w:szCs w:val="32"/>
          <w:shd w:val="clear" w:color="auto" w:fill="auto"/>
        </w:rPr>
        <w:t>我单位属于</w:t>
      </w:r>
      <w:r>
        <w:rPr>
          <w:rStyle w:val="8"/>
          <w:rFonts w:hint="default" w:ascii="Times New Roman" w:hAnsi="Times New Roman" w:eastAsia="方正仿宋_GBK" w:cs="Times New Roman"/>
          <w:b w:val="0"/>
          <w:bCs w:val="0"/>
          <w:sz w:val="32"/>
          <w:szCs w:val="32"/>
          <w:shd w:val="clear" w:color="auto" w:fill="auto"/>
          <w:lang w:eastAsia="zh-CN"/>
        </w:rPr>
        <w:t>虎峰镇人民政府下级预算单位，无“三公”经费支。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0.13</w:t>
      </w:r>
      <w:r>
        <w:rPr>
          <w:rFonts w:hint="default" w:ascii="Times New Roman" w:hAnsi="Times New Roman" w:eastAsia="方正仿宋_GBK" w:cs="Times New Roman"/>
          <w:b w:val="0"/>
          <w:bCs w:val="0"/>
          <w:sz w:val="32"/>
          <w:szCs w:val="32"/>
          <w:shd w:val="clear" w:color="auto" w:fill="FFFFFF"/>
        </w:rPr>
        <w:t>万元，与2023年度相比，增加0.13万元，增长100.0%，主要原因是</w:t>
      </w:r>
      <w:r>
        <w:rPr>
          <w:rFonts w:hint="default" w:ascii="Times New Roman" w:hAnsi="Times New Roman" w:eastAsia="方正仿宋_GBK" w:cs="Times New Roman"/>
          <w:b w:val="0"/>
          <w:bCs w:val="0"/>
          <w:sz w:val="32"/>
          <w:szCs w:val="32"/>
          <w:shd w:val="clear" w:color="auto" w:fill="FFFFFF"/>
          <w:lang w:eastAsia="zh-CN"/>
        </w:rPr>
        <w:t>专技人员参加培训支出</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color w:val="FF0000"/>
          <w:sz w:val="32"/>
          <w:szCs w:val="32"/>
          <w:lang w:eastAsia="zh-CN"/>
        </w:rPr>
        <w:t>　</w:t>
      </w:r>
      <w:r>
        <w:rPr>
          <w:rFonts w:hint="default" w:ascii="Times New Roman" w:hAnsi="Times New Roman" w:eastAsia="方正仿宋_GBK" w:cs="Times New Roman"/>
          <w:b w:val="0"/>
          <w:bCs w:val="0"/>
          <w:color w:val="auto"/>
          <w:sz w:val="32"/>
          <w:szCs w:val="32"/>
          <w:lang w:eastAsia="zh-CN"/>
        </w:rPr>
        <w:t>　</w:t>
      </w: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2024年12</w:t>
      </w:r>
      <w:r>
        <w:rPr>
          <w:rFonts w:hint="default" w:ascii="Times New Roman" w:hAnsi="Times New Roman" w:eastAsia="方正仿宋_GBK" w:cs="Times New Roman"/>
          <w:b w:val="0"/>
          <w:bCs w:val="0"/>
          <w:sz w:val="32"/>
          <w:szCs w:val="32"/>
          <w:shd w:val="clear" w:color="auto" w:fill="FFFFFF"/>
        </w:rPr>
        <w:t>月</w:t>
      </w:r>
      <w:r>
        <w:rPr>
          <w:rFonts w:hint="default" w:ascii="Times New Roman" w:hAnsi="Times New Roman" w:eastAsia="方正仿宋_GBK" w:cs="Times New Roman"/>
          <w:b w:val="0"/>
          <w:bCs w:val="0"/>
          <w:sz w:val="32"/>
          <w:szCs w:val="32"/>
          <w:shd w:val="clear" w:color="auto" w:fill="FFFFFF"/>
          <w:lang w:eastAsia="zh-CN"/>
        </w:rPr>
        <w:t>31</w:t>
      </w:r>
      <w:r>
        <w:rPr>
          <w:rFonts w:hint="default" w:ascii="Times New Roman" w:hAnsi="Times New Roman" w:eastAsia="方正仿宋_GBK" w:cs="Times New Roman"/>
          <w:b w:val="0"/>
          <w:bCs w:val="0"/>
          <w:sz w:val="32"/>
          <w:szCs w:val="32"/>
          <w:shd w:val="clear" w:color="auto" w:fill="FFFFFF"/>
        </w:rPr>
        <w:t>日，本单位共有车辆</w:t>
      </w:r>
      <w:r>
        <w:rPr>
          <w:rFonts w:hint="default" w:ascii="Times New Roman"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shd w:val="clear" w:color="auto" w:fill="FFFFFF"/>
          <w:lang w:eastAsia="zh-CN"/>
        </w:rPr>
        <w:t>0辆</w:t>
      </w:r>
      <w:r>
        <w:rPr>
          <w:rFonts w:hint="default" w:ascii="Times New Roman" w:hAnsi="Times New Roman" w:eastAsia="方正仿宋_GBK" w:cs="Times New Roman"/>
          <w:b w:val="0"/>
          <w:bCs w:val="0"/>
          <w:sz w:val="32"/>
          <w:szCs w:val="32"/>
          <w:shd w:val="clear" w:color="auto" w:fill="FFFFFF"/>
        </w:rPr>
        <w:t>，离退休干部用车</w:t>
      </w:r>
      <w:r>
        <w:rPr>
          <w:rFonts w:hint="default" w:ascii="Times New Roman" w:hAnsi="Times New Roman" w:eastAsia="方正仿宋_GBK" w:cs="Times New Roman"/>
          <w:b w:val="0"/>
          <w:bCs w:val="0"/>
          <w:sz w:val="32"/>
          <w:szCs w:val="32"/>
          <w:shd w:val="clear" w:color="auto" w:fill="FFFFFF"/>
          <w:lang w:eastAsia="zh-CN"/>
        </w:rPr>
        <w:t>0</w:t>
      </w:r>
      <w:r>
        <w:rPr>
          <w:rFonts w:hint="default" w:ascii="Times New Roman" w:hAnsi="Times New Roman" w:eastAsia="方正仿宋_GBK" w:cs="Times New Roman"/>
          <w:b w:val="0"/>
          <w:bCs w:val="0"/>
          <w:sz w:val="32"/>
          <w:szCs w:val="32"/>
          <w:shd w:val="clear" w:color="auto" w:fill="FFFFFF"/>
        </w:rPr>
        <w:t>辆。单价</w:t>
      </w:r>
      <w:r>
        <w:rPr>
          <w:rFonts w:hint="default" w:ascii="Times New Roman" w:hAnsi="Times New Roman" w:eastAsia="方正仿宋_GBK" w:cs="Times New Roman"/>
          <w:b w:val="0"/>
          <w:bCs w:val="0"/>
          <w:sz w:val="32"/>
          <w:szCs w:val="32"/>
          <w:shd w:val="clear" w:color="auto" w:fill="FFFFFF"/>
          <w:lang w:eastAsia="zh-CN"/>
        </w:rPr>
        <w:t>100</w:t>
      </w:r>
      <w:r>
        <w:rPr>
          <w:rFonts w:hint="default" w:ascii="Times New Roman" w:hAnsi="Times New Roman" w:eastAsia="方正仿宋_GBK" w:cs="Times New Roman"/>
          <w:b w:val="0"/>
          <w:bCs w:val="0"/>
          <w:sz w:val="32"/>
          <w:szCs w:val="32"/>
          <w:shd w:val="clear" w:color="auto" w:fill="FFFFFF"/>
        </w:rPr>
        <w:t>万元（含）以上专用设备</w:t>
      </w:r>
      <w:r>
        <w:rPr>
          <w:rFonts w:hint="default" w:ascii="Times New Roman" w:hAnsi="Times New Roman" w:eastAsia="方正仿宋_GBK" w:cs="Times New Roman"/>
          <w:b w:val="0"/>
          <w:bCs w:val="0"/>
          <w:sz w:val="32"/>
          <w:szCs w:val="32"/>
          <w:shd w:val="clear" w:color="auto" w:fill="FFFFFF"/>
          <w:lang w:eastAsia="zh-CN"/>
        </w:rPr>
        <w:t>0台</w:t>
      </w:r>
      <w:r>
        <w:rPr>
          <w:rFonts w:hint="default" w:ascii="Times New Roman" w:hAnsi="Times New Roman" w:eastAsia="方正仿宋_GBK" w:cs="Times New Roman"/>
          <w:b w:val="0"/>
          <w:bCs w:val="0"/>
          <w:sz w:val="32"/>
          <w:szCs w:val="32"/>
          <w:shd w:val="clear" w:color="auto" w:fill="FFFFFF"/>
        </w:rPr>
        <w:t>（套）。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FF0000"/>
          <w:sz w:val="32"/>
          <w:szCs w:val="32"/>
          <w:shd w:val="clear" w:color="auto" w:fill="FFFFFF"/>
          <w:lang w:eastAsia="zh-CN"/>
        </w:rPr>
        <w:t>　</w:t>
      </w:r>
      <w:r>
        <w:rPr>
          <w:rFonts w:hint="default" w:ascii="Times New Roman" w:hAnsi="Times New Roman" w:eastAsia="方正仿宋_GBK" w:cs="Times New Roman"/>
          <w:b w:val="0"/>
          <w:bCs w:val="0"/>
          <w:sz w:val="32"/>
          <w:szCs w:val="32"/>
          <w:shd w:val="clear" w:color="auto" w:fill="FFFFFF"/>
          <w:lang w:eastAsia="zh-CN"/>
        </w:rPr>
        <w:t>　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color w:val="auto"/>
          <w:sz w:val="32"/>
          <w:szCs w:val="32"/>
          <w:shd w:val="clear" w:color="auto" w:fill="FFFFFF"/>
          <w:lang w:val="en-US" w:eastAsia="zh-CN" w:bidi="ar-SA"/>
        </w:rPr>
      </w:pPr>
      <w:r>
        <w:rPr>
          <w:rStyle w:val="8"/>
          <w:rFonts w:hint="default" w:ascii="Times New Roman" w:hAnsi="Times New Roman" w:eastAsia="黑体" w:cs="Times New Roman"/>
          <w:b w:val="0"/>
          <w:bCs w:val="0"/>
          <w:color w:val="auto"/>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eastAsia="zh-CN"/>
        </w:rPr>
        <w:t>１</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bidi="ar"/>
        </w:rPr>
        <w:t>１</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bidi="ar"/>
        </w:rPr>
        <w:t>3.5</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lang w:eastAsia="zh-CN"/>
        </w:rPr>
        <w:t>联系人：</w:t>
      </w:r>
      <w:r>
        <w:rPr>
          <w:rFonts w:hint="default" w:ascii="Times New Roman" w:hAnsi="Times New Roman" w:eastAsia="方正仿宋_GBK" w:cs="Times New Roman"/>
          <w:b w:val="0"/>
          <w:bCs w:val="0"/>
          <w:color w:val="auto"/>
          <w:kern w:val="0"/>
          <w:sz w:val="32"/>
          <w:szCs w:val="32"/>
          <w:shd w:val="clear" w:fill="FFFFFF"/>
          <w:lang w:val="en-US" w:eastAsia="zh-CN"/>
        </w:rPr>
        <w:t>吴云胜 联系方式：</w:t>
      </w:r>
      <w:r>
        <w:rPr>
          <w:rFonts w:hint="default" w:ascii="Times New Roman" w:hAnsi="Times New Roman" w:eastAsia="方正仿宋_GBK" w:cs="Times New Roman"/>
          <w:b w:val="0"/>
          <w:bCs w:val="0"/>
          <w:color w:val="auto"/>
          <w:kern w:val="0"/>
          <w:sz w:val="32"/>
          <w:szCs w:val="32"/>
          <w:shd w:val="clear" w:fill="FFFFFF"/>
        </w:rPr>
        <w:t>023-</w:t>
      </w:r>
      <w:r>
        <w:rPr>
          <w:rFonts w:hint="default" w:ascii="Times New Roman" w:hAnsi="Times New Roman" w:eastAsia="方正仿宋_GBK" w:cs="Times New Roman"/>
          <w:b w:val="0"/>
          <w:bCs w:val="0"/>
          <w:color w:val="auto"/>
          <w:kern w:val="0"/>
          <w:sz w:val="32"/>
          <w:szCs w:val="32"/>
          <w:shd w:val="clear" w:fill="FFFFFF"/>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重庆市铜梁区虎峰镇文化服务中心</w:t>
      </w:r>
      <w:r>
        <w:rPr>
          <w:rFonts w:hint="default" w:ascii="Times New Roman" w:hAnsi="Times New Roman" w:eastAsia="方正仿宋_GBK" w:cs="Times New Roman"/>
          <w:b w:val="0"/>
          <w:bCs w:val="0"/>
          <w:color w:val="auto"/>
          <w:kern w:val="0"/>
          <w:sz w:val="32"/>
          <w:szCs w:val="32"/>
          <w:shd w:val="clear" w:fill="FFFFFF"/>
          <w:lang w:val="en-US" w:eastAsia="zh-CN" w:bidi="ar-SA"/>
        </w:rPr>
        <w:t>2024</w:t>
      </w:r>
      <w:r>
        <w:rPr>
          <w:rStyle w:val="11"/>
          <w:rFonts w:hint="default" w:ascii="Times New Roman" w:hAnsi="Times New Roman" w:eastAsia="方正仿宋_GBK" w:cs="Times New Roman"/>
          <w:b w:val="0"/>
          <w:bCs w:val="0"/>
          <w:sz w:val="32"/>
          <w:szCs w:val="32"/>
          <w:shd w:val="clear" w:color="auto" w:fill="auto"/>
          <w:lang w:val="en-US" w:eastAsia="zh-CN"/>
        </w:rPr>
        <w:t>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重庆市铜梁区虎峰镇文化服务中心</w:t>
      </w:r>
      <w:r>
        <w:rPr>
          <w:rFonts w:hint="default" w:ascii="Times New Roman" w:hAnsi="Times New Roman" w:eastAsia="方正仿宋_GBK" w:cs="Times New Roman"/>
          <w:b w:val="0"/>
          <w:bCs w:val="0"/>
          <w:color w:val="auto"/>
          <w:kern w:val="0"/>
          <w:sz w:val="32"/>
          <w:szCs w:val="32"/>
          <w:shd w:val="clear" w:fill="FFFFFF"/>
          <w:lang w:val="en-US" w:eastAsia="zh-CN" w:bidi="ar-SA"/>
        </w:rPr>
        <w:t>2024</w:t>
      </w:r>
      <w:r>
        <w:rPr>
          <w:rStyle w:val="11"/>
          <w:rFonts w:hint="default" w:ascii="Times New Roman" w:hAnsi="Times New Roman" w:eastAsia="方正仿宋_GBK" w:cs="Times New Roman"/>
          <w:b w:val="0"/>
          <w:bCs w:val="0"/>
          <w:sz w:val="32"/>
          <w:szCs w:val="32"/>
          <w:shd w:val="clear" w:color="auto" w:fill="auto"/>
          <w:lang w:val="en-US" w:eastAsia="zh-CN"/>
        </w:rPr>
        <w:t>年度决算公开报表</w:t>
      </w:r>
      <w:bookmarkStart w:id="0" w:name="_GoBack"/>
      <w:bookmarkEnd w:id="0"/>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重庆市铜梁区虎峰镇文化服务中心</w:t>
      </w:r>
      <w:r>
        <w:rPr>
          <w:rFonts w:hint="default" w:ascii="Times New Roman" w:hAnsi="Times New Roman" w:eastAsia="方正仿宋_GBK" w:cs="Times New Roman"/>
          <w:b w:val="0"/>
          <w:bCs w:val="0"/>
          <w:color w:val="auto"/>
          <w:kern w:val="0"/>
          <w:sz w:val="32"/>
          <w:szCs w:val="32"/>
          <w:shd w:val="clear" w:fill="FFFFFF"/>
          <w:lang w:val="en-US" w:eastAsia="zh-CN" w:bidi="ar-SA"/>
        </w:rPr>
        <w:t>2024</w:t>
      </w:r>
      <w:r>
        <w:rPr>
          <w:rStyle w:val="11"/>
          <w:rFonts w:hint="default" w:ascii="Times New Roman" w:hAnsi="Times New Roman" w:eastAsia="方正仿宋_GBK" w:cs="Times New Roman"/>
          <w:b w:val="0"/>
          <w:bCs w:val="0"/>
          <w:sz w:val="32"/>
          <w:szCs w:val="32"/>
          <w:shd w:val="clear" w:color="auto" w:fill="auto"/>
          <w:lang w:val="en-US" w:eastAsia="zh-CN"/>
        </w:rPr>
        <w:t>年度项目绩效自评表</w:t>
      </w:r>
    </w:p>
    <w:sectPr>
      <w:headerReference r:id="rId3" w:type="default"/>
      <w:footerReference r:id="rId4" w:type="default"/>
      <w:pgSz w:w="11850" w:h="16783"/>
      <w:pgMar w:top="2098" w:right="1474" w:bottom="1984" w:left="1587" w:header="0"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inside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w:t>
                          </w:r>
                          <w:r>
                            <w:rPr>
                              <w:rFonts w:hint="default"/>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w:t>
                    </w:r>
                    <w:r>
                      <w:rPr>
                        <w:rFonts w:hint="default"/>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37405E1"/>
    <w:rsid w:val="0385634A"/>
    <w:rsid w:val="03E3214F"/>
    <w:rsid w:val="04446191"/>
    <w:rsid w:val="044C50BA"/>
    <w:rsid w:val="04D36A3C"/>
    <w:rsid w:val="06A2550B"/>
    <w:rsid w:val="06F80EE2"/>
    <w:rsid w:val="07001CCA"/>
    <w:rsid w:val="075678DB"/>
    <w:rsid w:val="08051BCA"/>
    <w:rsid w:val="08707988"/>
    <w:rsid w:val="08887FC5"/>
    <w:rsid w:val="08B84F60"/>
    <w:rsid w:val="08BA052C"/>
    <w:rsid w:val="08DB07BA"/>
    <w:rsid w:val="096E5556"/>
    <w:rsid w:val="098305D0"/>
    <w:rsid w:val="09B72B6E"/>
    <w:rsid w:val="0A3851D8"/>
    <w:rsid w:val="0A4D5C46"/>
    <w:rsid w:val="0A5C4B69"/>
    <w:rsid w:val="0AEC3BC7"/>
    <w:rsid w:val="0B9335CE"/>
    <w:rsid w:val="0C7927C4"/>
    <w:rsid w:val="0C9B098C"/>
    <w:rsid w:val="0CE20369"/>
    <w:rsid w:val="0D11728C"/>
    <w:rsid w:val="0D673E11"/>
    <w:rsid w:val="0DB50EFE"/>
    <w:rsid w:val="0DDA54E4"/>
    <w:rsid w:val="0E3A5F83"/>
    <w:rsid w:val="0EE070F0"/>
    <w:rsid w:val="0F615EBD"/>
    <w:rsid w:val="0F6D4D62"/>
    <w:rsid w:val="0F836721"/>
    <w:rsid w:val="103645A3"/>
    <w:rsid w:val="107B59E5"/>
    <w:rsid w:val="11003CB0"/>
    <w:rsid w:val="111445C7"/>
    <w:rsid w:val="1158083A"/>
    <w:rsid w:val="11F03528"/>
    <w:rsid w:val="12336C2A"/>
    <w:rsid w:val="12C921C4"/>
    <w:rsid w:val="13850DCB"/>
    <w:rsid w:val="13871C70"/>
    <w:rsid w:val="13A71CB4"/>
    <w:rsid w:val="13AF1D43"/>
    <w:rsid w:val="13C643C6"/>
    <w:rsid w:val="13CE1647"/>
    <w:rsid w:val="141A11EA"/>
    <w:rsid w:val="14200702"/>
    <w:rsid w:val="14696931"/>
    <w:rsid w:val="148E377E"/>
    <w:rsid w:val="1580711B"/>
    <w:rsid w:val="189B0D0B"/>
    <w:rsid w:val="18A24E51"/>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5D6EBB"/>
    <w:rsid w:val="24932670"/>
    <w:rsid w:val="24B92327"/>
    <w:rsid w:val="251175E6"/>
    <w:rsid w:val="2533755C"/>
    <w:rsid w:val="26396DF4"/>
    <w:rsid w:val="270642A6"/>
    <w:rsid w:val="27167136"/>
    <w:rsid w:val="27B23302"/>
    <w:rsid w:val="29310A5F"/>
    <w:rsid w:val="29C37A35"/>
    <w:rsid w:val="29C95E09"/>
    <w:rsid w:val="2A076083"/>
    <w:rsid w:val="2A73162E"/>
    <w:rsid w:val="2A917A18"/>
    <w:rsid w:val="2AD02018"/>
    <w:rsid w:val="2B167953"/>
    <w:rsid w:val="2B200583"/>
    <w:rsid w:val="2B8209DE"/>
    <w:rsid w:val="2C161D32"/>
    <w:rsid w:val="2C2D3EC7"/>
    <w:rsid w:val="2C6762A3"/>
    <w:rsid w:val="2D8D2A49"/>
    <w:rsid w:val="2FE029D7"/>
    <w:rsid w:val="2FF06E00"/>
    <w:rsid w:val="31530A22"/>
    <w:rsid w:val="315D199F"/>
    <w:rsid w:val="315F0B22"/>
    <w:rsid w:val="31D84415"/>
    <w:rsid w:val="32285F6F"/>
    <w:rsid w:val="32770556"/>
    <w:rsid w:val="329C0913"/>
    <w:rsid w:val="32D3412D"/>
    <w:rsid w:val="3337290D"/>
    <w:rsid w:val="338213DC"/>
    <w:rsid w:val="352930DB"/>
    <w:rsid w:val="35573069"/>
    <w:rsid w:val="358C217E"/>
    <w:rsid w:val="359F188C"/>
    <w:rsid w:val="362D2433"/>
    <w:rsid w:val="36C9128A"/>
    <w:rsid w:val="377C79CE"/>
    <w:rsid w:val="37841E99"/>
    <w:rsid w:val="37BF1123"/>
    <w:rsid w:val="37F26E25"/>
    <w:rsid w:val="38BE4696"/>
    <w:rsid w:val="39166507"/>
    <w:rsid w:val="39B82A39"/>
    <w:rsid w:val="39F33306"/>
    <w:rsid w:val="3A5E1DCC"/>
    <w:rsid w:val="3B1705E5"/>
    <w:rsid w:val="3B18334B"/>
    <w:rsid w:val="3B36794F"/>
    <w:rsid w:val="3B544954"/>
    <w:rsid w:val="3BBF6D9E"/>
    <w:rsid w:val="3BF014AD"/>
    <w:rsid w:val="3C6A5B02"/>
    <w:rsid w:val="3D2757A1"/>
    <w:rsid w:val="3D3D4FC4"/>
    <w:rsid w:val="3DDF3AB1"/>
    <w:rsid w:val="3DE60B7E"/>
    <w:rsid w:val="3E116A1F"/>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4B426C"/>
    <w:rsid w:val="465B470D"/>
    <w:rsid w:val="469D6AD4"/>
    <w:rsid w:val="46E61725"/>
    <w:rsid w:val="46FC41C7"/>
    <w:rsid w:val="47674801"/>
    <w:rsid w:val="47FC5A7C"/>
    <w:rsid w:val="48225EF7"/>
    <w:rsid w:val="48BD16AF"/>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C142D5"/>
    <w:rsid w:val="554E5773"/>
    <w:rsid w:val="555A3CBC"/>
    <w:rsid w:val="56530F5D"/>
    <w:rsid w:val="5842572D"/>
    <w:rsid w:val="5918482C"/>
    <w:rsid w:val="59C26993"/>
    <w:rsid w:val="59FA11ED"/>
    <w:rsid w:val="5AE75037"/>
    <w:rsid w:val="5B265E74"/>
    <w:rsid w:val="5B58571C"/>
    <w:rsid w:val="5B8376C2"/>
    <w:rsid w:val="5B96133A"/>
    <w:rsid w:val="5C1336B7"/>
    <w:rsid w:val="5C263CE4"/>
    <w:rsid w:val="5C5D2777"/>
    <w:rsid w:val="5D290C69"/>
    <w:rsid w:val="5D537F41"/>
    <w:rsid w:val="5EFA176D"/>
    <w:rsid w:val="5F0247F9"/>
    <w:rsid w:val="5F2D4A41"/>
    <w:rsid w:val="5F382EEB"/>
    <w:rsid w:val="601C34ED"/>
    <w:rsid w:val="60A958A9"/>
    <w:rsid w:val="60D22ADB"/>
    <w:rsid w:val="61025A59"/>
    <w:rsid w:val="613D5BBC"/>
    <w:rsid w:val="614B7B86"/>
    <w:rsid w:val="61536C39"/>
    <w:rsid w:val="61FF5403"/>
    <w:rsid w:val="628230A6"/>
    <w:rsid w:val="62944DD7"/>
    <w:rsid w:val="62AB52B7"/>
    <w:rsid w:val="634D1435"/>
    <w:rsid w:val="63C25DC5"/>
    <w:rsid w:val="63C62057"/>
    <w:rsid w:val="63C73832"/>
    <w:rsid w:val="646D3B32"/>
    <w:rsid w:val="64FB113D"/>
    <w:rsid w:val="654E4D38"/>
    <w:rsid w:val="656152C6"/>
    <w:rsid w:val="6587477F"/>
    <w:rsid w:val="658C3A08"/>
    <w:rsid w:val="65C031CA"/>
    <w:rsid w:val="65CE6852"/>
    <w:rsid w:val="66267C04"/>
    <w:rsid w:val="663F505A"/>
    <w:rsid w:val="665C1999"/>
    <w:rsid w:val="667F2393"/>
    <w:rsid w:val="66EE5541"/>
    <w:rsid w:val="67895697"/>
    <w:rsid w:val="692172FD"/>
    <w:rsid w:val="6A3829EE"/>
    <w:rsid w:val="6AE7057D"/>
    <w:rsid w:val="6B474EF5"/>
    <w:rsid w:val="6C560CAE"/>
    <w:rsid w:val="6C776D3F"/>
    <w:rsid w:val="6D0615E4"/>
    <w:rsid w:val="6D327BD5"/>
    <w:rsid w:val="6D903FF5"/>
    <w:rsid w:val="6DA955B8"/>
    <w:rsid w:val="6DAA0628"/>
    <w:rsid w:val="6DE346AB"/>
    <w:rsid w:val="6F665D41"/>
    <w:rsid w:val="6F7F6A2D"/>
    <w:rsid w:val="6FB442D1"/>
    <w:rsid w:val="6FFB2E76"/>
    <w:rsid w:val="710D5505"/>
    <w:rsid w:val="71C34D91"/>
    <w:rsid w:val="71ED38AA"/>
    <w:rsid w:val="720229AA"/>
    <w:rsid w:val="72C45265"/>
    <w:rsid w:val="72DB435C"/>
    <w:rsid w:val="73AF2E6B"/>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