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重庆市铜梁区虎峰镇农业服务中心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一、</w:t>
      </w:r>
      <w:r>
        <w:rPr>
          <w:rStyle w:val="8"/>
          <w:rFonts w:hint="default" w:ascii="Times New Roman" w:hAnsi="Times New Roman" w:eastAsia="黑体" w:cs="Times New Roman"/>
          <w:b w:val="0"/>
          <w:bCs/>
          <w:sz w:val="32"/>
          <w:szCs w:val="32"/>
          <w:shd w:val="clear" w:color="auto" w:fill="FFFFFF"/>
          <w:lang w:eastAsia="zh-CN"/>
        </w:rPr>
        <w:t>单位</w:t>
      </w:r>
      <w:r>
        <w:rPr>
          <w:rStyle w:val="8"/>
          <w:rFonts w:hint="default" w:ascii="Times New Roman" w:hAnsi="Times New Roman" w:eastAsia="黑体" w:cs="Times New Roman"/>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楷体" w:cs="Times New Roman"/>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仿宋" w:cs="Times New Roman"/>
          <w:color w:val="000000"/>
          <w:kern w:val="2"/>
          <w:sz w:val="30"/>
          <w:szCs w:val="30"/>
          <w:highlight w:val="none"/>
          <w:lang w:val="en-US" w:eastAsia="zh-CN"/>
        </w:rPr>
      </w:pPr>
      <w:r>
        <w:rPr>
          <w:rFonts w:hint="default" w:ascii="Times New Roman" w:hAnsi="Times New Roman" w:eastAsia="仿宋" w:cs="Times New Roman"/>
          <w:color w:val="000000"/>
          <w:kern w:val="2"/>
          <w:sz w:val="30"/>
          <w:szCs w:val="30"/>
          <w:highlight w:val="none"/>
          <w:lang w:val="en-US" w:eastAsia="zh-CN"/>
        </w:rPr>
        <w:t xml:space="preserve">我单位主要承担推广农业技术，促进农业发展。承担农技、农机、林业、畜牧、水利水保、水产等方面的重大技术推广、信息服务、资源保护、灾害防治等工作，承担农产品质量安全检查。 </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sz w:val="32"/>
          <w:szCs w:val="32"/>
        </w:rPr>
      </w:pPr>
      <w:r>
        <w:rPr>
          <w:rStyle w:val="8"/>
          <w:rFonts w:hint="default" w:ascii="Times New Roman" w:hAnsi="Times New Roman" w:eastAsia="楷体" w:cs="Times New Roman"/>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Times New Roman" w:hAnsi="Times New Roman" w:eastAsia="仿宋" w:cs="Times New Roman"/>
          <w:color w:val="000030"/>
          <w:sz w:val="30"/>
          <w:szCs w:val="30"/>
          <w:lang w:eastAsia="zh-CN"/>
        </w:rPr>
      </w:pPr>
      <w:r>
        <w:rPr>
          <w:rFonts w:hint="default" w:ascii="Times New Roman" w:hAnsi="Times New Roman" w:eastAsia="仿宋" w:cs="Times New Roman"/>
          <w:color w:val="auto"/>
          <w:sz w:val="30"/>
          <w:szCs w:val="30"/>
          <w:highlight w:val="none"/>
          <w:lang w:val="en-US" w:eastAsia="zh-CN"/>
        </w:rPr>
        <w:t>我</w:t>
      </w:r>
      <w:r>
        <w:rPr>
          <w:rFonts w:hint="default" w:ascii="Times New Roman" w:hAnsi="Times New Roman" w:eastAsia="仿宋" w:cs="Times New Roman"/>
          <w:color w:val="auto"/>
          <w:sz w:val="30"/>
          <w:szCs w:val="30"/>
          <w:highlight w:val="none"/>
        </w:rPr>
        <w:t>单位</w:t>
      </w:r>
      <w:r>
        <w:rPr>
          <w:rFonts w:hint="default" w:ascii="Times New Roman" w:hAnsi="Times New Roman" w:eastAsia="仿宋" w:cs="Times New Roman"/>
          <w:color w:val="auto"/>
          <w:sz w:val="30"/>
          <w:szCs w:val="30"/>
          <w:highlight w:val="none"/>
          <w:lang w:val="en-US" w:eastAsia="zh-CN"/>
        </w:rPr>
        <w:t>为重庆市铜梁区虎峰镇人民政府</w:t>
      </w:r>
      <w:r>
        <w:rPr>
          <w:rFonts w:hint="default" w:ascii="Times New Roman" w:hAnsi="Times New Roman" w:eastAsia="仿宋" w:cs="Times New Roman"/>
          <w:color w:val="auto"/>
          <w:sz w:val="30"/>
          <w:szCs w:val="30"/>
          <w:highlight w:val="none"/>
        </w:rPr>
        <w:t>下</w:t>
      </w:r>
      <w:r>
        <w:rPr>
          <w:rFonts w:hint="default" w:ascii="Times New Roman" w:hAnsi="Times New Roman" w:eastAsia="仿宋" w:cs="Times New Roman"/>
          <w:color w:val="auto"/>
          <w:sz w:val="30"/>
          <w:szCs w:val="30"/>
          <w:highlight w:val="none"/>
          <w:lang w:eastAsia="zh-CN"/>
        </w:rPr>
        <w:t>属事业</w:t>
      </w:r>
      <w:r>
        <w:rPr>
          <w:rFonts w:hint="default" w:ascii="Times New Roman" w:hAnsi="Times New Roman" w:eastAsia="仿宋" w:cs="Times New Roman"/>
          <w:color w:val="000030"/>
          <w:sz w:val="30"/>
          <w:szCs w:val="30"/>
        </w:rPr>
        <w:t>单位</w:t>
      </w:r>
      <w:r>
        <w:rPr>
          <w:rFonts w:hint="default" w:ascii="Times New Roman" w:hAnsi="Times New Roman" w:eastAsia="仿宋" w:cs="Times New Roman"/>
          <w:color w:val="000030"/>
          <w:sz w:val="30"/>
          <w:szCs w:val="30"/>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二、</w:t>
      </w:r>
      <w:r>
        <w:rPr>
          <w:rStyle w:val="8"/>
          <w:rFonts w:hint="default" w:ascii="Times New Roman" w:hAnsi="Times New Roman" w:eastAsia="黑体" w:cs="Times New Roman"/>
          <w:b w:val="0"/>
          <w:bCs/>
          <w:sz w:val="32"/>
          <w:szCs w:val="32"/>
          <w:shd w:val="clear" w:color="auto" w:fill="FFFFFF"/>
          <w:lang w:eastAsia="zh-CN"/>
        </w:rPr>
        <w:t>单位</w:t>
      </w:r>
      <w:r>
        <w:rPr>
          <w:rStyle w:val="8"/>
          <w:rFonts w:hint="default" w:ascii="Times New Roman" w:hAnsi="Times New Roman" w:eastAsia="黑体" w:cs="Times New Roman"/>
          <w:b w:val="0"/>
          <w:bCs/>
          <w:sz w:val="32"/>
          <w:szCs w:val="32"/>
          <w:shd w:val="clear" w:color="auto" w:fill="FFFFFF"/>
        </w:rPr>
        <w:t>决算</w:t>
      </w:r>
      <w:r>
        <w:rPr>
          <w:rStyle w:val="8"/>
          <w:rFonts w:hint="default" w:ascii="Times New Roman" w:hAnsi="Times New Roman" w:eastAsia="黑体" w:cs="Times New Roman"/>
          <w:b w:val="0"/>
          <w:bCs/>
          <w:sz w:val="32"/>
          <w:szCs w:val="32"/>
          <w:shd w:val="clear" w:color="auto" w:fill="FFFFFF"/>
          <w:lang w:eastAsia="zh-CN"/>
        </w:rPr>
        <w:t>收支</w:t>
      </w:r>
      <w:r>
        <w:rPr>
          <w:rStyle w:val="8"/>
          <w:rFonts w:hint="default" w:ascii="Times New Roman" w:hAnsi="Times New Roman" w:eastAsia="黑体" w:cs="Times New Roman"/>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度收入总计670.08万元，支出总计</w:t>
      </w:r>
      <w:r>
        <w:rPr>
          <w:rFonts w:hint="default" w:ascii="Times New Roman" w:hAnsi="Times New Roman" w:eastAsia="方正仿宋_GBK" w:cs="Times New Roman"/>
          <w:sz w:val="32"/>
          <w:szCs w:val="32"/>
        </w:rPr>
        <w:t>670.08</w:t>
      </w:r>
      <w:r>
        <w:rPr>
          <w:rFonts w:hint="default" w:ascii="Times New Roman" w:hAnsi="Times New Roman" w:eastAsia="方正仿宋_GBK" w:cs="Times New Roman"/>
          <w:sz w:val="32"/>
          <w:szCs w:val="32"/>
          <w:shd w:val="clear" w:color="auto" w:fill="FFFFFF"/>
        </w:rPr>
        <w:t>万元。收、支与2023年度相比，增加670.08万元，增长100.0%，主要原因是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度收入合计670.08万元，与2023年度相比，增加670.08万元，增长100.0%，主要原因是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670.08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670.08</w:t>
      </w:r>
      <w:r>
        <w:rPr>
          <w:rFonts w:hint="default" w:ascii="Times New Roman" w:hAnsi="Times New Roman" w:eastAsia="方正仿宋_GBK" w:cs="Times New Roman"/>
          <w:sz w:val="32"/>
          <w:szCs w:val="32"/>
          <w:shd w:val="clear" w:color="auto" w:fill="FFFFFF"/>
        </w:rPr>
        <w:t>万元，与2023年度相比，增加670.08万元，增长100.0%，主要原因是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646.90</w:t>
      </w:r>
      <w:r>
        <w:rPr>
          <w:rFonts w:hint="default" w:ascii="Times New Roman" w:hAnsi="Times New Roman" w:eastAsia="方正仿宋_GBK" w:cs="Times New Roman"/>
          <w:sz w:val="32"/>
          <w:szCs w:val="32"/>
          <w:shd w:val="clear" w:color="auto" w:fill="FFFFFF"/>
        </w:rPr>
        <w:t>万元，占96.54%；项目支出</w:t>
      </w:r>
      <w:r>
        <w:rPr>
          <w:rFonts w:hint="default" w:ascii="Times New Roman" w:hAnsi="Times New Roman" w:eastAsia="方正仿宋_GBK" w:cs="Times New Roman"/>
          <w:sz w:val="32"/>
          <w:szCs w:val="32"/>
        </w:rPr>
        <w:t>23.18</w:t>
      </w:r>
      <w:r>
        <w:rPr>
          <w:rFonts w:hint="default" w:ascii="Times New Roman" w:hAnsi="Times New Roman" w:eastAsia="方正仿宋_GBK" w:cs="Times New Roman"/>
          <w:sz w:val="32"/>
          <w:szCs w:val="32"/>
          <w:shd w:val="clear" w:color="auto" w:fill="FFFFFF"/>
        </w:rPr>
        <w:t>万元，占3.46%；经营支出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度财政拨款收、支总计670.08万元。与202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年相比，财政拨款收、支总计各增加670.08万元，增长100.0%。主要原因是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2024年根据财政管理要求，虎峰镇人民政府将事业单位划分为7个账套单独核算，上年度本单位未单独核算，收支为0，故本年度增长100%。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670.08</w:t>
      </w:r>
      <w:r>
        <w:rPr>
          <w:rFonts w:hint="default" w:ascii="Times New Roman" w:hAnsi="Times New Roman" w:eastAsia="方正仿宋_GBK" w:cs="Times New Roman"/>
          <w:sz w:val="32"/>
          <w:szCs w:val="32"/>
          <w:shd w:val="clear" w:color="auto" w:fill="FFFFFF"/>
        </w:rPr>
        <w:t>万元，与2023年度相比，增加670.08万元，增长100.0%。主要原因是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sz w:val="32"/>
          <w:szCs w:val="32"/>
          <w:shd w:val="clear" w:color="auto" w:fill="FFFFFF"/>
        </w:rPr>
        <w:t>较年初预算数减少49.17万元，下降6.8%。主要原因是</w:t>
      </w:r>
      <w:r>
        <w:rPr>
          <w:rFonts w:hint="default" w:ascii="Times New Roman" w:hAnsi="Times New Roman" w:eastAsia="方正仿宋_GBK" w:cs="Times New Roman"/>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670.08</w:t>
      </w:r>
      <w:r>
        <w:rPr>
          <w:rFonts w:hint="default" w:ascii="Times New Roman" w:hAnsi="Times New Roman" w:eastAsia="方正仿宋_GBK" w:cs="Times New Roman"/>
          <w:sz w:val="32"/>
          <w:szCs w:val="32"/>
          <w:shd w:val="clear" w:color="auto" w:fill="FFFFFF"/>
        </w:rPr>
        <w:t>万元，与2023年度相比，增加670.08万元，增长100.0%。主要原因是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sz w:val="32"/>
          <w:szCs w:val="32"/>
          <w:shd w:val="clear" w:color="auto" w:fill="FFFFFF"/>
        </w:rPr>
        <w:t>较年初预算数减少49.17万元，下降6.8%。主要原因是</w:t>
      </w:r>
      <w:r>
        <w:rPr>
          <w:rFonts w:hint="default" w:ascii="Times New Roman" w:hAnsi="Times New Roman" w:eastAsia="方正仿宋_GBK" w:cs="Times New Roman"/>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139.37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20.80</w:t>
      </w:r>
      <w:r>
        <w:rPr>
          <w:rFonts w:hint="default" w:ascii="Times New Roman" w:hAnsi="Times New Roman" w:eastAsia="方正仿宋_GBK" w:cs="Times New Roman"/>
          <w:sz w:val="32"/>
          <w:szCs w:val="32"/>
          <w:shd w:val="clear" w:color="auto" w:fill="FFFFFF"/>
        </w:rPr>
        <w:t>%，较年初预算数增加11.25万元，增长8.8%，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2024年5月份我单位一名退休人员去世，新退休2名人员，发放丧葬抚恤费及退休一次性补贴等。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24.47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3.65</w:t>
      </w:r>
      <w:r>
        <w:rPr>
          <w:rFonts w:hint="default" w:ascii="Times New Roman" w:hAnsi="Times New Roman" w:eastAsia="方正仿宋_GBK" w:cs="Times New Roman"/>
          <w:sz w:val="32"/>
          <w:szCs w:val="32"/>
          <w:shd w:val="clear" w:color="auto" w:fill="FFFFFF"/>
        </w:rPr>
        <w:t>%，较年初预算数减少11.47万元，下降31.9%，主要原因是</w:t>
      </w:r>
      <w:r>
        <w:rPr>
          <w:rFonts w:hint="default" w:ascii="Times New Roman" w:hAnsi="Times New Roman" w:eastAsia="方正仿宋_GBK" w:cs="Times New Roman"/>
          <w:sz w:val="32"/>
          <w:szCs w:val="32"/>
          <w:shd w:val="clear" w:color="auto" w:fill="FFFFFF"/>
          <w:lang w:eastAsia="zh-CN"/>
        </w:rPr>
        <w:t>减少了公务员医疗补助缴费项目。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479.50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71.56</w:t>
      </w:r>
      <w:r>
        <w:rPr>
          <w:rFonts w:hint="default" w:ascii="Times New Roman" w:hAnsi="Times New Roman" w:eastAsia="方正仿宋_GBK" w:cs="Times New Roman"/>
          <w:sz w:val="32"/>
          <w:szCs w:val="32"/>
          <w:shd w:val="clear" w:color="auto" w:fill="FFFFFF"/>
        </w:rPr>
        <w:t>%，较年初预算数减少48.94万元，下降9.3%，主要原因是</w:t>
      </w:r>
      <w:r>
        <w:rPr>
          <w:rFonts w:hint="default" w:ascii="Times New Roman" w:hAnsi="Times New Roman" w:eastAsia="方正仿宋_GBK" w:cs="Times New Roman"/>
          <w:sz w:val="32"/>
          <w:szCs w:val="32"/>
          <w:shd w:val="clear" w:color="auto" w:fill="FFFFFF"/>
          <w:lang w:eastAsia="zh-CN"/>
        </w:rPr>
        <w:t>压减了相关支出。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住房保障支出26.74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3.99</w:t>
      </w:r>
      <w:r>
        <w:rPr>
          <w:rFonts w:hint="default" w:ascii="Times New Roman" w:hAnsi="Times New Roman" w:eastAsia="方正仿宋_GBK" w:cs="Times New Roman"/>
          <w:sz w:val="32"/>
          <w:szCs w:val="32"/>
          <w:shd w:val="clear" w:color="auto" w:fill="FFFFFF"/>
        </w:rPr>
        <w:t>%，较年初预算数无增减，主要原因是</w:t>
      </w:r>
      <w:r>
        <w:rPr>
          <w:rFonts w:hint="eastAsia" w:ascii="Times New Roman" w:hAnsi="Times New Roman" w:eastAsia="方正仿宋_GBK" w:cs="Times New Roman"/>
          <w:sz w:val="32"/>
          <w:szCs w:val="32"/>
          <w:shd w:val="clear" w:color="auto" w:fill="FFFFFF"/>
          <w:lang w:eastAsia="zh-CN"/>
        </w:rPr>
        <w:t>新增退休人员，减少了住房公积金的支出。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646.90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553.42</w:t>
      </w:r>
      <w:r>
        <w:rPr>
          <w:rFonts w:hint="default" w:ascii="Times New Roman" w:hAnsi="Times New Roman" w:eastAsia="方正仿宋_GBK" w:cs="Times New Roman"/>
          <w:sz w:val="32"/>
          <w:szCs w:val="32"/>
          <w:shd w:val="clear" w:color="auto" w:fill="FFFFFF"/>
        </w:rPr>
        <w:t>万元，与2023年度相比，增加553.42万元，增长100.0%，主要原因是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单位给在职人员的各类劳动报酬，以及为其缴纳的各项社会保险费等，退休等相关经费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93.48</w:t>
      </w:r>
      <w:r>
        <w:rPr>
          <w:rFonts w:hint="default" w:ascii="Times New Roman" w:hAnsi="Times New Roman" w:eastAsia="方正仿宋_GBK" w:cs="Times New Roman"/>
          <w:sz w:val="32"/>
          <w:szCs w:val="32"/>
          <w:shd w:val="clear" w:color="auto" w:fill="FFFFFF"/>
        </w:rPr>
        <w:t>万元，与2023年度相比，增加93.48万元，增长100.0%，主要原因是</w:t>
      </w:r>
      <w:r>
        <w:rPr>
          <w:rFonts w:hint="default" w:ascii="Times New Roman" w:hAnsi="Times New Roman" w:eastAsia="方正仿宋_GBK" w:cs="Times New Roman"/>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办公费、维修维护费等</w:t>
      </w:r>
      <w:r>
        <w:rPr>
          <w:rFonts w:hint="default" w:ascii="Times New Roman" w:hAnsi="Times New Roman" w:eastAsia="方正仿宋_GBK" w:cs="Times New Roman"/>
          <w:sz w:val="32"/>
          <w:szCs w:val="32"/>
          <w:shd w:val="clear" w:color="auto" w:fill="FFFFFF"/>
        </w:rPr>
        <w:t>保障机关运行</w:t>
      </w:r>
      <w:r>
        <w:rPr>
          <w:rFonts w:hint="default"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相关支出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rPr>
      </w:pPr>
      <w:r>
        <w:rPr>
          <w:rStyle w:val="8"/>
          <w:rFonts w:hint="default" w:ascii="Times New Roman" w:hAnsi="Times New Roman" w:eastAsia="方正仿宋_GBK" w:cs="Times New Roman"/>
          <w:b w:val="0"/>
          <w:bCs/>
          <w:sz w:val="32"/>
          <w:szCs w:val="32"/>
          <w:shd w:val="clear" w:color="auto" w:fill="auto"/>
        </w:rPr>
        <w:t>本单位</w:t>
      </w:r>
      <w:r>
        <w:rPr>
          <w:rStyle w:val="8"/>
          <w:rFonts w:hint="default" w:ascii="Times New Roman" w:hAnsi="Times New Roman" w:eastAsia="方正仿宋_GBK" w:cs="Times New Roman"/>
          <w:b w:val="0"/>
          <w:bCs/>
          <w:sz w:val="32"/>
          <w:szCs w:val="32"/>
          <w:shd w:val="clear" w:color="auto" w:fill="auto"/>
          <w:lang w:eastAsia="zh-CN"/>
        </w:rPr>
        <w:t>2024年</w:t>
      </w:r>
      <w:r>
        <w:rPr>
          <w:rStyle w:val="8"/>
          <w:rFonts w:hint="default" w:ascii="Times New Roman" w:hAnsi="Times New Roman" w:eastAsia="方正仿宋_GBK" w:cs="Times New Roman"/>
          <w:b w:val="0"/>
          <w:bCs/>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rPr>
      </w:pPr>
      <w:r>
        <w:rPr>
          <w:rStyle w:val="8"/>
          <w:rFonts w:hint="default" w:ascii="Times New Roman" w:hAnsi="Times New Roman" w:eastAsia="方正仿宋_GBK" w:cs="Times New Roman"/>
          <w:b w:val="0"/>
          <w:bCs/>
          <w:sz w:val="32"/>
          <w:szCs w:val="32"/>
          <w:shd w:val="clear" w:color="auto" w:fill="auto"/>
        </w:rPr>
        <w:t>本单位</w:t>
      </w:r>
      <w:r>
        <w:rPr>
          <w:rStyle w:val="8"/>
          <w:rFonts w:hint="default" w:ascii="Times New Roman" w:hAnsi="Times New Roman" w:eastAsia="方正仿宋_GBK" w:cs="Times New Roman"/>
          <w:b w:val="0"/>
          <w:bCs/>
          <w:sz w:val="32"/>
          <w:szCs w:val="32"/>
          <w:shd w:val="clear" w:color="auto" w:fill="auto"/>
          <w:lang w:eastAsia="zh-CN"/>
        </w:rPr>
        <w:t>2024年</w:t>
      </w:r>
      <w:r>
        <w:rPr>
          <w:rStyle w:val="8"/>
          <w:rFonts w:hint="default" w:ascii="Times New Roman" w:hAnsi="Times New Roman" w:eastAsia="方正仿宋_GBK" w:cs="Times New Roman"/>
          <w:b w:val="0"/>
          <w:bCs/>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三、</w:t>
      </w:r>
      <w:r>
        <w:rPr>
          <w:rStyle w:val="8"/>
          <w:rFonts w:hint="default" w:ascii="Times New Roman" w:hAnsi="Times New Roman" w:eastAsia="黑体" w:cs="Times New Roman"/>
          <w:b w:val="0"/>
          <w:bCs/>
          <w:sz w:val="32"/>
          <w:szCs w:val="32"/>
          <w:shd w:val="clear" w:color="auto" w:fill="FFFFFF"/>
          <w:lang w:eastAsia="zh-CN"/>
        </w:rPr>
        <w:t>财政拨款</w:t>
      </w:r>
      <w:r>
        <w:rPr>
          <w:rStyle w:val="8"/>
          <w:rFonts w:hint="default" w:ascii="Times New Roman" w:hAnsi="Times New Roman" w:eastAsia="黑体" w:cs="Times New Roman"/>
          <w:b w:val="0"/>
          <w:bCs/>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lang w:eastAsia="zh-CN"/>
        </w:rPr>
      </w:pPr>
      <w:r>
        <w:rPr>
          <w:rStyle w:val="8"/>
          <w:rFonts w:hint="default" w:ascii="Times New Roman" w:hAnsi="Times New Roman" w:eastAsia="方正仿宋_GBK" w:cs="Times New Roman"/>
          <w:b w:val="0"/>
          <w:bCs/>
          <w:sz w:val="32"/>
          <w:szCs w:val="32"/>
          <w:shd w:val="clear" w:color="auto" w:fill="auto"/>
        </w:rPr>
        <w:t>我单位属于</w:t>
      </w:r>
      <w:r>
        <w:rPr>
          <w:rStyle w:val="8"/>
          <w:rFonts w:hint="default" w:ascii="Times New Roman" w:hAnsi="Times New Roman" w:eastAsia="方正仿宋_GBK" w:cs="Times New Roman"/>
          <w:b w:val="0"/>
          <w:bCs/>
          <w:sz w:val="32"/>
          <w:szCs w:val="32"/>
          <w:shd w:val="clear" w:color="auto" w:fill="auto"/>
          <w:lang w:eastAsia="zh-CN"/>
        </w:rPr>
        <w:t>虎峰镇人民政府下级预算单位，无“三公”经费支出。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sz w:val="32"/>
          <w:szCs w:val="32"/>
          <w:shd w:val="clear" w:color="auto" w:fill="FFFFFF"/>
          <w:lang w:val="en-US" w:eastAsia="zh-CN" w:bidi="ar-SA"/>
        </w:rPr>
      </w:pPr>
      <w:r>
        <w:rPr>
          <w:rStyle w:val="8"/>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23.18</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eastAsia="zh-CN"/>
        </w:rPr>
        <w:t>１个</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eastAsia="zh-CN"/>
        </w:rPr>
        <w:t>１</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8"/>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eastAsia="zh-CN"/>
        </w:rPr>
        <w:t>联系人：</w:t>
      </w:r>
      <w:r>
        <w:rPr>
          <w:rFonts w:hint="default" w:ascii="Times New Roman" w:hAnsi="Times New Roman" w:eastAsia="方正仿宋_GBK" w:cs="Times New Roman"/>
          <w:color w:val="auto"/>
          <w:kern w:val="0"/>
          <w:sz w:val="32"/>
          <w:szCs w:val="32"/>
          <w:shd w:val="clear" w:fill="FFFFFF"/>
          <w:lang w:val="en-US" w:eastAsia="zh-CN"/>
        </w:rPr>
        <w:t>吴云胜 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1、重庆市铜梁区虎峰镇农业服务中心2024年度决算公开说明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2、重庆市铜梁区虎峰镇农业服务中心2024年度决算公开报表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3、重庆市铜梁区虎峰镇农业服务</w:t>
      </w:r>
      <w:bookmarkStart w:id="0" w:name="_GoBack"/>
      <w:bookmarkEnd w:id="0"/>
      <w:r>
        <w:rPr>
          <w:rStyle w:val="11"/>
          <w:rFonts w:hint="default" w:ascii="Times New Roman" w:hAnsi="Times New Roman" w:eastAsia="方正仿宋_GBK" w:cs="Times New Roman"/>
          <w:b w:val="0"/>
          <w:bCs w:val="0"/>
          <w:sz w:val="32"/>
          <w:szCs w:val="32"/>
          <w:shd w:val="clear" w:color="auto" w:fill="auto"/>
          <w:lang w:val="en-US" w:eastAsia="zh-CN"/>
        </w:rPr>
        <w:t>中心2024年度项目绩效自评表</w:t>
      </w:r>
    </w:p>
    <w:sectPr>
      <w:headerReference r:id="rId3" w:type="default"/>
      <w:footerReference r:id="rId4" w:type="default"/>
      <w:pgSz w:w="11850" w:h="16783"/>
      <w:pgMar w:top="2098" w:right="1474" w:bottom="1984" w:left="1587" w:header="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0E245C"/>
    <w:rsid w:val="0B9335CE"/>
    <w:rsid w:val="0C455461"/>
    <w:rsid w:val="0C7927C4"/>
    <w:rsid w:val="0C8D38AB"/>
    <w:rsid w:val="0C9B098C"/>
    <w:rsid w:val="0D11728C"/>
    <w:rsid w:val="0D354DA4"/>
    <w:rsid w:val="0D673E11"/>
    <w:rsid w:val="0DB50EFE"/>
    <w:rsid w:val="0DDA54E4"/>
    <w:rsid w:val="0E3A5F83"/>
    <w:rsid w:val="0EDF2FAB"/>
    <w:rsid w:val="0EE5239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70725D9"/>
    <w:rsid w:val="189B0D0B"/>
    <w:rsid w:val="194A1770"/>
    <w:rsid w:val="19917D9C"/>
    <w:rsid w:val="19B906A4"/>
    <w:rsid w:val="1A1F744B"/>
    <w:rsid w:val="1A4854EC"/>
    <w:rsid w:val="1B6F15B6"/>
    <w:rsid w:val="1BAA2EDC"/>
    <w:rsid w:val="1CE157EE"/>
    <w:rsid w:val="1D014A01"/>
    <w:rsid w:val="1D022362"/>
    <w:rsid w:val="1DD26311"/>
    <w:rsid w:val="1E5B441F"/>
    <w:rsid w:val="1EF67CA4"/>
    <w:rsid w:val="1F564138"/>
    <w:rsid w:val="1FCD26AF"/>
    <w:rsid w:val="20642787"/>
    <w:rsid w:val="212F35ED"/>
    <w:rsid w:val="21556F04"/>
    <w:rsid w:val="22062321"/>
    <w:rsid w:val="22403BD3"/>
    <w:rsid w:val="24932670"/>
    <w:rsid w:val="24B92327"/>
    <w:rsid w:val="2533755C"/>
    <w:rsid w:val="25FB649F"/>
    <w:rsid w:val="26396DF4"/>
    <w:rsid w:val="26D65693"/>
    <w:rsid w:val="270642A6"/>
    <w:rsid w:val="27167136"/>
    <w:rsid w:val="271C052C"/>
    <w:rsid w:val="27B23302"/>
    <w:rsid w:val="29310A5F"/>
    <w:rsid w:val="29C37A35"/>
    <w:rsid w:val="29C95E09"/>
    <w:rsid w:val="2A076083"/>
    <w:rsid w:val="2A73162E"/>
    <w:rsid w:val="2B167953"/>
    <w:rsid w:val="2B200583"/>
    <w:rsid w:val="2B8209DE"/>
    <w:rsid w:val="2C161D32"/>
    <w:rsid w:val="2C2D3EC7"/>
    <w:rsid w:val="2C6762A3"/>
    <w:rsid w:val="2CD72F3A"/>
    <w:rsid w:val="2D8D2A49"/>
    <w:rsid w:val="2F1F3015"/>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5F1115"/>
    <w:rsid w:val="38BE4696"/>
    <w:rsid w:val="39166507"/>
    <w:rsid w:val="39971218"/>
    <w:rsid w:val="39B82A39"/>
    <w:rsid w:val="39F33306"/>
    <w:rsid w:val="3AA250D7"/>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A84D34"/>
    <w:rsid w:val="40FD5440"/>
    <w:rsid w:val="411B6CE5"/>
    <w:rsid w:val="412070D7"/>
    <w:rsid w:val="412D2FF7"/>
    <w:rsid w:val="41314E40"/>
    <w:rsid w:val="4142353C"/>
    <w:rsid w:val="415C674B"/>
    <w:rsid w:val="426C1EA8"/>
    <w:rsid w:val="42E86A87"/>
    <w:rsid w:val="43136432"/>
    <w:rsid w:val="43770A38"/>
    <w:rsid w:val="43F403A7"/>
    <w:rsid w:val="443A3B12"/>
    <w:rsid w:val="44985A96"/>
    <w:rsid w:val="44A854C2"/>
    <w:rsid w:val="44DD597D"/>
    <w:rsid w:val="465B470D"/>
    <w:rsid w:val="469D6AD4"/>
    <w:rsid w:val="46FC41C7"/>
    <w:rsid w:val="47674801"/>
    <w:rsid w:val="4811150C"/>
    <w:rsid w:val="48225EF7"/>
    <w:rsid w:val="495C4A24"/>
    <w:rsid w:val="49AB7362"/>
    <w:rsid w:val="4AD70EE7"/>
    <w:rsid w:val="4B5C51AF"/>
    <w:rsid w:val="4B7951CB"/>
    <w:rsid w:val="4B7C315C"/>
    <w:rsid w:val="4BAB7F90"/>
    <w:rsid w:val="4C8B6AA1"/>
    <w:rsid w:val="4D505003"/>
    <w:rsid w:val="4DAC4ACA"/>
    <w:rsid w:val="4F186D58"/>
    <w:rsid w:val="50EC262C"/>
    <w:rsid w:val="522F6E0C"/>
    <w:rsid w:val="52463BA1"/>
    <w:rsid w:val="52734874"/>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5B76D9"/>
    <w:rsid w:val="5EFA176D"/>
    <w:rsid w:val="5F0247F9"/>
    <w:rsid w:val="5F2D4A41"/>
    <w:rsid w:val="601C34ED"/>
    <w:rsid w:val="60A958A9"/>
    <w:rsid w:val="60D22ADB"/>
    <w:rsid w:val="61025A59"/>
    <w:rsid w:val="613D5BBC"/>
    <w:rsid w:val="614B7B86"/>
    <w:rsid w:val="61536C39"/>
    <w:rsid w:val="62116DC7"/>
    <w:rsid w:val="628230A6"/>
    <w:rsid w:val="62944DD7"/>
    <w:rsid w:val="62AB52B7"/>
    <w:rsid w:val="634D1435"/>
    <w:rsid w:val="63A80A4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8B6C95"/>
    <w:rsid w:val="67CF5C52"/>
    <w:rsid w:val="689A674E"/>
    <w:rsid w:val="68B67D46"/>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06762B"/>
    <w:rsid w:val="742F79B6"/>
    <w:rsid w:val="750837F0"/>
    <w:rsid w:val="764F62AB"/>
    <w:rsid w:val="765C45EC"/>
    <w:rsid w:val="768A7619"/>
    <w:rsid w:val="76E14979"/>
    <w:rsid w:val="77EA362A"/>
    <w:rsid w:val="7875383E"/>
    <w:rsid w:val="796D60A4"/>
    <w:rsid w:val="79A031D5"/>
    <w:rsid w:val="7A1525F7"/>
    <w:rsid w:val="7A3E6CB6"/>
    <w:rsid w:val="7A680D2D"/>
    <w:rsid w:val="7A6D61E2"/>
    <w:rsid w:val="7A9B0394"/>
    <w:rsid w:val="7B260559"/>
    <w:rsid w:val="7B420052"/>
    <w:rsid w:val="7BD06A28"/>
    <w:rsid w:val="7C1E4CD7"/>
    <w:rsid w:val="7C3A7C0B"/>
    <w:rsid w:val="7C5248E4"/>
    <w:rsid w:val="7C566698"/>
    <w:rsid w:val="7C667E92"/>
    <w:rsid w:val="7E2C6D5D"/>
    <w:rsid w:val="7E7F735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