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高楼镇2018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21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27.08%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八项规定和政府过“紧日子”十条措施相关要求，严控“三公”经费支出预算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15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铜梁区高楼镇2018年“三公”经费支出预算表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287A68"/>
    <w:rsid w:val="069377C6"/>
    <w:rsid w:val="0C0C0F61"/>
    <w:rsid w:val="0E5D18AD"/>
    <w:rsid w:val="0F2C4844"/>
    <w:rsid w:val="13B83598"/>
    <w:rsid w:val="1BD520AC"/>
    <w:rsid w:val="200F219E"/>
    <w:rsid w:val="216F5B24"/>
    <w:rsid w:val="21BF7055"/>
    <w:rsid w:val="24663BD2"/>
    <w:rsid w:val="26784760"/>
    <w:rsid w:val="2CCE08E2"/>
    <w:rsid w:val="301E6064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HX馬 </cp:lastModifiedBy>
  <cp:lastPrinted>2020-01-22T07:18:00Z</cp:lastPrinted>
  <dcterms:modified xsi:type="dcterms:W3CDTF">2021-12-28T00:50:34Z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KSOSaveFontToCloudKey">
    <vt:lpwstr>249041329_btnclosed</vt:lpwstr>
  </property>
  <property fmtid="{D5CDD505-2E9C-101B-9397-08002B2CF9AE}" pid="4" name="ICV">
    <vt:lpwstr>C0A4D017F2BE4D35883BD74F4546C847</vt:lpwstr>
  </property>
</Properties>
</file>