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高楼镇2019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18.8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10.48%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铜梁区高楼镇2019年“三公”经费支出预算表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C0C0F61"/>
    <w:rsid w:val="0E5D18AD"/>
    <w:rsid w:val="123347A4"/>
    <w:rsid w:val="13B83598"/>
    <w:rsid w:val="1BD520AC"/>
    <w:rsid w:val="200F219E"/>
    <w:rsid w:val="216F5B24"/>
    <w:rsid w:val="21BF7055"/>
    <w:rsid w:val="24663BD2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HX馬 </cp:lastModifiedBy>
  <cp:lastPrinted>2020-01-22T07:18:00Z</cp:lastPrinted>
  <dcterms:modified xsi:type="dcterms:W3CDTF">2021-12-28T00:51:03Z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249041329_btnclosed</vt:lpwstr>
  </property>
  <property fmtid="{D5CDD505-2E9C-101B-9397-08002B2CF9AE}" pid="4" name="ICV">
    <vt:lpwstr>1D9D406FFD884DBAA3D329F8E219FE2D</vt:lpwstr>
  </property>
</Properties>
</file>