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重庆市铜梁区高楼镇人民政府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2021年度“三公”经费决算情况说明</w:t>
      </w:r>
      <w:r>
        <w:rPr>
          <w:rFonts w:hint="eastAsia" w:ascii="方正小标宋_GBK" w:eastAsia="方正小标宋_GBK" w:cs="Times New Roman"/>
          <w:sz w:val="44"/>
          <w:szCs w:val="44"/>
        </w:rPr>
        <w:t xml:space="preserve"> 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44"/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黑体_GBK" w:hAnsi="Calibri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黑体_GBK" w:hAnsi="Calibri" w:eastAsia="方正黑体_GBK" w:cs="Times New Roman"/>
          <w:kern w:val="2"/>
          <w:sz w:val="32"/>
          <w:szCs w:val="32"/>
          <w:lang w:val="en-US" w:eastAsia="zh-CN" w:bidi="ar-SA"/>
        </w:rPr>
        <w:t xml:space="preserve"> 一、“三公”经费支出总额情况。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本部门本年度“三公”经费总额为19.37万元，其中公务用车购置费决算数为15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38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元，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较上年度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公务车购置费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0元增加了100%；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公务用车运行维护决算数为3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80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元，较上年度公务用车运行维护决算数4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87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元减少了22.01%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公务接待决算数为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元，较上年度公务接待决算数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2万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元减少了38.92%。“三公”经费总额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较2021年预算增加了46.30%。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主要原因系本年度根据《重庆市铜梁区机关事务管理局关于同意更新公务用车的复函》（铜机管函[2020]5号）文件，新购一辆公务车，产生公务用车购置费15.38万元。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Chars="-200" w:right="0" w:firstLine="320" w:firstLineChars="100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黑体_GBK" w:hAnsi="Calibri" w:eastAsia="方正黑体_GBK" w:cs="Times New Roman"/>
          <w:kern w:val="2"/>
          <w:sz w:val="32"/>
          <w:szCs w:val="32"/>
          <w:lang w:val="en-US" w:eastAsia="zh-CN" w:bidi="ar-SA"/>
        </w:rPr>
        <w:t xml:space="preserve"> 二、“三公”经费分项支出情况。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年度本部门因公出国（境）费用0万元，费用支出较年初预算数增加0万元，较上年支出数增加0万元。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公务车购置费15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38万元，费用支出较年初预算数增加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15.38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公务用车运行维护费为3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8万元，主要用于机要文件交换、市内因公出行、财政业务检查等工作所需车辆的燃料费、维修费、过桥过路费、保险费，费用支出较年初预算数减少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1.21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万元，主要原因是严禁公车私用，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合理安排车辆，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车辆运行成本一定程度下降。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公务接待费为0.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万元，主要用于接待接受相关部门检查指导工作、开展会议等发生的接待支出，费用支出较年初预算数减少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8.05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万元，主要原因严格执行接待开支范围和开支标准，严格控制陪餐人数，对应由接待对象承担的费用一律由接待对象自行支付。按照只减不增要求从严控制三公经费。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Chars="-200" w:right="0" w:firstLine="320" w:firstLineChars="100"/>
        <w:textAlignment w:val="auto"/>
        <w:rPr>
          <w:rFonts w:hint="eastAsia" w:ascii="方正黑体_GBK" w:hAnsi="Calibri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方正黑体_GBK" w:hAnsi="Calibri" w:eastAsia="方正黑体_GBK" w:cs="Times New Roman"/>
          <w:kern w:val="2"/>
          <w:sz w:val="32"/>
          <w:szCs w:val="32"/>
          <w:lang w:val="en-US" w:eastAsia="zh-CN" w:bidi="ar-SA"/>
        </w:rPr>
        <w:t>三、“三公”经费实物量情况。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100" w:afterAutospacing="0" w:line="560" w:lineRule="exact"/>
        <w:ind w:right="0" w:firstLine="640" w:firstLineChars="200"/>
        <w:textAlignment w:val="auto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年本部门因公出国（境）共计0个团组，0人；公务用车购置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辆，公务车保有量为2辆；本年度公务接待批次</w:t>
      </w:r>
      <w:r>
        <w:rPr>
          <w:rFonts w:hint="eastAsia" w:ascii="方正仿宋_GBK" w:hAnsi="Calibri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方正仿宋_GBK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Calibri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，公务接待人数为</w:t>
      </w:r>
      <w:r>
        <w:rPr>
          <w:rFonts w:hint="eastAsia" w:ascii="方正仿宋_GBK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22</w:t>
      </w:r>
      <w:r>
        <w:rPr>
          <w:rFonts w:hint="eastAsia" w:ascii="方正仿宋_GBK" w:hAnsi="Calibri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人，其中：国内外事接待0批次，0人；国（境）外公务接待0批次，0人。202</w:t>
      </w:r>
      <w:r>
        <w:rPr>
          <w:rFonts w:hint="eastAsia" w:ascii="方正仿宋_GBK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Calibri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年本部门人均接待费</w:t>
      </w:r>
      <w:r>
        <w:rPr>
          <w:rFonts w:hint="eastAsia" w:ascii="方正仿宋_GBK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87.72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元，车均购置费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15.38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万元，车均维护费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1.9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万元。</w:t>
      </w:r>
      <w:bookmarkStart w:id="0" w:name="_GoBack"/>
      <w:bookmarkEnd w:id="0"/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100" w:afterAutospacing="0" w:line="560" w:lineRule="exact"/>
        <w:ind w:right="0" w:firstLine="640" w:firstLineChars="200"/>
        <w:textAlignment w:val="auto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（联系方式：023-45865325）</w:t>
      </w:r>
    </w:p>
    <w:p>
      <w:pPr>
        <w:wordWrap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4YjA3NDU2ZGI1OWNhN2VmMDgzMjA3OGIzOTkwMzEifQ=="/>
  </w:docVars>
  <w:rsids>
    <w:rsidRoot w:val="00000000"/>
    <w:rsid w:val="349B0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836</Characters>
  <Lines>0</Lines>
  <Paragraphs>0</Paragraphs>
  <TotalTime>4</TotalTime>
  <ScaleCrop>false</ScaleCrop>
  <LinksUpToDate>false</LinksUpToDate>
  <CharactersWithSpaces>849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2021-10-20T11:50:00Z</dcterms:created>
  <dc:creator>绿茵</dc:creator>
  <cp:lastModifiedBy>绿茵</cp:lastModifiedBy>
  <dcterms:modified xsi:type="dcterms:W3CDTF">2022-10-14T01:55:14Z</dcterms:modified>
  <dc:title>重庆市铜梁区高楼镇人民政府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2667B8664780498589AD8D8978D09D19</vt:lpwstr>
  </property>
</Properties>
</file>