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Autospacing="0"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FF0000"/>
          <w:w w:val="40"/>
          <w:sz w:val="100"/>
          <w:szCs w:val="1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Autospacing="0"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FF0000"/>
          <w:w w:val="40"/>
          <w:sz w:val="100"/>
          <w:szCs w:val="100"/>
        </w:rPr>
      </w:pP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0" w:after="0" w:afterLines="0" w:afterAutospacing="0" w:line="594" w:lineRule="exact"/>
        <w:ind w:firstLine="420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kern w:val="2"/>
          <w:sz w:val="21"/>
          <w:szCs w:val="2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99" w:beforeLines="240" w:beforeAutospacing="0"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FF0000"/>
          <w:w w:val="42"/>
          <w:sz w:val="132"/>
          <w:szCs w:val="1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FF0000"/>
          <w:w w:val="42"/>
          <w:sz w:val="132"/>
          <w:szCs w:val="132"/>
          <w:lang w:val="en-US" w:eastAsia="zh-CN"/>
        </w:rPr>
        <w:t>重庆市</w:t>
      </w:r>
      <w:r>
        <w:rPr>
          <w:rFonts w:hint="default" w:ascii="Times New Roman" w:hAnsi="Times New Roman" w:eastAsia="方正小标宋_GBK" w:cs="Times New Roman"/>
          <w:color w:val="FF0000"/>
          <w:w w:val="42"/>
          <w:sz w:val="132"/>
          <w:szCs w:val="132"/>
        </w:rPr>
        <w:t>铜梁区福果镇</w:t>
      </w:r>
      <w:r>
        <w:rPr>
          <w:rFonts w:hint="default" w:ascii="Times New Roman" w:hAnsi="Times New Roman" w:eastAsia="方正小标宋_GBK" w:cs="Times New Roman"/>
          <w:color w:val="FF0000"/>
          <w:w w:val="42"/>
          <w:sz w:val="132"/>
          <w:szCs w:val="132"/>
          <w:lang w:val="en-US" w:eastAsia="zh-CN"/>
        </w:rPr>
        <w:t>人民政府文件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楷体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福果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楷体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347980</wp:posOffset>
                </wp:positionV>
                <wp:extent cx="5532755" cy="31750"/>
                <wp:effectExtent l="0" t="12700" r="10795" b="127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2755" cy="3175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.8pt;margin-top:27.4pt;height:2.5pt;width:435.65pt;z-index:251660288;mso-width-relative:page;mso-height-relative:page;" filled="f" stroked="t" coordsize="21600,21600" o:gfxdata="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qhLvY2AAAAAcBAAAPAAAAAAAA&#10;AAEAIAAAACIAAABkcnMvZG93bnJldi54bWxQSwECFAAUAAAACACHTuJARMIoURICAAAJBAAADgAA&#10;AAAAAAABACAAAAAnAQAAZHJzL2Uyb0RvYy54bWxQSwUGAAAAAAYABgBZAQAAqw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 w:bidi="ar-SA"/>
        </w:rPr>
        <w:t>重庆市铜梁区福果镇人民政府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 w:bidi="ar-SA"/>
        </w:rPr>
        <w:t>关于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 w:bidi="ar-SA"/>
        </w:rPr>
        <w:t>加强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 w:bidi="ar-SA"/>
        </w:rPr>
        <w:t>一氧化碳中毒窒息安全防范工作的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 w:bidi="ar-SA"/>
        </w:rPr>
        <w:t>通知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各村（社区）村（居）民委员会，镇属各室（办、中心、大队），有关单位：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保障群众安全温暖过冬，守护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群众生命财产安全，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根据市委市政府部署和区委区政府要求，现就加强一氧化碳中毒窒息安全防范工作通知如下：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eastAsia="zh-CN"/>
        </w:rPr>
        <w:t>高度重视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eastAsia="zh-CN"/>
        </w:rPr>
        <w:t>一氧化碳中毒窒息安全防范工作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冬春季气温低，群众取暖需求明显增多，烧木柴、烤木炭、堆火盆等传统取暖方式较多，稍有不慎极易引发一氧化碳中毒窒息，造成人员伤亡。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级各办所、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有关单位要深刻汲取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历年一氧化碳中毒窒息亡人事故教训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始终坚持“人民至上、生命至上”，认真落实《冬春烤火取暖引发一氧化碳中毒窒息安全防范“八条措施”》（渝安办〔2024〕96 号）要求，将此项工作作为冬春季一项极其重要的工作常抓不懈，始终“放在心上、挂在嘴上、落到实处”。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2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二、聚焦重点、盲区开展排查整治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各村社区、镇级各办所、有关单位要组织镇村干部、网格员、党员、志愿者开展“开门、开窗、通风”排查劝导和隐患整治，一是聚焦人密场所（小学、幼儿园、敬老院、养老服务中心、居民小区、宗教寺庙场所等）和建筑工人集中住宿地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对使用不合格燃气器具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、燃器排烟管未到室外、未通风等隐患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劝导整改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消除隐患；二是聚焦“一老一小”、鳏寡孤独、行动不便等特殊弱势群体，开展“敲门行动”，督促落实监护责任、消除隐患，确保取暖、洗澡通风；三是聚焦红白事、生日宴、坝坝席等人员集聚活动，落实“十户联防”机制，集中开展安全提示和隐患排查整治；四是聚焦务工返乡、放假学生、走亲串友等容易疏忽人群，动态掌握此类人群行踪，及时开展安全提示和隐患排查整治，确保“无盲区、不漏人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eastAsia="zh-CN"/>
        </w:rPr>
        <w:t>三、多形式多渠道开展宣传引导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各村社区、镇级各办所、有关单位要结合实际，多形式多渠道开展宣传引导，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是利用大喇叭、小音箱等每日播放防中毒窒息宣传广播、音频；二是经常性通过微信群、朋友圈分享、转发安全科普视频；三是在人员聚集场所、交通路口悬挂横幅、张贴海报、发放宣传单；四是通过下村入社、进院入坝、夜间巡逻等开展面对面宣讲，让群众“看得见、听得着、想得到”，主动防范、主动预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四、做好应急救治准备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2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镇便民服务中心会同福果镇卫生院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要进一步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完善一氧化碳中毒窒息应急救援预案，加强实景化、实战化应急演练，配齐救治器械、药品，对医务人员开展技术培训，完善医疗救治反应流程，确保一旦有险情能够立即处置，尽最大努力确保人民群众生命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leftChars="0"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leftChars="0"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leftChars="0"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重庆市铜梁区福果镇人民政府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leftChars="0"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年12月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重庆市铜梁区福果镇基层治理综合指挥室        2025年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0"/>
          <w:w w:val="100"/>
          <w:sz w:val="28"/>
          <w:szCs w:val="28"/>
          <w:lang w:val="en-US" w:eastAsia="zh-CN"/>
        </w:rPr>
        <w:t>日印发</w:t>
      </w: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Mzk4OWYyNmE5ZmZjM2NmZDNiNjIwMjJiMzEwOTkifQ=="/>
  </w:docVars>
  <w:rsids>
    <w:rsidRoot w:val="6DC11E85"/>
    <w:rsid w:val="02FC74F9"/>
    <w:rsid w:val="0991733D"/>
    <w:rsid w:val="0F7BFEF3"/>
    <w:rsid w:val="13DDD4A2"/>
    <w:rsid w:val="167FF744"/>
    <w:rsid w:val="16FCFE80"/>
    <w:rsid w:val="17E97854"/>
    <w:rsid w:val="198FA4CB"/>
    <w:rsid w:val="1AF74944"/>
    <w:rsid w:val="1FFB02FB"/>
    <w:rsid w:val="25FBADF0"/>
    <w:rsid w:val="2D3FC38B"/>
    <w:rsid w:val="2DCFE824"/>
    <w:rsid w:val="33FF326F"/>
    <w:rsid w:val="35B66D25"/>
    <w:rsid w:val="37FBBF3B"/>
    <w:rsid w:val="38770639"/>
    <w:rsid w:val="3BDF0738"/>
    <w:rsid w:val="3CDA2EF9"/>
    <w:rsid w:val="3D3BBC3B"/>
    <w:rsid w:val="3D5F55FA"/>
    <w:rsid w:val="3EF70D34"/>
    <w:rsid w:val="3EFA14BF"/>
    <w:rsid w:val="3EFE802B"/>
    <w:rsid w:val="3F6BD728"/>
    <w:rsid w:val="3FEFDEB8"/>
    <w:rsid w:val="3FF97A60"/>
    <w:rsid w:val="473C533A"/>
    <w:rsid w:val="4F201B14"/>
    <w:rsid w:val="53F5D4AF"/>
    <w:rsid w:val="556ABBA3"/>
    <w:rsid w:val="566B828C"/>
    <w:rsid w:val="56956664"/>
    <w:rsid w:val="56EFA988"/>
    <w:rsid w:val="58562E55"/>
    <w:rsid w:val="5B3B1E82"/>
    <w:rsid w:val="5BBB667B"/>
    <w:rsid w:val="5BD5ADFB"/>
    <w:rsid w:val="5CDC6528"/>
    <w:rsid w:val="5D9D3AF9"/>
    <w:rsid w:val="5DDF5828"/>
    <w:rsid w:val="5EE2C151"/>
    <w:rsid w:val="5FDA7484"/>
    <w:rsid w:val="5FDDF8B2"/>
    <w:rsid w:val="5FDF34DB"/>
    <w:rsid w:val="5FF395B6"/>
    <w:rsid w:val="5FFB4A64"/>
    <w:rsid w:val="66EEA8B4"/>
    <w:rsid w:val="677DF77E"/>
    <w:rsid w:val="67F68159"/>
    <w:rsid w:val="67F7F8B5"/>
    <w:rsid w:val="6BD7049B"/>
    <w:rsid w:val="6DC11E85"/>
    <w:rsid w:val="6E396970"/>
    <w:rsid w:val="6E7FADFF"/>
    <w:rsid w:val="6E87B9B2"/>
    <w:rsid w:val="6EBBF1E2"/>
    <w:rsid w:val="6FD383DF"/>
    <w:rsid w:val="6FDFA67D"/>
    <w:rsid w:val="6FF723B3"/>
    <w:rsid w:val="6FFD47B8"/>
    <w:rsid w:val="6FFFBB50"/>
    <w:rsid w:val="737FB5B0"/>
    <w:rsid w:val="74A78630"/>
    <w:rsid w:val="74FFBD0D"/>
    <w:rsid w:val="75712D64"/>
    <w:rsid w:val="76AA1F07"/>
    <w:rsid w:val="773B2D4D"/>
    <w:rsid w:val="7757D822"/>
    <w:rsid w:val="77A51125"/>
    <w:rsid w:val="77B74769"/>
    <w:rsid w:val="77D65503"/>
    <w:rsid w:val="77DA55B9"/>
    <w:rsid w:val="77DE40E1"/>
    <w:rsid w:val="77E7985B"/>
    <w:rsid w:val="77F96762"/>
    <w:rsid w:val="77FF5030"/>
    <w:rsid w:val="77FFE420"/>
    <w:rsid w:val="78AE14D5"/>
    <w:rsid w:val="79FF0429"/>
    <w:rsid w:val="7A220874"/>
    <w:rsid w:val="7ABDF476"/>
    <w:rsid w:val="7AEF395F"/>
    <w:rsid w:val="7AFF815A"/>
    <w:rsid w:val="7B7B5790"/>
    <w:rsid w:val="7BAAAFA8"/>
    <w:rsid w:val="7BCD4511"/>
    <w:rsid w:val="7BD61B6E"/>
    <w:rsid w:val="7BDC18D5"/>
    <w:rsid w:val="7BDFF16F"/>
    <w:rsid w:val="7BFE9DCE"/>
    <w:rsid w:val="7BFFA889"/>
    <w:rsid w:val="7CFFF61E"/>
    <w:rsid w:val="7DBD39B3"/>
    <w:rsid w:val="7DE7EB16"/>
    <w:rsid w:val="7E9B2D37"/>
    <w:rsid w:val="7EBD5CE8"/>
    <w:rsid w:val="7EE54953"/>
    <w:rsid w:val="7EEC965A"/>
    <w:rsid w:val="7EF20A49"/>
    <w:rsid w:val="7EF9FD05"/>
    <w:rsid w:val="7F1E948B"/>
    <w:rsid w:val="7F3DA80E"/>
    <w:rsid w:val="7F670F81"/>
    <w:rsid w:val="7F7024EE"/>
    <w:rsid w:val="7F791A75"/>
    <w:rsid w:val="7F7E8728"/>
    <w:rsid w:val="7F9D227D"/>
    <w:rsid w:val="7FC462F6"/>
    <w:rsid w:val="7FC78589"/>
    <w:rsid w:val="7FCDC963"/>
    <w:rsid w:val="7FDA1C29"/>
    <w:rsid w:val="7FDF7941"/>
    <w:rsid w:val="7FDFD500"/>
    <w:rsid w:val="7FEAA3B7"/>
    <w:rsid w:val="7FEB1C53"/>
    <w:rsid w:val="7FEE459C"/>
    <w:rsid w:val="7FFEA7B6"/>
    <w:rsid w:val="8BDFC410"/>
    <w:rsid w:val="97F80807"/>
    <w:rsid w:val="9AB7158F"/>
    <w:rsid w:val="9B7FADD9"/>
    <w:rsid w:val="9D7F1755"/>
    <w:rsid w:val="9E5A554B"/>
    <w:rsid w:val="9EFF50F9"/>
    <w:rsid w:val="9F6FA34E"/>
    <w:rsid w:val="A54F568F"/>
    <w:rsid w:val="ADDF2F3D"/>
    <w:rsid w:val="ADF71EF8"/>
    <w:rsid w:val="AFBDDA71"/>
    <w:rsid w:val="B2B9D0D4"/>
    <w:rsid w:val="B6DECC53"/>
    <w:rsid w:val="B77759CC"/>
    <w:rsid w:val="B7FAEF96"/>
    <w:rsid w:val="BB9B67A2"/>
    <w:rsid w:val="BC5AE9C4"/>
    <w:rsid w:val="BC73B3D1"/>
    <w:rsid w:val="BCDF154F"/>
    <w:rsid w:val="BD7F38CE"/>
    <w:rsid w:val="BD9E41DF"/>
    <w:rsid w:val="BDCFAA69"/>
    <w:rsid w:val="BF9BC87F"/>
    <w:rsid w:val="BFF36BFC"/>
    <w:rsid w:val="BFF4B8EA"/>
    <w:rsid w:val="BFF91F95"/>
    <w:rsid w:val="BFFD0245"/>
    <w:rsid w:val="BFFE580F"/>
    <w:rsid w:val="BFFFCADF"/>
    <w:rsid w:val="CB7EFF10"/>
    <w:rsid w:val="CD9D0C7B"/>
    <w:rsid w:val="D1394E8E"/>
    <w:rsid w:val="D4768EBE"/>
    <w:rsid w:val="D7FFAAD8"/>
    <w:rsid w:val="D8DEEBED"/>
    <w:rsid w:val="DAEF5304"/>
    <w:rsid w:val="DB3FB1C3"/>
    <w:rsid w:val="DBB31D38"/>
    <w:rsid w:val="DBF5F700"/>
    <w:rsid w:val="DBF65842"/>
    <w:rsid w:val="DCFB0915"/>
    <w:rsid w:val="DD9ED714"/>
    <w:rsid w:val="DDFFC48E"/>
    <w:rsid w:val="DE6B54DE"/>
    <w:rsid w:val="DE7CDD91"/>
    <w:rsid w:val="DE9F1717"/>
    <w:rsid w:val="DEF9E6FA"/>
    <w:rsid w:val="DF3D902A"/>
    <w:rsid w:val="E3EE2DEF"/>
    <w:rsid w:val="E78F7894"/>
    <w:rsid w:val="E7AB1FCD"/>
    <w:rsid w:val="EB9FA855"/>
    <w:rsid w:val="EF1FD03F"/>
    <w:rsid w:val="F1C7A88C"/>
    <w:rsid w:val="F3BF6D46"/>
    <w:rsid w:val="F3E7DF79"/>
    <w:rsid w:val="F3FFED23"/>
    <w:rsid w:val="F4FFBDF9"/>
    <w:rsid w:val="F5BED7C7"/>
    <w:rsid w:val="F61D0410"/>
    <w:rsid w:val="F64D01CC"/>
    <w:rsid w:val="F6D59945"/>
    <w:rsid w:val="F6ED3BD1"/>
    <w:rsid w:val="F7CF51A2"/>
    <w:rsid w:val="F7D7FA15"/>
    <w:rsid w:val="F7EE3C47"/>
    <w:rsid w:val="FA7E7511"/>
    <w:rsid w:val="FBAF42F0"/>
    <w:rsid w:val="FBBF40EA"/>
    <w:rsid w:val="FBDE6720"/>
    <w:rsid w:val="FBF37D3E"/>
    <w:rsid w:val="FBFD0C32"/>
    <w:rsid w:val="FBFE2B99"/>
    <w:rsid w:val="FBFFA335"/>
    <w:rsid w:val="FC553A0F"/>
    <w:rsid w:val="FCC8E4E3"/>
    <w:rsid w:val="FCFDF318"/>
    <w:rsid w:val="FD70EE8E"/>
    <w:rsid w:val="FDCE20F5"/>
    <w:rsid w:val="FDDFF1CF"/>
    <w:rsid w:val="FDFF7DF4"/>
    <w:rsid w:val="FEDF6483"/>
    <w:rsid w:val="FEEF4AF4"/>
    <w:rsid w:val="FEEFC04A"/>
    <w:rsid w:val="FEFD3252"/>
    <w:rsid w:val="FEFFC35F"/>
    <w:rsid w:val="FF589786"/>
    <w:rsid w:val="FF7BAF32"/>
    <w:rsid w:val="FF7FD33E"/>
    <w:rsid w:val="FF87FEA7"/>
    <w:rsid w:val="FFBF5BEB"/>
    <w:rsid w:val="FFCE4128"/>
    <w:rsid w:val="FFDF3E10"/>
    <w:rsid w:val="FFE28CFB"/>
    <w:rsid w:val="FFE7C37A"/>
    <w:rsid w:val="FFECA4F9"/>
    <w:rsid w:val="FFFC5776"/>
    <w:rsid w:val="FFFDE69B"/>
    <w:rsid w:val="FFFEC178"/>
    <w:rsid w:val="FFFEF887"/>
    <w:rsid w:val="FFFFE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 w:eastAsia="方正仿宋_GBK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820</Words>
  <Characters>834</Characters>
  <Lines>0</Lines>
  <Paragraphs>0</Paragraphs>
  <TotalTime>1</TotalTime>
  <ScaleCrop>false</ScaleCrop>
  <LinksUpToDate>false</LinksUpToDate>
  <CharactersWithSpaces>2169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2023-12-21T07:41:00Z</dcterms:created>
  <dc:creator>雾月</dc:creator>
  <cp:lastModifiedBy>Administrator</cp:lastModifiedBy>
  <cp:lastPrinted>2025-12-15T02:37:22Z</cp:lastPrinted>
  <dcterms:modified xsi:type="dcterms:W3CDTF">2025-12-15T02:37:54Z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AA0AA4ABCD4D45B1802C3DE72666F888_11</vt:lpwstr>
  </property>
</Properties>
</file>