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重庆市铜梁区福果镇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年财政预算</w:t>
      </w:r>
    </w:p>
    <w:p w14:paraId="7D545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执行情况和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年财政预算（草案）的报告</w:t>
      </w:r>
    </w:p>
    <w:p w14:paraId="690C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3644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一、</w:t>
      </w:r>
      <w:r>
        <w:rPr>
          <w:rFonts w:hint="eastAsia" w:eastAsia="方正黑体_GBK" w:cs="Times New Roman"/>
          <w:bCs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年财政预算执行情况</w:t>
      </w:r>
    </w:p>
    <w:p w14:paraId="36161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“十四五”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规划</w:t>
      </w:r>
      <w:r>
        <w:rPr>
          <w:rFonts w:hint="eastAsia" w:eastAsia="方正仿宋_GBK" w:cs="Times New Roman"/>
          <w:bCs/>
          <w:color w:val="auto"/>
          <w:sz w:val="32"/>
          <w:szCs w:val="32"/>
          <w:lang w:val="en-US" w:eastAsia="zh-CN"/>
        </w:rPr>
        <w:t>收官之年，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面对外部压力加大、内部困难增多的复杂严峻形势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，在镇党委的正确领导下，在镇人大的监督支持下，镇政府及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经济发展办公室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全面贯彻落实党的二十大和二十届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全会精神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深入学习贯彻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习近平总书记视察重庆重要讲话重要指示精神，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坚决落实区委、区政府工作部署，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稳进增效、改革创新、除险固安、强企富民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工作导向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，实施积极的财政政策，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着力稳就业、稳企业、稳市场、稳预期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做到开源节流，优化支出结构，为全镇经济社会发展态势向新向好、民生福祉不断增进提供坚强财力保障。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现将</w:t>
      </w:r>
      <w:r>
        <w:rPr>
          <w:rFonts w:hint="eastAsia" w:eastAsia="方正仿宋_GBK" w:cs="Times New Roman"/>
          <w:bCs/>
          <w:color w:val="auto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预算执行情况报告如下：</w:t>
      </w:r>
    </w:p>
    <w:p w14:paraId="6C5A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</w:t>
      </w:r>
      <w:r>
        <w:rPr>
          <w:rFonts w:hint="eastAsia" w:eastAsia="方正楷体_GBK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年一般公共预算执行情况</w:t>
      </w:r>
    </w:p>
    <w:p w14:paraId="06D1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年福果镇一般公共预算收支执行表</w:t>
      </w:r>
    </w:p>
    <w:p w14:paraId="10BC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单位：万元</w:t>
      </w:r>
    </w:p>
    <w:tbl>
      <w:tblPr>
        <w:tblStyle w:val="6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395"/>
        <w:gridCol w:w="3330"/>
        <w:gridCol w:w="1395"/>
      </w:tblGrid>
      <w:tr w14:paraId="01E3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443E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1A01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  <w:tc>
          <w:tcPr>
            <w:tcW w:w="3330" w:type="dxa"/>
          </w:tcPr>
          <w:p w14:paraId="7581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5159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</w:tr>
      <w:tr w14:paraId="0B57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7EDD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收入总计</w:t>
            </w:r>
          </w:p>
        </w:tc>
        <w:tc>
          <w:tcPr>
            <w:tcW w:w="1395" w:type="dxa"/>
          </w:tcPr>
          <w:p w14:paraId="15BE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2435.12</w:t>
            </w:r>
          </w:p>
        </w:tc>
        <w:tc>
          <w:tcPr>
            <w:tcW w:w="3330" w:type="dxa"/>
          </w:tcPr>
          <w:p w14:paraId="4851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支出总计</w:t>
            </w:r>
          </w:p>
        </w:tc>
        <w:tc>
          <w:tcPr>
            <w:tcW w:w="1395" w:type="dxa"/>
          </w:tcPr>
          <w:p w14:paraId="0A0C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2435.12</w:t>
            </w:r>
          </w:p>
        </w:tc>
      </w:tr>
      <w:tr w14:paraId="1560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7A24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5702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546.32</w:t>
            </w:r>
          </w:p>
        </w:tc>
        <w:tc>
          <w:tcPr>
            <w:tcW w:w="3330" w:type="dxa"/>
          </w:tcPr>
          <w:p w14:paraId="51D0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1D32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2435.12</w:t>
            </w:r>
          </w:p>
        </w:tc>
      </w:tr>
      <w:tr w14:paraId="0FC7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145E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1.税收收入</w:t>
            </w:r>
          </w:p>
        </w:tc>
        <w:tc>
          <w:tcPr>
            <w:tcW w:w="1395" w:type="dxa"/>
          </w:tcPr>
          <w:p w14:paraId="5499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532.1</w:t>
            </w:r>
          </w:p>
        </w:tc>
        <w:tc>
          <w:tcPr>
            <w:tcW w:w="3330" w:type="dxa"/>
          </w:tcPr>
          <w:p w14:paraId="3D9A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</w:tcPr>
          <w:p w14:paraId="50AB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AF7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12F2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2.非税收入</w:t>
            </w:r>
          </w:p>
        </w:tc>
        <w:tc>
          <w:tcPr>
            <w:tcW w:w="1395" w:type="dxa"/>
          </w:tcPr>
          <w:p w14:paraId="3D41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14.22</w:t>
            </w:r>
          </w:p>
        </w:tc>
        <w:tc>
          <w:tcPr>
            <w:tcW w:w="3330" w:type="dxa"/>
          </w:tcPr>
          <w:p w14:paraId="5696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6B02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15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39B2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二、转移性收入</w:t>
            </w:r>
          </w:p>
        </w:tc>
        <w:tc>
          <w:tcPr>
            <w:tcW w:w="1395" w:type="dxa"/>
            <w:vAlign w:val="top"/>
          </w:tcPr>
          <w:p w14:paraId="635F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1888.8</w:t>
            </w:r>
          </w:p>
        </w:tc>
        <w:tc>
          <w:tcPr>
            <w:tcW w:w="3330" w:type="dxa"/>
            <w:vAlign w:val="top"/>
          </w:tcPr>
          <w:p w14:paraId="56A9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068F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2E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27BE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上级补助收入</w:t>
            </w:r>
          </w:p>
        </w:tc>
        <w:tc>
          <w:tcPr>
            <w:tcW w:w="1395" w:type="dxa"/>
            <w:vAlign w:val="top"/>
          </w:tcPr>
          <w:p w14:paraId="338F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1888.8</w:t>
            </w:r>
          </w:p>
        </w:tc>
        <w:tc>
          <w:tcPr>
            <w:tcW w:w="3330" w:type="dxa"/>
            <w:vAlign w:val="top"/>
          </w:tcPr>
          <w:p w14:paraId="4DDE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 w14:paraId="154D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1A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6FF6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（1）托底保障补助</w:t>
            </w:r>
          </w:p>
        </w:tc>
        <w:tc>
          <w:tcPr>
            <w:tcW w:w="1395" w:type="dxa"/>
            <w:vAlign w:val="top"/>
          </w:tcPr>
          <w:p w14:paraId="63F2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1755.12</w:t>
            </w:r>
          </w:p>
        </w:tc>
        <w:tc>
          <w:tcPr>
            <w:tcW w:w="3330" w:type="dxa"/>
            <w:vAlign w:val="top"/>
          </w:tcPr>
          <w:p w14:paraId="3E98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 w14:paraId="057A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0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4400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（2）专项补助</w:t>
            </w:r>
          </w:p>
        </w:tc>
        <w:tc>
          <w:tcPr>
            <w:tcW w:w="1395" w:type="dxa"/>
            <w:vAlign w:val="top"/>
          </w:tcPr>
          <w:p w14:paraId="1F31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133.68</w:t>
            </w:r>
          </w:p>
        </w:tc>
        <w:tc>
          <w:tcPr>
            <w:tcW w:w="3330" w:type="dxa"/>
            <w:vAlign w:val="top"/>
          </w:tcPr>
          <w:p w14:paraId="240D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 w14:paraId="012C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E0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年一般公共预算收入实现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546.32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较上年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2.14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其中税收收入完成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532.1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较上年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3.72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，非税收入完成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14.22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，较上年增长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154.38%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。上级补助收入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1888.8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万元，其中，托底保障补助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1755.12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万元，专项补助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133.68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万元；动用预算稳定调节基金0万元,补充预算稳定调节基金0万元。一般公共预算总收入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2435.12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2228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年一般公共预算支出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2435.12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8.67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%，完成预算的100%。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上解上级支出0万元，补充预算稳定调节基金0万元，一般公共预算总支出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2435.12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元。</w:t>
      </w:r>
    </w:p>
    <w:p w14:paraId="062E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镇级重点支出执行情况为：</w:t>
      </w:r>
    </w:p>
    <w:p w14:paraId="2D1E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一般公共服务支出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746.06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15.66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3137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文化旅游体育与传媒支出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49.88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2.35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624FA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社会保障和就业支出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368.73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9.02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。</w:t>
      </w:r>
    </w:p>
    <w:p w14:paraId="400F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卫生健康支出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3.17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2956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节能环保支出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6.88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94.78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7F13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城乡社区支出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206.28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32.19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535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农林水支出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910.66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1.71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61AE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交通运输支出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6365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住房保障支出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81.54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9.07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3D10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灾害防治及应急管理支出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"/>
        </w:rPr>
        <w:t>下降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0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%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39A3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  <w:highlight w:val="none"/>
          <w:lang w:val="en-US" w:eastAsia="zh-CN"/>
        </w:rPr>
        <w:t>2025年政府性基金预算执行情况</w:t>
      </w:r>
    </w:p>
    <w:tbl>
      <w:tblPr>
        <w:tblStyle w:val="6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395"/>
        <w:gridCol w:w="3330"/>
        <w:gridCol w:w="1395"/>
      </w:tblGrid>
      <w:tr w14:paraId="79A9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68AD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7D14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  <w:tc>
          <w:tcPr>
            <w:tcW w:w="3330" w:type="dxa"/>
          </w:tcPr>
          <w:p w14:paraId="76FD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5B3C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</w:tr>
      <w:tr w14:paraId="083A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5513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收入总计</w:t>
            </w:r>
          </w:p>
        </w:tc>
        <w:tc>
          <w:tcPr>
            <w:tcW w:w="1395" w:type="dxa"/>
          </w:tcPr>
          <w:p w14:paraId="25D0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295.66</w:t>
            </w:r>
          </w:p>
        </w:tc>
        <w:tc>
          <w:tcPr>
            <w:tcW w:w="3330" w:type="dxa"/>
          </w:tcPr>
          <w:p w14:paraId="3C11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支出总计</w:t>
            </w:r>
          </w:p>
        </w:tc>
        <w:tc>
          <w:tcPr>
            <w:tcW w:w="1395" w:type="dxa"/>
          </w:tcPr>
          <w:p w14:paraId="0C5D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295.66</w:t>
            </w:r>
          </w:p>
        </w:tc>
      </w:tr>
      <w:tr w14:paraId="7869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2B34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5D56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30" w:type="dxa"/>
          </w:tcPr>
          <w:p w14:paraId="3C96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68C4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295.66</w:t>
            </w:r>
          </w:p>
        </w:tc>
      </w:tr>
      <w:tr w14:paraId="6E07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218F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二、转移性收入</w:t>
            </w:r>
          </w:p>
        </w:tc>
        <w:tc>
          <w:tcPr>
            <w:tcW w:w="1395" w:type="dxa"/>
            <w:vAlign w:val="top"/>
          </w:tcPr>
          <w:p w14:paraId="74A6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295.66</w:t>
            </w:r>
          </w:p>
        </w:tc>
        <w:tc>
          <w:tcPr>
            <w:tcW w:w="3330" w:type="dxa"/>
            <w:vAlign w:val="top"/>
          </w:tcPr>
          <w:p w14:paraId="28C7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（1）城乡社区支出</w:t>
            </w:r>
          </w:p>
        </w:tc>
        <w:tc>
          <w:tcPr>
            <w:tcW w:w="1395" w:type="dxa"/>
            <w:vAlign w:val="top"/>
          </w:tcPr>
          <w:p w14:paraId="2864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1935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6659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上级补助收入</w:t>
            </w:r>
          </w:p>
        </w:tc>
        <w:tc>
          <w:tcPr>
            <w:tcW w:w="1395" w:type="dxa"/>
            <w:vAlign w:val="top"/>
          </w:tcPr>
          <w:p w14:paraId="1BD4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295.66</w:t>
            </w:r>
          </w:p>
        </w:tc>
        <w:tc>
          <w:tcPr>
            <w:tcW w:w="3330" w:type="dxa"/>
            <w:vAlign w:val="top"/>
          </w:tcPr>
          <w:p w14:paraId="107A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（2）其他支出</w:t>
            </w:r>
          </w:p>
        </w:tc>
        <w:tc>
          <w:tcPr>
            <w:tcW w:w="1395" w:type="dxa"/>
            <w:vAlign w:val="top"/>
          </w:tcPr>
          <w:p w14:paraId="366E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289.66</w:t>
            </w:r>
          </w:p>
        </w:tc>
      </w:tr>
      <w:tr w14:paraId="16F0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3565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专项转移补助</w:t>
            </w:r>
          </w:p>
        </w:tc>
        <w:tc>
          <w:tcPr>
            <w:tcW w:w="1395" w:type="dxa"/>
            <w:vAlign w:val="top"/>
          </w:tcPr>
          <w:p w14:paraId="2736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295.66</w:t>
            </w:r>
          </w:p>
        </w:tc>
        <w:tc>
          <w:tcPr>
            <w:tcW w:w="3330" w:type="dxa"/>
            <w:vAlign w:val="top"/>
          </w:tcPr>
          <w:p w14:paraId="6896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 w14:paraId="1354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BF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二、</w:t>
      </w:r>
      <w:r>
        <w:rPr>
          <w:rFonts w:hint="eastAsia" w:eastAsia="方正黑体_GBK" w:cs="Times New Roman"/>
          <w:bCs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年财政工作情况</w:t>
      </w:r>
    </w:p>
    <w:p w14:paraId="6619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完善社保救助体系，兜牢民生保障底线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安排社会保障和就业支出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338.22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落实城乡低保、特困供养、临时救助等政策，精准发放困难群体补助，强化就业扶持政策落地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卫生健康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63.09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改善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基层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医疗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服务条件，提升基本公共卫生服务水平，切实做好群众医疗保障服务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7001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是聚焦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乡村振兴，夯实农业农村基础。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农林水支出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895.33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，实施乡村振兴行动，持续巩固拓展脱贫攻坚成果，完善防止返贫动态监测帮扶机制，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支持农田水利灌溉提升等粮食安全相关工作，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完善乡村基础设施，推动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食品及农产品加工产业发展，助力村集体经济壮大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。</w:t>
      </w:r>
    </w:p>
    <w:p w14:paraId="1C0EB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三是提升城乡治理效能，改善人居环境。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安排城乡社区支出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万元，支持农村公益事业建设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巴渝和美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美丽乡村建设，全面推进农村环境“三大革命”，成片、全域推进人居环境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整治，推动农村生活垃圾治理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386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四是推进文化繁荣发展，保障公共文化服务。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安排文化体育与传媒支出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51.08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严格落实镇图书馆、文化站免费开放政策，开展群众喜闻乐见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的文体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活动，传承本土文化，丰富群众精神文化生活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"/>
        </w:rPr>
        <w:t>。</w:t>
      </w:r>
    </w:p>
    <w:p w14:paraId="7DEB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"/>
        </w:rPr>
        <w:t>五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"/>
        </w:rPr>
        <w:t>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善基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础设施建设，补齐发展硬件短板。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安排交通运输支出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61.55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万元，推进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村内道路、入户道路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及养护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，补齐道路基础设施短板，全面提升路网承载能力，切实打通群众出行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“最后一公里”。</w:t>
      </w:r>
    </w:p>
    <w:p w14:paraId="149B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六是防范化解各类风险，守住安全发展底线。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安排灾害防灾及应急管理支出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健全防灾减灾保障机制，持续做好山体滑坡、泥石流等地质灾害监测防范，加强森林草原防火灭火能力建设。补充救援设备和消防装备，推动应急救援能力建设。常态化开展危化品、交通运输、燃气管道等领域隐患排查整治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全力保障群众生命财产安全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7D7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三、</w:t>
      </w:r>
      <w:r>
        <w:rPr>
          <w:rFonts w:hint="eastAsia" w:eastAsia="方正黑体_GBK" w:cs="Times New Roman"/>
          <w:bCs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年工作安排</w:t>
      </w:r>
    </w:p>
    <w:p w14:paraId="0A254D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聚焦保障重点，全力助推经济高质量发展。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精准落实财政支持政策，靶向赋能产业升级。全面梳理并细化支柱产业、战略性新兴产业、未来产业扶持政策，通过财政补贴、融资贴息等多元化方式，加大对重点产业、重点项目的扶持力度，同时着力培育壮大税源主体，夯实财政收入增长根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坚守民生底线，抓实民生保障重点任务。始终坚持以人民为中心的发展思想，坚决落实党政机关习惯过紧日子要求，从严从紧把控预算编制、执行各环节，严把预算关口、严控一般性支出，压减非必要、非刚性支出，从紧安排各类必要支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集中有限财力保重点、办大事。</w:t>
      </w:r>
    </w:p>
    <w:p w14:paraId="74EF4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（二）深化改革赋能，持续完善财政体制机制。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化零基预算改革，打破支出固化格局。牢固树立零基预算理念，严格执行零基预算管理制度，彻底打破传统预算编制模式，根据年度工作重点、项目实际需求和财力状况，科学核定各项支出预算，重点强化重大战略任务、重点民生项目的财力保障，优化财政支出结构，持续提升财政资金使用效益和政策实施效能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深化预算绩效管理，强化刚性约束。构建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预算编制有目标、预算执行有监控、预算完成有评价、评价结果有应用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的全流程绩效管理体系，对预算执行实施常态化、全过程监督，严格杜绝超预算、无预算列支等行为，硬化预算执行刚性约束，推动财政资金向高效益领域倾斜，切实把每一分钱都用在刀刃上。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深化国资国企改革，激活国有资产活力。加大低效闲置资产清理力度，全面推进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六资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盘活，充分挖掘存量基础设施等重点资产盘活潜力，深化土地管理制度改革，加强资产盘活与产业升级、债务化解等深度融合，提升国有资产运营效益，推动国有资本保值增值。</w:t>
      </w:r>
    </w:p>
    <w:p w14:paraId="47692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树牢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底线思维，</w:t>
      </w:r>
      <w:r>
        <w:rPr>
          <w:rFonts w:hint="eastAsia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全力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防范化解财政风险。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坚决兜牢兜实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“三保”底线。始终将“三保”摆在财政工作的最优先位置，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严格落实“三保”支出优先顺序，科学测算“三保”支出需求，足额保障“三保”资金，及时排查化解“三保”领域风险隐患，确保基层政权平稳运行、民生保障不受影响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从严防范化解地方政府债务风险。统筹发展和安全，严格落实既定化债举措，分类施策、精准化债；密切监测债务率，强化风险预警，坚决遏制隐性债务增量、稳妥化解存量，盘活存量资产、拓宽化债渠道，确保债务率处于合理区间，守住不发生系统性债务风险底线。</w:t>
      </w:r>
    </w:p>
    <w:p w14:paraId="70FA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四、</w:t>
      </w:r>
      <w:r>
        <w:rPr>
          <w:rFonts w:hint="eastAsia" w:eastAsia="方正黑体_GBK" w:cs="Times New Roman"/>
          <w:bCs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年预算草案</w:t>
      </w:r>
    </w:p>
    <w:p w14:paraId="717D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年一般公共预算收支情况</w:t>
      </w:r>
    </w:p>
    <w:p w14:paraId="07DE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单位：万元</w:t>
      </w:r>
    </w:p>
    <w:tbl>
      <w:tblPr>
        <w:tblStyle w:val="6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395"/>
        <w:gridCol w:w="3330"/>
        <w:gridCol w:w="1395"/>
      </w:tblGrid>
      <w:tr w14:paraId="0F3A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 w14:paraId="1387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7A62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</w:t>
            </w:r>
          </w:p>
        </w:tc>
        <w:tc>
          <w:tcPr>
            <w:tcW w:w="3330" w:type="dxa"/>
          </w:tcPr>
          <w:p w14:paraId="09D6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1CB7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</w:t>
            </w:r>
          </w:p>
        </w:tc>
      </w:tr>
      <w:tr w14:paraId="29F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43" w:type="dxa"/>
          </w:tcPr>
          <w:p w14:paraId="3B3E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收入总计</w:t>
            </w:r>
          </w:p>
        </w:tc>
        <w:tc>
          <w:tcPr>
            <w:tcW w:w="1395" w:type="dxa"/>
          </w:tcPr>
          <w:p w14:paraId="07A8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2556.12</w:t>
            </w:r>
          </w:p>
        </w:tc>
        <w:tc>
          <w:tcPr>
            <w:tcW w:w="3330" w:type="dxa"/>
          </w:tcPr>
          <w:p w14:paraId="181E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支出总计</w:t>
            </w:r>
          </w:p>
        </w:tc>
        <w:tc>
          <w:tcPr>
            <w:tcW w:w="1395" w:type="dxa"/>
          </w:tcPr>
          <w:p w14:paraId="1B08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2556.12</w:t>
            </w:r>
          </w:p>
        </w:tc>
      </w:tr>
      <w:tr w14:paraId="5208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43" w:type="dxa"/>
          </w:tcPr>
          <w:p w14:paraId="49AC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 w14:paraId="2376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3330" w:type="dxa"/>
          </w:tcPr>
          <w:p w14:paraId="3326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  <w:t>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 w14:paraId="3FC6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2556.12</w:t>
            </w:r>
          </w:p>
        </w:tc>
      </w:tr>
      <w:tr w14:paraId="586C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59E2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二、转移性收入</w:t>
            </w:r>
          </w:p>
        </w:tc>
        <w:tc>
          <w:tcPr>
            <w:tcW w:w="1395" w:type="dxa"/>
            <w:vAlign w:val="top"/>
          </w:tcPr>
          <w:p w14:paraId="2386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2056.12</w:t>
            </w:r>
          </w:p>
        </w:tc>
        <w:tc>
          <w:tcPr>
            <w:tcW w:w="3330" w:type="dxa"/>
            <w:vAlign w:val="top"/>
          </w:tcPr>
          <w:p w14:paraId="1813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top"/>
          </w:tcPr>
          <w:p w14:paraId="613D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74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 w14:paraId="5B50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上级补助收入</w:t>
            </w:r>
          </w:p>
        </w:tc>
        <w:tc>
          <w:tcPr>
            <w:tcW w:w="1395" w:type="dxa"/>
            <w:vAlign w:val="top"/>
          </w:tcPr>
          <w:p w14:paraId="36CA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2056.12</w:t>
            </w:r>
          </w:p>
        </w:tc>
        <w:tc>
          <w:tcPr>
            <w:tcW w:w="3330" w:type="dxa"/>
            <w:vAlign w:val="top"/>
          </w:tcPr>
          <w:p w14:paraId="2B3C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 w14:paraId="6340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7A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年，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镇级一般公共预算收入预计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2556.12万元，其中，本级收入预计500万元，上级补助收入预计2056.12万元。</w:t>
      </w:r>
    </w:p>
    <w:p w14:paraId="483B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具体安排如下：</w:t>
      </w:r>
    </w:p>
    <w:p w14:paraId="3CBC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一般公共服务支出预算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712.62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3039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文化旅游体育和传媒支出预算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45.09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15CC4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社会保障和就业支出预算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327.38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2B7B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卫生健康支出预算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2DCB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节能环保支出预算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1595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城乡社区支出预算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239.8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068A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农林水支出预算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952.43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3960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交通运输支出预算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2E18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住房保障支出预算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80.25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58A9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灾害防治及应急管理支出预算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 w14:paraId="5BFE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各位代表！新的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一年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财政工作艰巨而繁重，责任重大而光荣，我们将以习近平新时代中国特色社会主义思想为指导，在镇党委政府的坚强领导下，在镇人大的监督下，把党的二十大精神全面落实在各项财政工作中，凝心聚力抓好镇党委政府重大决策部署的落地，努力开拓创新，攻坚克难，为全镇经济社会持续健康发展做出新的更大贡献！</w:t>
      </w:r>
    </w:p>
    <w:p w14:paraId="2877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6" w:lineRule="exact"/>
        <w:jc w:val="right"/>
        <w:textAlignment w:val="auto"/>
        <w:rPr>
          <w:rFonts w:hint="default" w:ascii="Times New Roman" w:hAnsi="Times New Roman" w:cs="Times New Roman"/>
        </w:rPr>
      </w:pPr>
    </w:p>
    <w:sectPr>
      <w:footerReference r:id="rId5" w:type="default"/>
      <w:footerReference r:id="rId6" w:type="even"/>
      <w:pgSz w:w="11907" w:h="16840"/>
      <w:pgMar w:top="1985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9BCD0">
    <w:pPr>
      <w:pStyle w:val="3"/>
      <w:ind w:right="360"/>
    </w:pPr>
    <w:r>
      <w:pict>
        <v:rect id="文本框 1" o:spid="_x0000_s1025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E91AA83">
                <w:pPr>
                  <w:pStyle w:val="3"/>
                  <w:rPr>
                    <w:rStyle w:val="9"/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rStyle w:val="9"/>
                    <w:sz w:val="30"/>
                    <w:szCs w:val="30"/>
                  </w:rPr>
                  <w:instrText xml:space="preserve">PAGE 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rStyle w:val="9"/>
                    <w:sz w:val="30"/>
                    <w:szCs w:val="30"/>
                  </w:rPr>
                  <w:t>7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40E45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60335446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DC27B"/>
    <w:multiLevelType w:val="singleLevel"/>
    <w:tmpl w:val="ACADC2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A3ODc4YmI1NDlkZDVmYTY1MTU5OWEzZmJhNzNlNTEifQ=="/>
  </w:docVars>
  <w:rsids>
    <w:rsidRoot w:val="0090530D"/>
    <w:rsid w:val="0035217B"/>
    <w:rsid w:val="005D4CA8"/>
    <w:rsid w:val="00601665"/>
    <w:rsid w:val="008F7A21"/>
    <w:rsid w:val="0090530D"/>
    <w:rsid w:val="043F0A89"/>
    <w:rsid w:val="04FF3C65"/>
    <w:rsid w:val="062B4C0D"/>
    <w:rsid w:val="07BF4763"/>
    <w:rsid w:val="0B634013"/>
    <w:rsid w:val="0C307BC3"/>
    <w:rsid w:val="0CE12BAF"/>
    <w:rsid w:val="0D873B3E"/>
    <w:rsid w:val="11991213"/>
    <w:rsid w:val="13753510"/>
    <w:rsid w:val="14213712"/>
    <w:rsid w:val="14DA1557"/>
    <w:rsid w:val="16A05B2E"/>
    <w:rsid w:val="16A41CD5"/>
    <w:rsid w:val="1796247C"/>
    <w:rsid w:val="195E5769"/>
    <w:rsid w:val="1ABF1CEA"/>
    <w:rsid w:val="1B83540D"/>
    <w:rsid w:val="1CFE7024"/>
    <w:rsid w:val="217C217E"/>
    <w:rsid w:val="22300464"/>
    <w:rsid w:val="22516078"/>
    <w:rsid w:val="23236E6D"/>
    <w:rsid w:val="238A226D"/>
    <w:rsid w:val="246703FB"/>
    <w:rsid w:val="25E877BF"/>
    <w:rsid w:val="279A7186"/>
    <w:rsid w:val="27B506FD"/>
    <w:rsid w:val="27C923FA"/>
    <w:rsid w:val="289C3287"/>
    <w:rsid w:val="2A1338D7"/>
    <w:rsid w:val="2BBF0F38"/>
    <w:rsid w:val="2D6B7166"/>
    <w:rsid w:val="2FF80CC3"/>
    <w:rsid w:val="31E4658B"/>
    <w:rsid w:val="33527CC1"/>
    <w:rsid w:val="350C3926"/>
    <w:rsid w:val="351F535B"/>
    <w:rsid w:val="3572474B"/>
    <w:rsid w:val="37964738"/>
    <w:rsid w:val="3A2B6C88"/>
    <w:rsid w:val="3A95616C"/>
    <w:rsid w:val="3AC25D73"/>
    <w:rsid w:val="3B1A4793"/>
    <w:rsid w:val="3D106178"/>
    <w:rsid w:val="433B1FA6"/>
    <w:rsid w:val="45E12C63"/>
    <w:rsid w:val="48621383"/>
    <w:rsid w:val="4A3B210E"/>
    <w:rsid w:val="4AE747C1"/>
    <w:rsid w:val="4AF15640"/>
    <w:rsid w:val="4AF3760A"/>
    <w:rsid w:val="4F3D0AF2"/>
    <w:rsid w:val="52262073"/>
    <w:rsid w:val="522D4DAE"/>
    <w:rsid w:val="53F577CC"/>
    <w:rsid w:val="540816AA"/>
    <w:rsid w:val="549E1306"/>
    <w:rsid w:val="54E57789"/>
    <w:rsid w:val="55AC6D33"/>
    <w:rsid w:val="57315A3B"/>
    <w:rsid w:val="57DE5D81"/>
    <w:rsid w:val="58C6008B"/>
    <w:rsid w:val="5B3C5361"/>
    <w:rsid w:val="5D3A4C25"/>
    <w:rsid w:val="5D9D72A2"/>
    <w:rsid w:val="5E3E6006"/>
    <w:rsid w:val="5EDA252D"/>
    <w:rsid w:val="5FB774B1"/>
    <w:rsid w:val="5FFE6E0D"/>
    <w:rsid w:val="60867D3C"/>
    <w:rsid w:val="613A51F3"/>
    <w:rsid w:val="61D52FE4"/>
    <w:rsid w:val="632A3AC1"/>
    <w:rsid w:val="65767E03"/>
    <w:rsid w:val="66F12B72"/>
    <w:rsid w:val="670D56F0"/>
    <w:rsid w:val="67AF546B"/>
    <w:rsid w:val="6D5C2995"/>
    <w:rsid w:val="6DC26C9C"/>
    <w:rsid w:val="71267CAF"/>
    <w:rsid w:val="74D20035"/>
    <w:rsid w:val="75F57592"/>
    <w:rsid w:val="789C6D54"/>
    <w:rsid w:val="78E34BDC"/>
    <w:rsid w:val="7A024BBA"/>
    <w:rsid w:val="7AA73EF3"/>
    <w:rsid w:val="7C9A5DDE"/>
    <w:rsid w:val="7D217A9E"/>
    <w:rsid w:val="AEFF11BE"/>
    <w:rsid w:val="D75F32CB"/>
    <w:rsid w:val="EBB7F148"/>
    <w:rsid w:val="FE59D0CD"/>
    <w:rsid w:val="FFE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正文-公1"/>
    <w:qFormat/>
    <w:uiPriority w:val="0"/>
    <w:pPr>
      <w:spacing w:after="160" w:line="278" w:lineRule="auto"/>
      <w:ind w:firstLine="200" w:firstLineChars="200"/>
    </w:pPr>
    <w:rPr>
      <w:rFonts w:ascii="Times New Roman" w:hAnsi="Times New Roman" w:eastAsia="仿宋_GB2312" w:cs="Times New Roman"/>
      <w:lang w:val="en-US" w:eastAsia="zh-CN" w:bidi="ar-SA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2966</Words>
  <Characters>3388</Characters>
  <Lines>21</Lines>
  <Paragraphs>6</Paragraphs>
  <TotalTime>12</TotalTime>
  <ScaleCrop>false</ScaleCrop>
  <LinksUpToDate>false</LinksUpToDate>
  <CharactersWithSpaces>3468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2020-03-31T02:33:00Z</dcterms:created>
  <dc:creator>绿茵</dc:creator>
  <cp:lastModifiedBy>apple</cp:lastModifiedBy>
  <dcterms:modified xsi:type="dcterms:W3CDTF">2026-04-03T15:50:52Z</dcterms:modified>
  <dc:title>高楼镇2022年财政预算执行情况和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249041329_btnclosed</vt:lpwstr>
  </property>
  <property fmtid="{D5CDD505-2E9C-101B-9397-08002B2CF9AE}" pid="4" name="ICV">
    <vt:lpwstr>22871ECDA683F63DBEB8BC69D7E6A586_43</vt:lpwstr>
  </property>
  <property fmtid="{D5CDD505-2E9C-101B-9397-08002B2CF9AE}" pid="5" name="KSOTemplateDocerSaveRecord">
    <vt:lpwstr>eyJoZGlkIjoiZDQwZjgzMWQwNDE1NWE0N2VhODhhMDA3ZmNkM2VlNGMiLCJ1c2VySWQiOiIxMjA5NzI5MzcwIn0=</vt:lpwstr>
  </property>
</Properties>
</file>