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重庆市铜梁区福果镇退役军人服务站</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承担退役军人关系转接、联络接待、困难帮扶、信息采集、情况反映、优抚对象补贴发放等服务保障工作；</w:t>
      </w:r>
      <w:r>
        <w:rPr>
          <w:rFonts w:hint="default" w:ascii="Times New Roman" w:hAnsi="Times New Roman" w:eastAsia="方正仿宋_GBK" w:cs="Times New Roman"/>
          <w:b w:val="0"/>
          <w:bCs w:val="0"/>
          <w:sz w:val="32"/>
          <w:szCs w:val="32"/>
          <w:shd w:val="clear" w:color="auto" w:fill="FFFFFF"/>
          <w:lang w:val="en-US" w:eastAsia="zh-CN"/>
        </w:rPr>
        <w:t>做好或配合做好民兵预备役、征兵、人民防空、防汛、防火、防震、抢险等工作；</w:t>
      </w:r>
      <w:r>
        <w:rPr>
          <w:rFonts w:hint="default" w:ascii="Times New Roman" w:hAnsi="Times New Roman" w:eastAsia="方正仿宋_GBK" w:cs="Times New Roman"/>
          <w:b w:val="0"/>
          <w:bCs w:val="0"/>
          <w:sz w:val="32"/>
          <w:szCs w:val="32"/>
          <w:shd w:val="clear" w:color="auto" w:fill="FFFFFF"/>
          <w:lang w:eastAsia="zh-CN"/>
        </w:rPr>
        <w:t>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lang w:val="en-US" w:eastAsia="zh-CN" w:bidi="ar-SA"/>
        </w:rPr>
        <w:t>重庆市铜梁区福果镇退役军人服务站属于重庆市铜梁区福果镇人民政府下属独立核算的事业单位，无内设机构处室。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二、</w:t>
      </w:r>
      <w:r>
        <w:rPr>
          <w:rStyle w:val="8"/>
          <w:rFonts w:hint="default" w:ascii="方正黑体_GBK" w:hAnsi="方正黑体_GBK" w:eastAsia="方正黑体_GBK" w:cs="方正黑体_GBK"/>
          <w:b w:val="0"/>
          <w:bCs w:val="0"/>
          <w:sz w:val="32"/>
          <w:szCs w:val="32"/>
          <w:shd w:val="clear" w:color="auto" w:fill="FFFFFF"/>
          <w:lang w:eastAsia="zh-CN"/>
        </w:rPr>
        <w:t>单位</w:t>
      </w:r>
      <w:r>
        <w:rPr>
          <w:rStyle w:val="8"/>
          <w:rFonts w:hint="default" w:ascii="方正黑体_GBK" w:hAnsi="方正黑体_GBK" w:eastAsia="方正黑体_GBK" w:cs="方正黑体_GBK"/>
          <w:b w:val="0"/>
          <w:bCs w:val="0"/>
          <w:sz w:val="32"/>
          <w:szCs w:val="32"/>
          <w:shd w:val="clear" w:color="auto" w:fill="FFFFFF"/>
        </w:rPr>
        <w:t>决算</w:t>
      </w:r>
      <w:r>
        <w:rPr>
          <w:rStyle w:val="8"/>
          <w:rFonts w:hint="default" w:ascii="方正黑体_GBK" w:hAnsi="方正黑体_GBK" w:eastAsia="方正黑体_GBK" w:cs="方正黑体_GBK"/>
          <w:b w:val="0"/>
          <w:bCs w:val="0"/>
          <w:sz w:val="32"/>
          <w:szCs w:val="32"/>
          <w:shd w:val="clear" w:color="auto" w:fill="FFFFFF"/>
          <w:lang w:eastAsia="zh-CN"/>
        </w:rPr>
        <w:t>收支</w:t>
      </w:r>
      <w:r>
        <w:rPr>
          <w:rStyle w:val="8"/>
          <w:rFonts w:hint="default" w:ascii="方正黑体_GBK" w:hAnsi="方正黑体_GBK" w:eastAsia="方正黑体_GBK" w:cs="方正黑体_GBK"/>
          <w:b w:val="0"/>
          <w:bCs w:val="0"/>
          <w:sz w:val="32"/>
          <w:szCs w:val="32"/>
          <w:shd w:val="clear" w:color="auto" w:fill="FFFFFF"/>
        </w:rPr>
        <w:t>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度收入总计41.9万元，支出总计</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万元。收、支与2023年度相比，增加41.9万元，增长100.0%，主要原因是2024年按照财政局要求将原统计在机关本级的事业单位划分为7个账套单独核算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度收入合计41.9万元，与2023年度相比，增加41.9万元，增长100.0%，主要原因是2024年按照财政局要求将原统计在机关本级的事业单位划分为7个账套单独核算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万元，占0.0%；其他收入</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万元，占0.0%。此外，使用非财政拨款结余和专用结余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万元，占100.0%；项目支出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度财政拨款收、支总计41.9万元。与202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较年初预算数减少10.73万元，下降20.4%。主要原因是财政资金紧张，部分预算资金未能全部收入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万元，与2023年度相比，增加41.9万元，增长100.0%。主要原因是2024年按照财政局要求将原统计在机关本级的事业单位划分为7个账套单独核算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较年初预算数减少10.73万元，下降20.4%。主要原因是财政资金紧张，部分预算资金未能全部收入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38.53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91.9</w:t>
      </w:r>
      <w:r>
        <w:rPr>
          <w:rFonts w:hint="default" w:ascii="Times New Roman" w:hAnsi="Times New Roman" w:eastAsia="方正仿宋_GBK" w:cs="Times New Roman"/>
          <w:b w:val="0"/>
          <w:bCs w:val="0"/>
          <w:sz w:val="32"/>
          <w:szCs w:val="32"/>
          <w:shd w:val="clear" w:color="auto" w:fill="FFFFFF"/>
        </w:rPr>
        <w:t>%，较年初预算数减少3.35万元，下降8.0%，主要原因是财政资金紧张，部分预算资金未能全部收入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1.57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shd w:val="clear" w:color="auto" w:fill="FFFFFF"/>
        </w:rPr>
        <w:t>%，较年初预算数减少0.38万元，下降19.5%，主要原因是财政资金紧张，部分预算资金未能全部收入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%，较年初预算数减少7万元，下降100.0%，主要原因是</w:t>
      </w:r>
      <w:bookmarkStart w:id="0" w:name="_GoBack"/>
      <w:bookmarkEnd w:id="0"/>
      <w:r>
        <w:rPr>
          <w:rFonts w:hint="default" w:ascii="Times New Roman" w:hAnsi="Times New Roman" w:eastAsia="方正仿宋_GBK" w:cs="Times New Roman"/>
          <w:b w:val="0"/>
          <w:bCs w:val="0"/>
          <w:sz w:val="32"/>
          <w:szCs w:val="32"/>
          <w:shd w:val="clear" w:color="auto" w:fill="FFFFFF"/>
        </w:rPr>
        <w:t>财政资金紧张，部分预算资金未能全部收入</w:t>
      </w:r>
      <w:r>
        <w:rPr>
          <w:rFonts w:hint="default" w:ascii="Times New Roman" w:hAnsi="Times New Roman" w:eastAsia="方正仿宋_GBK" w:cs="Times New Roman"/>
          <w:b w:val="0"/>
          <w:bCs w:val="0"/>
          <w:sz w:val="32"/>
          <w:szCs w:val="32"/>
          <w:shd w:val="clear" w:color="auto" w:fill="FFFFFF"/>
          <w:lang w:eastAsia="zh-CN"/>
        </w:rPr>
        <w:t>，故相应的支出减少。</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住房保障支出1.8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4.3</w:t>
      </w:r>
      <w:r>
        <w:rPr>
          <w:rFonts w:hint="default" w:ascii="Times New Roman" w:hAnsi="Times New Roman" w:eastAsia="方正仿宋_GBK" w:cs="Times New Roman"/>
          <w:b w:val="0"/>
          <w:bCs w:val="0"/>
          <w:sz w:val="32"/>
          <w:szCs w:val="32"/>
          <w:shd w:val="clear" w:color="auto" w:fill="FFFFFF"/>
        </w:rPr>
        <w:t>%，较年初预算数无增减</w:t>
      </w:r>
      <w:r>
        <w:rPr>
          <w:rFonts w:hint="default"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41.9</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38.42</w:t>
      </w:r>
      <w:r>
        <w:rPr>
          <w:rFonts w:hint="default" w:ascii="Times New Roman" w:hAnsi="Times New Roman" w:eastAsia="方正仿宋_GBK" w:cs="Times New Roman"/>
          <w:b w:val="0"/>
          <w:bCs w:val="0"/>
          <w:sz w:val="32"/>
          <w:szCs w:val="32"/>
          <w:shd w:val="clear" w:color="auto" w:fill="FFFFFF"/>
        </w:rPr>
        <w:t>万元，与2023年度相比，增加38.42万元，增长100.0%，主要原因是2024年按照财政局要求将原统计在机关本级的事业单位划分为7个账套单独核算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lang w:val="en-US" w:eastAsia="zh-CN"/>
        </w:rPr>
        <w:t>在职人员工资福利及社会保险缴费</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3.48</w:t>
      </w:r>
      <w:r>
        <w:rPr>
          <w:rFonts w:hint="default" w:ascii="Times New Roman" w:hAnsi="Times New Roman" w:eastAsia="方正仿宋_GBK" w:cs="Times New Roman"/>
          <w:b w:val="0"/>
          <w:bCs w:val="0"/>
          <w:sz w:val="32"/>
          <w:szCs w:val="32"/>
          <w:shd w:val="clear" w:color="auto" w:fill="FFFFFF"/>
        </w:rPr>
        <w:t>万元，与2023年度相比，增加3.48万元，增长100.0%，主要原因是2024年按照财政局要求将原统计在机关本级的事业单位划分为7个账套单独核算</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lang w:val="en-US" w:eastAsia="zh-CN"/>
        </w:rPr>
        <w:t>2023年退役军人服务站未独立核算，故增长100.0%。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lang w:val="en-US" w:eastAsia="zh-CN"/>
        </w:rPr>
        <w:t>办公费、印刷费、劳务费、邮电费、水电费、维修维护费等</w:t>
      </w:r>
      <w:r>
        <w:rPr>
          <w:rFonts w:hint="default" w:ascii="Times New Roman" w:hAnsi="Times New Roman" w:eastAsia="方正仿宋_GBK" w:cs="Times New Roman"/>
          <w:b w:val="0"/>
          <w:bCs w:val="0"/>
          <w:sz w:val="32"/>
          <w:szCs w:val="32"/>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本单位2024年度无政府性基金预算财政拨款收支。</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我单位属于重庆市铜梁区福果镇人民政府下属独立核算事业单位，财政未保障我单位“三公”经费。</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rPr>
      </w:pPr>
      <w:r>
        <w:rPr>
          <w:rStyle w:val="8"/>
          <w:rFonts w:hint="default" w:ascii="方正黑体_GBK" w:hAnsi="方正黑体_GBK" w:eastAsia="方正黑体_GBK" w:cs="方正黑体_GBK"/>
          <w:b w:val="0"/>
          <w:bCs w:val="0"/>
          <w:sz w:val="32"/>
          <w:szCs w:val="32"/>
          <w:shd w:val="clear" w:color="auto" w:fill="FFFFFF"/>
        </w:rPr>
        <w:t>其他需要说明的事项</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万元，与2023年度相比，无增减。本年度培训费支出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万元，与2023年度相比，无变化。</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2024年</w:t>
      </w:r>
      <w:r>
        <w:rPr>
          <w:rFonts w:hint="default" w:ascii="Times New Roman" w:hAnsi="Times New Roman" w:eastAsia="方正仿宋_GBK" w:cs="Times New Roman"/>
          <w:b w:val="0"/>
          <w:bCs w:val="0"/>
          <w:sz w:val="32"/>
          <w:szCs w:val="32"/>
        </w:rPr>
        <w:t>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default" w:ascii="方正黑体_GBK" w:hAnsi="方正黑体_GBK" w:eastAsia="方正黑体_GBK" w:cs="方正黑体_GBK"/>
          <w:b w:val="0"/>
          <w:bCs w:val="0"/>
          <w:sz w:val="32"/>
          <w:szCs w:val="32"/>
          <w:shd w:val="clear" w:color="auto" w:fill="FFFFFF"/>
          <w:lang w:val="en-US" w:eastAsia="zh-CN"/>
        </w:rPr>
        <w:t>五、2024年度预算绩效管理情况说明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万元；以委托第三方出具报告的方式开展绩效评价</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项，涉及资金</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rPr>
      </w:pPr>
      <w:r>
        <w:rPr>
          <w:rStyle w:val="8"/>
          <w:rFonts w:hint="default" w:ascii="方正楷体_GBK" w:hAnsi="方正楷体_GBK" w:eastAsia="方正楷体_GBK" w:cs="方正楷体_GBK"/>
          <w:b w:val="0"/>
          <w:bCs w:val="0"/>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eastAsia="zh-CN"/>
        </w:rPr>
        <w:t>我单位</w:t>
      </w:r>
      <w:r>
        <w:rPr>
          <w:rFonts w:hint="default" w:ascii="Times New Roman" w:hAnsi="Times New Roman" w:eastAsia="方正仿宋_GBK" w:cs="Times New Roman"/>
          <w:b w:val="0"/>
          <w:bCs w:val="0"/>
          <w:kern w:val="0"/>
          <w:sz w:val="32"/>
          <w:szCs w:val="32"/>
          <w:shd w:val="clear" w:fill="FFFFFF"/>
          <w:lang w:val="en-US" w:eastAsia="zh-CN"/>
        </w:rPr>
        <w:t>2024年度未开展项目绩效自评。</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default" w:ascii="Times New Roman" w:hAnsi="Times New Roman" w:eastAsia="方正仿宋_GBK" w:cs="Times New Roman"/>
          <w:b w:val="0"/>
          <w:bCs w:val="0"/>
          <w:kern w:val="0"/>
          <w:sz w:val="32"/>
          <w:szCs w:val="32"/>
          <w:shd w:val="clear" w:fill="FFFFFF"/>
          <w:lang w:val="en-US" w:eastAsia="zh-CN"/>
        </w:rPr>
        <w:t>0个</w:t>
      </w:r>
      <w:r>
        <w:rPr>
          <w:rFonts w:hint="default" w:ascii="Times New Roman" w:hAnsi="Times New Roman" w:eastAsia="方正仿宋_GBK" w:cs="Times New Roman"/>
          <w:b w:val="0"/>
          <w:bCs w:val="0"/>
          <w:kern w:val="0"/>
          <w:sz w:val="32"/>
          <w:szCs w:val="32"/>
          <w:shd w:val="clear" w:fill="FFFFFF"/>
        </w:rPr>
        <w:t>项目进行绩效自评，其中</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个已完成年度绩效目标，</w:t>
      </w:r>
      <w:r>
        <w:rPr>
          <w:rFonts w:hint="default" w:ascii="Times New Roman" w:hAnsi="Times New Roman" w:eastAsia="方正仿宋_GBK" w:cs="Times New Roman"/>
          <w:b w:val="0"/>
          <w:bCs w:val="0"/>
          <w:kern w:val="0"/>
          <w:sz w:val="32"/>
          <w:szCs w:val="32"/>
          <w:shd w:val="clear" w:fill="FFFFFF"/>
          <w:lang w:val="en-US" w:eastAsia="zh-CN"/>
        </w:rPr>
        <w:t>0</w:t>
      </w:r>
      <w:r>
        <w:rPr>
          <w:rFonts w:hint="default" w:ascii="Times New Roman" w:hAnsi="Times New Roman" w:eastAsia="方正仿宋_GBK" w:cs="Times New Roman"/>
          <w:b w:val="0"/>
          <w:bCs w:val="0"/>
          <w:kern w:val="0"/>
          <w:sz w:val="32"/>
          <w:szCs w:val="32"/>
          <w:shd w:val="clear" w:fill="FFFFFF"/>
        </w:rPr>
        <w:t>个未完成年度绩效目标。</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8"/>
          <w:rFonts w:hint="default" w:ascii="方正楷体_GBK" w:hAnsi="方正楷体_GBK" w:eastAsia="方正楷体_GBK" w:cs="方正楷体_GBK"/>
          <w:b w:val="0"/>
          <w:bCs w:val="0"/>
          <w:sz w:val="32"/>
          <w:szCs w:val="32"/>
          <w:shd w:val="clear" w:color="auto" w:fill="FFFFFF"/>
          <w:lang w:val="en-US" w:eastAsia="zh-CN"/>
        </w:rPr>
      </w:pPr>
      <w:r>
        <w:rPr>
          <w:rStyle w:val="8"/>
          <w:rFonts w:hint="default" w:ascii="方正楷体_GBK" w:hAnsi="方正楷体_GBK" w:eastAsia="方正楷体_GBK" w:cs="方正楷体_GBK"/>
          <w:b w:val="0"/>
          <w:bCs w:val="0"/>
          <w:sz w:val="32"/>
          <w:szCs w:val="32"/>
          <w:shd w:val="clear" w:color="auto" w:fill="FFFFFF"/>
          <w:lang w:val="en-US" w:eastAsia="zh-CN"/>
        </w:rPr>
        <w:t xml:space="preserve">（三）财政重点绩效评价情况 </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val="0"/>
          <w:kern w:val="0"/>
          <w:sz w:val="32"/>
          <w:szCs w:val="32"/>
        </w:rPr>
      </w:pPr>
      <w:r>
        <w:rPr>
          <w:rStyle w:val="8"/>
          <w:rFonts w:hint="default" w:ascii="Times New Roman" w:hAnsi="Times New Roman" w:eastAsia="方正黑体_GBK"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rPr>
        <w:t>本单位决算公开信息反馈和联系方式：</w:t>
      </w:r>
      <w:r>
        <w:rPr>
          <w:rFonts w:hint="eastAsia" w:ascii="Times New Roman" w:hAnsi="Times New Roman" w:eastAsia="方正仿宋_GBK" w:cs="Times New Roman"/>
          <w:b w:val="0"/>
          <w:bCs w:val="0"/>
          <w:kern w:val="0"/>
          <w:sz w:val="32"/>
          <w:szCs w:val="32"/>
          <w:shd w:val="clear" w:fill="FFFFFF"/>
          <w:lang w:eastAsia="zh-CN"/>
        </w:rPr>
        <w:t>贾黎</w:t>
      </w:r>
      <w:r>
        <w:rPr>
          <w:rFonts w:hint="default" w:ascii="Times New Roman" w:hAnsi="Times New Roman" w:eastAsia="方正仿宋_GBK" w:cs="Times New Roman"/>
          <w:b w:val="0"/>
          <w:bCs w:val="0"/>
          <w:kern w:val="0"/>
          <w:sz w:val="32"/>
          <w:szCs w:val="32"/>
          <w:shd w:val="clear" w:fill="FFFFFF"/>
        </w:rPr>
        <w:t>023-</w:t>
      </w:r>
      <w:r>
        <w:rPr>
          <w:rFonts w:hint="default" w:ascii="Times New Roman" w:hAnsi="Times New Roman" w:eastAsia="方正仿宋_GBK" w:cs="Times New Roman"/>
          <w:b w:val="0"/>
          <w:bCs w:val="0"/>
          <w:kern w:val="0"/>
          <w:sz w:val="32"/>
          <w:szCs w:val="32"/>
          <w:shd w:val="clear" w:fill="FFFFFF"/>
          <w:lang w:val="en-US" w:eastAsia="zh-CN"/>
        </w:rPr>
        <w:t>45517021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Style w:val="8"/>
          <w:rFonts w:hint="default" w:ascii="Times New Roman" w:hAnsi="Times New Roman" w:eastAsia="方正黑体_GBK" w:cs="Times New Roman"/>
          <w:b w:val="0"/>
          <w:bCs w:val="0"/>
          <w:sz w:val="32"/>
          <w:szCs w:val="32"/>
          <w:shd w:val="clear" w:color="auto" w:fill="FFFFFF"/>
          <w:lang w:val="en-US" w:eastAsia="zh-CN" w:bidi="ar-SA"/>
        </w:rPr>
      </w:pPr>
      <w:r>
        <w:rPr>
          <w:rStyle w:val="8"/>
          <w:rFonts w:hint="default" w:ascii="Times New Roman" w:hAnsi="Times New Roman" w:eastAsia="方正黑体_GBK" w:cs="Times New Roman"/>
          <w:b w:val="0"/>
          <w:bCs w:val="0"/>
          <w:sz w:val="32"/>
          <w:szCs w:val="32"/>
          <w:shd w:val="clear" w:color="auto" w:fill="FFFFFF"/>
          <w:lang w:val="en-US" w:eastAsia="zh-CN" w:bidi="ar-SA"/>
        </w:rPr>
        <w:t>附件：</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重庆市铜梁区福果镇退役军人服务站2024年度决算公开报表</w:t>
      </w: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78CE"/>
    <w:multiLevelType w:val="singleLevel"/>
    <w:tmpl w:val="FBCE78C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3124FC"/>
    <w:rsid w:val="148E377E"/>
    <w:rsid w:val="14D211A1"/>
    <w:rsid w:val="1580711B"/>
    <w:rsid w:val="189B0D0B"/>
    <w:rsid w:val="194A1770"/>
    <w:rsid w:val="19917D9C"/>
    <w:rsid w:val="19B906A4"/>
    <w:rsid w:val="1A1F744B"/>
    <w:rsid w:val="1A4854EC"/>
    <w:rsid w:val="1B6F15B6"/>
    <w:rsid w:val="1BAA2EDC"/>
    <w:rsid w:val="1CE157EE"/>
    <w:rsid w:val="1D014A01"/>
    <w:rsid w:val="1D022362"/>
    <w:rsid w:val="1D195E5B"/>
    <w:rsid w:val="1DD26311"/>
    <w:rsid w:val="1EF67CA4"/>
    <w:rsid w:val="1FCD26AF"/>
    <w:rsid w:val="20642787"/>
    <w:rsid w:val="21556F04"/>
    <w:rsid w:val="22403BD3"/>
    <w:rsid w:val="24932670"/>
    <w:rsid w:val="24B92327"/>
    <w:rsid w:val="2533755C"/>
    <w:rsid w:val="26396DF4"/>
    <w:rsid w:val="270642A6"/>
    <w:rsid w:val="27167136"/>
    <w:rsid w:val="27B23302"/>
    <w:rsid w:val="27FF011F"/>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1E81C4B"/>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7650A5"/>
    <w:rsid w:val="426C1EA8"/>
    <w:rsid w:val="42E86A87"/>
    <w:rsid w:val="43136432"/>
    <w:rsid w:val="43770A38"/>
    <w:rsid w:val="443A3B12"/>
    <w:rsid w:val="44A854C2"/>
    <w:rsid w:val="44DD597D"/>
    <w:rsid w:val="4550361D"/>
    <w:rsid w:val="45C16ED1"/>
    <w:rsid w:val="465B470D"/>
    <w:rsid w:val="469D6AD4"/>
    <w:rsid w:val="46FC41C7"/>
    <w:rsid w:val="47674801"/>
    <w:rsid w:val="48225EF7"/>
    <w:rsid w:val="49083FD4"/>
    <w:rsid w:val="495C4A24"/>
    <w:rsid w:val="49DA3823"/>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1167B6"/>
    <w:rsid w:val="5842572D"/>
    <w:rsid w:val="59CA1925"/>
    <w:rsid w:val="5AE75037"/>
    <w:rsid w:val="5B58571C"/>
    <w:rsid w:val="5B8376C2"/>
    <w:rsid w:val="5B96133A"/>
    <w:rsid w:val="5C1336B7"/>
    <w:rsid w:val="5C263CE4"/>
    <w:rsid w:val="5C5D2777"/>
    <w:rsid w:val="5D290C69"/>
    <w:rsid w:val="5D537F41"/>
    <w:rsid w:val="5EFA176D"/>
    <w:rsid w:val="5F0247F9"/>
    <w:rsid w:val="5F2D4A41"/>
    <w:rsid w:val="601C34ED"/>
    <w:rsid w:val="605B343E"/>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FD81E8"/>
    <w:rsid w:val="7C1E4CD7"/>
    <w:rsid w:val="7C3A7C0B"/>
    <w:rsid w:val="7C5248E4"/>
    <w:rsid w:val="7C566698"/>
    <w:rsid w:val="7FA960B8"/>
    <w:rsid w:val="E7FDEA26"/>
    <w:rsid w:val="FD7F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7711</Words>
  <Characters>21008</Characters>
  <Lines>161</Lines>
  <Paragraphs>45</Paragraphs>
  <TotalTime>7</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2025-12-15T01:38:13Z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9EDAFD8FD9424A54844071572B3E9A06_13</vt:lpwstr>
  </property>
</Properties>
</file>